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77157"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05A847F0" wp14:editId="23DC845A">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328414DC"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1021183D" w14:textId="77777777" w:rsidR="00BC1364" w:rsidRPr="00F715D1" w:rsidRDefault="00BC1364" w:rsidP="00F715D1">
      <w:pPr>
        <w:pStyle w:val="Subtitle"/>
      </w:pPr>
      <w:r w:rsidRPr="00F715D1">
        <w:t xml:space="preserve">Application No. </w:t>
      </w:r>
      <w:r w:rsidR="00B82321" w:rsidRPr="00625EC8">
        <w:rPr>
          <w:szCs w:val="24"/>
        </w:rPr>
        <w:t xml:space="preserve">1652 – </w:t>
      </w:r>
      <w:proofErr w:type="spellStart"/>
      <w:r w:rsidR="00B82321" w:rsidRPr="00625EC8">
        <w:rPr>
          <w:szCs w:val="24"/>
        </w:rPr>
        <w:t>Transcatheter</w:t>
      </w:r>
      <w:proofErr w:type="spellEnd"/>
      <w:r w:rsidR="00B82321" w:rsidRPr="00625EC8">
        <w:rPr>
          <w:szCs w:val="24"/>
        </w:rPr>
        <w:t xml:space="preserve"> aortic valve implantation via </w:t>
      </w:r>
      <w:proofErr w:type="spellStart"/>
      <w:r w:rsidR="00B82321" w:rsidRPr="00625EC8">
        <w:rPr>
          <w:szCs w:val="24"/>
        </w:rPr>
        <w:t>transfemoral</w:t>
      </w:r>
      <w:proofErr w:type="spellEnd"/>
      <w:r w:rsidR="00B82321" w:rsidRPr="00625EC8">
        <w:rPr>
          <w:szCs w:val="24"/>
        </w:rPr>
        <w:t xml:space="preserve"> delivery for patients at intermediate risk for surgery</w:t>
      </w:r>
    </w:p>
    <w:p w14:paraId="60AB873E" w14:textId="77777777" w:rsidR="00BC1364" w:rsidRPr="00F715D1" w:rsidRDefault="00B35595" w:rsidP="008D1722">
      <w:pPr>
        <w:tabs>
          <w:tab w:val="left" w:pos="2694"/>
          <w:tab w:val="left" w:pos="3686"/>
        </w:tabs>
        <w:spacing w:after="240"/>
        <w:rPr>
          <w:rFonts w:ascii="Arial" w:hAnsi="Arial" w:cs="Arial"/>
          <w:b/>
          <w:szCs w:val="24"/>
        </w:rPr>
      </w:pPr>
      <w:r w:rsidRPr="00F715D1">
        <w:rPr>
          <w:rFonts w:ascii="Arial" w:hAnsi="Arial" w:cs="Arial"/>
          <w:b/>
          <w:szCs w:val="24"/>
        </w:rPr>
        <w:t>Applicant</w:t>
      </w:r>
      <w:r w:rsidR="008D1722">
        <w:rPr>
          <w:rFonts w:ascii="Arial" w:hAnsi="Arial" w:cs="Arial"/>
          <w:b/>
          <w:szCs w:val="24"/>
        </w:rPr>
        <w:t>:</w:t>
      </w:r>
      <w:r w:rsidR="008D1722">
        <w:rPr>
          <w:rFonts w:ascii="Arial" w:hAnsi="Arial" w:cs="Arial"/>
          <w:b/>
          <w:szCs w:val="24"/>
        </w:rPr>
        <w:tab/>
      </w:r>
      <w:r w:rsidR="0022043C">
        <w:rPr>
          <w:rFonts w:ascii="Arial" w:hAnsi="Arial" w:cs="Arial"/>
          <w:b/>
          <w:szCs w:val="24"/>
        </w:rPr>
        <w:tab/>
      </w:r>
      <w:r w:rsidR="00B82321" w:rsidRPr="00B82321">
        <w:rPr>
          <w:rFonts w:ascii="Arial" w:hAnsi="Arial" w:cs="Arial"/>
          <w:b/>
          <w:szCs w:val="24"/>
        </w:rPr>
        <w:t>Medtronic Australasia</w:t>
      </w:r>
    </w:p>
    <w:p w14:paraId="2F70405F"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4A4D40" w:rsidRPr="00F715D1">
        <w:rPr>
          <w:rFonts w:ascii="Arial" w:hAnsi="Arial" w:cs="Arial"/>
          <w:b/>
          <w:szCs w:val="24"/>
        </w:rPr>
        <w:t xml:space="preserve">MSAC </w:t>
      </w:r>
      <w:r w:rsidR="004A4D40">
        <w:rPr>
          <w:rFonts w:ascii="Arial" w:hAnsi="Arial" w:cs="Arial"/>
          <w:b/>
          <w:szCs w:val="24"/>
        </w:rPr>
        <w:t>81</w:t>
      </w:r>
      <w:r w:rsidR="004A4D40">
        <w:rPr>
          <w:rFonts w:ascii="Arial" w:hAnsi="Arial" w:cs="Arial"/>
          <w:b/>
          <w:szCs w:val="24"/>
          <w:vertAlign w:val="superscript"/>
        </w:rPr>
        <w:t>st</w:t>
      </w:r>
      <w:r w:rsidR="004A4D40" w:rsidRPr="00F715D1">
        <w:rPr>
          <w:rFonts w:ascii="Arial" w:hAnsi="Arial" w:cs="Arial"/>
          <w:b/>
          <w:szCs w:val="24"/>
        </w:rPr>
        <w:t xml:space="preserve"> Meeting, </w:t>
      </w:r>
      <w:r w:rsidR="004A4D40">
        <w:rPr>
          <w:rFonts w:ascii="Arial" w:hAnsi="Arial" w:cs="Arial"/>
          <w:b/>
          <w:szCs w:val="24"/>
        </w:rPr>
        <w:t>31 March – 1 April 2021</w:t>
      </w:r>
    </w:p>
    <w:p w14:paraId="0062571B" w14:textId="77777777" w:rsidR="0041184F" w:rsidRPr="00B03EAB" w:rsidRDefault="006A0D97" w:rsidP="00B03EAB">
      <w:pPr>
        <w:spacing w:after="360"/>
        <w:rPr>
          <w:color w:val="0000FF"/>
          <w:szCs w:val="24"/>
          <w:u w:val="single"/>
        </w:rPr>
      </w:pPr>
      <w:r w:rsidRPr="00F715D1">
        <w:rPr>
          <w:szCs w:val="24"/>
        </w:rPr>
        <w:t>Context for decision: MSAC makes its advice in accordance wit</w:t>
      </w:r>
      <w:r w:rsidR="00F715D1">
        <w:rPr>
          <w:szCs w:val="24"/>
        </w:rPr>
        <w:t>h its Terms of Reference,</w:t>
      </w:r>
      <w:r w:rsidRPr="00F715D1">
        <w:rPr>
          <w:szCs w:val="24"/>
        </w:rPr>
        <w:t xml:space="preserve"> </w:t>
      </w:r>
      <w:hyperlink r:id="rId9" w:tooltip="Link to Medical Services Advisory Committee website" w:history="1">
        <w:r w:rsidR="00F715D1" w:rsidRPr="00F715D1">
          <w:rPr>
            <w:rStyle w:val="Hyperlink"/>
            <w:szCs w:val="24"/>
          </w:rPr>
          <w:t>visit the MSAC website</w:t>
        </w:r>
      </w:hyperlink>
    </w:p>
    <w:p w14:paraId="57B44B13" w14:textId="4B279885" w:rsidR="003D7F29" w:rsidRPr="00F715D1" w:rsidRDefault="003D7F29" w:rsidP="00F715D1">
      <w:pPr>
        <w:pStyle w:val="Heading1"/>
      </w:pPr>
      <w:r w:rsidRPr="00F715D1">
        <w:t>Purpose of application</w:t>
      </w:r>
    </w:p>
    <w:p w14:paraId="3AB0EE72" w14:textId="1C5ADA11" w:rsidR="00C204FB" w:rsidRPr="00C84042" w:rsidRDefault="00C84042" w:rsidP="00C84042">
      <w:r w:rsidRPr="00F62546">
        <w:t xml:space="preserve">An Applicant Developed Assessment Report (ADAR) requesting MBS listing of </w:t>
      </w:r>
      <w:proofErr w:type="spellStart"/>
      <w:r w:rsidRPr="00F62546">
        <w:t>transcatheter</w:t>
      </w:r>
      <w:proofErr w:type="spellEnd"/>
      <w:r w:rsidRPr="00F62546">
        <w:t xml:space="preserve"> aortic valve implantation (TAVI) via </w:t>
      </w:r>
      <w:proofErr w:type="spellStart"/>
      <w:r w:rsidRPr="00F62546">
        <w:t>transfemoral</w:t>
      </w:r>
      <w:proofErr w:type="spellEnd"/>
      <w:r w:rsidRPr="00F62546">
        <w:t xml:space="preserve"> delivery for patients with severe, symptomatic AS at intermediate risk for surgery was received from Medtronic Australasia Pty Ltd by the Depar</w:t>
      </w:r>
      <w:r>
        <w:t>tment of Health</w:t>
      </w:r>
      <w:r w:rsidR="00C204FB" w:rsidRPr="00C84042">
        <w:rPr>
          <w:i/>
          <w:szCs w:val="24"/>
        </w:rPr>
        <w:t>.</w:t>
      </w:r>
    </w:p>
    <w:p w14:paraId="30B86BC6" w14:textId="77777777" w:rsidR="00E977EE" w:rsidRPr="00F715D1" w:rsidRDefault="00E977EE" w:rsidP="00F715D1">
      <w:pPr>
        <w:pStyle w:val="Heading1"/>
      </w:pPr>
      <w:r w:rsidRPr="00F715D1">
        <w:t>MSAC’s advice to the Minister</w:t>
      </w:r>
    </w:p>
    <w:p w14:paraId="23E83462" w14:textId="73228585" w:rsidR="00D07FC5" w:rsidRDefault="00B9786F" w:rsidP="00B72E66">
      <w:pPr>
        <w:pStyle w:val="Default"/>
        <w:spacing w:after="240"/>
        <w:rPr>
          <w:i/>
          <w:color w:val="auto"/>
        </w:rPr>
      </w:pPr>
      <w:r w:rsidRPr="00312B37">
        <w:t>After considering the strength of the available evidence in relation to comparative safety, clinical effectiveness and cost-effectiveness, MSAC supported</w:t>
      </w:r>
      <w:r>
        <w:t xml:space="preserve"> Medicare Benefits Schedule (</w:t>
      </w:r>
      <w:r w:rsidRPr="00312B37">
        <w:t>MBS</w:t>
      </w:r>
      <w:r>
        <w:t>)</w:t>
      </w:r>
      <w:r w:rsidRPr="00312B37">
        <w:t xml:space="preserve"> funding of </w:t>
      </w:r>
      <w:proofErr w:type="spellStart"/>
      <w:r w:rsidRPr="00312B37">
        <w:t>transcatheter</w:t>
      </w:r>
      <w:proofErr w:type="spellEnd"/>
      <w:r w:rsidRPr="00312B37">
        <w:t xml:space="preserve"> aortic valve implantation </w:t>
      </w:r>
      <w:r>
        <w:t xml:space="preserve">(TAVI) </w:t>
      </w:r>
      <w:r w:rsidRPr="00312B37">
        <w:t xml:space="preserve">via </w:t>
      </w:r>
      <w:proofErr w:type="spellStart"/>
      <w:r w:rsidRPr="00312B37">
        <w:t>transfemoral</w:t>
      </w:r>
      <w:proofErr w:type="spellEnd"/>
      <w:r w:rsidRPr="00312B37">
        <w:t xml:space="preserve"> delivery for patients at intermediate risk for surgery on the grounds of acceptable safety, effectiveness and cost effectiveness compared with surgical aortic valve replacement (SAVR). Consistent with the current MBS item for TAVI (item 38495) and its November 2021 recommendation for TAVI</w:t>
      </w:r>
      <w:r w:rsidR="00A61E38">
        <w:t xml:space="preserve"> with a balloon expandable valve </w:t>
      </w:r>
      <w:r w:rsidR="00656171">
        <w:t>in intermediate risk for surgery</w:t>
      </w:r>
      <w:r w:rsidRPr="00312B37">
        <w:t xml:space="preserve"> </w:t>
      </w:r>
      <w:r w:rsidR="00656171">
        <w:t>(</w:t>
      </w:r>
      <w:r w:rsidRPr="00312B37">
        <w:t>Application 1603</w:t>
      </w:r>
      <w:r w:rsidR="00656171">
        <w:t>)</w:t>
      </w:r>
      <w:r w:rsidRPr="00312B37">
        <w:t>, MSAC supported an MBS item that is agnostic of the type of TAVI device.</w:t>
      </w:r>
    </w:p>
    <w:p w14:paraId="505C2B31" w14:textId="0F662614" w:rsidR="00CF7307" w:rsidRDefault="00D07FC5" w:rsidP="004D485A">
      <w:pPr>
        <w:pStyle w:val="NormalBeforeBullet"/>
        <w:spacing w:after="240"/>
      </w:pPr>
      <w:r>
        <w:t>MSAC supported the item descriptor as detailed in MSAC Application 1603 (</w:t>
      </w:r>
      <w:hyperlink r:id="rId10" w:history="1">
        <w:r w:rsidRPr="00D07FC5">
          <w:rPr>
            <w:rStyle w:val="Hyperlink"/>
          </w:rPr>
          <w:t>Public Summary Docume</w:t>
        </w:r>
        <w:r w:rsidRPr="00B72E66">
          <w:rPr>
            <w:rStyle w:val="Hyperlink"/>
          </w:rPr>
          <w:t>nt [PSD] Application No. 1603</w:t>
        </w:r>
      </w:hyperlink>
      <w:r>
        <w:t>, p5]</w:t>
      </w:r>
      <w:r w:rsidRPr="00233303">
        <w:t>.</w:t>
      </w:r>
    </w:p>
    <w:tbl>
      <w:tblPr>
        <w:tblStyle w:val="TableGrid"/>
        <w:tblW w:w="0" w:type="auto"/>
        <w:tblLook w:val="04A0" w:firstRow="1" w:lastRow="0" w:firstColumn="1" w:lastColumn="0" w:noHBand="0" w:noVBand="1"/>
        <w:tblDescription w:val="Consumer summary of MSAC consideration"/>
      </w:tblPr>
      <w:tblGrid>
        <w:gridCol w:w="9016"/>
      </w:tblGrid>
      <w:tr w:rsidR="000663AA" w14:paraId="28B022D5" w14:textId="77777777" w:rsidTr="004967B0">
        <w:trPr>
          <w:tblHeader/>
        </w:trPr>
        <w:tc>
          <w:tcPr>
            <w:tcW w:w="9016" w:type="dxa"/>
          </w:tcPr>
          <w:p w14:paraId="7AF1C8C5" w14:textId="77777777" w:rsidR="000663AA" w:rsidRPr="000663AA" w:rsidRDefault="000663AA" w:rsidP="000663AA">
            <w:pPr>
              <w:pStyle w:val="Default"/>
              <w:spacing w:before="120" w:after="120"/>
              <w:rPr>
                <w:b/>
                <w:color w:val="auto"/>
              </w:rPr>
            </w:pPr>
            <w:r w:rsidRPr="00C06B0B">
              <w:rPr>
                <w:b/>
                <w:color w:val="auto"/>
              </w:rPr>
              <w:t>Consumer summary</w:t>
            </w:r>
          </w:p>
        </w:tc>
      </w:tr>
      <w:tr w:rsidR="000663AA" w14:paraId="09456BF0" w14:textId="77777777" w:rsidTr="000663AA">
        <w:tc>
          <w:tcPr>
            <w:tcW w:w="9016" w:type="dxa"/>
          </w:tcPr>
          <w:p w14:paraId="78632888" w14:textId="4BE1F0DF" w:rsidR="00B9786F" w:rsidRDefault="00B9786F" w:rsidP="00F715D1">
            <w:pPr>
              <w:pStyle w:val="Default"/>
              <w:spacing w:after="240"/>
              <w:rPr>
                <w:color w:val="auto"/>
              </w:rPr>
            </w:pPr>
            <w:r>
              <w:rPr>
                <w:color w:val="auto"/>
              </w:rPr>
              <w:t>Medtronic Australasia</w:t>
            </w:r>
            <w:r w:rsidRPr="002C1D71">
              <w:rPr>
                <w:color w:val="auto"/>
              </w:rPr>
              <w:t xml:space="preserve"> Pty Ltd applied for funding </w:t>
            </w:r>
            <w:r>
              <w:rPr>
                <w:color w:val="auto"/>
              </w:rPr>
              <w:t>through</w:t>
            </w:r>
            <w:r w:rsidRPr="002C1D71">
              <w:rPr>
                <w:color w:val="auto"/>
              </w:rPr>
              <w:t xml:space="preserve"> the Medicare Benefits Schedule (MBS) for </w:t>
            </w:r>
            <w:proofErr w:type="spellStart"/>
            <w:r w:rsidRPr="002C1D71">
              <w:rPr>
                <w:color w:val="auto"/>
              </w:rPr>
              <w:t>transcatheter</w:t>
            </w:r>
            <w:proofErr w:type="spellEnd"/>
            <w:r w:rsidRPr="002C1D71">
              <w:rPr>
                <w:color w:val="auto"/>
              </w:rPr>
              <w:t xml:space="preserve"> aortic valve implantation (TAVI) in patients with symptomatic severe aortic stenosis who are at </w:t>
            </w:r>
            <w:r>
              <w:rPr>
                <w:color w:val="auto"/>
              </w:rPr>
              <w:t>intermediate</w:t>
            </w:r>
            <w:r w:rsidRPr="002C1D71">
              <w:rPr>
                <w:color w:val="auto"/>
              </w:rPr>
              <w:t xml:space="preserve"> risk for surgery.</w:t>
            </w:r>
          </w:p>
          <w:p w14:paraId="1056FF1A" w14:textId="77777777" w:rsidR="00B9786F" w:rsidRDefault="00B9786F" w:rsidP="00F715D1">
            <w:pPr>
              <w:pStyle w:val="Default"/>
              <w:spacing w:after="240"/>
              <w:rPr>
                <w:color w:val="auto"/>
              </w:rPr>
            </w:pPr>
            <w:r w:rsidRPr="002C1D71">
              <w:rPr>
                <w:color w:val="auto"/>
              </w:rPr>
              <w:t>Severe aortic stenosis is a condition that stops blood from flowing easily throughout the body. Eventually this can lead to heart failure because the aortic valve in the heart develops a severe build-up of calcium, which makes it difficult for the valve to open and close.</w:t>
            </w:r>
          </w:p>
          <w:p w14:paraId="16D64C08" w14:textId="77777777" w:rsidR="00B9786F" w:rsidRDefault="00B9786F" w:rsidP="00F715D1">
            <w:pPr>
              <w:pStyle w:val="Default"/>
              <w:spacing w:after="240"/>
            </w:pPr>
            <w:r w:rsidRPr="002C1D71">
              <w:rPr>
                <w:color w:val="auto"/>
              </w:rPr>
              <w:lastRenderedPageBreak/>
              <w:t>TAVI is a procedure that helps to improve a damaged aortic valve. During a TAVI procedure, an artificial valve made of natural animal heart tissue (usually from a cow or a pig) is implanted into the heart. But instead of standard open</w:t>
            </w:r>
            <w:r>
              <w:rPr>
                <w:color w:val="auto"/>
              </w:rPr>
              <w:t xml:space="preserve"> </w:t>
            </w:r>
            <w:r w:rsidRPr="002C1D71">
              <w:rPr>
                <w:color w:val="auto"/>
              </w:rPr>
              <w:t>heart surgery (where the chest cavity is opened during surgery), in TAVI, a catheter is placed in the femoral artery (in the groin) and guided into the heart</w:t>
            </w:r>
            <w:r>
              <w:t>.</w:t>
            </w:r>
          </w:p>
          <w:p w14:paraId="3BEA5670" w14:textId="0FC4A47B" w:rsidR="00B9786F" w:rsidRDefault="00B9786F" w:rsidP="00F715D1">
            <w:pPr>
              <w:pStyle w:val="Default"/>
              <w:spacing w:after="240"/>
              <w:rPr>
                <w:color w:val="auto"/>
              </w:rPr>
            </w:pPr>
            <w:r>
              <w:rPr>
                <w:color w:val="auto"/>
              </w:rPr>
              <w:t xml:space="preserve">MSAC accepted that TAVI is a safe and effective procedure, and is better value for money than surgical aortic valve replacement (open heart surgery). </w:t>
            </w:r>
            <w:r w:rsidR="004955E8" w:rsidRPr="004955E8">
              <w:rPr>
                <w:color w:val="auto"/>
              </w:rPr>
              <w:t xml:space="preserve">MSAC noted </w:t>
            </w:r>
            <w:r w:rsidR="004955E8">
              <w:rPr>
                <w:color w:val="auto"/>
              </w:rPr>
              <w:t xml:space="preserve">that the </w:t>
            </w:r>
            <w:r w:rsidR="004955E8" w:rsidRPr="004955E8">
              <w:rPr>
                <w:color w:val="auto"/>
              </w:rPr>
              <w:t xml:space="preserve">American College of Cardiology/American Heart Association </w:t>
            </w:r>
            <w:r w:rsidR="004955E8">
              <w:rPr>
                <w:color w:val="auto"/>
              </w:rPr>
              <w:t>(</w:t>
            </w:r>
            <w:r w:rsidR="004955E8" w:rsidRPr="004955E8">
              <w:rPr>
                <w:color w:val="auto"/>
              </w:rPr>
              <w:t>ACC/AHA</w:t>
            </w:r>
            <w:r w:rsidR="004955E8">
              <w:rPr>
                <w:color w:val="auto"/>
              </w:rPr>
              <w:t>)</w:t>
            </w:r>
            <w:r w:rsidR="004955E8" w:rsidRPr="004955E8">
              <w:rPr>
                <w:color w:val="auto"/>
              </w:rPr>
              <w:t xml:space="preserve"> guidelines emphasised shared decision making </w:t>
            </w:r>
            <w:r w:rsidR="004955E8">
              <w:rPr>
                <w:color w:val="auto"/>
              </w:rPr>
              <w:t xml:space="preserve">on the type of procedure. These </w:t>
            </w:r>
            <w:r w:rsidR="004955E8" w:rsidRPr="004955E8">
              <w:rPr>
                <w:color w:val="auto"/>
              </w:rPr>
              <w:t xml:space="preserve">guidelines </w:t>
            </w:r>
            <w:r w:rsidR="004955E8">
              <w:rPr>
                <w:color w:val="auto"/>
              </w:rPr>
              <w:t xml:space="preserve">say </w:t>
            </w:r>
            <w:r w:rsidR="004955E8" w:rsidRPr="004955E8">
              <w:rPr>
                <w:color w:val="auto"/>
              </w:rPr>
              <w:t xml:space="preserve">that this decision </w:t>
            </w:r>
            <w:r w:rsidR="004955E8">
              <w:rPr>
                <w:color w:val="auto"/>
              </w:rPr>
              <w:t>should be made for each individual and should take into account factors such as age and other medical</w:t>
            </w:r>
            <w:r w:rsidR="004955E8" w:rsidRPr="004955E8">
              <w:rPr>
                <w:color w:val="auto"/>
              </w:rPr>
              <w:t xml:space="preserve"> conditions, </w:t>
            </w:r>
            <w:r w:rsidR="008E3429">
              <w:rPr>
                <w:color w:val="auto"/>
              </w:rPr>
              <w:t>how long valves last before they need to be replaced</w:t>
            </w:r>
            <w:r w:rsidR="004955E8" w:rsidRPr="004955E8">
              <w:rPr>
                <w:color w:val="auto"/>
              </w:rPr>
              <w:t>, and patient preferences</w:t>
            </w:r>
            <w:r w:rsidR="004955E8">
              <w:rPr>
                <w:color w:val="auto"/>
              </w:rPr>
              <w:t xml:space="preserve">. </w:t>
            </w:r>
            <w:r w:rsidRPr="00D511FB">
              <w:rPr>
                <w:color w:val="auto"/>
              </w:rPr>
              <w:t>This is important for patients at intermediate risk for surgery, because these people usually have a longer life expectancy than people with high risk for surgery.</w:t>
            </w:r>
          </w:p>
          <w:p w14:paraId="08350333" w14:textId="6B5607B8" w:rsidR="000663AA" w:rsidRPr="000663AA" w:rsidRDefault="00B9786F" w:rsidP="00F715D1">
            <w:pPr>
              <w:pStyle w:val="Default"/>
              <w:spacing w:after="240"/>
              <w:rPr>
                <w:i/>
                <w:color w:val="auto"/>
              </w:rPr>
            </w:pPr>
            <w:r>
              <w:rPr>
                <w:color w:val="auto"/>
              </w:rPr>
              <w:t xml:space="preserve">MSAC also did not believe there was any </w:t>
            </w:r>
            <w:r w:rsidR="006B0399">
              <w:rPr>
                <w:color w:val="auto"/>
              </w:rPr>
              <w:t xml:space="preserve">overall </w:t>
            </w:r>
            <w:r>
              <w:rPr>
                <w:color w:val="auto"/>
              </w:rPr>
              <w:t>reason to prefer one type of TAVI device</w:t>
            </w:r>
            <w:r w:rsidR="00443954">
              <w:rPr>
                <w:color w:val="auto"/>
              </w:rPr>
              <w:t xml:space="preserve"> </w:t>
            </w:r>
            <w:r w:rsidR="00443954">
              <w:t xml:space="preserve">(balloon expandable valve [BEV] or self-expandable valve [SEV]) </w:t>
            </w:r>
            <w:r>
              <w:rPr>
                <w:color w:val="auto"/>
              </w:rPr>
              <w:t>over another.</w:t>
            </w:r>
          </w:p>
          <w:p w14:paraId="74C86961" w14:textId="77777777" w:rsidR="000663AA" w:rsidRDefault="000663AA" w:rsidP="004D485A">
            <w:pPr>
              <w:pStyle w:val="Default"/>
              <w:spacing w:after="120"/>
              <w:rPr>
                <w:b/>
                <w:color w:val="auto"/>
              </w:rPr>
            </w:pPr>
            <w:r w:rsidRPr="00C06B0B">
              <w:rPr>
                <w:b/>
                <w:color w:val="auto"/>
              </w:rPr>
              <w:t xml:space="preserve">MSAC’s </w:t>
            </w:r>
            <w:r>
              <w:rPr>
                <w:b/>
                <w:color w:val="auto"/>
              </w:rPr>
              <w:t>advice</w:t>
            </w:r>
            <w:r w:rsidRPr="00C06B0B">
              <w:rPr>
                <w:b/>
                <w:color w:val="auto"/>
              </w:rPr>
              <w:t xml:space="preserve"> to the Commonwealth Minister</w:t>
            </w:r>
            <w:r>
              <w:rPr>
                <w:b/>
                <w:color w:val="auto"/>
              </w:rPr>
              <w:t xml:space="preserve"> for Health</w:t>
            </w:r>
          </w:p>
          <w:p w14:paraId="477FB4BC" w14:textId="27D7E988" w:rsidR="000663AA" w:rsidRDefault="00B9786F" w:rsidP="00F715D1">
            <w:pPr>
              <w:pStyle w:val="Default"/>
              <w:spacing w:after="240"/>
              <w:rPr>
                <w:i/>
                <w:color w:val="auto"/>
              </w:rPr>
            </w:pPr>
            <w:r>
              <w:t>MSAC supported MBS funding for TAVI in patients at intermediate risk for surgery. MSAC considered the procedure to be safe, effective and good value for money.</w:t>
            </w:r>
          </w:p>
        </w:tc>
      </w:tr>
    </w:tbl>
    <w:p w14:paraId="474A8F48" w14:textId="584B152D" w:rsidR="00550354" w:rsidRPr="00F715D1" w:rsidRDefault="00550354" w:rsidP="00F715D1">
      <w:pPr>
        <w:pStyle w:val="Heading1"/>
      </w:pPr>
      <w:r w:rsidRPr="00F715D1">
        <w:lastRenderedPageBreak/>
        <w:t xml:space="preserve">Summary of consideration </w:t>
      </w:r>
      <w:r w:rsidR="00FE5434">
        <w:t>and rationale for MSAC’s advice</w:t>
      </w:r>
    </w:p>
    <w:p w14:paraId="592B4571" w14:textId="41310A4B" w:rsidR="00B9786F" w:rsidRDefault="00B9786F" w:rsidP="00B72E66">
      <w:pPr>
        <w:spacing w:after="240"/>
      </w:pPr>
      <w:r>
        <w:t xml:space="preserve">MSAC noted that </w:t>
      </w:r>
      <w:r w:rsidRPr="001B4630">
        <w:t>TAVI is currently MBS</w:t>
      </w:r>
      <w:r>
        <w:t>-</w:t>
      </w:r>
      <w:r w:rsidRPr="001B4630">
        <w:t xml:space="preserve">listed </w:t>
      </w:r>
      <w:r>
        <w:t xml:space="preserve">as a TAVI device agnostic item (either balloon expandable valve [BEV] or self-expandable valve [SEV]) for </w:t>
      </w:r>
      <w:r w:rsidRPr="001B4630">
        <w:t>high-risk</w:t>
      </w:r>
      <w:r>
        <w:t>/inoperable</w:t>
      </w:r>
      <w:r w:rsidRPr="001B4630">
        <w:t xml:space="preserve"> surgical patients with symptomatic severe </w:t>
      </w:r>
      <w:r w:rsidRPr="00EC2824">
        <w:t xml:space="preserve">aortic stenosis </w:t>
      </w:r>
      <w:r>
        <w:t>(</w:t>
      </w:r>
      <w:r w:rsidRPr="001B4630">
        <w:t>AS</w:t>
      </w:r>
      <w:r>
        <w:t>)</w:t>
      </w:r>
      <w:r w:rsidRPr="001B4630">
        <w:t xml:space="preserve"> under item 38495.</w:t>
      </w:r>
      <w:r>
        <w:t xml:space="preserve"> MSAC also </w:t>
      </w:r>
      <w:r w:rsidR="0063638D">
        <w:t xml:space="preserve">recalled its recent support </w:t>
      </w:r>
      <w:r w:rsidR="0016273A">
        <w:t>for a</w:t>
      </w:r>
      <w:r w:rsidR="00D07FC5">
        <w:t xml:space="preserve"> </w:t>
      </w:r>
      <w:r w:rsidRPr="00233303">
        <w:t>MBS item agnostic of the type of TAVI device</w:t>
      </w:r>
      <w:r w:rsidR="00194CF1">
        <w:t xml:space="preserve"> in patients with intermediate risk for surgery</w:t>
      </w:r>
      <w:r w:rsidRPr="00233303">
        <w:t>, noting that this advice would be re-assessed at the March 2021 MSAC meeting</w:t>
      </w:r>
      <w:r>
        <w:t xml:space="preserve"> (</w:t>
      </w:r>
      <w:hyperlink r:id="rId11" w:history="1">
        <w:r>
          <w:rPr>
            <w:rStyle w:val="Hyperlink"/>
          </w:rPr>
          <w:t>PSD Application No. 1603, p1</w:t>
        </w:r>
      </w:hyperlink>
      <w:r>
        <w:t>]</w:t>
      </w:r>
      <w:r w:rsidRPr="00233303">
        <w:t>.</w:t>
      </w:r>
    </w:p>
    <w:p w14:paraId="7A37325B" w14:textId="6313950A" w:rsidR="00B95628" w:rsidRDefault="00B9786F" w:rsidP="00B72E66">
      <w:pPr>
        <w:spacing w:after="240"/>
      </w:pPr>
      <w:r>
        <w:t xml:space="preserve">MSAC considered that </w:t>
      </w:r>
      <w:r w:rsidRPr="006B0872">
        <w:t xml:space="preserve">SAVR </w:t>
      </w:r>
      <w:r>
        <w:t>was</w:t>
      </w:r>
      <w:r w:rsidRPr="006B0872">
        <w:t xml:space="preserve"> the </w:t>
      </w:r>
      <w:r>
        <w:t xml:space="preserve">appropriate </w:t>
      </w:r>
      <w:r w:rsidRPr="006B0872">
        <w:t>comparator</w:t>
      </w:r>
      <w:r>
        <w:t>, and noted the clinical claim of non-inferiority.</w:t>
      </w:r>
    </w:p>
    <w:p w14:paraId="4287B3CE" w14:textId="54B75E89" w:rsidR="002B7EF9" w:rsidRDefault="00B9786F" w:rsidP="002E6F46">
      <w:pPr>
        <w:spacing w:after="240"/>
      </w:pPr>
      <w:r>
        <w:t xml:space="preserve">MSAC reviewed and agreed with the </w:t>
      </w:r>
      <w:r w:rsidR="00B70578">
        <w:t xml:space="preserve">ESC’s </w:t>
      </w:r>
      <w:r>
        <w:t xml:space="preserve">evaluation of the comparative safety and clinical evidence. </w:t>
      </w:r>
      <w:r w:rsidR="002B7EF9">
        <w:t>MSAC noted that the application was based on randomised controlled trials (RCTs) of TAVI</w:t>
      </w:r>
      <w:r w:rsidR="00B72E66">
        <w:t xml:space="preserve"> </w:t>
      </w:r>
      <w:r w:rsidR="00B72E66" w:rsidRPr="002E6F46">
        <w:rPr>
          <w:i/>
        </w:rPr>
        <w:t>vs.</w:t>
      </w:r>
      <w:r w:rsidR="00B72E66">
        <w:t xml:space="preserve"> SAVR (SURTAVI: TAVI-SEV and PARTNER 2A: TAVI</w:t>
      </w:r>
      <w:r w:rsidR="002A6E1D">
        <w:t>-</w:t>
      </w:r>
      <w:r w:rsidR="00B72E66">
        <w:t xml:space="preserve"> BEV) </w:t>
      </w:r>
      <w:r w:rsidR="002B7EF9">
        <w:t xml:space="preserve">in the intermediate risk population. </w:t>
      </w:r>
      <w:r>
        <w:t>Overall, TAVI is comparatively safe and effective. MSAC considered that TAVI had non-inferior safety compared with SAVR over 2–5 years</w:t>
      </w:r>
      <w:r w:rsidR="00D7765B">
        <w:t xml:space="preserve">. MSAC </w:t>
      </w:r>
      <w:r w:rsidR="004B4226">
        <w:t xml:space="preserve">considered that TAVI had non-inferior effectiveness despite </w:t>
      </w:r>
      <w:r w:rsidR="00D7765B">
        <w:t>that the Kaplan</w:t>
      </w:r>
      <w:r w:rsidR="00D7765B">
        <w:noBreakHyphen/>
        <w:t>Meier plots for the primary outcome (death or disabling stroke) had converged in both key trials</w:t>
      </w:r>
      <w:r w:rsidR="00B72E66">
        <w:t xml:space="preserve">. </w:t>
      </w:r>
      <w:r w:rsidR="002B7EF9">
        <w:t xml:space="preserve">MSAC noted that </w:t>
      </w:r>
      <w:r w:rsidR="004B4226">
        <w:t>the conclusion of non-inferiority was</w:t>
      </w:r>
      <w:r w:rsidR="002B7EF9">
        <w:t xml:space="preserve"> consistent with its previous conclusions </w:t>
      </w:r>
      <w:r w:rsidR="001A048A">
        <w:t>from</w:t>
      </w:r>
      <w:r w:rsidR="002B0F2D">
        <w:t xml:space="preserve"> its consideration of</w:t>
      </w:r>
      <w:r w:rsidR="002B7EF9">
        <w:t xml:space="preserve"> Application 1603</w:t>
      </w:r>
      <w:r w:rsidR="00B72E66">
        <w:t>,</w:t>
      </w:r>
      <w:r w:rsidR="002B7EF9">
        <w:t xml:space="preserve"> as it had not accepted the clinical claim of superiority of TAVI-BEV </w:t>
      </w:r>
      <w:r w:rsidR="002B7EF9" w:rsidRPr="00904CF2">
        <w:rPr>
          <w:i/>
        </w:rPr>
        <w:t>vs.</w:t>
      </w:r>
      <w:r w:rsidR="002B7EF9">
        <w:t xml:space="preserve"> SAVR (</w:t>
      </w:r>
      <w:hyperlink r:id="rId12" w:history="1">
        <w:r w:rsidR="002B7EF9" w:rsidRPr="00977265">
          <w:rPr>
            <w:rStyle w:val="Hyperlink"/>
          </w:rPr>
          <w:t>PSD Application No. 1603</w:t>
        </w:r>
      </w:hyperlink>
      <w:r w:rsidR="002B7EF9">
        <w:t>, p</w:t>
      </w:r>
      <w:r w:rsidR="00B95628">
        <w:t>p</w:t>
      </w:r>
      <w:r w:rsidR="002B7EF9">
        <w:t xml:space="preserve">3-4). </w:t>
      </w:r>
      <w:r w:rsidR="00BA3081">
        <w:t>MSAC con</w:t>
      </w:r>
      <w:r w:rsidR="001A048A">
        <w:t>sidered</w:t>
      </w:r>
      <w:r w:rsidR="00BA3081">
        <w:t xml:space="preserve"> the RCT data was more </w:t>
      </w:r>
      <w:r w:rsidR="001A048A">
        <w:t xml:space="preserve">a </w:t>
      </w:r>
      <w:r w:rsidR="00BA3081">
        <w:t xml:space="preserve">robust </w:t>
      </w:r>
      <w:r w:rsidR="001A048A">
        <w:t xml:space="preserve">basis </w:t>
      </w:r>
      <w:r w:rsidR="00BA3081">
        <w:t>than the propensity score adjusted observational study (PARTNER 3Si) to assess the comparative effectivene</w:t>
      </w:r>
      <w:r w:rsidR="009F0864">
        <w:t>ss and safety of TAVI and SAVR.</w:t>
      </w:r>
    </w:p>
    <w:p w14:paraId="376EEFAC" w14:textId="674D6DAC" w:rsidR="002B7EF9" w:rsidRDefault="002B7EF9" w:rsidP="002E6F46">
      <w:pPr>
        <w:spacing w:after="240"/>
      </w:pPr>
      <w:r>
        <w:t>MSAC considered the longer</w:t>
      </w:r>
      <w:r w:rsidR="00977265">
        <w:t>-</w:t>
      </w:r>
      <w:r>
        <w:t>term outcomes</w:t>
      </w:r>
      <w:r w:rsidR="004B4226">
        <w:t>,</w:t>
      </w:r>
      <w:r w:rsidR="004B4226" w:rsidRPr="004B4226">
        <w:t xml:space="preserve"> </w:t>
      </w:r>
      <w:r w:rsidR="002C45CE" w:rsidRPr="002C45CE">
        <w:t>particularly valve dura</w:t>
      </w:r>
      <w:r w:rsidR="002C45CE">
        <w:t xml:space="preserve">bility and </w:t>
      </w:r>
      <w:proofErr w:type="spellStart"/>
      <w:r w:rsidR="002C45CE">
        <w:t>paravalvular</w:t>
      </w:r>
      <w:proofErr w:type="spellEnd"/>
      <w:r w:rsidR="002C45CE">
        <w:t xml:space="preserve"> leakage </w:t>
      </w:r>
      <w:r>
        <w:t>with TAVI</w:t>
      </w:r>
      <w:r w:rsidR="00B9786F" w:rsidRPr="00E1036D">
        <w:t xml:space="preserve"> may be </w:t>
      </w:r>
      <w:r w:rsidR="00B9786F">
        <w:t xml:space="preserve">particularly </w:t>
      </w:r>
      <w:r w:rsidR="00B9786F" w:rsidRPr="00E1036D">
        <w:t xml:space="preserve">relevant in the intermediate surgical risk population because this group may, on average, have a longer life expectancy than </w:t>
      </w:r>
      <w:r w:rsidR="00B9786F">
        <w:t xml:space="preserve">the </w:t>
      </w:r>
      <w:r w:rsidR="00B9786F" w:rsidRPr="00E1036D">
        <w:t xml:space="preserve">higher risk and </w:t>
      </w:r>
      <w:r w:rsidR="00B9786F" w:rsidRPr="00E1036D">
        <w:lastRenderedPageBreak/>
        <w:t>inoperable populatio</w:t>
      </w:r>
      <w:r w:rsidR="00B9786F">
        <w:t>n. MSAC noted the applicant’s pre</w:t>
      </w:r>
      <w:r w:rsidR="001A048A">
        <w:noBreakHyphen/>
      </w:r>
      <w:r w:rsidR="00B9786F">
        <w:t>MSAC response, which h</w:t>
      </w:r>
      <w:r w:rsidR="00B9786F" w:rsidRPr="0038743B">
        <w:t xml:space="preserve">ighlighted 10-year follow-up data regarding </w:t>
      </w:r>
      <w:r w:rsidR="00B9786F">
        <w:t xml:space="preserve">safety and </w:t>
      </w:r>
      <w:r w:rsidR="00B9786F" w:rsidRPr="0038743B">
        <w:t>durability of TAVI</w:t>
      </w:r>
      <w:r w:rsidR="00B9786F">
        <w:t xml:space="preserve"> from registry data.</w:t>
      </w:r>
    </w:p>
    <w:p w14:paraId="5401CA50" w14:textId="2F862FFD" w:rsidR="00B9786F" w:rsidRDefault="002B7EF9" w:rsidP="002E6F46">
      <w:pPr>
        <w:spacing w:after="240"/>
      </w:pPr>
      <w:r>
        <w:t xml:space="preserve">MSAC noted that the RCTs used older generation TAVI devices. MSAC noted that there is no RCT comparing the older generation of devices with the newer devices available in Australia. MSAC considered the </w:t>
      </w:r>
      <w:r w:rsidR="00AD1A5B">
        <w:t>two published meta-analyses (</w:t>
      </w:r>
      <w:proofErr w:type="spellStart"/>
      <w:r w:rsidR="00AD1A5B" w:rsidRPr="00AD1A5B">
        <w:t>T</w:t>
      </w:r>
      <w:r w:rsidR="00AD1A5B">
        <w:t>ummala</w:t>
      </w:r>
      <w:proofErr w:type="spellEnd"/>
      <w:r w:rsidR="00AD1A5B">
        <w:t xml:space="preserve"> 2017 and Ando 2016) and an </w:t>
      </w:r>
      <w:r w:rsidRPr="002B7EF9">
        <w:t xml:space="preserve">indirect comparison of </w:t>
      </w:r>
      <w:r>
        <w:t xml:space="preserve">the </w:t>
      </w:r>
      <w:r w:rsidRPr="002B7EF9">
        <w:t>older and new TAVI devices</w:t>
      </w:r>
      <w:r w:rsidR="00977265">
        <w:t xml:space="preserve"> (performed by the commentary)</w:t>
      </w:r>
      <w:r w:rsidR="00AD1A5B">
        <w:t xml:space="preserve">. MSAC considered that the indirect comparison </w:t>
      </w:r>
      <w:r w:rsidR="00AD1A5B" w:rsidRPr="002B7EF9">
        <w:t>should be interpreted with caution</w:t>
      </w:r>
      <w:r w:rsidR="00AD1A5B">
        <w:t>. MSAC concluded that these</w:t>
      </w:r>
      <w:r w:rsidRPr="002B7EF9">
        <w:t xml:space="preserve"> </w:t>
      </w:r>
      <w:r>
        <w:t>suggested the newer devices (</w:t>
      </w:r>
      <w:proofErr w:type="spellStart"/>
      <w:r>
        <w:t>Evolut</w:t>
      </w:r>
      <w:proofErr w:type="spellEnd"/>
      <w:r>
        <w:t xml:space="preserve"> R and SAPIEN 3) were </w:t>
      </w:r>
      <w:r w:rsidR="00977265">
        <w:t xml:space="preserve">largely </w:t>
      </w:r>
      <w:r>
        <w:t>similar to the corresponding older devices in the RCTs (</w:t>
      </w:r>
      <w:proofErr w:type="spellStart"/>
      <w:r w:rsidR="00AD1A5B">
        <w:t>Corevalve</w:t>
      </w:r>
      <w:proofErr w:type="spellEnd"/>
      <w:r>
        <w:t xml:space="preserve"> and SAPIEN XT).</w:t>
      </w:r>
      <w:r w:rsidR="00AD1A5B">
        <w:t xml:space="preserve"> </w:t>
      </w:r>
      <w:r w:rsidR="001A048A">
        <w:t xml:space="preserve">The pre-MSAC response presented additional observational evidence to support its claim that the </w:t>
      </w:r>
      <w:proofErr w:type="spellStart"/>
      <w:r w:rsidR="001A048A">
        <w:t>Evolut</w:t>
      </w:r>
      <w:proofErr w:type="spellEnd"/>
      <w:r w:rsidR="001A048A">
        <w:t xml:space="preserve"> R and </w:t>
      </w:r>
      <w:proofErr w:type="spellStart"/>
      <w:r w:rsidR="001A048A">
        <w:t>Evolut</w:t>
      </w:r>
      <w:proofErr w:type="spellEnd"/>
      <w:r w:rsidR="001A048A">
        <w:t xml:space="preserve"> PRO devices had similar clinical outcomes. </w:t>
      </w:r>
      <w:r w:rsidR="00AD1A5B">
        <w:t xml:space="preserve">MSAC noted that newer TAVI devices were designed to reduce </w:t>
      </w:r>
      <w:proofErr w:type="spellStart"/>
      <w:r w:rsidR="00AD1A5B">
        <w:t>paravalvular</w:t>
      </w:r>
      <w:proofErr w:type="spellEnd"/>
      <w:r w:rsidR="00AD1A5B">
        <w:t xml:space="preserve"> leakage</w:t>
      </w:r>
      <w:r w:rsidR="001A6266">
        <w:t xml:space="preserve">. </w:t>
      </w:r>
      <w:r w:rsidR="00EB4FA0">
        <w:t>MSAC noted the pre</w:t>
      </w:r>
      <w:r w:rsidR="00EB4FA0">
        <w:noBreakHyphen/>
        <w:t>MSAC response claimed that outcomes with TAVI will continue to improve due to valve development and improvements in the TAVI procedure.</w:t>
      </w:r>
      <w:r w:rsidR="00977265">
        <w:t xml:space="preserve"> However, MSAC agreed with ESC and considered that </w:t>
      </w:r>
      <w:r w:rsidR="00977265" w:rsidRPr="006435D1">
        <w:t>t</w:t>
      </w:r>
      <w:r w:rsidR="00977265" w:rsidRPr="006435D1">
        <w:rPr>
          <w:color w:val="000000"/>
        </w:rPr>
        <w:t>here are limited data on whether outcomes are improving with newer generation TAVI devices.</w:t>
      </w:r>
    </w:p>
    <w:p w14:paraId="27117152" w14:textId="340D7954" w:rsidR="002B7EF9" w:rsidRDefault="00B9786F" w:rsidP="002E6F46">
      <w:pPr>
        <w:spacing w:after="240"/>
      </w:pPr>
      <w:r>
        <w:t xml:space="preserve">MSAC noted that the cost-minimisation </w:t>
      </w:r>
      <w:r w:rsidR="002B7EF9">
        <w:t xml:space="preserve">analysis </w:t>
      </w:r>
      <w:r>
        <w:t xml:space="preserve">showed </w:t>
      </w:r>
      <w:r w:rsidR="002B7EF9">
        <w:t xml:space="preserve">that TAVI would result in </w:t>
      </w:r>
      <w:r>
        <w:t>cost savings</w:t>
      </w:r>
      <w:r w:rsidR="002B7EF9">
        <w:t xml:space="preserve"> to the health system when compared with SAVR</w:t>
      </w:r>
      <w:r>
        <w:t xml:space="preserve">. However, these savings </w:t>
      </w:r>
      <w:r w:rsidR="002307C5">
        <w:t xml:space="preserve">may </w:t>
      </w:r>
      <w:r>
        <w:t>depend on the volume of procedures done</w:t>
      </w:r>
      <w:r w:rsidR="002307C5">
        <w:t xml:space="preserve"> as patients </w:t>
      </w:r>
      <w:r w:rsidR="002B7EF9">
        <w:t>tend to have shorter</w:t>
      </w:r>
      <w:r w:rsidR="002307C5">
        <w:t xml:space="preserve"> hospital </w:t>
      </w:r>
      <w:r w:rsidR="002B7EF9">
        <w:t>admissions</w:t>
      </w:r>
      <w:r w:rsidR="002307C5">
        <w:t xml:space="preserve"> when undergoing TAVI with operators and hospitals that performed </w:t>
      </w:r>
      <w:r w:rsidR="002B7EF9">
        <w:t xml:space="preserve">a lot of </w:t>
      </w:r>
      <w:r w:rsidR="002307C5">
        <w:t xml:space="preserve">TAVI procedures. </w:t>
      </w:r>
      <w:r w:rsidR="002B7EF9">
        <w:t xml:space="preserve">MSAC noted that the cost-minimisation analysis </w:t>
      </w:r>
      <w:r w:rsidR="002E6F46">
        <w:t xml:space="preserve">depends on </w:t>
      </w:r>
      <w:r w:rsidR="002B7EF9">
        <w:t xml:space="preserve">the </w:t>
      </w:r>
      <w:r w:rsidR="003D14D1">
        <w:t xml:space="preserve">health-related differences associated with </w:t>
      </w:r>
      <w:r w:rsidR="002B7EF9">
        <w:t>faster physical recover</w:t>
      </w:r>
      <w:r w:rsidR="00977265">
        <w:t>y</w:t>
      </w:r>
      <w:r w:rsidR="002B7EF9">
        <w:t xml:space="preserve"> from TAVI</w:t>
      </w:r>
      <w:r w:rsidR="006B0399">
        <w:t xml:space="preserve"> than from SAVR</w:t>
      </w:r>
      <w:r w:rsidR="003D14D1">
        <w:t>,</w:t>
      </w:r>
      <w:r w:rsidR="002B7EF9">
        <w:t xml:space="preserve"> as this is reflected in the shorter length of hospitalisation</w:t>
      </w:r>
      <w:r w:rsidR="003D14D1">
        <w:t xml:space="preserve"> </w:t>
      </w:r>
      <w:r w:rsidR="006B0399">
        <w:t xml:space="preserve">following </w:t>
      </w:r>
      <w:r w:rsidR="002B7EF9">
        <w:t>TAVI</w:t>
      </w:r>
      <w:r w:rsidR="003D14D1">
        <w:t xml:space="preserve"> </w:t>
      </w:r>
      <w:r w:rsidR="006B0399">
        <w:t xml:space="preserve">than following </w:t>
      </w:r>
      <w:r w:rsidR="003D14D1">
        <w:t>SAVR</w:t>
      </w:r>
      <w:r w:rsidR="006B0399">
        <w:t xml:space="preserve">. MSAC recalled that this </w:t>
      </w:r>
      <w:r w:rsidR="002E6F46">
        <w:t>was</w:t>
      </w:r>
      <w:r w:rsidR="00F473CE">
        <w:t xml:space="preserve"> a</w:t>
      </w:r>
      <w:r w:rsidR="002E6F46">
        <w:t xml:space="preserve"> similar driver in the cost-effectiveness analyses of TAVI</w:t>
      </w:r>
      <w:r w:rsidR="00F473CE">
        <w:t>-</w:t>
      </w:r>
      <w:r w:rsidR="002E6F46">
        <w:t xml:space="preserve">BEV </w:t>
      </w:r>
      <w:r w:rsidR="002E6F46" w:rsidRPr="004D7128">
        <w:rPr>
          <w:i/>
        </w:rPr>
        <w:t>vs.</w:t>
      </w:r>
      <w:r w:rsidR="002E6F46">
        <w:t xml:space="preserve"> SAVR in Application 1603.</w:t>
      </w:r>
    </w:p>
    <w:p w14:paraId="63BB49D5" w14:textId="07D176D9" w:rsidR="00B9786F" w:rsidRDefault="002B7EF9" w:rsidP="00717A3E">
      <w:pPr>
        <w:spacing w:after="240"/>
      </w:pPr>
      <w:r>
        <w:t xml:space="preserve">MSAC noted the financial estimates showing cost savings to the MBS. MSAC noted that </w:t>
      </w:r>
      <w:r w:rsidR="00B9786F">
        <w:t xml:space="preserve">TAVI would increase costs to the MBS if it increases the </w:t>
      </w:r>
      <w:r w:rsidR="002F766D">
        <w:t xml:space="preserve">total </w:t>
      </w:r>
      <w:r w:rsidR="00B9786F">
        <w:t>number of aortic valve replacement procedures by greater than 39%.</w:t>
      </w:r>
      <w:r w:rsidR="00EB4FA0">
        <w:t xml:space="preserve"> MSAC noted that the pre-ESC response had reiterated that the projected cost savings were appropriate and </w:t>
      </w:r>
      <w:r w:rsidR="002F766D">
        <w:t xml:space="preserve">that </w:t>
      </w:r>
      <w:r w:rsidR="00EB4FA0">
        <w:t xml:space="preserve">the risk of leakage into low risk populations was unlikely as patients’ surgical risk would be </w:t>
      </w:r>
      <w:r w:rsidR="00BA3081">
        <w:t xml:space="preserve">appropriately </w:t>
      </w:r>
      <w:r w:rsidR="00EB4FA0">
        <w:t xml:space="preserve">assessed by a Heart Team. </w:t>
      </w:r>
      <w:r w:rsidR="00B30F4A" w:rsidRPr="00B30F4A">
        <w:rPr>
          <w:b/>
        </w:rPr>
        <w:t>REDACTED</w:t>
      </w:r>
      <w:r w:rsidR="00B30F4A">
        <w:t xml:space="preserve">. </w:t>
      </w:r>
      <w:r w:rsidR="00BA3081">
        <w:t xml:space="preserve">MSAC noted that </w:t>
      </w:r>
      <w:r w:rsidR="002F766D">
        <w:t xml:space="preserve">the number of </w:t>
      </w:r>
      <w:r w:rsidR="00BA3081">
        <w:t xml:space="preserve">TAVI </w:t>
      </w:r>
      <w:r w:rsidR="002F766D">
        <w:t>procedures subsidised by</w:t>
      </w:r>
      <w:r w:rsidR="00BA3081">
        <w:t xml:space="preserve"> the MBS for the high risk and inoperable population was similar to SAVR </w:t>
      </w:r>
      <w:r w:rsidR="002F766D">
        <w:t>procedures. MSAC considered</w:t>
      </w:r>
      <w:r w:rsidR="00BA3081">
        <w:t xml:space="preserve"> TAVI use may soon exceed that of SAVR</w:t>
      </w:r>
      <w:r w:rsidR="002F766D">
        <w:t xml:space="preserve"> on the MBS</w:t>
      </w:r>
      <w:r w:rsidR="00BA3081">
        <w:t>. Therefore</w:t>
      </w:r>
      <w:r w:rsidR="00C11679">
        <w:t>,</w:t>
      </w:r>
      <w:r w:rsidR="00BA3081">
        <w:t xml:space="preserve"> MSAC concluded there is some uncertainty regarding the po</w:t>
      </w:r>
      <w:r w:rsidR="009F0864">
        <w:t>tential financial implications.</w:t>
      </w:r>
    </w:p>
    <w:p w14:paraId="230C6A5D" w14:textId="07847E74" w:rsidR="00B9786F" w:rsidRPr="0038743B" w:rsidRDefault="00B9786F">
      <w:pPr>
        <w:pStyle w:val="NormalBeforeBullet"/>
      </w:pPr>
      <w:r>
        <w:t xml:space="preserve">MSAC noted that the </w:t>
      </w:r>
      <w:r w:rsidR="001A6266">
        <w:t xml:space="preserve">2017 </w:t>
      </w:r>
      <w:r w:rsidRPr="00E1036D">
        <w:t>European Society of Cardiology and the European Association for Cardio-Thoracic Surgery Guidelines for Valvular Heart Disease considered that SAVR is generally preferred in patients under 75 years old. This is because the long-term durability of TAVI devices is unknown, with only preliminary data showing TAVI devices may last at least 5 years without any signs of early degeneration</w:t>
      </w:r>
      <w:r w:rsidRPr="005F0A1E">
        <w:t>.</w:t>
      </w:r>
      <w:r>
        <w:t xml:space="preserve"> MSAC also noted the applicant’s pre-MSAC response, which h</w:t>
      </w:r>
      <w:r w:rsidRPr="0038743B">
        <w:t>ighlighted recent clinical guidelines issued by the American College of Cardiology/American Heart Association (ACC/AHA)</w:t>
      </w:r>
      <w:r>
        <w:t>,</w:t>
      </w:r>
      <w:r w:rsidRPr="0038743B">
        <w:t xml:space="preserve"> stating that in (Otto 2021)</w:t>
      </w:r>
      <w:r w:rsidR="002F766D">
        <w:rPr>
          <w:rStyle w:val="FootnoteReference"/>
        </w:rPr>
        <w:footnoteReference w:id="1"/>
      </w:r>
      <w:r w:rsidRPr="0038743B">
        <w:t>:</w:t>
      </w:r>
    </w:p>
    <w:p w14:paraId="2E594089" w14:textId="77777777" w:rsidR="00B9786F" w:rsidRPr="0038743B" w:rsidRDefault="00B9786F">
      <w:pPr>
        <w:pStyle w:val="Bullet"/>
      </w:pPr>
      <w:r>
        <w:t>p</w:t>
      </w:r>
      <w:r w:rsidRPr="0038743B">
        <w:t>atients aged &lt;65 years or with life expectancy &gt;20 years: SAVR is preferred</w:t>
      </w:r>
    </w:p>
    <w:p w14:paraId="310D9DF0" w14:textId="77777777" w:rsidR="00B9786F" w:rsidRPr="0038743B" w:rsidRDefault="00B9786F">
      <w:pPr>
        <w:pStyle w:val="Bullet"/>
      </w:pPr>
      <w:r>
        <w:t>p</w:t>
      </w:r>
      <w:r w:rsidRPr="0038743B">
        <w:t>atients aged &gt;80 years or with life expectancy &lt;10 years: TAVI is preferred</w:t>
      </w:r>
    </w:p>
    <w:p w14:paraId="7270D5AE" w14:textId="5D6A822E" w:rsidR="00B9786F" w:rsidRPr="005771B0" w:rsidRDefault="00B9786F" w:rsidP="00717A3E">
      <w:pPr>
        <w:pStyle w:val="BulletLast"/>
        <w:spacing w:after="120"/>
      </w:pPr>
      <w:proofErr w:type="gramStart"/>
      <w:r>
        <w:lastRenderedPageBreak/>
        <w:t>s</w:t>
      </w:r>
      <w:r w:rsidRPr="0038743B">
        <w:t>ymptomatic</w:t>
      </w:r>
      <w:proofErr w:type="gramEnd"/>
      <w:r w:rsidRPr="0038743B">
        <w:t xml:space="preserve"> patients aged 65–80 years with no contraindication to </w:t>
      </w:r>
      <w:proofErr w:type="spellStart"/>
      <w:r w:rsidRPr="0038743B">
        <w:t>transfemoral</w:t>
      </w:r>
      <w:proofErr w:type="spellEnd"/>
      <w:r w:rsidRPr="0038743B">
        <w:t xml:space="preserve"> TAVI: SAVR or </w:t>
      </w:r>
      <w:proofErr w:type="spellStart"/>
      <w:r w:rsidRPr="0038743B">
        <w:t>transfemoral</w:t>
      </w:r>
      <w:proofErr w:type="spellEnd"/>
      <w:r w:rsidRPr="0038743B">
        <w:t xml:space="preserve"> TAVI is recommended after shared decision making</w:t>
      </w:r>
      <w:r w:rsidR="009F0864">
        <w:t>.</w:t>
      </w:r>
    </w:p>
    <w:p w14:paraId="6DC257B7" w14:textId="31DF4B82" w:rsidR="00B9786F" w:rsidRDefault="002A1867" w:rsidP="00717A3E">
      <w:pPr>
        <w:spacing w:after="240"/>
      </w:pPr>
      <w:r>
        <w:t xml:space="preserve">MSAC noted </w:t>
      </w:r>
      <w:r w:rsidRPr="002A1867">
        <w:t>ACC/AHA</w:t>
      </w:r>
      <w:r>
        <w:t xml:space="preserve"> guidelines emphasised shared decision making regarding </w:t>
      </w:r>
      <w:r w:rsidR="004955E8">
        <w:t xml:space="preserve">procedure </w:t>
      </w:r>
      <w:r>
        <w:t>choice.</w:t>
      </w:r>
      <w:r w:rsidRPr="002A1867">
        <w:t xml:space="preserve"> </w:t>
      </w:r>
      <w:r w:rsidR="004955E8">
        <w:t>The ACC/AHA guidelines state that t</w:t>
      </w:r>
      <w:r w:rsidR="004955E8" w:rsidRPr="004955E8">
        <w:t>his decision must be individuali</w:t>
      </w:r>
      <w:r w:rsidR="004955E8">
        <w:t>s</w:t>
      </w:r>
      <w:r w:rsidR="004955E8" w:rsidRPr="004955E8">
        <w:t xml:space="preserve">ed </w:t>
      </w:r>
      <w:r w:rsidR="00B133AD" w:rsidRPr="004955E8">
        <w:t>based on</w:t>
      </w:r>
      <w:r w:rsidR="004955E8" w:rsidRPr="004955E8">
        <w:t xml:space="preserve"> the specific operative risk in each patient, clinical factors such as age and comorbid conditions, valve durability, and patient preferences</w:t>
      </w:r>
      <w:r w:rsidR="004955E8">
        <w:t xml:space="preserve">. </w:t>
      </w:r>
      <w:r w:rsidR="00B9786F">
        <w:t>D</w:t>
      </w:r>
      <w:r w:rsidR="00B9786F" w:rsidRPr="0038743B">
        <w:t>urability</w:t>
      </w:r>
      <w:r w:rsidR="00B9786F">
        <w:t xml:space="preserve">, safety and effectiveness may </w:t>
      </w:r>
      <w:r w:rsidR="00B9786F" w:rsidRPr="0038743B">
        <w:t>improve with newer</w:t>
      </w:r>
      <w:r w:rsidR="00B9786F">
        <w:t>-</w:t>
      </w:r>
      <w:r w:rsidR="00B9786F" w:rsidRPr="0038743B">
        <w:t>generation</w:t>
      </w:r>
      <w:r w:rsidR="00B9786F">
        <w:t xml:space="preserve"> TAVI</w:t>
      </w:r>
      <w:r w:rsidR="00B9786F" w:rsidRPr="0038743B">
        <w:t xml:space="preserve"> devices</w:t>
      </w:r>
      <w:r w:rsidR="00B70578">
        <w:t xml:space="preserve">, however </w:t>
      </w:r>
      <w:r w:rsidR="004955E8">
        <w:t xml:space="preserve">MSAC considered that </w:t>
      </w:r>
      <w:r w:rsidR="00B70578">
        <w:t>this has not been demonstrated</w:t>
      </w:r>
      <w:r w:rsidR="00B9786F">
        <w:t xml:space="preserve">. </w:t>
      </w:r>
      <w:r w:rsidR="002F766D">
        <w:t xml:space="preserve">MSAC did not consider </w:t>
      </w:r>
      <w:r w:rsidR="00904CF2">
        <w:t xml:space="preserve">that an age restriction would be appropriate. </w:t>
      </w:r>
      <w:r w:rsidR="00B9786F">
        <w:t>MSAC noted the requirement to involve the heart team before a TAVI procedure, and that these heart team discussions should help guide the pat</w:t>
      </w:r>
      <w:r w:rsidR="009F0864">
        <w:t>ient to the appropriate choice.</w:t>
      </w:r>
    </w:p>
    <w:p w14:paraId="5E1420B7" w14:textId="5A1F3BA1" w:rsidR="00AA009F" w:rsidRDefault="00AA009F" w:rsidP="002E6F46">
      <w:pPr>
        <w:spacing w:after="240"/>
      </w:pPr>
      <w:r>
        <w:t>MSAC</w:t>
      </w:r>
      <w:r w:rsidR="003C5230">
        <w:t xml:space="preserve"> noted </w:t>
      </w:r>
      <w:r w:rsidR="00B95628">
        <w:t>supportive</w:t>
      </w:r>
      <w:r>
        <w:t xml:space="preserve"> consumer feedback empha</w:t>
      </w:r>
      <w:r w:rsidR="00AD1A5B">
        <w:t>si</w:t>
      </w:r>
      <w:r>
        <w:t>sing the importance of a</w:t>
      </w:r>
      <w:r w:rsidR="00904CF2">
        <w:t xml:space="preserve"> less invasive procedure, fewer complications (bleeding and atrial fibrillation)</w:t>
      </w:r>
      <w:r>
        <w:t xml:space="preserve"> faster recovery </w:t>
      </w:r>
      <w:r w:rsidR="00AD1A5B">
        <w:t xml:space="preserve">and shorter hospital stay. </w:t>
      </w:r>
      <w:r w:rsidR="003C5230">
        <w:t>MSAC also noted c</w:t>
      </w:r>
      <w:r w:rsidR="002A1867">
        <w:t>onsultation feedback from a TAVI manufacturer that was not supportive of the application and claimed that TAVI</w:t>
      </w:r>
      <w:r w:rsidR="002A1867">
        <w:noBreakHyphen/>
        <w:t>BEV was superior to TAVI</w:t>
      </w:r>
      <w:r w:rsidR="002A1867">
        <w:noBreakHyphen/>
      </w:r>
      <w:r w:rsidR="00F473CE">
        <w:t>S</w:t>
      </w:r>
      <w:r w:rsidR="002A1867">
        <w:t xml:space="preserve">EV, which MSAC </w:t>
      </w:r>
      <w:r w:rsidR="008328BA">
        <w:t>has not accepted</w:t>
      </w:r>
      <w:r w:rsidR="009F0864">
        <w:t>.</w:t>
      </w:r>
    </w:p>
    <w:p w14:paraId="53ABE9B6" w14:textId="3A2557B8" w:rsidR="00B9786F" w:rsidRDefault="00B9786F" w:rsidP="002E6F46">
      <w:pPr>
        <w:spacing w:after="240"/>
      </w:pPr>
      <w:r>
        <w:t>MSAC considered that monitoring and review of utilisation is important, and that high surgical risk and intermediate surgical risk patients should have separate MBS item numbers to facilitate monitoring.</w:t>
      </w:r>
      <w:r w:rsidR="00420EA9">
        <w:t xml:space="preserve"> MSAC reaffirmed that the item should be reviewed after 12-24 months.</w:t>
      </w:r>
    </w:p>
    <w:p w14:paraId="3CF13129" w14:textId="51EE1BCA" w:rsidR="00550354" w:rsidRDefault="00B9786F">
      <w:pPr>
        <w:spacing w:after="240"/>
        <w:rPr>
          <w:i/>
          <w:szCs w:val="24"/>
        </w:rPr>
      </w:pPr>
      <w:r>
        <w:t>MSAC concluded that this item s</w:t>
      </w:r>
      <w:r w:rsidRPr="00185733">
        <w:t>hould be device agnostic, similar</w:t>
      </w:r>
      <w:r>
        <w:t xml:space="preserve"> to</w:t>
      </w:r>
      <w:r w:rsidRPr="00233303">
        <w:t xml:space="preserve"> the current MBS item for TAVI</w:t>
      </w:r>
      <w:r w:rsidRPr="00185733">
        <w:t xml:space="preserve"> </w:t>
      </w:r>
      <w:r>
        <w:t xml:space="preserve">(and </w:t>
      </w:r>
      <w:r w:rsidRPr="00185733">
        <w:t>SAVR</w:t>
      </w:r>
      <w:r>
        <w:t>)</w:t>
      </w:r>
      <w:r w:rsidRPr="00185733">
        <w:t>.</w:t>
      </w:r>
      <w:r>
        <w:t xml:space="preserve"> MSAC did not consider that there was sufficient </w:t>
      </w:r>
      <w:r w:rsidR="00D7765B">
        <w:t xml:space="preserve">high quality direct </w:t>
      </w:r>
      <w:r>
        <w:t xml:space="preserve">evidence </w:t>
      </w:r>
      <w:r w:rsidR="00D7765B">
        <w:t xml:space="preserve">from randomised trials comparing </w:t>
      </w:r>
      <w:r>
        <w:t xml:space="preserve">TAVI-BEV and TAVI-SEV to support a difference in comparative safety or effectiveness, nor to support a price </w:t>
      </w:r>
      <w:r w:rsidR="006B0399">
        <w:t>advantage</w:t>
      </w:r>
      <w:r>
        <w:t xml:space="preserve"> for one type of TAVI device over another. </w:t>
      </w:r>
      <w:r w:rsidR="00AA009F">
        <w:t>A device agnostic</w:t>
      </w:r>
      <w:r>
        <w:t xml:space="preserve"> approach was supported by the TAVI Accreditation Committee.</w:t>
      </w:r>
    </w:p>
    <w:p w14:paraId="0BF7D960" w14:textId="77777777" w:rsidR="00BC1364" w:rsidRPr="00F715D1" w:rsidRDefault="00BC1364" w:rsidP="00F715D1">
      <w:pPr>
        <w:pStyle w:val="Heading1"/>
      </w:pPr>
      <w:r w:rsidRPr="00F715D1">
        <w:t>Background</w:t>
      </w:r>
    </w:p>
    <w:p w14:paraId="3E5AE56F" w14:textId="2E74E6E2" w:rsidR="001D4246" w:rsidRDefault="001D4246" w:rsidP="001D4246">
      <w:pPr>
        <w:pStyle w:val="Heading2"/>
      </w:pPr>
      <w:r w:rsidRPr="00C25802">
        <w:t>TAVI high-</w:t>
      </w:r>
      <w:r>
        <w:t>risk and inoperable application</w:t>
      </w:r>
      <w:r w:rsidR="00656171">
        <w:t>s</w:t>
      </w:r>
      <w:r w:rsidRPr="00C25802">
        <w:t xml:space="preserve"> </w:t>
      </w:r>
      <w:r w:rsidR="00656171">
        <w:t>(</w:t>
      </w:r>
      <w:r w:rsidR="00F473CE">
        <w:t xml:space="preserve">MSAC </w:t>
      </w:r>
      <w:r w:rsidRPr="00C25802">
        <w:t>1361</w:t>
      </w:r>
      <w:r>
        <w:t xml:space="preserve"> series</w:t>
      </w:r>
      <w:r w:rsidR="00656171">
        <w:t>)</w:t>
      </w:r>
    </w:p>
    <w:p w14:paraId="40209796" w14:textId="77777777" w:rsidR="00C84042" w:rsidRPr="00F62546" w:rsidRDefault="00C84042" w:rsidP="00C84042">
      <w:r w:rsidRPr="00F62546">
        <w:t xml:space="preserve">TAVI is currently MBS listed for the treatment of symptomatic severe AS, performed via </w:t>
      </w:r>
      <w:proofErr w:type="spellStart"/>
      <w:r w:rsidRPr="00F62546">
        <w:t>transfemoral</w:t>
      </w:r>
      <w:proofErr w:type="spellEnd"/>
      <w:r w:rsidRPr="00F62546">
        <w:t xml:space="preserve"> delivery, unless </w:t>
      </w:r>
      <w:proofErr w:type="spellStart"/>
      <w:r w:rsidRPr="00F62546">
        <w:t>transfemoral</w:t>
      </w:r>
      <w:proofErr w:type="spellEnd"/>
      <w:r w:rsidRPr="00F62546">
        <w:t xml:space="preserve"> delivery is contraindicated or not feasible for patients who, as a result of a TAVI Case Conference, have been assessed as having an unacceptably high risk for surgical aortic valve replacement (SAVR) and are recommended as being suitable to receive TAVI. The current MBS item is device agnostic and does not limit subsidy to a specific TAVI device. MSAC supported the current MBS listing of TAVI at its March 2016 meeting (</w:t>
      </w:r>
      <w:hyperlink r:id="rId13" w:history="1">
        <w:r w:rsidRPr="00F62546">
          <w:rPr>
            <w:rStyle w:val="Hyperlink"/>
            <w:szCs w:val="24"/>
          </w:rPr>
          <w:t>MSAC Application 1361.2 Public Summary Document [PSD] 2016</w:t>
        </w:r>
      </w:hyperlink>
      <w:r w:rsidRPr="00F62546">
        <w:t>, p1).</w:t>
      </w:r>
    </w:p>
    <w:p w14:paraId="3D641B2D" w14:textId="109474F8" w:rsidR="001D4246" w:rsidRDefault="001D4246" w:rsidP="001D4246">
      <w:pPr>
        <w:pStyle w:val="Heading2"/>
      </w:pPr>
      <w:r w:rsidRPr="00C25802">
        <w:t xml:space="preserve">TAVI </w:t>
      </w:r>
      <w:r>
        <w:t xml:space="preserve">intermediate risk application </w:t>
      </w:r>
      <w:r w:rsidR="00656171">
        <w:t>(</w:t>
      </w:r>
      <w:r w:rsidR="00F473CE">
        <w:t xml:space="preserve">MSAC </w:t>
      </w:r>
      <w:r>
        <w:t>1603</w:t>
      </w:r>
      <w:r w:rsidR="00656171">
        <w:t>)</w:t>
      </w:r>
    </w:p>
    <w:p w14:paraId="44736457" w14:textId="5A5D8EE3" w:rsidR="00C84042" w:rsidRPr="00F62546" w:rsidRDefault="00C84042" w:rsidP="00C84042">
      <w:r w:rsidRPr="00F62546">
        <w:t>At its November 2020 meeting, MSAC considered a device-specific application (</w:t>
      </w:r>
      <w:hyperlink r:id="rId14" w:history="1">
        <w:r w:rsidRPr="00F62546">
          <w:rPr>
            <w:rStyle w:val="Hyperlink"/>
            <w:szCs w:val="24"/>
          </w:rPr>
          <w:t>MSAC Application 1603</w:t>
        </w:r>
      </w:hyperlink>
      <w:r w:rsidRPr="00F62546">
        <w:t>) to fund TAVI using a balloon-expandable valve (BEV) for the intermediate risk population. This application made the clinical claim that TAVI using a TAVI</w:t>
      </w:r>
      <w:r w:rsidR="00F473CE">
        <w:t>-</w:t>
      </w:r>
      <w:r w:rsidRPr="00F62546">
        <w:t>BEV system (SAPIEN 3) is superior to SAVR in intermediate risk patients (</w:t>
      </w:r>
      <w:hyperlink r:id="rId15" w:history="1">
        <w:r w:rsidRPr="00F62546">
          <w:rPr>
            <w:rStyle w:val="Hyperlink"/>
          </w:rPr>
          <w:t xml:space="preserve">MSAC </w:t>
        </w:r>
        <w:r w:rsidRPr="00F62546">
          <w:rPr>
            <w:rStyle w:val="Hyperlink"/>
            <w:szCs w:val="24"/>
          </w:rPr>
          <w:t>Application Form 1603 PSD</w:t>
        </w:r>
      </w:hyperlink>
      <w:r w:rsidRPr="00F62546">
        <w:t>, p19).</w:t>
      </w:r>
    </w:p>
    <w:p w14:paraId="55FB49B7" w14:textId="4A86A6C6" w:rsidR="00C84042" w:rsidRPr="00F62546" w:rsidRDefault="00C84042" w:rsidP="005B05CF">
      <w:pPr>
        <w:spacing w:before="240"/>
        <w:rPr>
          <w:color w:val="FF0000"/>
        </w:rPr>
      </w:pPr>
      <w:r w:rsidRPr="00F62546">
        <w:t xml:space="preserve">MSAC supported the creation of a new MBS item for TAVI using a BEV system for patients with symptomatic severe AS at intermediate risk for surgery on the grounds of acceptable safety, effectiveness and cost effectiveness compared with SAVR. Consistent with the current MBS item for TAVI (item 38495), MSAC supported an MBS item agnostic of the type of </w:t>
      </w:r>
      <w:r w:rsidRPr="00F62546">
        <w:lastRenderedPageBreak/>
        <w:t>TAVI device, noting that this advice would be re-assessed at the March 2021 MSAC meeting consideration of the TAVI device agnostic application in intermediate risk for surgery (MSAC Application 1652).</w:t>
      </w:r>
    </w:p>
    <w:p w14:paraId="732FE4DC" w14:textId="102C4EF2" w:rsidR="00C84042" w:rsidRPr="00F62546" w:rsidRDefault="00C84042" w:rsidP="005B05CF">
      <w:pPr>
        <w:spacing w:before="240"/>
      </w:pPr>
      <w:r w:rsidRPr="00F62546">
        <w:t xml:space="preserve">Overall, MSAC concluded that superiority of TAVI-BEV </w:t>
      </w:r>
      <w:r w:rsidRPr="00904CF2">
        <w:rPr>
          <w:i/>
        </w:rPr>
        <w:t>vs.</w:t>
      </w:r>
      <w:r w:rsidRPr="00F62546">
        <w:t xml:space="preserve"> SAVR was not adequately justified over the longer-term results from propensity score analysis. MSAC considered that superiority of TAVI-BEV </w:t>
      </w:r>
      <w:r w:rsidRPr="00F62546">
        <w:rPr>
          <w:i/>
        </w:rPr>
        <w:t>vs.</w:t>
      </w:r>
      <w:r w:rsidRPr="00F62546">
        <w:t xml:space="preserve"> SEV was not adequately justified.</w:t>
      </w:r>
    </w:p>
    <w:p w14:paraId="35CA9611" w14:textId="233685A4" w:rsidR="00C84042" w:rsidRPr="00F62546" w:rsidRDefault="00C84042" w:rsidP="005B05CF">
      <w:pPr>
        <w:spacing w:before="240"/>
      </w:pPr>
      <w:r w:rsidRPr="00F62546">
        <w:t xml:space="preserve">MSAC noted that the revised modelling provided in the pre-MSAC response showed that TAVI-BEV is dominant (i.e. cheaper and more effective), even with a TAVI device cost of </w:t>
      </w:r>
      <w:r w:rsidR="00C574EE" w:rsidRPr="00C574EE">
        <w:rPr>
          <w:b/>
        </w:rPr>
        <w:t>$redacted</w:t>
      </w:r>
      <w:r w:rsidRPr="00F62546">
        <w:t xml:space="preserve">. However, MSAC noted that the higher Prosthesis List benefit (proposed </w:t>
      </w:r>
      <w:r w:rsidRPr="00C574EE">
        <w:rPr>
          <w:b/>
        </w:rPr>
        <w:t>$</w:t>
      </w:r>
      <w:r w:rsidR="00C574EE" w:rsidRPr="00C574EE">
        <w:rPr>
          <w:b/>
        </w:rPr>
        <w:t>redacted</w:t>
      </w:r>
      <w:r w:rsidRPr="00F62546">
        <w:t xml:space="preserve"> for TAVI-BEV compared with the current benchmark of $22,932 for TAVI-BEV and SEV) is not justified as the 5-year follow-up results from propensity score analysis were not a sufficient basis to conclude superiority of TAVI-BEV over SAVR</w:t>
      </w:r>
      <w:r w:rsidR="00903208" w:rsidRPr="00F62546">
        <w:t xml:space="preserve">. </w:t>
      </w:r>
      <w:r w:rsidRPr="00F62546">
        <w:t xml:space="preserve">In addition, MSAC noted there is the precedent set for similar clinical performance and thus the same benefit across TAVI device options in high risk populations should be the default position in the intermediate risk population. MSAC considered there was no basis to award a higher benefit for one device when the Prostheses List had other devices at a lower benefit. MSAC noted that the pre-MSAC response indicated that the </w:t>
      </w:r>
      <w:r w:rsidR="00C574EE" w:rsidRPr="00C574EE">
        <w:rPr>
          <w:b/>
        </w:rPr>
        <w:t>$redacted</w:t>
      </w:r>
      <w:r w:rsidR="00C574EE" w:rsidRPr="00F62546">
        <w:t xml:space="preserve"> </w:t>
      </w:r>
      <w:r w:rsidRPr="00F62546">
        <w:t>includes consumables so there would be no net change to price within the private sector (previously purchased by private hospitals and/or patients).</w:t>
      </w:r>
    </w:p>
    <w:p w14:paraId="6B950D4B" w14:textId="7110A950" w:rsidR="00C84042" w:rsidRPr="00F62546" w:rsidRDefault="00C84042" w:rsidP="005B05CF">
      <w:pPr>
        <w:spacing w:before="240"/>
      </w:pPr>
      <w:r w:rsidRPr="00F62546">
        <w:t>MSAC recommended that the item should be reviewed after 12-24 months.</w:t>
      </w:r>
    </w:p>
    <w:p w14:paraId="3DCBF74B" w14:textId="33D58156" w:rsidR="00C84042" w:rsidRPr="00F62546" w:rsidRDefault="00C84042" w:rsidP="005B05CF">
      <w:pPr>
        <w:spacing w:before="240"/>
      </w:pPr>
      <w:r w:rsidRPr="00F62546">
        <w:t xml:space="preserve">MSAC noted the need for consistency in MSAC’s advice for applications 1652 (TAVI device agnostic application) and 1603 (TAVI-BEV). MSAC considered it would re-assess the decision to support an MBS item agnostic of the type of TAVI after its March 2021 meeting, depending on the outcome of the TAVI device agnostic application in intermediate risk for surgery (MSAC </w:t>
      </w:r>
      <w:hyperlink r:id="rId16" w:history="1">
        <w:r w:rsidRPr="00266DC9">
          <w:t>Application 1652</w:t>
        </w:r>
      </w:hyperlink>
      <w:r w:rsidRPr="00F62546">
        <w:t>). MSAC noted that the process allows MSAC to deal with each application on its merits while acknowledging future applications.</w:t>
      </w:r>
    </w:p>
    <w:p w14:paraId="54DABB3B" w14:textId="77777777" w:rsidR="001D4246" w:rsidRPr="001D4246" w:rsidRDefault="001D4246" w:rsidP="001D4246">
      <w:pPr>
        <w:pStyle w:val="Heading2"/>
      </w:pPr>
      <w:r w:rsidRPr="001D4246">
        <w:t>Comparison of TAVI-related applications</w:t>
      </w:r>
    </w:p>
    <w:p w14:paraId="664DAF1B" w14:textId="2CF99EF5" w:rsidR="00C84042" w:rsidRDefault="00C84042" w:rsidP="00C84042">
      <w:pPr>
        <w:sectPr w:rsidR="00C84042" w:rsidSect="00271F18">
          <w:footerReference w:type="default" r:id="rId17"/>
          <w:pgSz w:w="11906" w:h="16838"/>
          <w:pgMar w:top="1134" w:right="1440" w:bottom="426" w:left="1440" w:header="708" w:footer="708" w:gutter="0"/>
          <w:cols w:space="708"/>
          <w:docGrid w:linePitch="360"/>
        </w:sectPr>
      </w:pPr>
      <w:r w:rsidRPr="00F62546">
        <w:t>A comparison of the current ADAR</w:t>
      </w:r>
      <w:r w:rsidR="001D4246">
        <w:t xml:space="preserve"> (1652)</w:t>
      </w:r>
      <w:r w:rsidRPr="00F62546">
        <w:t xml:space="preserve"> with Application 1603 and Application 1361.2 in the high risk/inoperable populations is presented in </w:t>
      </w:r>
      <w:r w:rsidRPr="00F62546">
        <w:fldChar w:fldCharType="begin"/>
      </w:r>
      <w:r w:rsidRPr="00F62546">
        <w:instrText xml:space="preserve"> REF _Ref56174404 \h  \* MERGEFORMAT </w:instrText>
      </w:r>
      <w:r w:rsidRPr="00F62546">
        <w:fldChar w:fldCharType="separate"/>
      </w:r>
      <w:r w:rsidR="00C24855" w:rsidRPr="00C84042">
        <w:t xml:space="preserve">Table </w:t>
      </w:r>
      <w:r w:rsidR="00C24855">
        <w:t>1</w:t>
      </w:r>
      <w:r w:rsidRPr="00F62546">
        <w:fldChar w:fldCharType="end"/>
      </w:r>
      <w:r w:rsidRPr="00F62546">
        <w:t>.</w:t>
      </w:r>
    </w:p>
    <w:p w14:paraId="4D43957F" w14:textId="05AF3DDA" w:rsidR="00C84042" w:rsidRPr="00C84042" w:rsidRDefault="00C84042" w:rsidP="004B35D0">
      <w:pPr>
        <w:pStyle w:val="Caption"/>
      </w:pPr>
      <w:bookmarkStart w:id="0" w:name="_Ref56174404"/>
      <w:r w:rsidRPr="00C84042">
        <w:lastRenderedPageBreak/>
        <w:t xml:space="preserve">Table </w:t>
      </w:r>
      <w:r w:rsidR="002F70F5">
        <w:fldChar w:fldCharType="begin"/>
      </w:r>
      <w:r w:rsidR="002F70F5">
        <w:instrText xml:space="preserve"> SEQ Table \* ARABIC </w:instrText>
      </w:r>
      <w:r w:rsidR="002F70F5">
        <w:fldChar w:fldCharType="separate"/>
      </w:r>
      <w:r w:rsidR="00C24855">
        <w:rPr>
          <w:noProof/>
        </w:rPr>
        <w:t>1</w:t>
      </w:r>
      <w:r w:rsidR="002F70F5">
        <w:rPr>
          <w:noProof/>
        </w:rPr>
        <w:fldChar w:fldCharType="end"/>
      </w:r>
      <w:bookmarkEnd w:id="0"/>
      <w:r w:rsidR="004B35D0">
        <w:tab/>
      </w:r>
      <w:r w:rsidRPr="00C84042">
        <w:t>Comparison of TAVI applications to MSAC</w:t>
      </w:r>
    </w:p>
    <w:tbl>
      <w:tblPr>
        <w:tblStyle w:val="Summarybox1"/>
        <w:tblW w:w="0" w:type="auto"/>
        <w:tblLayout w:type="fixed"/>
        <w:tblCellMar>
          <w:left w:w="28" w:type="dxa"/>
          <w:right w:w="28" w:type="dxa"/>
        </w:tblCellMar>
        <w:tblLook w:val="04A0" w:firstRow="1" w:lastRow="0" w:firstColumn="1" w:lastColumn="0" w:noHBand="0" w:noVBand="1"/>
        <w:tblDescription w:val="Comparison of TAVI applications to MSAC"/>
      </w:tblPr>
      <w:tblGrid>
        <w:gridCol w:w="1555"/>
        <w:gridCol w:w="4110"/>
        <w:gridCol w:w="4678"/>
        <w:gridCol w:w="3605"/>
      </w:tblGrid>
      <w:tr w:rsidR="00C84042" w:rsidRPr="00C84042" w14:paraId="7A0B2DA9" w14:textId="77777777" w:rsidTr="005F024E">
        <w:trPr>
          <w:cantSplit/>
          <w:trHeight w:val="19"/>
          <w:tblHeader/>
        </w:trPr>
        <w:tc>
          <w:tcPr>
            <w:tcW w:w="1555" w:type="dxa"/>
          </w:tcPr>
          <w:p w14:paraId="34CAF830" w14:textId="77777777" w:rsidR="00C84042" w:rsidRPr="00C84042" w:rsidRDefault="00C84042" w:rsidP="00C84042">
            <w:pPr>
              <w:spacing w:before="40" w:after="40"/>
              <w:rPr>
                <w:rFonts w:ascii="Arial Narrow" w:eastAsia="Calibri" w:hAnsi="Arial Narrow"/>
                <w:b/>
                <w:sz w:val="20"/>
                <w:szCs w:val="24"/>
              </w:rPr>
            </w:pPr>
            <w:r w:rsidRPr="00C84042">
              <w:rPr>
                <w:rFonts w:ascii="Arial Narrow" w:eastAsia="Calibri" w:hAnsi="Arial Narrow"/>
                <w:b/>
                <w:sz w:val="20"/>
                <w:szCs w:val="24"/>
              </w:rPr>
              <w:t>Parameter</w:t>
            </w:r>
          </w:p>
        </w:tc>
        <w:tc>
          <w:tcPr>
            <w:tcW w:w="4110" w:type="dxa"/>
          </w:tcPr>
          <w:p w14:paraId="69A0151D" w14:textId="77777777" w:rsidR="00C84042" w:rsidRPr="00C84042" w:rsidDel="00F0525D" w:rsidRDefault="00C84042" w:rsidP="00C84042">
            <w:pPr>
              <w:spacing w:before="40" w:after="40"/>
              <w:rPr>
                <w:rFonts w:ascii="Arial Narrow" w:eastAsia="Calibri" w:hAnsi="Arial Narrow"/>
                <w:b/>
                <w:bCs/>
                <w:sz w:val="20"/>
                <w:szCs w:val="24"/>
              </w:rPr>
            </w:pPr>
            <w:r w:rsidRPr="00C84042">
              <w:rPr>
                <w:rFonts w:ascii="Arial Narrow" w:eastAsia="Calibri" w:hAnsi="Arial Narrow"/>
                <w:b/>
                <w:bCs/>
                <w:sz w:val="20"/>
                <w:szCs w:val="24"/>
              </w:rPr>
              <w:t>MSAC 1652 (current application)</w:t>
            </w:r>
          </w:p>
        </w:tc>
        <w:tc>
          <w:tcPr>
            <w:tcW w:w="4678" w:type="dxa"/>
          </w:tcPr>
          <w:p w14:paraId="3D56E4E8" w14:textId="77777777" w:rsidR="00C84042" w:rsidRPr="00C84042" w:rsidRDefault="00C84042" w:rsidP="00C84042">
            <w:pPr>
              <w:spacing w:before="40" w:after="40"/>
              <w:rPr>
                <w:rFonts w:ascii="Arial Narrow" w:eastAsia="Calibri" w:hAnsi="Arial Narrow"/>
                <w:b/>
                <w:bCs/>
                <w:sz w:val="20"/>
                <w:szCs w:val="24"/>
              </w:rPr>
            </w:pPr>
            <w:r w:rsidRPr="00C84042">
              <w:rPr>
                <w:rFonts w:ascii="Arial Narrow" w:eastAsia="Calibri" w:hAnsi="Arial Narrow"/>
                <w:b/>
                <w:bCs/>
                <w:sz w:val="20"/>
                <w:szCs w:val="24"/>
              </w:rPr>
              <w:t>MSAC1603 (November 2020)</w:t>
            </w:r>
          </w:p>
        </w:tc>
        <w:tc>
          <w:tcPr>
            <w:tcW w:w="3605" w:type="dxa"/>
          </w:tcPr>
          <w:p w14:paraId="49987D49" w14:textId="77777777" w:rsidR="00C84042" w:rsidRPr="00C84042" w:rsidRDefault="00C84042" w:rsidP="00C84042">
            <w:pPr>
              <w:spacing w:before="40" w:after="40"/>
              <w:rPr>
                <w:rFonts w:ascii="Arial Narrow" w:eastAsia="Calibri" w:hAnsi="Arial Narrow"/>
                <w:b/>
                <w:bCs/>
                <w:sz w:val="20"/>
                <w:szCs w:val="24"/>
              </w:rPr>
            </w:pPr>
            <w:r w:rsidRPr="00C84042">
              <w:rPr>
                <w:rFonts w:ascii="Arial Narrow" w:eastAsia="Calibri" w:hAnsi="Arial Narrow"/>
                <w:b/>
                <w:bCs/>
                <w:sz w:val="20"/>
                <w:szCs w:val="24"/>
              </w:rPr>
              <w:t>MSAC 1361.2 (March 2016)</w:t>
            </w:r>
          </w:p>
        </w:tc>
      </w:tr>
      <w:tr w:rsidR="00C84042" w:rsidRPr="00C84042" w14:paraId="6036D4B1" w14:textId="77777777" w:rsidTr="005F024E">
        <w:trPr>
          <w:cantSplit/>
          <w:trHeight w:val="19"/>
        </w:trPr>
        <w:tc>
          <w:tcPr>
            <w:tcW w:w="1555" w:type="dxa"/>
          </w:tcPr>
          <w:p w14:paraId="19E3ABED"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Intervention</w:t>
            </w:r>
          </w:p>
        </w:tc>
        <w:tc>
          <w:tcPr>
            <w:tcW w:w="4110" w:type="dxa"/>
          </w:tcPr>
          <w:p w14:paraId="4E475C91"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TAVI-BEV-and TAVI-SEV</w:t>
            </w:r>
          </w:p>
        </w:tc>
        <w:tc>
          <w:tcPr>
            <w:tcW w:w="4678" w:type="dxa"/>
          </w:tcPr>
          <w:p w14:paraId="22B70CB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TAVI-BEV</w:t>
            </w:r>
          </w:p>
        </w:tc>
        <w:tc>
          <w:tcPr>
            <w:tcW w:w="3605" w:type="dxa"/>
          </w:tcPr>
          <w:p w14:paraId="6370248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TAVI-BEV-and TAVI-SEV</w:t>
            </w:r>
          </w:p>
        </w:tc>
      </w:tr>
      <w:tr w:rsidR="00C84042" w:rsidRPr="00C84042" w14:paraId="5D170EB3" w14:textId="77777777" w:rsidTr="005F024E">
        <w:trPr>
          <w:cantSplit/>
          <w:trHeight w:val="19"/>
        </w:trPr>
        <w:tc>
          <w:tcPr>
            <w:tcW w:w="1555" w:type="dxa"/>
          </w:tcPr>
          <w:p w14:paraId="328A6F3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Patient population</w:t>
            </w:r>
          </w:p>
        </w:tc>
        <w:tc>
          <w:tcPr>
            <w:tcW w:w="4110" w:type="dxa"/>
          </w:tcPr>
          <w:p w14:paraId="03D9F79D"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Intermediate risk patients as determined by Heart Team  </w:t>
            </w:r>
          </w:p>
        </w:tc>
        <w:tc>
          <w:tcPr>
            <w:tcW w:w="4678" w:type="dxa"/>
          </w:tcPr>
          <w:p w14:paraId="5BFCF8F5"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Intermediate risk patients as determined by Heart Team  </w:t>
            </w:r>
          </w:p>
        </w:tc>
        <w:tc>
          <w:tcPr>
            <w:tcW w:w="3605" w:type="dxa"/>
          </w:tcPr>
          <w:p w14:paraId="12E7AE51"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High-risk and inoperable patients (not described) </w:t>
            </w:r>
          </w:p>
        </w:tc>
      </w:tr>
      <w:tr w:rsidR="00C84042" w:rsidRPr="00C84042" w14:paraId="2EC4D0B1" w14:textId="77777777" w:rsidTr="005F024E">
        <w:trPr>
          <w:cantSplit/>
          <w:trHeight w:val="19"/>
        </w:trPr>
        <w:tc>
          <w:tcPr>
            <w:tcW w:w="1555" w:type="dxa"/>
          </w:tcPr>
          <w:p w14:paraId="589BC87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Comparator </w:t>
            </w:r>
          </w:p>
        </w:tc>
        <w:tc>
          <w:tcPr>
            <w:tcW w:w="4110" w:type="dxa"/>
          </w:tcPr>
          <w:p w14:paraId="6B67269E"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w:t>
            </w:r>
          </w:p>
        </w:tc>
        <w:tc>
          <w:tcPr>
            <w:tcW w:w="4678" w:type="dxa"/>
          </w:tcPr>
          <w:p w14:paraId="6F4178FA"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SAVR and TAVI-SEV</w:t>
            </w:r>
          </w:p>
        </w:tc>
        <w:tc>
          <w:tcPr>
            <w:tcW w:w="3605" w:type="dxa"/>
          </w:tcPr>
          <w:p w14:paraId="3DCAF925"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and medical management </w:t>
            </w:r>
          </w:p>
        </w:tc>
      </w:tr>
      <w:tr w:rsidR="00C84042" w:rsidRPr="00C84042" w14:paraId="2BB575A3" w14:textId="77777777" w:rsidTr="005F024E">
        <w:trPr>
          <w:cantSplit/>
          <w:trHeight w:val="19"/>
        </w:trPr>
        <w:tc>
          <w:tcPr>
            <w:tcW w:w="1555" w:type="dxa"/>
          </w:tcPr>
          <w:p w14:paraId="4F86DE62"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Clinical evidence used for economic model</w:t>
            </w:r>
          </w:p>
        </w:tc>
        <w:tc>
          <w:tcPr>
            <w:tcW w:w="4110" w:type="dxa"/>
          </w:tcPr>
          <w:p w14:paraId="040E2567"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Length of stay from PARTNER 2A and SURTAVI RCTs </w:t>
            </w:r>
          </w:p>
        </w:tc>
        <w:tc>
          <w:tcPr>
            <w:tcW w:w="4678" w:type="dxa"/>
          </w:tcPr>
          <w:p w14:paraId="2DBDA50E"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1-year outcomes from PARTNER 3Si</w:t>
            </w:r>
          </w:p>
        </w:tc>
        <w:tc>
          <w:tcPr>
            <w:tcW w:w="3605" w:type="dxa"/>
          </w:tcPr>
          <w:p w14:paraId="5F71CC3F"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5-year data from the PARTNER trial. The numerically different overall survival estimates following TAVI and SAVR were not statistically significantly</w:t>
            </w:r>
          </w:p>
        </w:tc>
      </w:tr>
      <w:tr w:rsidR="00C84042" w:rsidRPr="00C84042" w14:paraId="17C48F26" w14:textId="77777777" w:rsidTr="005F024E">
        <w:trPr>
          <w:cantSplit/>
          <w:trHeight w:val="19"/>
        </w:trPr>
        <w:tc>
          <w:tcPr>
            <w:tcW w:w="1555" w:type="dxa"/>
          </w:tcPr>
          <w:p w14:paraId="6B6EC581"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Clinical claim</w:t>
            </w:r>
          </w:p>
        </w:tc>
        <w:tc>
          <w:tcPr>
            <w:tcW w:w="4110" w:type="dxa"/>
          </w:tcPr>
          <w:p w14:paraId="139BD728"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Non-inferior effectiveness and safety </w:t>
            </w:r>
            <w:r w:rsidRPr="00904CF2">
              <w:rPr>
                <w:rFonts w:ascii="Arial Narrow" w:eastAsia="Calibri" w:hAnsi="Arial Narrow"/>
                <w:i/>
                <w:sz w:val="20"/>
                <w:szCs w:val="24"/>
              </w:rPr>
              <w:t>vs.</w:t>
            </w:r>
            <w:r w:rsidRPr="00C84042">
              <w:rPr>
                <w:rFonts w:ascii="Arial Narrow" w:eastAsia="Calibri" w:hAnsi="Arial Narrow"/>
                <w:sz w:val="20"/>
                <w:szCs w:val="24"/>
              </w:rPr>
              <w:t xml:space="preserve"> SAVR </w:t>
            </w:r>
          </w:p>
        </w:tc>
        <w:tc>
          <w:tcPr>
            <w:tcW w:w="4678" w:type="dxa"/>
          </w:tcPr>
          <w:p w14:paraId="5C99E595" w14:textId="0FB4C1BB"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Superior effectiveness </w:t>
            </w:r>
            <w:r w:rsidRPr="00904CF2">
              <w:rPr>
                <w:rFonts w:ascii="Arial Narrow" w:eastAsia="Calibri" w:hAnsi="Arial Narrow"/>
                <w:i/>
                <w:sz w:val="20"/>
                <w:szCs w:val="24"/>
              </w:rPr>
              <w:t>vs</w:t>
            </w:r>
            <w:r w:rsidR="00904CF2" w:rsidRPr="00904CF2">
              <w:rPr>
                <w:rFonts w:ascii="Arial Narrow" w:eastAsia="Calibri" w:hAnsi="Arial Narrow"/>
                <w:i/>
                <w:sz w:val="20"/>
                <w:szCs w:val="24"/>
              </w:rPr>
              <w:t>.</w:t>
            </w:r>
            <w:r w:rsidRPr="00C84042">
              <w:rPr>
                <w:rFonts w:ascii="Arial Narrow" w:eastAsia="Calibri" w:hAnsi="Arial Narrow"/>
                <w:sz w:val="20"/>
                <w:szCs w:val="24"/>
              </w:rPr>
              <w:t xml:space="preserve"> SAVR (composite outcome: death, stroke, aortic regurgitation)</w:t>
            </w:r>
          </w:p>
          <w:p w14:paraId="17096CFB" w14:textId="5825B334"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No claim </w:t>
            </w:r>
            <w:r w:rsidRPr="00904CF2">
              <w:rPr>
                <w:rFonts w:ascii="Arial Narrow" w:eastAsia="Calibri" w:hAnsi="Arial Narrow"/>
                <w:i/>
                <w:sz w:val="20"/>
                <w:szCs w:val="24"/>
              </w:rPr>
              <w:t>vs</w:t>
            </w:r>
            <w:r w:rsidR="00904CF2">
              <w:rPr>
                <w:rFonts w:ascii="Arial Narrow" w:eastAsia="Calibri" w:hAnsi="Arial Narrow"/>
                <w:sz w:val="20"/>
                <w:szCs w:val="24"/>
              </w:rPr>
              <w:t>.</w:t>
            </w:r>
            <w:r w:rsidRPr="00C84042">
              <w:rPr>
                <w:rFonts w:ascii="Arial Narrow" w:eastAsia="Calibri" w:hAnsi="Arial Narrow"/>
                <w:sz w:val="20"/>
                <w:szCs w:val="24"/>
              </w:rPr>
              <w:t xml:space="preserve"> TAVI-SEV</w:t>
            </w:r>
          </w:p>
        </w:tc>
        <w:tc>
          <w:tcPr>
            <w:tcW w:w="3605" w:type="dxa"/>
          </w:tcPr>
          <w:p w14:paraId="5FA6A994" w14:textId="6BEA64A8"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Superior effectiveness </w:t>
            </w:r>
            <w:r w:rsidRPr="00904CF2">
              <w:rPr>
                <w:rFonts w:ascii="Arial Narrow" w:eastAsia="Calibri" w:hAnsi="Arial Narrow"/>
                <w:i/>
                <w:sz w:val="20"/>
                <w:szCs w:val="24"/>
              </w:rPr>
              <w:t>vs</w:t>
            </w:r>
            <w:r w:rsidR="00904CF2">
              <w:rPr>
                <w:rFonts w:ascii="Arial Narrow" w:eastAsia="Calibri" w:hAnsi="Arial Narrow"/>
                <w:sz w:val="20"/>
                <w:szCs w:val="24"/>
              </w:rPr>
              <w:t>.</w:t>
            </w:r>
            <w:r w:rsidRPr="00C84042">
              <w:rPr>
                <w:rFonts w:ascii="Arial Narrow" w:eastAsia="Calibri" w:hAnsi="Arial Narrow"/>
                <w:sz w:val="20"/>
                <w:szCs w:val="24"/>
              </w:rPr>
              <w:t xml:space="preserve"> SAVR (not accepted by MSAC) and medical management. Inferior safety </w:t>
            </w:r>
            <w:r w:rsidRPr="00904CF2">
              <w:rPr>
                <w:rFonts w:ascii="Arial Narrow" w:eastAsia="Calibri" w:hAnsi="Arial Narrow"/>
                <w:i/>
                <w:sz w:val="20"/>
                <w:szCs w:val="24"/>
              </w:rPr>
              <w:t>vs</w:t>
            </w:r>
            <w:r w:rsidR="00904CF2" w:rsidRPr="00904CF2">
              <w:rPr>
                <w:rFonts w:ascii="Arial Narrow" w:eastAsia="Calibri" w:hAnsi="Arial Narrow"/>
                <w:i/>
                <w:sz w:val="20"/>
                <w:szCs w:val="24"/>
              </w:rPr>
              <w:t>.</w:t>
            </w:r>
            <w:r w:rsidRPr="00C84042">
              <w:rPr>
                <w:rFonts w:ascii="Arial Narrow" w:eastAsia="Calibri" w:hAnsi="Arial Narrow"/>
                <w:sz w:val="20"/>
                <w:szCs w:val="24"/>
              </w:rPr>
              <w:t xml:space="preserve"> medical management. Different safety profile </w:t>
            </w:r>
            <w:r w:rsidRPr="00904CF2">
              <w:rPr>
                <w:rFonts w:ascii="Arial Narrow" w:eastAsia="Calibri" w:hAnsi="Arial Narrow"/>
                <w:i/>
                <w:sz w:val="20"/>
                <w:szCs w:val="24"/>
              </w:rPr>
              <w:t>vs</w:t>
            </w:r>
            <w:r w:rsidR="00904CF2" w:rsidRPr="00904CF2">
              <w:rPr>
                <w:rFonts w:ascii="Arial Narrow" w:eastAsia="Calibri" w:hAnsi="Arial Narrow"/>
                <w:i/>
                <w:sz w:val="20"/>
                <w:szCs w:val="24"/>
              </w:rPr>
              <w:t>.</w:t>
            </w:r>
            <w:r w:rsidRPr="00C84042">
              <w:rPr>
                <w:rFonts w:ascii="Arial Narrow" w:eastAsia="Calibri" w:hAnsi="Arial Narrow"/>
                <w:sz w:val="20"/>
                <w:szCs w:val="24"/>
              </w:rPr>
              <w:t xml:space="preserve"> SAVR. </w:t>
            </w:r>
          </w:p>
        </w:tc>
      </w:tr>
      <w:tr w:rsidR="00C84042" w:rsidRPr="00C84042" w14:paraId="2A76D05F" w14:textId="77777777" w:rsidTr="005F024E">
        <w:trPr>
          <w:cantSplit/>
          <w:trHeight w:val="19"/>
        </w:trPr>
        <w:tc>
          <w:tcPr>
            <w:tcW w:w="1555" w:type="dxa"/>
          </w:tcPr>
          <w:p w14:paraId="6AB46C5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Economic evaluation</w:t>
            </w:r>
          </w:p>
        </w:tc>
        <w:tc>
          <w:tcPr>
            <w:tcW w:w="4110" w:type="dxa"/>
          </w:tcPr>
          <w:p w14:paraId="26ADF12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Cost-minimisation analysis </w:t>
            </w:r>
          </w:p>
        </w:tc>
        <w:tc>
          <w:tcPr>
            <w:tcW w:w="4678" w:type="dxa"/>
          </w:tcPr>
          <w:p w14:paraId="7A09E019"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Cost-utility analysis </w:t>
            </w:r>
          </w:p>
        </w:tc>
        <w:tc>
          <w:tcPr>
            <w:tcW w:w="3605" w:type="dxa"/>
          </w:tcPr>
          <w:p w14:paraId="67E72B58"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Cost-utility analysis</w:t>
            </w:r>
          </w:p>
        </w:tc>
      </w:tr>
      <w:tr w:rsidR="00C84042" w:rsidRPr="00C84042" w14:paraId="47551CD2" w14:textId="77777777" w:rsidTr="005F024E">
        <w:trPr>
          <w:cantSplit/>
          <w:trHeight w:val="19"/>
        </w:trPr>
        <w:tc>
          <w:tcPr>
            <w:tcW w:w="1555" w:type="dxa"/>
          </w:tcPr>
          <w:p w14:paraId="2B249A97"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Health states</w:t>
            </w:r>
          </w:p>
        </w:tc>
        <w:tc>
          <w:tcPr>
            <w:tcW w:w="4110" w:type="dxa"/>
          </w:tcPr>
          <w:p w14:paraId="364B50A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Not applicable</w:t>
            </w:r>
          </w:p>
        </w:tc>
        <w:tc>
          <w:tcPr>
            <w:tcW w:w="4678" w:type="dxa"/>
          </w:tcPr>
          <w:p w14:paraId="0262AAB5" w14:textId="77777777" w:rsidR="00C84042" w:rsidRPr="00C84042" w:rsidRDefault="00C84042" w:rsidP="00C84042">
            <w:pPr>
              <w:rPr>
                <w:rFonts w:ascii="Arial Narrow" w:eastAsia="Calibri" w:hAnsi="Arial Narrow"/>
                <w:sz w:val="20"/>
                <w:szCs w:val="24"/>
              </w:rPr>
            </w:pPr>
            <w:r w:rsidRPr="00C84042">
              <w:rPr>
                <w:rFonts w:ascii="Arial Narrow" w:eastAsia="Calibri" w:hAnsi="Arial Narrow"/>
                <w:sz w:val="20"/>
                <w:szCs w:val="24"/>
              </w:rPr>
              <w:t>3 states</w:t>
            </w:r>
          </w:p>
          <w:p w14:paraId="1E3B9B87" w14:textId="77777777" w:rsidR="00C84042" w:rsidRPr="00C84042" w:rsidRDefault="00C84042" w:rsidP="00C84042">
            <w:pPr>
              <w:numPr>
                <w:ilvl w:val="0"/>
                <w:numId w:val="27"/>
              </w:numPr>
              <w:spacing w:line="312" w:lineRule="auto"/>
              <w:ind w:left="397"/>
              <w:rPr>
                <w:rFonts w:ascii="Arial Narrow" w:eastAsia="Calibri" w:hAnsi="Arial Narrow"/>
                <w:sz w:val="20"/>
                <w:szCs w:val="24"/>
              </w:rPr>
            </w:pPr>
            <w:r w:rsidRPr="00C84042">
              <w:rPr>
                <w:rFonts w:ascii="Arial Narrow" w:eastAsia="Calibri" w:hAnsi="Arial Narrow"/>
                <w:sz w:val="20"/>
                <w:szCs w:val="24"/>
              </w:rPr>
              <w:t>Alive, no disabling stroke</w:t>
            </w:r>
          </w:p>
          <w:p w14:paraId="6FCA3F3E" w14:textId="77777777" w:rsidR="00C84042" w:rsidRPr="00C84042" w:rsidRDefault="00C84042" w:rsidP="00C84042">
            <w:pPr>
              <w:numPr>
                <w:ilvl w:val="0"/>
                <w:numId w:val="27"/>
              </w:numPr>
              <w:spacing w:line="312" w:lineRule="auto"/>
              <w:ind w:left="397"/>
              <w:rPr>
                <w:rFonts w:ascii="Arial Narrow" w:eastAsia="Calibri" w:hAnsi="Arial Narrow"/>
                <w:sz w:val="20"/>
                <w:szCs w:val="24"/>
              </w:rPr>
            </w:pPr>
            <w:r w:rsidRPr="00C84042">
              <w:rPr>
                <w:rFonts w:ascii="Arial Narrow" w:eastAsia="Calibri" w:hAnsi="Arial Narrow"/>
                <w:sz w:val="20"/>
                <w:szCs w:val="24"/>
              </w:rPr>
              <w:t>Alive, disabling stroke</w:t>
            </w:r>
          </w:p>
          <w:p w14:paraId="3CE91D04" w14:textId="77777777" w:rsidR="00C84042" w:rsidRPr="00C84042" w:rsidRDefault="00C84042" w:rsidP="00C84042">
            <w:pPr>
              <w:numPr>
                <w:ilvl w:val="0"/>
                <w:numId w:val="27"/>
              </w:numPr>
              <w:spacing w:line="312" w:lineRule="auto"/>
              <w:ind w:left="397"/>
              <w:rPr>
                <w:rFonts w:ascii="Arial Narrow" w:eastAsia="Calibri" w:hAnsi="Arial Narrow"/>
                <w:sz w:val="20"/>
                <w:szCs w:val="24"/>
              </w:rPr>
            </w:pPr>
            <w:r w:rsidRPr="00C84042">
              <w:rPr>
                <w:rFonts w:ascii="Arial Narrow" w:eastAsia="Calibri" w:hAnsi="Arial Narrow"/>
                <w:sz w:val="20"/>
                <w:szCs w:val="24"/>
              </w:rPr>
              <w:t>Dead</w:t>
            </w:r>
          </w:p>
          <w:p w14:paraId="560B0715" w14:textId="77777777" w:rsidR="00C84042" w:rsidRPr="00C84042" w:rsidRDefault="00C84042" w:rsidP="00C84042">
            <w:pPr>
              <w:rPr>
                <w:rFonts w:ascii="Arial Narrow" w:eastAsia="Calibri" w:hAnsi="Arial Narrow"/>
                <w:sz w:val="20"/>
                <w:szCs w:val="24"/>
              </w:rPr>
            </w:pPr>
            <w:r w:rsidRPr="00C84042">
              <w:rPr>
                <w:rFonts w:ascii="Arial Narrow" w:eastAsia="Calibri" w:hAnsi="Arial Narrow"/>
                <w:sz w:val="20"/>
                <w:szCs w:val="24"/>
              </w:rPr>
              <w:t xml:space="preserve">The model adjusted for baseline cerebrovascular disease (9.4%) to account for the likelihood that patients have had a prior stroke. </w:t>
            </w:r>
          </w:p>
        </w:tc>
        <w:tc>
          <w:tcPr>
            <w:tcW w:w="3605" w:type="dxa"/>
          </w:tcPr>
          <w:p w14:paraId="001B884D" w14:textId="77777777" w:rsidR="00C84042" w:rsidRPr="00C84042" w:rsidRDefault="00C84042" w:rsidP="00C84042">
            <w:pPr>
              <w:rPr>
                <w:rFonts w:ascii="Arial Narrow" w:eastAsia="Calibri" w:hAnsi="Arial Narrow"/>
                <w:sz w:val="20"/>
                <w:szCs w:val="24"/>
              </w:rPr>
            </w:pPr>
            <w:r w:rsidRPr="00C84042">
              <w:rPr>
                <w:rFonts w:ascii="Arial Narrow" w:eastAsia="Calibri" w:hAnsi="Arial Narrow"/>
                <w:sz w:val="20"/>
                <w:szCs w:val="24"/>
              </w:rPr>
              <w:t>3 states</w:t>
            </w:r>
          </w:p>
          <w:p w14:paraId="3B489304" w14:textId="77777777" w:rsidR="00C84042" w:rsidRPr="00C84042" w:rsidRDefault="00C84042" w:rsidP="00C84042">
            <w:pPr>
              <w:numPr>
                <w:ilvl w:val="0"/>
                <w:numId w:val="28"/>
              </w:numPr>
              <w:spacing w:line="312" w:lineRule="auto"/>
              <w:ind w:left="360"/>
              <w:rPr>
                <w:rFonts w:ascii="Arial Narrow" w:eastAsia="Calibri" w:hAnsi="Arial Narrow"/>
                <w:sz w:val="20"/>
                <w:szCs w:val="24"/>
              </w:rPr>
            </w:pPr>
            <w:r w:rsidRPr="00C84042">
              <w:rPr>
                <w:rFonts w:ascii="Arial Narrow" w:eastAsia="Calibri" w:hAnsi="Arial Narrow"/>
                <w:sz w:val="20"/>
                <w:szCs w:val="24"/>
              </w:rPr>
              <w:t>Alive, standard follow-up</w:t>
            </w:r>
          </w:p>
          <w:p w14:paraId="6A3CDE43" w14:textId="77777777" w:rsidR="00C84042" w:rsidRPr="00C84042" w:rsidRDefault="00C84042" w:rsidP="00C84042">
            <w:pPr>
              <w:numPr>
                <w:ilvl w:val="0"/>
                <w:numId w:val="28"/>
              </w:numPr>
              <w:spacing w:line="312" w:lineRule="auto"/>
              <w:ind w:left="360"/>
              <w:rPr>
                <w:rFonts w:ascii="Arial Narrow" w:eastAsia="Calibri" w:hAnsi="Arial Narrow"/>
                <w:sz w:val="20"/>
                <w:szCs w:val="24"/>
              </w:rPr>
            </w:pPr>
            <w:r w:rsidRPr="00C84042">
              <w:rPr>
                <w:rFonts w:ascii="Arial Narrow" w:eastAsia="Calibri" w:hAnsi="Arial Narrow"/>
                <w:sz w:val="20"/>
                <w:szCs w:val="24"/>
              </w:rPr>
              <w:t>Alive, with major stroke</w:t>
            </w:r>
          </w:p>
          <w:p w14:paraId="3C27A873" w14:textId="77777777" w:rsidR="00C84042" w:rsidRPr="00C84042" w:rsidRDefault="00C84042" w:rsidP="00C84042">
            <w:pPr>
              <w:numPr>
                <w:ilvl w:val="0"/>
                <w:numId w:val="28"/>
              </w:numPr>
              <w:spacing w:line="312" w:lineRule="auto"/>
              <w:ind w:left="360"/>
              <w:rPr>
                <w:rFonts w:ascii="Arial Narrow" w:eastAsia="Calibri" w:hAnsi="Arial Narrow"/>
                <w:sz w:val="20"/>
                <w:szCs w:val="24"/>
              </w:rPr>
            </w:pPr>
            <w:r w:rsidRPr="00C84042">
              <w:rPr>
                <w:rFonts w:ascii="Arial Narrow" w:eastAsia="Calibri" w:hAnsi="Arial Narrow"/>
                <w:sz w:val="20"/>
                <w:szCs w:val="24"/>
              </w:rPr>
              <w:t>Dead</w:t>
            </w:r>
          </w:p>
          <w:p w14:paraId="58762422" w14:textId="77777777" w:rsidR="00C84042" w:rsidRPr="00C84042" w:rsidRDefault="00C84042" w:rsidP="00C84042">
            <w:pPr>
              <w:rPr>
                <w:rFonts w:ascii="Arial Narrow" w:eastAsia="Calibri" w:hAnsi="Arial Narrow"/>
                <w:sz w:val="20"/>
                <w:szCs w:val="24"/>
                <w:highlight w:val="darkGray"/>
              </w:rPr>
            </w:pPr>
            <w:r w:rsidRPr="00C84042">
              <w:rPr>
                <w:rFonts w:ascii="Arial Narrow" w:eastAsia="Calibri" w:hAnsi="Arial Narrow"/>
                <w:sz w:val="20"/>
                <w:szCs w:val="24"/>
              </w:rPr>
              <w:t xml:space="preserve">No adjustment for pre-existing complications was made. </w:t>
            </w:r>
          </w:p>
        </w:tc>
      </w:tr>
      <w:tr w:rsidR="00C84042" w:rsidRPr="00C84042" w14:paraId="668F9A30" w14:textId="77777777" w:rsidTr="005F024E">
        <w:trPr>
          <w:cantSplit/>
          <w:trHeight w:val="19"/>
        </w:trPr>
        <w:tc>
          <w:tcPr>
            <w:tcW w:w="1555" w:type="dxa"/>
          </w:tcPr>
          <w:p w14:paraId="273F706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Time horizon</w:t>
            </w:r>
          </w:p>
        </w:tc>
        <w:tc>
          <w:tcPr>
            <w:tcW w:w="4110" w:type="dxa"/>
          </w:tcPr>
          <w:p w14:paraId="47C88154"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Short term </w:t>
            </w:r>
          </w:p>
        </w:tc>
        <w:tc>
          <w:tcPr>
            <w:tcW w:w="4678" w:type="dxa"/>
          </w:tcPr>
          <w:p w14:paraId="72163FCA"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10 years (base-case). 5 and 20-year time horizon presented in sensitivity analyses</w:t>
            </w:r>
          </w:p>
        </w:tc>
        <w:tc>
          <w:tcPr>
            <w:tcW w:w="3605" w:type="dxa"/>
          </w:tcPr>
          <w:p w14:paraId="5A9A2523" w14:textId="77777777" w:rsidR="00C84042" w:rsidRPr="00C84042" w:rsidRDefault="00C84042" w:rsidP="00C84042">
            <w:pPr>
              <w:spacing w:before="40" w:after="40"/>
              <w:rPr>
                <w:rFonts w:ascii="Arial Narrow" w:eastAsia="Calibri" w:hAnsi="Arial Narrow"/>
                <w:iCs/>
                <w:sz w:val="20"/>
                <w:szCs w:val="24"/>
              </w:rPr>
            </w:pPr>
            <w:r w:rsidRPr="00C84042">
              <w:rPr>
                <w:rFonts w:ascii="Arial Narrow" w:eastAsia="Calibri" w:hAnsi="Arial Narrow"/>
                <w:sz w:val="20"/>
                <w:szCs w:val="24"/>
              </w:rPr>
              <w:t xml:space="preserve">5-years presented in the base-case and 10-years was presented in sensitivity analyses </w:t>
            </w:r>
          </w:p>
        </w:tc>
      </w:tr>
      <w:tr w:rsidR="00C84042" w:rsidRPr="00C84042" w14:paraId="41B6634F" w14:textId="77777777" w:rsidTr="005F024E">
        <w:trPr>
          <w:cantSplit/>
          <w:trHeight w:val="19"/>
        </w:trPr>
        <w:tc>
          <w:tcPr>
            <w:tcW w:w="1555" w:type="dxa"/>
          </w:tcPr>
          <w:p w14:paraId="2E1B018D"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Prosthesis cost</w:t>
            </w:r>
          </w:p>
        </w:tc>
        <w:tc>
          <w:tcPr>
            <w:tcW w:w="4110" w:type="dxa"/>
          </w:tcPr>
          <w:p w14:paraId="5D173717"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 $22,932</w:t>
            </w:r>
          </w:p>
          <w:p w14:paraId="5EA96863"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SAVR: $7,099</w:t>
            </w:r>
          </w:p>
          <w:p w14:paraId="2416818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Included in for all patients in cost</w:t>
            </w:r>
            <w:r w:rsidRPr="00C84042">
              <w:rPr>
                <w:rFonts w:ascii="Arial Narrow" w:eastAsia="Calibri" w:hAnsi="Arial Narrow"/>
                <w:sz w:val="20"/>
                <w:szCs w:val="24"/>
              </w:rPr>
              <w:noBreakHyphen/>
              <w:t>minimisation analysis</w:t>
            </w:r>
          </w:p>
        </w:tc>
        <w:tc>
          <w:tcPr>
            <w:tcW w:w="4678" w:type="dxa"/>
          </w:tcPr>
          <w:p w14:paraId="0E749AB3" w14:textId="0E5699E1"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w:t>
            </w:r>
            <w:r w:rsidR="00F473CE">
              <w:rPr>
                <w:rFonts w:ascii="Arial Narrow" w:eastAsia="Calibri" w:hAnsi="Arial Narrow"/>
                <w:sz w:val="20"/>
                <w:szCs w:val="24"/>
              </w:rPr>
              <w:t>-</w:t>
            </w:r>
            <w:r w:rsidRPr="00C84042">
              <w:rPr>
                <w:rFonts w:ascii="Arial Narrow" w:eastAsia="Calibri" w:hAnsi="Arial Narrow"/>
                <w:sz w:val="20"/>
                <w:szCs w:val="24"/>
              </w:rPr>
              <w:t xml:space="preserve">BEV: </w:t>
            </w:r>
            <w:r w:rsidRPr="00C80451">
              <w:rPr>
                <w:rFonts w:ascii="Arial Narrow" w:eastAsia="Calibri" w:hAnsi="Arial Narrow"/>
                <w:b/>
                <w:sz w:val="20"/>
                <w:szCs w:val="24"/>
              </w:rPr>
              <w:t>$</w:t>
            </w:r>
            <w:r w:rsidR="00C80451" w:rsidRPr="00C80451">
              <w:rPr>
                <w:rFonts w:ascii="Arial Narrow" w:eastAsia="Calibri" w:hAnsi="Arial Narrow"/>
                <w:b/>
                <w:sz w:val="20"/>
                <w:szCs w:val="24"/>
              </w:rPr>
              <w:t>redacted</w:t>
            </w:r>
          </w:p>
          <w:p w14:paraId="2A5F7967"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$9,079 </w:t>
            </w:r>
          </w:p>
          <w:p w14:paraId="2BC13CFC"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ADAR included prosthesis costs for public patients only</w:t>
            </w:r>
          </w:p>
        </w:tc>
        <w:tc>
          <w:tcPr>
            <w:tcW w:w="3605" w:type="dxa"/>
          </w:tcPr>
          <w:p w14:paraId="2F4D5DD9"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 $33,348</w:t>
            </w:r>
          </w:p>
          <w:p w14:paraId="4616208E"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$6,738 </w:t>
            </w:r>
          </w:p>
          <w:p w14:paraId="59EBAF71"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ADAR included prosthesis costs for all patients</w:t>
            </w:r>
          </w:p>
        </w:tc>
      </w:tr>
      <w:tr w:rsidR="00C84042" w:rsidRPr="00C84042" w14:paraId="0627E0A8" w14:textId="77777777" w:rsidTr="005F024E">
        <w:trPr>
          <w:cantSplit/>
          <w:trHeight w:val="19"/>
        </w:trPr>
        <w:tc>
          <w:tcPr>
            <w:tcW w:w="1555" w:type="dxa"/>
          </w:tcPr>
          <w:p w14:paraId="0D0C9EB3"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lastRenderedPageBreak/>
              <w:t>Length of stay</w:t>
            </w:r>
          </w:p>
        </w:tc>
        <w:tc>
          <w:tcPr>
            <w:tcW w:w="4110" w:type="dxa"/>
          </w:tcPr>
          <w:tbl>
            <w:tblPr>
              <w:tblStyle w:val="Summarybox1"/>
              <w:tblW w:w="5000" w:type="pct"/>
              <w:tblLayout w:type="fixed"/>
              <w:tblCellMar>
                <w:left w:w="28" w:type="dxa"/>
                <w:right w:w="28" w:type="dxa"/>
              </w:tblCellMar>
              <w:tblLook w:val="04A0" w:firstRow="1" w:lastRow="0" w:firstColumn="1" w:lastColumn="0" w:noHBand="0" w:noVBand="1"/>
              <w:tblDescription w:val="Length of stay - application 1652"/>
            </w:tblPr>
            <w:tblGrid>
              <w:gridCol w:w="1048"/>
              <w:gridCol w:w="972"/>
              <w:gridCol w:w="1012"/>
              <w:gridCol w:w="1012"/>
            </w:tblGrid>
            <w:tr w:rsidR="00C84042" w:rsidRPr="00C84042" w14:paraId="47C590CD" w14:textId="77777777" w:rsidTr="00A123CD">
              <w:trPr>
                <w:tblHeader/>
              </w:trPr>
              <w:tc>
                <w:tcPr>
                  <w:tcW w:w="1296" w:type="pct"/>
                </w:tcPr>
                <w:p w14:paraId="3830FA1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Source</w:t>
                  </w:r>
                </w:p>
              </w:tc>
              <w:tc>
                <w:tcPr>
                  <w:tcW w:w="1202" w:type="pct"/>
                </w:tcPr>
                <w:p w14:paraId="49F62B20"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TAVI</w:t>
                  </w:r>
                </w:p>
              </w:tc>
              <w:tc>
                <w:tcPr>
                  <w:tcW w:w="1251" w:type="pct"/>
                </w:tcPr>
                <w:p w14:paraId="03E1595F"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SAVR</w:t>
                  </w:r>
                </w:p>
              </w:tc>
              <w:tc>
                <w:tcPr>
                  <w:tcW w:w="1251" w:type="pct"/>
                </w:tcPr>
                <w:p w14:paraId="772E56D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Diff. /Ratio</w:t>
                  </w:r>
                </w:p>
              </w:tc>
            </w:tr>
            <w:tr w:rsidR="00C84042" w:rsidRPr="00C84042" w14:paraId="53512B13" w14:textId="77777777" w:rsidTr="005F024E">
              <w:tc>
                <w:tcPr>
                  <w:tcW w:w="1296" w:type="pct"/>
                </w:tcPr>
                <w:p w14:paraId="0150F280"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Meta-analysis</w:t>
                  </w:r>
                </w:p>
              </w:tc>
              <w:tc>
                <w:tcPr>
                  <w:tcW w:w="1202" w:type="pct"/>
                </w:tcPr>
                <w:p w14:paraId="1973CCCD"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6.0 days</w:t>
                  </w:r>
                </w:p>
              </w:tc>
              <w:tc>
                <w:tcPr>
                  <w:tcW w:w="1251" w:type="pct"/>
                </w:tcPr>
                <w:p w14:paraId="0A84A613"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10.3 days</w:t>
                  </w:r>
                </w:p>
              </w:tc>
              <w:tc>
                <w:tcPr>
                  <w:tcW w:w="1251" w:type="pct"/>
                </w:tcPr>
                <w:p w14:paraId="1DE3DE77"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4.2 days</w:t>
                  </w:r>
                </w:p>
                <w:p w14:paraId="49DA35DD"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1:1.7</w:t>
                  </w:r>
                </w:p>
              </w:tc>
            </w:tr>
            <w:tr w:rsidR="00C84042" w:rsidRPr="00C84042" w14:paraId="119018AA" w14:textId="77777777" w:rsidTr="005F024E">
              <w:tc>
                <w:tcPr>
                  <w:tcW w:w="1296" w:type="pct"/>
                </w:tcPr>
                <w:p w14:paraId="6BEE5A8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 xml:space="preserve">PARTNER 2A </w:t>
                  </w:r>
                </w:p>
              </w:tc>
              <w:tc>
                <w:tcPr>
                  <w:tcW w:w="1202" w:type="pct"/>
                </w:tcPr>
                <w:p w14:paraId="3213089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w:t>
                  </w:r>
                </w:p>
                <w:p w14:paraId="1F3C6657"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6.3</w:t>
                  </w:r>
                </w:p>
              </w:tc>
              <w:tc>
                <w:tcPr>
                  <w:tcW w:w="1251" w:type="pct"/>
                </w:tcPr>
                <w:p w14:paraId="6B2ECBE7"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w:t>
                  </w:r>
                </w:p>
                <w:p w14:paraId="7D5154E0"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10.7</w:t>
                  </w:r>
                </w:p>
              </w:tc>
              <w:tc>
                <w:tcPr>
                  <w:tcW w:w="1251" w:type="pct"/>
                </w:tcPr>
                <w:p w14:paraId="34320E3C"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5 days</w:t>
                  </w:r>
                </w:p>
                <w:p w14:paraId="7F58ED2F"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 2.25</w:t>
                  </w:r>
                </w:p>
              </w:tc>
            </w:tr>
            <w:tr w:rsidR="00C84042" w:rsidRPr="00C84042" w14:paraId="55F75D26" w14:textId="77777777" w:rsidTr="005F024E">
              <w:tc>
                <w:tcPr>
                  <w:tcW w:w="1296" w:type="pct"/>
                </w:tcPr>
                <w:p w14:paraId="600EFD82"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SURTAVI RCT</w:t>
                  </w:r>
                </w:p>
              </w:tc>
              <w:tc>
                <w:tcPr>
                  <w:tcW w:w="1202" w:type="pct"/>
                </w:tcPr>
                <w:p w14:paraId="3A20569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5.75 days ±4.85</w:t>
                  </w:r>
                </w:p>
              </w:tc>
              <w:tc>
                <w:tcPr>
                  <w:tcW w:w="1251" w:type="pct"/>
                </w:tcPr>
                <w:p w14:paraId="05A5D990"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9.75 days</w:t>
                  </w:r>
                </w:p>
                <w:p w14:paraId="46981778"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±8.03</w:t>
                  </w:r>
                </w:p>
              </w:tc>
              <w:tc>
                <w:tcPr>
                  <w:tcW w:w="1251" w:type="pct"/>
                </w:tcPr>
                <w:p w14:paraId="53C92C3C"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4 days</w:t>
                  </w:r>
                </w:p>
                <w:p w14:paraId="67B2EB3C"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1:1.7</w:t>
                  </w:r>
                </w:p>
              </w:tc>
            </w:tr>
          </w:tbl>
          <w:p w14:paraId="0DBD5A6B" w14:textId="77777777" w:rsidR="00C84042" w:rsidRPr="00C84042" w:rsidRDefault="00C84042" w:rsidP="00C84042">
            <w:pPr>
              <w:spacing w:before="40" w:after="40"/>
              <w:rPr>
                <w:rFonts w:ascii="Arial Narrow" w:eastAsia="Calibri" w:hAnsi="Arial Narrow"/>
                <w:sz w:val="20"/>
                <w:szCs w:val="24"/>
              </w:rPr>
            </w:pPr>
          </w:p>
        </w:tc>
        <w:tc>
          <w:tcPr>
            <w:tcW w:w="4678" w:type="dxa"/>
          </w:tcPr>
          <w:tbl>
            <w:tblPr>
              <w:tblStyle w:val="Summarybox1"/>
              <w:tblW w:w="5000" w:type="pct"/>
              <w:tblLayout w:type="fixed"/>
              <w:tblCellMar>
                <w:left w:w="28" w:type="dxa"/>
                <w:right w:w="28" w:type="dxa"/>
              </w:tblCellMar>
              <w:tblLook w:val="04A0" w:firstRow="1" w:lastRow="0" w:firstColumn="1" w:lastColumn="0" w:noHBand="0" w:noVBand="1"/>
              <w:tblDescription w:val="Length of stay - application 1603"/>
            </w:tblPr>
            <w:tblGrid>
              <w:gridCol w:w="1194"/>
              <w:gridCol w:w="1195"/>
              <w:gridCol w:w="1070"/>
              <w:gridCol w:w="1153"/>
            </w:tblGrid>
            <w:tr w:rsidR="00C84042" w:rsidRPr="00C84042" w14:paraId="53B77D6D" w14:textId="77777777" w:rsidTr="00A123CD">
              <w:trPr>
                <w:tblHeader/>
              </w:trPr>
              <w:tc>
                <w:tcPr>
                  <w:tcW w:w="1294" w:type="pct"/>
                </w:tcPr>
                <w:p w14:paraId="344265A8"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Source</w:t>
                  </w:r>
                </w:p>
              </w:tc>
              <w:tc>
                <w:tcPr>
                  <w:tcW w:w="1296" w:type="pct"/>
                </w:tcPr>
                <w:p w14:paraId="7242AD0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TAVI</w:t>
                  </w:r>
                </w:p>
              </w:tc>
              <w:tc>
                <w:tcPr>
                  <w:tcW w:w="1160" w:type="pct"/>
                </w:tcPr>
                <w:p w14:paraId="02F3EA7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SAVR</w:t>
                  </w:r>
                </w:p>
              </w:tc>
              <w:tc>
                <w:tcPr>
                  <w:tcW w:w="1250" w:type="pct"/>
                </w:tcPr>
                <w:p w14:paraId="627593E4"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Diff. /Ratio</w:t>
                  </w:r>
                </w:p>
              </w:tc>
            </w:tr>
            <w:tr w:rsidR="00C84042" w:rsidRPr="00C84042" w14:paraId="221B4DA1" w14:textId="77777777" w:rsidTr="005F024E">
              <w:tc>
                <w:tcPr>
                  <w:tcW w:w="1294" w:type="pct"/>
                </w:tcPr>
                <w:p w14:paraId="4153A925"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BEV: Partner 3Si naïve comparison</w:t>
                  </w:r>
                </w:p>
              </w:tc>
              <w:tc>
                <w:tcPr>
                  <w:tcW w:w="1296" w:type="pct"/>
                </w:tcPr>
                <w:p w14:paraId="418CD585"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Median: 4 days</w:t>
                  </w:r>
                </w:p>
              </w:tc>
              <w:tc>
                <w:tcPr>
                  <w:tcW w:w="1160" w:type="pct"/>
                </w:tcPr>
                <w:p w14:paraId="52E82A6E"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Median:</w:t>
                  </w:r>
                </w:p>
                <w:p w14:paraId="2FB09302"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9 days</w:t>
                  </w:r>
                </w:p>
              </w:tc>
              <w:tc>
                <w:tcPr>
                  <w:tcW w:w="1250" w:type="pct"/>
                </w:tcPr>
                <w:p w14:paraId="24046D6C"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5 days</w:t>
                  </w:r>
                </w:p>
                <w:p w14:paraId="58E69CD4"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 2.25</w:t>
                  </w:r>
                </w:p>
              </w:tc>
            </w:tr>
            <w:tr w:rsidR="00C84042" w:rsidRPr="00C84042" w14:paraId="6C0AE4AC" w14:textId="77777777" w:rsidTr="005F024E">
              <w:tc>
                <w:tcPr>
                  <w:tcW w:w="1294" w:type="pct"/>
                </w:tcPr>
                <w:p w14:paraId="0C7DE073"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SEV: SURTAVI RCT</w:t>
                  </w:r>
                </w:p>
              </w:tc>
              <w:tc>
                <w:tcPr>
                  <w:tcW w:w="1296" w:type="pct"/>
                </w:tcPr>
                <w:p w14:paraId="54184FC7"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5.75 days ±4.85</w:t>
                  </w:r>
                </w:p>
              </w:tc>
              <w:tc>
                <w:tcPr>
                  <w:tcW w:w="1160" w:type="pct"/>
                </w:tcPr>
                <w:p w14:paraId="43B9616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Mean: 9.75 days</w:t>
                  </w:r>
                </w:p>
                <w:p w14:paraId="39D9A925"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±8.03</w:t>
                  </w:r>
                </w:p>
              </w:tc>
              <w:tc>
                <w:tcPr>
                  <w:tcW w:w="1250" w:type="pct"/>
                </w:tcPr>
                <w:p w14:paraId="6E3AC149"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4 days</w:t>
                  </w:r>
                </w:p>
                <w:p w14:paraId="5F160D58"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1:1.7</w:t>
                  </w:r>
                </w:p>
              </w:tc>
            </w:tr>
          </w:tbl>
          <w:p w14:paraId="78F3966A" w14:textId="77777777" w:rsidR="00C84042" w:rsidRPr="00C84042" w:rsidRDefault="00C84042" w:rsidP="00C84042">
            <w:pPr>
              <w:spacing w:before="40" w:after="40"/>
              <w:rPr>
                <w:rFonts w:ascii="Arial Narrow" w:eastAsia="Calibri" w:hAnsi="Arial Narrow"/>
                <w:sz w:val="18"/>
                <w:szCs w:val="24"/>
              </w:rPr>
            </w:pPr>
          </w:p>
        </w:tc>
        <w:tc>
          <w:tcPr>
            <w:tcW w:w="3605" w:type="dxa"/>
          </w:tcPr>
          <w:tbl>
            <w:tblPr>
              <w:tblStyle w:val="Summarybox1"/>
              <w:tblW w:w="5000" w:type="pct"/>
              <w:tblLayout w:type="fixed"/>
              <w:tblCellMar>
                <w:left w:w="28" w:type="dxa"/>
                <w:right w:w="28" w:type="dxa"/>
              </w:tblCellMar>
              <w:tblLook w:val="04A0" w:firstRow="1" w:lastRow="0" w:firstColumn="1" w:lastColumn="0" w:noHBand="0" w:noVBand="1"/>
              <w:tblDescription w:val="Length of stay - application 1361.2"/>
            </w:tblPr>
            <w:tblGrid>
              <w:gridCol w:w="976"/>
              <w:gridCol w:w="810"/>
              <w:gridCol w:w="827"/>
              <w:gridCol w:w="926"/>
            </w:tblGrid>
            <w:tr w:rsidR="00C84042" w:rsidRPr="00C84042" w14:paraId="01EA42F6" w14:textId="77777777" w:rsidTr="00A123CD">
              <w:trPr>
                <w:tblHeader/>
              </w:trPr>
              <w:tc>
                <w:tcPr>
                  <w:tcW w:w="1380" w:type="pct"/>
                </w:tcPr>
                <w:p w14:paraId="33DE4B22"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Source</w:t>
                  </w:r>
                </w:p>
              </w:tc>
              <w:tc>
                <w:tcPr>
                  <w:tcW w:w="1144" w:type="pct"/>
                </w:tcPr>
                <w:p w14:paraId="71F51D1B"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TAVI</w:t>
                  </w:r>
                </w:p>
              </w:tc>
              <w:tc>
                <w:tcPr>
                  <w:tcW w:w="1168" w:type="pct"/>
                </w:tcPr>
                <w:p w14:paraId="636A992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SAVR</w:t>
                  </w:r>
                </w:p>
              </w:tc>
              <w:tc>
                <w:tcPr>
                  <w:tcW w:w="1308" w:type="pct"/>
                </w:tcPr>
                <w:p w14:paraId="0B817ECD"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Diff./Ratio</w:t>
                  </w:r>
                </w:p>
              </w:tc>
            </w:tr>
            <w:tr w:rsidR="00C84042" w:rsidRPr="00C84042" w14:paraId="5370EA49" w14:textId="77777777" w:rsidTr="005F024E">
              <w:tc>
                <w:tcPr>
                  <w:tcW w:w="1380" w:type="pct"/>
                </w:tcPr>
                <w:p w14:paraId="13178B98"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 xml:space="preserve">Yong 2012 </w:t>
                  </w:r>
                </w:p>
              </w:tc>
              <w:tc>
                <w:tcPr>
                  <w:tcW w:w="1144" w:type="pct"/>
                </w:tcPr>
                <w:p w14:paraId="095310DA"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6.2 days</w:t>
                  </w:r>
                </w:p>
              </w:tc>
              <w:tc>
                <w:tcPr>
                  <w:tcW w:w="1168" w:type="pct"/>
                </w:tcPr>
                <w:p w14:paraId="52BA4260"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12 days</w:t>
                  </w:r>
                </w:p>
              </w:tc>
              <w:tc>
                <w:tcPr>
                  <w:tcW w:w="1308" w:type="pct"/>
                </w:tcPr>
                <w:p w14:paraId="4E914C25"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5.8 days</w:t>
                  </w:r>
                </w:p>
                <w:p w14:paraId="3722F72A"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 2.0</w:t>
                  </w:r>
                </w:p>
              </w:tc>
            </w:tr>
            <w:tr w:rsidR="00C84042" w:rsidRPr="00C84042" w14:paraId="43F04FB1" w14:textId="77777777" w:rsidTr="005F024E">
              <w:tc>
                <w:tcPr>
                  <w:tcW w:w="1380" w:type="pct"/>
                </w:tcPr>
                <w:p w14:paraId="2DD8DF2B"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PARTNER trial</w:t>
                  </w:r>
                </w:p>
              </w:tc>
              <w:tc>
                <w:tcPr>
                  <w:tcW w:w="1144" w:type="pct"/>
                </w:tcPr>
                <w:p w14:paraId="73F636A1"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8 days</w:t>
                  </w:r>
                </w:p>
              </w:tc>
              <w:tc>
                <w:tcPr>
                  <w:tcW w:w="1168" w:type="pct"/>
                </w:tcPr>
                <w:p w14:paraId="479ABFAA"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12 days</w:t>
                  </w:r>
                </w:p>
              </w:tc>
              <w:tc>
                <w:tcPr>
                  <w:tcW w:w="1308" w:type="pct"/>
                </w:tcPr>
                <w:p w14:paraId="16B7BC4B"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4 days</w:t>
                  </w:r>
                </w:p>
                <w:p w14:paraId="21BF536D" w14:textId="77777777" w:rsidR="00C84042" w:rsidRPr="00C84042" w:rsidRDefault="00C84042" w:rsidP="00C84042">
                  <w:pPr>
                    <w:spacing w:before="40" w:after="40"/>
                    <w:rPr>
                      <w:rFonts w:ascii="Arial Narrow" w:eastAsia="Calibri" w:hAnsi="Arial Narrow"/>
                      <w:sz w:val="18"/>
                      <w:szCs w:val="24"/>
                    </w:rPr>
                  </w:pPr>
                  <w:r w:rsidRPr="00C84042">
                    <w:rPr>
                      <w:rFonts w:ascii="Arial Narrow" w:eastAsia="Calibri" w:hAnsi="Arial Narrow"/>
                      <w:sz w:val="18"/>
                      <w:szCs w:val="24"/>
                    </w:rPr>
                    <w:t>1:1.5</w:t>
                  </w:r>
                </w:p>
              </w:tc>
            </w:tr>
          </w:tbl>
          <w:p w14:paraId="752E23FF"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MSAC accepted estimate from PARTNER trial (Smith 2011). </w:t>
            </w:r>
          </w:p>
        </w:tc>
      </w:tr>
      <w:tr w:rsidR="00C84042" w:rsidRPr="00C84042" w14:paraId="39F9029C" w14:textId="77777777" w:rsidTr="005F024E">
        <w:trPr>
          <w:cantSplit/>
          <w:trHeight w:val="19"/>
        </w:trPr>
        <w:tc>
          <w:tcPr>
            <w:tcW w:w="1555" w:type="dxa"/>
          </w:tcPr>
          <w:p w14:paraId="42E2399D"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Hospitalisation cost</w:t>
            </w:r>
          </w:p>
        </w:tc>
        <w:tc>
          <w:tcPr>
            <w:tcW w:w="4110" w:type="dxa"/>
          </w:tcPr>
          <w:p w14:paraId="7BC918C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 $28,170</w:t>
            </w:r>
          </w:p>
          <w:p w14:paraId="6CC91F00"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SAVR: $47,843</w:t>
            </w:r>
          </w:p>
        </w:tc>
        <w:tc>
          <w:tcPr>
            <w:tcW w:w="4678" w:type="dxa"/>
          </w:tcPr>
          <w:p w14:paraId="7AB73B8E"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TAVI: $21,944 </w:t>
            </w:r>
          </w:p>
          <w:p w14:paraId="6274C0D4"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$49,375 </w:t>
            </w:r>
          </w:p>
        </w:tc>
        <w:tc>
          <w:tcPr>
            <w:tcW w:w="3605" w:type="dxa"/>
          </w:tcPr>
          <w:p w14:paraId="341663CD"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TAVI: $24,328</w:t>
            </w:r>
          </w:p>
          <w:p w14:paraId="59FF80B2"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SAVR: $48,655  </w:t>
            </w:r>
          </w:p>
        </w:tc>
      </w:tr>
      <w:tr w:rsidR="00C84042" w:rsidRPr="00C84042" w14:paraId="573B72F6" w14:textId="77777777" w:rsidTr="005F024E">
        <w:trPr>
          <w:cantSplit/>
          <w:trHeight w:val="19"/>
        </w:trPr>
        <w:tc>
          <w:tcPr>
            <w:tcW w:w="1555" w:type="dxa"/>
          </w:tcPr>
          <w:p w14:paraId="20E5DB43"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Calculation of SAVR hospital cost </w:t>
            </w:r>
          </w:p>
        </w:tc>
        <w:tc>
          <w:tcPr>
            <w:tcW w:w="4110" w:type="dxa"/>
          </w:tcPr>
          <w:p w14:paraId="2D1962D9"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Daily cost of $4,660 (from NHCDC 2017-18) multiplied SAVR length of stay. Inflated to 2020 costs. AR-DRG codes used: F04A, F04B, F04C</w:t>
            </w:r>
          </w:p>
        </w:tc>
        <w:tc>
          <w:tcPr>
            <w:tcW w:w="4678" w:type="dxa"/>
          </w:tcPr>
          <w:p w14:paraId="3FC1B165" w14:textId="77777777" w:rsidR="004F743A" w:rsidRDefault="004F743A" w:rsidP="004F743A">
            <w:pPr>
              <w:spacing w:before="40" w:after="40"/>
              <w:rPr>
                <w:rFonts w:ascii="Arial Narrow" w:eastAsiaTheme="minorHAnsi" w:hAnsi="Arial Narrow"/>
                <w:sz w:val="20"/>
                <w:szCs w:val="24"/>
              </w:rPr>
            </w:pPr>
            <w:r w:rsidRPr="00DF2BBB">
              <w:rPr>
                <w:rFonts w:ascii="Arial Narrow" w:eastAsiaTheme="minorHAnsi" w:hAnsi="Arial Narrow"/>
                <w:b/>
                <w:sz w:val="20"/>
                <w:szCs w:val="24"/>
              </w:rPr>
              <w:t>REDACTED.</w:t>
            </w:r>
          </w:p>
          <w:p w14:paraId="41F1D993" w14:textId="04BF3B73" w:rsidR="00C84042" w:rsidRPr="00C84042" w:rsidRDefault="004F743A" w:rsidP="004F743A">
            <w:pPr>
              <w:spacing w:before="40" w:after="40"/>
              <w:rPr>
                <w:rFonts w:ascii="Arial Narrow" w:eastAsia="Calibri" w:hAnsi="Arial Narrow"/>
                <w:sz w:val="20"/>
                <w:szCs w:val="24"/>
              </w:rPr>
            </w:pPr>
            <w:r w:rsidRPr="00F62546">
              <w:rPr>
                <w:rFonts w:ascii="Arial Narrow" w:eastAsiaTheme="minorHAnsi" w:hAnsi="Arial Narrow"/>
                <w:sz w:val="20"/>
                <w:szCs w:val="24"/>
              </w:rPr>
              <w:t>AR</w:t>
            </w:r>
            <w:r w:rsidRPr="00F62546">
              <w:rPr>
                <w:rFonts w:ascii="Arial Narrow" w:eastAsiaTheme="minorHAnsi" w:hAnsi="Arial Narrow"/>
                <w:sz w:val="20"/>
                <w:szCs w:val="24"/>
              </w:rPr>
              <w:noBreakHyphen/>
              <w:t xml:space="preserve">DRG codes used: </w:t>
            </w:r>
            <w:r w:rsidRPr="00DF2BBB">
              <w:rPr>
                <w:rFonts w:ascii="Arial Narrow" w:eastAsiaTheme="minorHAnsi" w:hAnsi="Arial Narrow"/>
                <w:b/>
                <w:sz w:val="20"/>
                <w:szCs w:val="24"/>
              </w:rPr>
              <w:t>REDACTED.</w:t>
            </w:r>
          </w:p>
        </w:tc>
        <w:tc>
          <w:tcPr>
            <w:tcW w:w="3605" w:type="dxa"/>
          </w:tcPr>
          <w:p w14:paraId="7634C5D3"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Calculated from NHCDC costs. </w:t>
            </w:r>
          </w:p>
          <w:p w14:paraId="61961F4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AR-DRG codes used: F04A</w:t>
            </w:r>
          </w:p>
        </w:tc>
      </w:tr>
      <w:tr w:rsidR="00C84042" w:rsidRPr="00C84042" w14:paraId="6B094862" w14:textId="77777777" w:rsidTr="005F024E">
        <w:trPr>
          <w:cantSplit/>
          <w:trHeight w:val="19"/>
        </w:trPr>
        <w:tc>
          <w:tcPr>
            <w:tcW w:w="1555" w:type="dxa"/>
          </w:tcPr>
          <w:p w14:paraId="1EB624B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Calculation TAVI of hospital costs</w:t>
            </w:r>
          </w:p>
        </w:tc>
        <w:tc>
          <w:tcPr>
            <w:tcW w:w="4110" w:type="dxa"/>
          </w:tcPr>
          <w:p w14:paraId="4CABD9D9"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Daily cost ($4,660) multiplied by TAVI length of stay.</w:t>
            </w:r>
          </w:p>
        </w:tc>
        <w:tc>
          <w:tcPr>
            <w:tcW w:w="4678" w:type="dxa"/>
          </w:tcPr>
          <w:p w14:paraId="77D13158"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 xml:space="preserve">44% of SAVR cost. Based on the median length of hospital stay for TAVI-BEV (4-days) </w:t>
            </w:r>
            <w:r w:rsidRPr="00904CF2">
              <w:rPr>
                <w:rFonts w:ascii="Arial Narrow" w:eastAsia="Calibri" w:hAnsi="Arial Narrow"/>
                <w:i/>
                <w:sz w:val="20"/>
                <w:szCs w:val="24"/>
              </w:rPr>
              <w:t>vs.</w:t>
            </w:r>
            <w:r w:rsidRPr="00C84042">
              <w:rPr>
                <w:rFonts w:ascii="Arial Narrow" w:eastAsia="Calibri" w:hAnsi="Arial Narrow"/>
                <w:sz w:val="20"/>
                <w:szCs w:val="24"/>
              </w:rPr>
              <w:t xml:space="preserve"> SAVR patients (9-days) from PARTNER S3i</w:t>
            </w:r>
          </w:p>
        </w:tc>
        <w:tc>
          <w:tcPr>
            <w:tcW w:w="3605" w:type="dxa"/>
          </w:tcPr>
          <w:p w14:paraId="2F5F032B" w14:textId="24DF805A"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Based on TAVI/SAVR length of stay ratio from unpublished data by Yong (2012)</w:t>
            </w:r>
            <w:r w:rsidR="004F743A" w:rsidRPr="00C84042">
              <w:rPr>
                <w:rFonts w:ascii="Arial Narrow" w:eastAsia="Calibri" w:hAnsi="Arial Narrow"/>
                <w:sz w:val="20"/>
                <w:szCs w:val="24"/>
              </w:rPr>
              <w:t xml:space="preserve">. </w:t>
            </w:r>
            <w:r w:rsidRPr="00C84042">
              <w:rPr>
                <w:rFonts w:ascii="Arial Narrow" w:eastAsia="Calibri" w:hAnsi="Arial Narrow"/>
                <w:sz w:val="20"/>
                <w:szCs w:val="24"/>
              </w:rPr>
              <w:t>MSAC accepted 1:1.5 from the PARTNER trial</w:t>
            </w:r>
            <w:r w:rsidR="004F743A" w:rsidRPr="00C84042">
              <w:rPr>
                <w:rFonts w:ascii="Arial Narrow" w:eastAsia="Calibri" w:hAnsi="Arial Narrow"/>
                <w:sz w:val="20"/>
                <w:szCs w:val="24"/>
              </w:rPr>
              <w:t xml:space="preserve">. </w:t>
            </w:r>
          </w:p>
        </w:tc>
      </w:tr>
      <w:tr w:rsidR="00C84042" w:rsidRPr="00C84042" w14:paraId="6943D98B" w14:textId="77777777" w:rsidTr="005F024E">
        <w:trPr>
          <w:cantSplit/>
          <w:trHeight w:val="19"/>
        </w:trPr>
        <w:tc>
          <w:tcPr>
            <w:tcW w:w="1555" w:type="dxa"/>
          </w:tcPr>
          <w:p w14:paraId="5E2AC78B"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Utilisation</w:t>
            </w:r>
          </w:p>
        </w:tc>
        <w:tc>
          <w:tcPr>
            <w:tcW w:w="4110" w:type="dxa"/>
          </w:tcPr>
          <w:tbl>
            <w:tblPr>
              <w:tblStyle w:val="CMATableTemplate1"/>
              <w:tblW w:w="0" w:type="auto"/>
              <w:tblLayout w:type="fixed"/>
              <w:tblLook w:val="04A0" w:firstRow="1" w:lastRow="0" w:firstColumn="1" w:lastColumn="0" w:noHBand="0" w:noVBand="1"/>
              <w:tblDescription w:val="Utilisation - application 1652"/>
            </w:tblPr>
            <w:tblGrid>
              <w:gridCol w:w="745"/>
              <w:gridCol w:w="599"/>
              <w:gridCol w:w="600"/>
              <w:gridCol w:w="600"/>
              <w:gridCol w:w="600"/>
              <w:gridCol w:w="601"/>
            </w:tblGrid>
            <w:tr w:rsidR="00C84042" w:rsidRPr="00C84042" w14:paraId="0A38AF82" w14:textId="77777777" w:rsidTr="00A123CD">
              <w:trPr>
                <w:tblHeader/>
              </w:trPr>
              <w:tc>
                <w:tcPr>
                  <w:tcW w:w="745" w:type="dxa"/>
                </w:tcPr>
                <w:p w14:paraId="2A3607B9" w14:textId="77777777" w:rsidR="00C84042" w:rsidRPr="00C84042" w:rsidRDefault="00C84042" w:rsidP="00C84042">
                  <w:pPr>
                    <w:spacing w:before="40" w:after="40"/>
                    <w:rPr>
                      <w:rFonts w:ascii="Arial Narrow" w:hAnsi="Arial Narrow"/>
                      <w:sz w:val="20"/>
                      <w:szCs w:val="24"/>
                    </w:rPr>
                  </w:pPr>
                </w:p>
              </w:tc>
              <w:tc>
                <w:tcPr>
                  <w:tcW w:w="599" w:type="dxa"/>
                  <w:tcBorders>
                    <w:top w:val="single" w:sz="4" w:space="0" w:color="auto"/>
                    <w:left w:val="nil"/>
                    <w:bottom w:val="single" w:sz="4" w:space="0" w:color="auto"/>
                    <w:right w:val="single" w:sz="4" w:space="0" w:color="auto"/>
                  </w:tcBorders>
                  <w:shd w:val="clear" w:color="auto" w:fill="auto"/>
                  <w:vAlign w:val="center"/>
                </w:tcPr>
                <w:p w14:paraId="75D31115"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 xml:space="preserve">2021 </w:t>
                  </w:r>
                </w:p>
              </w:tc>
              <w:tc>
                <w:tcPr>
                  <w:tcW w:w="600" w:type="dxa"/>
                  <w:tcBorders>
                    <w:top w:val="single" w:sz="4" w:space="0" w:color="auto"/>
                    <w:left w:val="nil"/>
                    <w:bottom w:val="single" w:sz="4" w:space="0" w:color="auto"/>
                    <w:right w:val="single" w:sz="4" w:space="0" w:color="auto"/>
                  </w:tcBorders>
                  <w:shd w:val="clear" w:color="auto" w:fill="auto"/>
                  <w:vAlign w:val="center"/>
                </w:tcPr>
                <w:p w14:paraId="3D433A68"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2022</w:t>
                  </w:r>
                </w:p>
              </w:tc>
              <w:tc>
                <w:tcPr>
                  <w:tcW w:w="600" w:type="dxa"/>
                  <w:tcBorders>
                    <w:top w:val="single" w:sz="4" w:space="0" w:color="auto"/>
                    <w:left w:val="nil"/>
                    <w:bottom w:val="single" w:sz="4" w:space="0" w:color="auto"/>
                    <w:right w:val="single" w:sz="4" w:space="0" w:color="auto"/>
                  </w:tcBorders>
                  <w:shd w:val="clear" w:color="auto" w:fill="auto"/>
                  <w:vAlign w:val="center"/>
                </w:tcPr>
                <w:p w14:paraId="57247149"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2023</w:t>
                  </w:r>
                </w:p>
              </w:tc>
              <w:tc>
                <w:tcPr>
                  <w:tcW w:w="600" w:type="dxa"/>
                  <w:tcBorders>
                    <w:top w:val="single" w:sz="4" w:space="0" w:color="auto"/>
                    <w:left w:val="nil"/>
                    <w:bottom w:val="single" w:sz="4" w:space="0" w:color="auto"/>
                    <w:right w:val="single" w:sz="4" w:space="0" w:color="auto"/>
                  </w:tcBorders>
                  <w:shd w:val="clear" w:color="auto" w:fill="auto"/>
                  <w:vAlign w:val="center"/>
                </w:tcPr>
                <w:p w14:paraId="2C1ADEA1"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2024</w:t>
                  </w:r>
                </w:p>
              </w:tc>
              <w:tc>
                <w:tcPr>
                  <w:tcW w:w="601" w:type="dxa"/>
                  <w:tcBorders>
                    <w:top w:val="single" w:sz="4" w:space="0" w:color="auto"/>
                    <w:left w:val="nil"/>
                    <w:bottom w:val="single" w:sz="4" w:space="0" w:color="auto"/>
                    <w:right w:val="single" w:sz="4" w:space="0" w:color="auto"/>
                  </w:tcBorders>
                  <w:shd w:val="clear" w:color="auto" w:fill="auto"/>
                  <w:vAlign w:val="center"/>
                </w:tcPr>
                <w:p w14:paraId="1DDB898D"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2025</w:t>
                  </w:r>
                </w:p>
              </w:tc>
            </w:tr>
            <w:tr w:rsidR="00C84042" w:rsidRPr="00C84042" w14:paraId="7F5496B5" w14:textId="77777777" w:rsidTr="005F024E">
              <w:tc>
                <w:tcPr>
                  <w:tcW w:w="745" w:type="dxa"/>
                </w:tcPr>
                <w:p w14:paraId="3BB1B411"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Eligible (MBS)</w:t>
                  </w:r>
                </w:p>
              </w:tc>
              <w:tc>
                <w:tcPr>
                  <w:tcW w:w="599" w:type="dxa"/>
                  <w:vAlign w:val="center"/>
                </w:tcPr>
                <w:p w14:paraId="2B55BF9A"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418</w:t>
                  </w:r>
                </w:p>
              </w:tc>
              <w:tc>
                <w:tcPr>
                  <w:tcW w:w="600" w:type="dxa"/>
                  <w:vAlign w:val="center"/>
                </w:tcPr>
                <w:p w14:paraId="13A43F1B"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425</w:t>
                  </w:r>
                </w:p>
              </w:tc>
              <w:tc>
                <w:tcPr>
                  <w:tcW w:w="600" w:type="dxa"/>
                  <w:vAlign w:val="center"/>
                </w:tcPr>
                <w:p w14:paraId="1F159F37"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433</w:t>
                  </w:r>
                </w:p>
              </w:tc>
              <w:tc>
                <w:tcPr>
                  <w:tcW w:w="600" w:type="dxa"/>
                  <w:vAlign w:val="center"/>
                </w:tcPr>
                <w:p w14:paraId="1B89C17F"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440</w:t>
                  </w:r>
                </w:p>
              </w:tc>
              <w:tc>
                <w:tcPr>
                  <w:tcW w:w="601" w:type="dxa"/>
                  <w:vAlign w:val="center"/>
                </w:tcPr>
                <w:p w14:paraId="0ED0E7AD"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447</w:t>
                  </w:r>
                </w:p>
              </w:tc>
            </w:tr>
            <w:tr w:rsidR="00C84042" w:rsidRPr="00C84042" w14:paraId="001A41B6" w14:textId="77777777" w:rsidTr="005F024E">
              <w:tc>
                <w:tcPr>
                  <w:tcW w:w="745" w:type="dxa"/>
                </w:tcPr>
                <w:p w14:paraId="6B26AD2A"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Uptake</w:t>
                  </w:r>
                </w:p>
              </w:tc>
              <w:tc>
                <w:tcPr>
                  <w:tcW w:w="599" w:type="dxa"/>
                </w:tcPr>
                <w:p w14:paraId="45CE1793"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293</w:t>
                  </w:r>
                </w:p>
              </w:tc>
              <w:tc>
                <w:tcPr>
                  <w:tcW w:w="600" w:type="dxa"/>
                </w:tcPr>
                <w:p w14:paraId="0E6B2ADD"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298</w:t>
                  </w:r>
                </w:p>
              </w:tc>
              <w:tc>
                <w:tcPr>
                  <w:tcW w:w="600" w:type="dxa"/>
                </w:tcPr>
                <w:p w14:paraId="40580633"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303</w:t>
                  </w:r>
                </w:p>
              </w:tc>
              <w:tc>
                <w:tcPr>
                  <w:tcW w:w="600" w:type="dxa"/>
                </w:tcPr>
                <w:p w14:paraId="0BF2A8EC"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308</w:t>
                  </w:r>
                </w:p>
              </w:tc>
              <w:tc>
                <w:tcPr>
                  <w:tcW w:w="601" w:type="dxa"/>
                </w:tcPr>
                <w:p w14:paraId="774729C4"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313</w:t>
                  </w:r>
                </w:p>
              </w:tc>
            </w:tr>
          </w:tbl>
          <w:p w14:paraId="0A57A030" w14:textId="77777777" w:rsidR="00C84042" w:rsidRPr="00C84042" w:rsidRDefault="00C84042" w:rsidP="00C84042">
            <w:pPr>
              <w:spacing w:before="40" w:after="40"/>
              <w:rPr>
                <w:rFonts w:ascii="Arial Narrow" w:eastAsia="Calibri" w:hAnsi="Arial Narrow"/>
                <w:sz w:val="20"/>
                <w:szCs w:val="24"/>
              </w:rPr>
            </w:pPr>
          </w:p>
        </w:tc>
        <w:tc>
          <w:tcPr>
            <w:tcW w:w="4678" w:type="dxa"/>
          </w:tcPr>
          <w:p w14:paraId="5EA90656" w14:textId="4163C781" w:rsidR="00C84042" w:rsidRPr="00BD63D4" w:rsidRDefault="00BD63D4" w:rsidP="00C84042">
            <w:pPr>
              <w:spacing w:before="40" w:after="40"/>
              <w:rPr>
                <w:rFonts w:ascii="Arial Narrow" w:eastAsia="Calibri" w:hAnsi="Arial Narrow" w:cs="Tahoma"/>
                <w:b/>
                <w:sz w:val="20"/>
              </w:rPr>
            </w:pPr>
            <w:r w:rsidRPr="00BD63D4">
              <w:rPr>
                <w:rFonts w:ascii="Arial Narrow" w:eastAsia="Calibri" w:hAnsi="Arial Narrow" w:cs="Tahoma"/>
                <w:b/>
                <w:sz w:val="20"/>
              </w:rPr>
              <w:t>REDACTED</w:t>
            </w:r>
          </w:p>
          <w:tbl>
            <w:tblPr>
              <w:tblStyle w:val="CMATableTemplate1"/>
              <w:tblW w:w="0" w:type="auto"/>
              <w:tblLayout w:type="fixed"/>
              <w:tblLook w:val="04A0" w:firstRow="1" w:lastRow="0" w:firstColumn="1" w:lastColumn="0" w:noHBand="0" w:noVBand="1"/>
              <w:tblDescription w:val="Utilisation - application 1603"/>
            </w:tblPr>
            <w:tblGrid>
              <w:gridCol w:w="1108"/>
              <w:gridCol w:w="709"/>
              <w:gridCol w:w="709"/>
              <w:gridCol w:w="593"/>
              <w:gridCol w:w="683"/>
              <w:gridCol w:w="708"/>
            </w:tblGrid>
            <w:tr w:rsidR="00C84042" w:rsidRPr="00C84042" w14:paraId="4C82CCB0" w14:textId="77777777" w:rsidTr="00A123CD">
              <w:trPr>
                <w:tblHeader/>
              </w:trPr>
              <w:tc>
                <w:tcPr>
                  <w:tcW w:w="1108" w:type="dxa"/>
                </w:tcPr>
                <w:p w14:paraId="1565029A" w14:textId="77777777" w:rsidR="00C84042" w:rsidRPr="00C84042" w:rsidRDefault="00C84042" w:rsidP="00C84042">
                  <w:pPr>
                    <w:spacing w:before="40" w:after="40"/>
                    <w:rPr>
                      <w:rFonts w:ascii="Arial Narrow" w:hAnsi="Arial Narrow"/>
                      <w:sz w:val="20"/>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F2191AE"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 xml:space="preserve">2021 </w:t>
                  </w:r>
                </w:p>
              </w:tc>
              <w:tc>
                <w:tcPr>
                  <w:tcW w:w="709" w:type="dxa"/>
                  <w:tcBorders>
                    <w:top w:val="single" w:sz="4" w:space="0" w:color="auto"/>
                    <w:left w:val="nil"/>
                    <w:bottom w:val="single" w:sz="4" w:space="0" w:color="auto"/>
                    <w:right w:val="single" w:sz="4" w:space="0" w:color="auto"/>
                  </w:tcBorders>
                  <w:shd w:val="clear" w:color="auto" w:fill="auto"/>
                  <w:vAlign w:val="center"/>
                </w:tcPr>
                <w:p w14:paraId="25DEA1D8"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2022</w:t>
                  </w:r>
                </w:p>
              </w:tc>
              <w:tc>
                <w:tcPr>
                  <w:tcW w:w="593" w:type="dxa"/>
                  <w:tcBorders>
                    <w:top w:val="single" w:sz="4" w:space="0" w:color="auto"/>
                    <w:left w:val="nil"/>
                    <w:bottom w:val="single" w:sz="4" w:space="0" w:color="auto"/>
                    <w:right w:val="single" w:sz="4" w:space="0" w:color="auto"/>
                  </w:tcBorders>
                  <w:shd w:val="clear" w:color="auto" w:fill="auto"/>
                  <w:vAlign w:val="center"/>
                </w:tcPr>
                <w:p w14:paraId="68F3A8F1"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2023</w:t>
                  </w:r>
                </w:p>
              </w:tc>
              <w:tc>
                <w:tcPr>
                  <w:tcW w:w="683" w:type="dxa"/>
                  <w:tcBorders>
                    <w:top w:val="single" w:sz="4" w:space="0" w:color="auto"/>
                    <w:left w:val="nil"/>
                    <w:bottom w:val="single" w:sz="4" w:space="0" w:color="auto"/>
                    <w:right w:val="single" w:sz="4" w:space="0" w:color="auto"/>
                  </w:tcBorders>
                  <w:shd w:val="clear" w:color="auto" w:fill="auto"/>
                  <w:vAlign w:val="center"/>
                </w:tcPr>
                <w:p w14:paraId="66A51EB5"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2024</w:t>
                  </w:r>
                </w:p>
              </w:tc>
              <w:tc>
                <w:tcPr>
                  <w:tcW w:w="708" w:type="dxa"/>
                  <w:tcBorders>
                    <w:top w:val="single" w:sz="4" w:space="0" w:color="auto"/>
                    <w:left w:val="nil"/>
                    <w:bottom w:val="single" w:sz="4" w:space="0" w:color="auto"/>
                    <w:right w:val="single" w:sz="4" w:space="0" w:color="auto"/>
                  </w:tcBorders>
                  <w:shd w:val="clear" w:color="auto" w:fill="auto"/>
                  <w:vAlign w:val="center"/>
                </w:tcPr>
                <w:p w14:paraId="6797FAF1" w14:textId="77777777" w:rsidR="00C84042" w:rsidRPr="00C84042" w:rsidRDefault="00C84042" w:rsidP="00C84042">
                  <w:pPr>
                    <w:spacing w:before="40" w:after="40"/>
                    <w:rPr>
                      <w:rFonts w:ascii="Arial Narrow" w:hAnsi="Arial Narrow"/>
                      <w:b/>
                      <w:sz w:val="20"/>
                      <w:szCs w:val="24"/>
                    </w:rPr>
                  </w:pPr>
                  <w:r w:rsidRPr="00C84042">
                    <w:rPr>
                      <w:rFonts w:ascii="Arial Narrow" w:hAnsi="Arial Narrow"/>
                      <w:b/>
                      <w:sz w:val="20"/>
                      <w:szCs w:val="24"/>
                    </w:rPr>
                    <w:t>2025</w:t>
                  </w:r>
                </w:p>
              </w:tc>
            </w:tr>
            <w:tr w:rsidR="00C84042" w:rsidRPr="00C84042" w14:paraId="1982474E" w14:textId="77777777" w:rsidTr="005F024E">
              <w:tc>
                <w:tcPr>
                  <w:tcW w:w="1108" w:type="dxa"/>
                </w:tcPr>
                <w:p w14:paraId="50F34D4F"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Uptake (private)</w:t>
                  </w:r>
                </w:p>
              </w:tc>
              <w:tc>
                <w:tcPr>
                  <w:tcW w:w="709" w:type="dxa"/>
                </w:tcPr>
                <w:p w14:paraId="20E9B395"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483</w:t>
                  </w:r>
                </w:p>
              </w:tc>
              <w:tc>
                <w:tcPr>
                  <w:tcW w:w="709" w:type="dxa"/>
                </w:tcPr>
                <w:p w14:paraId="409B137A"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495</w:t>
                  </w:r>
                </w:p>
              </w:tc>
              <w:tc>
                <w:tcPr>
                  <w:tcW w:w="593" w:type="dxa"/>
                </w:tcPr>
                <w:p w14:paraId="1846F994"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507</w:t>
                  </w:r>
                </w:p>
              </w:tc>
              <w:tc>
                <w:tcPr>
                  <w:tcW w:w="683" w:type="dxa"/>
                </w:tcPr>
                <w:p w14:paraId="75E15677"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519</w:t>
                  </w:r>
                </w:p>
              </w:tc>
              <w:tc>
                <w:tcPr>
                  <w:tcW w:w="708" w:type="dxa"/>
                </w:tcPr>
                <w:p w14:paraId="60BEF9CE"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531</w:t>
                  </w:r>
                </w:p>
              </w:tc>
            </w:tr>
            <w:tr w:rsidR="00C84042" w:rsidRPr="00C84042" w14:paraId="7027534C" w14:textId="77777777" w:rsidTr="005F024E">
              <w:tc>
                <w:tcPr>
                  <w:tcW w:w="1108" w:type="dxa"/>
                </w:tcPr>
                <w:p w14:paraId="35F62B4A"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Uptake (public)</w:t>
                  </w:r>
                </w:p>
              </w:tc>
              <w:tc>
                <w:tcPr>
                  <w:tcW w:w="709" w:type="dxa"/>
                </w:tcPr>
                <w:p w14:paraId="3FE79950"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310</w:t>
                  </w:r>
                </w:p>
              </w:tc>
              <w:tc>
                <w:tcPr>
                  <w:tcW w:w="709" w:type="dxa"/>
                </w:tcPr>
                <w:p w14:paraId="32F16D54"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318</w:t>
                  </w:r>
                </w:p>
              </w:tc>
              <w:tc>
                <w:tcPr>
                  <w:tcW w:w="593" w:type="dxa"/>
                </w:tcPr>
                <w:p w14:paraId="72FBEC21"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326</w:t>
                  </w:r>
                </w:p>
              </w:tc>
              <w:tc>
                <w:tcPr>
                  <w:tcW w:w="683" w:type="dxa"/>
                </w:tcPr>
                <w:p w14:paraId="459EAC2B"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334</w:t>
                  </w:r>
                </w:p>
              </w:tc>
              <w:tc>
                <w:tcPr>
                  <w:tcW w:w="708" w:type="dxa"/>
                </w:tcPr>
                <w:p w14:paraId="733FC2F6" w14:textId="77777777" w:rsidR="00C84042" w:rsidRPr="00C84042" w:rsidRDefault="00C84042" w:rsidP="00C84042">
                  <w:pPr>
                    <w:spacing w:before="40" w:after="40"/>
                    <w:rPr>
                      <w:rFonts w:ascii="Arial Narrow" w:hAnsi="Arial Narrow"/>
                      <w:sz w:val="20"/>
                      <w:szCs w:val="24"/>
                    </w:rPr>
                  </w:pPr>
                  <w:r w:rsidRPr="00C84042">
                    <w:rPr>
                      <w:rFonts w:ascii="Arial Narrow" w:hAnsi="Arial Narrow"/>
                      <w:sz w:val="20"/>
                      <w:szCs w:val="24"/>
                    </w:rPr>
                    <w:t>342</w:t>
                  </w:r>
                </w:p>
              </w:tc>
            </w:tr>
          </w:tbl>
          <w:p w14:paraId="2FB3753C" w14:textId="77777777" w:rsidR="00C84042" w:rsidRPr="00C84042" w:rsidRDefault="00C84042" w:rsidP="00C84042">
            <w:pPr>
              <w:spacing w:before="40" w:after="40"/>
              <w:rPr>
                <w:rFonts w:ascii="Arial Narrow" w:eastAsia="Calibri" w:hAnsi="Arial Narrow"/>
                <w:sz w:val="20"/>
                <w:szCs w:val="24"/>
              </w:rPr>
            </w:pPr>
          </w:p>
        </w:tc>
        <w:tc>
          <w:tcPr>
            <w:tcW w:w="3605" w:type="dxa"/>
          </w:tcPr>
          <w:p w14:paraId="12A5448F" w14:textId="77777777" w:rsidR="00C84042" w:rsidRPr="00C84042" w:rsidRDefault="00C84042" w:rsidP="00C84042">
            <w:pPr>
              <w:spacing w:before="40" w:after="40"/>
              <w:rPr>
                <w:rFonts w:ascii="Arial Narrow" w:eastAsia="Calibri" w:hAnsi="Arial Narrow"/>
                <w:sz w:val="20"/>
                <w:szCs w:val="24"/>
              </w:rPr>
            </w:pPr>
            <w:r w:rsidRPr="00C84042">
              <w:rPr>
                <w:rFonts w:ascii="Arial Narrow" w:eastAsia="Calibri" w:hAnsi="Arial Narrow"/>
                <w:sz w:val="20"/>
                <w:szCs w:val="24"/>
              </w:rPr>
              <w:t>Not applicable</w:t>
            </w:r>
          </w:p>
        </w:tc>
      </w:tr>
    </w:tbl>
    <w:p w14:paraId="6AFDA127" w14:textId="77777777" w:rsidR="00C84042" w:rsidRPr="00C84042" w:rsidRDefault="00C84042" w:rsidP="00C84042">
      <w:pPr>
        <w:widowControl w:val="0"/>
        <w:contextualSpacing/>
        <w:rPr>
          <w:rFonts w:ascii="Arial Narrow" w:hAnsi="Arial Narrow" w:cs="Arial"/>
          <w:snapToGrid w:val="0"/>
          <w:sz w:val="18"/>
          <w:lang w:eastAsia="en-US"/>
        </w:rPr>
      </w:pPr>
      <w:r w:rsidRPr="00C84042">
        <w:rPr>
          <w:rFonts w:ascii="Arial Narrow" w:hAnsi="Arial Narrow" w:cs="Arial"/>
          <w:snapToGrid w:val="0"/>
          <w:sz w:val="18"/>
          <w:lang w:eastAsia="en-US"/>
        </w:rPr>
        <w:t>Source:  Compiled during the evaluation from Application 1652 ADAR; Application 1603 PSD; Application 1603 ADAR; Application 1361 PSD and Application 1361.2 PSD.</w:t>
      </w:r>
    </w:p>
    <w:p w14:paraId="1D79C9E2" w14:textId="7F82A005" w:rsidR="00C84042" w:rsidRPr="00C84042" w:rsidRDefault="00C84042" w:rsidP="00C84042">
      <w:pPr>
        <w:widowControl w:val="0"/>
        <w:contextualSpacing/>
        <w:rPr>
          <w:rFonts w:ascii="Arial Narrow" w:hAnsi="Arial Narrow" w:cs="Arial"/>
          <w:snapToGrid w:val="0"/>
          <w:sz w:val="18"/>
          <w:lang w:eastAsia="en-US"/>
        </w:rPr>
      </w:pPr>
      <w:r w:rsidRPr="00C84042">
        <w:rPr>
          <w:rFonts w:ascii="Arial Narrow" w:hAnsi="Arial Narrow" w:cs="Arial"/>
          <w:snapToGrid w:val="0"/>
          <w:sz w:val="18"/>
          <w:lang w:eastAsia="en-US"/>
        </w:rPr>
        <w:t xml:space="preserve">ADAR = Applicant Developed Assessment Report; AR-DRG = Australian refined diagnosis-related groups; BEV = balloon expandable valve; Diff = difference; NHCDC = National Hospital Cost Data Collection; PSD = Public Summary Document; RCT = randomised controlled trial; SAVR = surgical aortic valve replacement; SEV = self-expanding valve; TAVI = </w:t>
      </w:r>
      <w:proofErr w:type="spellStart"/>
      <w:r w:rsidRPr="00C84042">
        <w:rPr>
          <w:rFonts w:ascii="Arial Narrow" w:hAnsi="Arial Narrow" w:cs="Arial"/>
          <w:snapToGrid w:val="0"/>
          <w:sz w:val="18"/>
          <w:lang w:eastAsia="en-US"/>
        </w:rPr>
        <w:t>transcatheter</w:t>
      </w:r>
      <w:proofErr w:type="spellEnd"/>
      <w:r w:rsidRPr="00C84042">
        <w:rPr>
          <w:rFonts w:ascii="Arial Narrow" w:hAnsi="Arial Narrow" w:cs="Arial"/>
          <w:snapToGrid w:val="0"/>
          <w:sz w:val="18"/>
          <w:lang w:eastAsia="en-US"/>
        </w:rPr>
        <w:t xml:space="preserve"> aortic valve implantation </w:t>
      </w:r>
    </w:p>
    <w:p w14:paraId="6442ACFB" w14:textId="77777777" w:rsidR="00C84042" w:rsidRDefault="00C84042" w:rsidP="00C84042">
      <w:pPr>
        <w:ind w:left="284" w:hanging="284"/>
        <w:sectPr w:rsidR="00C84042" w:rsidSect="00C84042">
          <w:pgSz w:w="16838" w:h="11906" w:orient="landscape"/>
          <w:pgMar w:top="1440" w:right="1245" w:bottom="1440" w:left="1418" w:header="708" w:footer="708" w:gutter="0"/>
          <w:cols w:space="708"/>
          <w:docGrid w:linePitch="360"/>
        </w:sectPr>
      </w:pPr>
    </w:p>
    <w:p w14:paraId="6CF2F6C4" w14:textId="77777777" w:rsidR="001D4246" w:rsidRDefault="001D4246" w:rsidP="001D4246">
      <w:pPr>
        <w:pStyle w:val="Heading2"/>
      </w:pPr>
      <w:proofErr w:type="spellStart"/>
      <w:r>
        <w:lastRenderedPageBreak/>
        <w:t>PvA</w:t>
      </w:r>
      <w:proofErr w:type="spellEnd"/>
      <w:r>
        <w:t>-</w:t>
      </w:r>
      <w:r w:rsidRPr="00C25802">
        <w:t>TAVI high-</w:t>
      </w:r>
      <w:r>
        <w:t>risk and inoperable application</w:t>
      </w:r>
    </w:p>
    <w:p w14:paraId="3FF1B863" w14:textId="4A8121AC" w:rsidR="00C84042" w:rsidRPr="00B30F4A" w:rsidRDefault="00B30F4A" w:rsidP="00C84042">
      <w:pPr>
        <w:rPr>
          <w:b/>
          <w:color w:val="FF0000"/>
        </w:rPr>
      </w:pPr>
      <w:r w:rsidRPr="00B30F4A">
        <w:rPr>
          <w:b/>
        </w:rPr>
        <w:t xml:space="preserve">REDACTED. </w:t>
      </w:r>
    </w:p>
    <w:p w14:paraId="7FA254DA" w14:textId="41865A6B" w:rsidR="00C84042" w:rsidRPr="00C84042" w:rsidRDefault="00C84042" w:rsidP="005B05CF">
      <w:pPr>
        <w:keepNext/>
        <w:spacing w:before="240" w:after="40"/>
        <w:jc w:val="both"/>
        <w:outlineLvl w:val="4"/>
        <w:rPr>
          <w:rFonts w:ascii="Arial Narrow" w:hAnsi="Arial Narrow" w:cs="Arial"/>
          <w:b/>
          <w:bCs/>
          <w:iCs/>
          <w:sz w:val="20"/>
          <w:lang w:eastAsia="en-US"/>
        </w:rPr>
      </w:pPr>
      <w:bookmarkStart w:id="1" w:name="_Ref65072450"/>
      <w:r w:rsidRPr="00C84042">
        <w:rPr>
          <w:rFonts w:ascii="Arial Narrow" w:hAnsi="Arial Narrow" w:cs="Arial"/>
          <w:b/>
          <w:bCs/>
          <w:iCs/>
          <w:sz w:val="20"/>
          <w:lang w:eastAsia="en-US"/>
        </w:rPr>
        <w:t xml:space="preserve">Table </w:t>
      </w:r>
      <w:r w:rsidRPr="00C84042">
        <w:rPr>
          <w:rFonts w:ascii="Arial Narrow" w:hAnsi="Arial Narrow" w:cs="Arial"/>
          <w:b/>
          <w:bCs/>
          <w:iCs/>
          <w:sz w:val="20"/>
          <w:lang w:eastAsia="en-US"/>
        </w:rPr>
        <w:fldChar w:fldCharType="begin"/>
      </w:r>
      <w:r w:rsidRPr="00C84042">
        <w:rPr>
          <w:rFonts w:ascii="Arial Narrow" w:hAnsi="Arial Narrow" w:cs="Arial"/>
          <w:b/>
          <w:bCs/>
          <w:iCs/>
          <w:sz w:val="20"/>
          <w:lang w:eastAsia="en-US"/>
        </w:rPr>
        <w:instrText xml:space="preserve"> SEQ Table \* ARABIC </w:instrText>
      </w:r>
      <w:r w:rsidRPr="00C84042">
        <w:rPr>
          <w:rFonts w:ascii="Arial Narrow" w:hAnsi="Arial Narrow" w:cs="Arial"/>
          <w:b/>
          <w:bCs/>
          <w:iCs/>
          <w:sz w:val="20"/>
          <w:lang w:eastAsia="en-US"/>
        </w:rPr>
        <w:fldChar w:fldCharType="separate"/>
      </w:r>
      <w:r w:rsidR="00C24855">
        <w:rPr>
          <w:rFonts w:ascii="Arial Narrow" w:hAnsi="Arial Narrow" w:cs="Arial"/>
          <w:b/>
          <w:bCs/>
          <w:iCs/>
          <w:noProof/>
          <w:sz w:val="20"/>
          <w:lang w:eastAsia="en-US"/>
        </w:rPr>
        <w:t>2</w:t>
      </w:r>
      <w:r w:rsidRPr="00C84042">
        <w:rPr>
          <w:rFonts w:ascii="Arial Narrow" w:hAnsi="Arial Narrow" w:cs="Arial"/>
          <w:b/>
          <w:bCs/>
          <w:iCs/>
          <w:noProof/>
          <w:sz w:val="20"/>
          <w:lang w:eastAsia="en-US"/>
        </w:rPr>
        <w:fldChar w:fldCharType="end"/>
      </w:r>
      <w:bookmarkEnd w:id="1"/>
      <w:r w:rsidR="004B35D0">
        <w:rPr>
          <w:rFonts w:ascii="Arial Narrow" w:hAnsi="Arial Narrow" w:cs="Arial"/>
          <w:b/>
          <w:bCs/>
          <w:iCs/>
          <w:sz w:val="20"/>
          <w:lang w:eastAsia="en-US"/>
        </w:rPr>
        <w:tab/>
      </w:r>
      <w:proofErr w:type="spellStart"/>
      <w:r w:rsidRPr="00C84042">
        <w:rPr>
          <w:rFonts w:ascii="Arial Narrow" w:hAnsi="Arial Narrow" w:cs="Arial"/>
          <w:b/>
          <w:bCs/>
          <w:iCs/>
          <w:sz w:val="20"/>
          <w:lang w:eastAsia="en-US"/>
        </w:rPr>
        <w:t>PvA</w:t>
      </w:r>
      <w:proofErr w:type="spellEnd"/>
      <w:r w:rsidRPr="00C84042">
        <w:rPr>
          <w:rFonts w:ascii="Arial Narrow" w:hAnsi="Arial Narrow" w:cs="Arial"/>
          <w:b/>
          <w:bCs/>
          <w:iCs/>
          <w:sz w:val="20"/>
          <w:lang w:eastAsia="en-US"/>
        </w:rPr>
        <w:t xml:space="preserve"> snapshot analysis of TAVI: 01 November 2017 to 31 July 2020</w:t>
      </w:r>
      <w:r w:rsidR="00B30F4A">
        <w:rPr>
          <w:rFonts w:ascii="Arial Narrow" w:hAnsi="Arial Narrow" w:cs="Arial"/>
          <w:b/>
          <w:bCs/>
          <w:iCs/>
          <w:sz w:val="20"/>
          <w:lang w:eastAsia="en-US"/>
        </w:rPr>
        <w:t xml:space="preserve"> [Redacted]</w:t>
      </w:r>
    </w:p>
    <w:p w14:paraId="4CCE5BAE" w14:textId="5761309C" w:rsidR="00C84042" w:rsidRPr="00B30F4A" w:rsidRDefault="00B30F4A" w:rsidP="005B05CF">
      <w:pPr>
        <w:spacing w:before="240"/>
        <w:rPr>
          <w:b/>
        </w:rPr>
      </w:pPr>
      <w:r w:rsidRPr="00B30F4A">
        <w:rPr>
          <w:b/>
        </w:rPr>
        <w:t xml:space="preserve">REDACTED. </w:t>
      </w:r>
    </w:p>
    <w:p w14:paraId="4AC099F7" w14:textId="58FEE2D2" w:rsidR="00C84042" w:rsidRPr="00C84042" w:rsidRDefault="00C84042" w:rsidP="005B05CF">
      <w:pPr>
        <w:tabs>
          <w:tab w:val="left" w:pos="720"/>
          <w:tab w:val="left" w:pos="1140"/>
        </w:tabs>
        <w:spacing w:before="240"/>
      </w:pPr>
      <w:r w:rsidRPr="00C84042">
        <w:fldChar w:fldCharType="begin"/>
      </w:r>
      <w:r w:rsidRPr="00C84042">
        <w:instrText xml:space="preserve"> REF _Ref64895655 \h </w:instrText>
      </w:r>
      <w:r w:rsidRPr="00C84042">
        <w:fldChar w:fldCharType="separate"/>
      </w:r>
      <w:r w:rsidR="00C24855" w:rsidRPr="00C84042">
        <w:rPr>
          <w:rFonts w:ascii="Arial Narrow" w:hAnsi="Arial Narrow" w:cs="Arial"/>
          <w:b/>
          <w:bCs/>
          <w:iCs/>
          <w:sz w:val="20"/>
          <w:lang w:eastAsia="en-US"/>
        </w:rPr>
        <w:t xml:space="preserve">Figure </w:t>
      </w:r>
      <w:r w:rsidR="00C24855">
        <w:rPr>
          <w:rFonts w:ascii="Arial Narrow" w:hAnsi="Arial Narrow" w:cs="Arial"/>
          <w:b/>
          <w:bCs/>
          <w:iCs/>
          <w:noProof/>
          <w:sz w:val="20"/>
          <w:lang w:eastAsia="en-US"/>
        </w:rPr>
        <w:t>1</w:t>
      </w:r>
      <w:r w:rsidRPr="00C84042">
        <w:fldChar w:fldCharType="end"/>
      </w:r>
      <w:r w:rsidRPr="00C84042">
        <w:t xml:space="preserve"> presents the MBS utilisation of SAVR items (38488 and 38489) and TAVI (item 38489).</w:t>
      </w:r>
    </w:p>
    <w:p w14:paraId="59DF702C" w14:textId="77777777" w:rsidR="00C84042" w:rsidRPr="00C84042" w:rsidRDefault="00C84042" w:rsidP="00C84042">
      <w:pPr>
        <w:tabs>
          <w:tab w:val="left" w:pos="720"/>
          <w:tab w:val="left" w:pos="1140"/>
        </w:tabs>
      </w:pPr>
    </w:p>
    <w:p w14:paraId="6BDF20D9" w14:textId="77777777" w:rsidR="00C84042" w:rsidRPr="00C84042" w:rsidRDefault="00C84042" w:rsidP="00C84042">
      <w:pPr>
        <w:keepNext/>
        <w:tabs>
          <w:tab w:val="left" w:pos="720"/>
          <w:tab w:val="left" w:pos="1140"/>
        </w:tabs>
      </w:pPr>
      <w:r w:rsidRPr="00C84042">
        <w:rPr>
          <w:noProof/>
        </w:rPr>
        <w:drawing>
          <wp:inline distT="0" distB="0" distL="0" distR="0" wp14:anchorId="5DCE3315" wp14:editId="11164B76">
            <wp:extent cx="5343525" cy="2562225"/>
            <wp:effectExtent l="0" t="0" r="9525" b="9525"/>
            <wp:docPr id="4" name="Chart 4" descr="MBS utilisation of SAVR (items 38488 and 38489) and TAVI (item 38489) "/>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FC0F01" w14:textId="1A95F07D" w:rsidR="00C84042" w:rsidRPr="00C84042" w:rsidRDefault="00C84042" w:rsidP="00C84042">
      <w:pPr>
        <w:keepNext/>
        <w:spacing w:after="40"/>
        <w:outlineLvl w:val="4"/>
        <w:rPr>
          <w:rFonts w:ascii="Arial Narrow" w:hAnsi="Arial Narrow" w:cs="Arial"/>
          <w:b/>
          <w:bCs/>
          <w:iCs/>
          <w:sz w:val="20"/>
          <w:lang w:eastAsia="en-US"/>
        </w:rPr>
      </w:pPr>
      <w:bookmarkStart w:id="2" w:name="_Ref64895655"/>
      <w:bookmarkStart w:id="3" w:name="_Ref65072467"/>
      <w:r w:rsidRPr="00C84042">
        <w:rPr>
          <w:rFonts w:ascii="Arial Narrow" w:hAnsi="Arial Narrow" w:cs="Arial"/>
          <w:b/>
          <w:bCs/>
          <w:iCs/>
          <w:sz w:val="20"/>
          <w:lang w:eastAsia="en-US"/>
        </w:rPr>
        <w:t xml:space="preserve">Figure </w:t>
      </w:r>
      <w:r w:rsidRPr="00C84042">
        <w:rPr>
          <w:rFonts w:ascii="Arial Narrow" w:hAnsi="Arial Narrow" w:cs="Arial"/>
          <w:b/>
          <w:bCs/>
          <w:iCs/>
          <w:sz w:val="20"/>
          <w:lang w:eastAsia="en-US"/>
        </w:rPr>
        <w:fldChar w:fldCharType="begin"/>
      </w:r>
      <w:r w:rsidRPr="00C84042">
        <w:rPr>
          <w:rFonts w:ascii="Arial Narrow" w:hAnsi="Arial Narrow" w:cs="Arial"/>
          <w:b/>
          <w:bCs/>
          <w:iCs/>
          <w:sz w:val="20"/>
          <w:lang w:eastAsia="en-US"/>
        </w:rPr>
        <w:instrText xml:space="preserve"> SEQ Figure \* ARABIC </w:instrText>
      </w:r>
      <w:r w:rsidRPr="00C84042">
        <w:rPr>
          <w:rFonts w:ascii="Arial Narrow" w:hAnsi="Arial Narrow" w:cs="Arial"/>
          <w:b/>
          <w:bCs/>
          <w:iCs/>
          <w:sz w:val="20"/>
          <w:lang w:eastAsia="en-US"/>
        </w:rPr>
        <w:fldChar w:fldCharType="separate"/>
      </w:r>
      <w:r w:rsidR="00C24855">
        <w:rPr>
          <w:rFonts w:ascii="Arial Narrow" w:hAnsi="Arial Narrow" w:cs="Arial"/>
          <w:b/>
          <w:bCs/>
          <w:iCs/>
          <w:noProof/>
          <w:sz w:val="20"/>
          <w:lang w:eastAsia="en-US"/>
        </w:rPr>
        <w:t>1</w:t>
      </w:r>
      <w:r w:rsidRPr="00C84042">
        <w:rPr>
          <w:rFonts w:ascii="Arial Narrow" w:hAnsi="Arial Narrow" w:cs="Arial"/>
          <w:b/>
          <w:bCs/>
          <w:iCs/>
          <w:noProof/>
          <w:sz w:val="20"/>
          <w:lang w:eastAsia="en-US"/>
        </w:rPr>
        <w:fldChar w:fldCharType="end"/>
      </w:r>
      <w:bookmarkEnd w:id="2"/>
      <w:r w:rsidRPr="00C84042">
        <w:rPr>
          <w:rFonts w:ascii="Arial Narrow" w:hAnsi="Arial Narrow" w:cs="Arial"/>
          <w:b/>
          <w:bCs/>
          <w:iCs/>
          <w:sz w:val="20"/>
          <w:lang w:eastAsia="en-US"/>
        </w:rPr>
        <w:tab/>
        <w:t>MBS utilisation of SAVR (items 38488 and 38489) and TAVI (item 38489)</w:t>
      </w:r>
      <w:bookmarkEnd w:id="3"/>
      <w:r w:rsidRPr="00C84042">
        <w:rPr>
          <w:rFonts w:ascii="Arial Narrow" w:hAnsi="Arial Narrow" w:cs="Arial"/>
          <w:b/>
          <w:bCs/>
          <w:iCs/>
          <w:sz w:val="20"/>
          <w:lang w:eastAsia="en-US"/>
        </w:rPr>
        <w:t xml:space="preserve"> </w:t>
      </w:r>
    </w:p>
    <w:p w14:paraId="05D8820B" w14:textId="77777777" w:rsidR="00C84042" w:rsidRPr="00C84042" w:rsidRDefault="00C84042" w:rsidP="00C84042">
      <w:pPr>
        <w:widowControl w:val="0"/>
        <w:spacing w:after="240"/>
        <w:contextualSpacing/>
        <w:rPr>
          <w:rFonts w:ascii="Arial Narrow" w:hAnsi="Arial Narrow" w:cs="Arial"/>
          <w:snapToGrid w:val="0"/>
          <w:sz w:val="18"/>
          <w:lang w:eastAsia="en-US"/>
        </w:rPr>
      </w:pPr>
      <w:r w:rsidRPr="00C84042">
        <w:rPr>
          <w:rFonts w:ascii="Arial Narrow" w:hAnsi="Arial Narrow" w:cs="Arial"/>
          <w:snapToGrid w:val="0"/>
          <w:sz w:val="18"/>
          <w:lang w:eastAsia="en-US"/>
        </w:rPr>
        <w:t>Source: Medicare Item Reports, Services Australia.  Extracted 15 February 2021</w:t>
      </w:r>
    </w:p>
    <w:p w14:paraId="5E0189F4" w14:textId="77777777" w:rsidR="00C84042" w:rsidRPr="00C84042" w:rsidRDefault="00C84042" w:rsidP="00C84042">
      <w:pPr>
        <w:widowControl w:val="0"/>
        <w:spacing w:after="240"/>
        <w:contextualSpacing/>
        <w:rPr>
          <w:rFonts w:ascii="Arial Narrow" w:hAnsi="Arial Narrow" w:cs="Arial"/>
          <w:snapToGrid w:val="0"/>
          <w:sz w:val="18"/>
          <w:lang w:eastAsia="en-US"/>
        </w:rPr>
        <w:sectPr w:rsidR="00C84042" w:rsidRPr="00C84042" w:rsidSect="005F024E">
          <w:pgSz w:w="11906" w:h="16838"/>
          <w:pgMar w:top="1440" w:right="1440" w:bottom="1134" w:left="1440" w:header="708" w:footer="708" w:gutter="0"/>
          <w:cols w:space="708"/>
          <w:docGrid w:linePitch="360"/>
        </w:sectPr>
      </w:pPr>
      <w:r w:rsidRPr="00C84042">
        <w:rPr>
          <w:rFonts w:ascii="Arial Narrow" w:hAnsi="Arial Narrow" w:cs="Arial"/>
          <w:snapToGrid w:val="0"/>
          <w:sz w:val="18"/>
          <w:lang w:eastAsia="en-US"/>
        </w:rPr>
        <w:t xml:space="preserve">MBS = Medicare Benefits Schedule; SAVR = surgical aortic valve replacement; TAVI = </w:t>
      </w:r>
      <w:proofErr w:type="spellStart"/>
      <w:r w:rsidRPr="00C84042">
        <w:rPr>
          <w:rFonts w:ascii="Arial Narrow" w:hAnsi="Arial Narrow" w:cs="Arial"/>
          <w:snapToGrid w:val="0"/>
          <w:sz w:val="18"/>
          <w:lang w:eastAsia="en-US"/>
        </w:rPr>
        <w:t>Transcatheter</w:t>
      </w:r>
      <w:proofErr w:type="spellEnd"/>
      <w:r w:rsidRPr="00C84042">
        <w:rPr>
          <w:rFonts w:ascii="Arial Narrow" w:hAnsi="Arial Narrow" w:cs="Arial"/>
          <w:snapToGrid w:val="0"/>
          <w:sz w:val="18"/>
          <w:lang w:eastAsia="en-US"/>
        </w:rPr>
        <w:t xml:space="preserve"> Aortic Valve Implantation</w:t>
      </w:r>
    </w:p>
    <w:p w14:paraId="7E4A23C3" w14:textId="77777777" w:rsidR="00BC1364" w:rsidRPr="00F715D1" w:rsidRDefault="00BC1364" w:rsidP="00F715D1">
      <w:pPr>
        <w:pStyle w:val="Heading1"/>
      </w:pPr>
      <w:r w:rsidRPr="00F715D1">
        <w:t>Prerequisites to implementation of any funding advice</w:t>
      </w:r>
    </w:p>
    <w:p w14:paraId="7D4ADB5C" w14:textId="69354542" w:rsidR="005070BA" w:rsidRPr="00F62546" w:rsidRDefault="005070BA" w:rsidP="005070BA">
      <w:r w:rsidRPr="00F62546">
        <w:fldChar w:fldCharType="begin"/>
      </w:r>
      <w:r w:rsidRPr="00F62546">
        <w:instrText xml:space="preserve"> REF _Ref54183470 \h  \* MERGEFORMAT </w:instrText>
      </w:r>
      <w:r w:rsidRPr="00F62546">
        <w:fldChar w:fldCharType="separate"/>
      </w:r>
      <w:r w:rsidR="00C24855" w:rsidRPr="00F62546">
        <w:t xml:space="preserve">Table </w:t>
      </w:r>
      <w:r w:rsidR="00C24855">
        <w:t>3</w:t>
      </w:r>
      <w:r w:rsidRPr="00F62546">
        <w:fldChar w:fldCharType="end"/>
      </w:r>
      <w:r w:rsidRPr="00F62546">
        <w:rPr>
          <w:rFonts w:ascii="Calibri" w:hAnsi="Calibri" w:cs="Tahoma"/>
          <w:sz w:val="22"/>
          <w:szCs w:val="22"/>
        </w:rPr>
        <w:t xml:space="preserve"> </w:t>
      </w:r>
      <w:r w:rsidRPr="00F62546">
        <w:t xml:space="preserve">presents the TAVI devices registered on the ARTG. There are three TAVI systems that are registered for patients at all levels of surgical risk: Medtronic’s </w:t>
      </w:r>
      <w:proofErr w:type="spellStart"/>
      <w:r w:rsidRPr="00F62546">
        <w:t>Evolut</w:t>
      </w:r>
      <w:proofErr w:type="spellEnd"/>
      <w:r w:rsidRPr="00F62546">
        <w:t xml:space="preserve"> R and </w:t>
      </w:r>
      <w:proofErr w:type="spellStart"/>
      <w:r w:rsidRPr="00F62546">
        <w:t>Evolut</w:t>
      </w:r>
      <w:proofErr w:type="spellEnd"/>
      <w:r w:rsidRPr="00F62546">
        <w:t xml:space="preserve"> PRO, and Edwards Lifesciences SAPIEN 3. The aforementioned TAVI devices are registered as Class III medical devices. The </w:t>
      </w:r>
      <w:proofErr w:type="spellStart"/>
      <w:r w:rsidRPr="00F62546">
        <w:t>Evolut</w:t>
      </w:r>
      <w:proofErr w:type="spellEnd"/>
      <w:r w:rsidRPr="00F62546">
        <w:t xml:space="preserve"> R, </w:t>
      </w:r>
      <w:proofErr w:type="spellStart"/>
      <w:r w:rsidRPr="00F62546">
        <w:t>Evolut</w:t>
      </w:r>
      <w:proofErr w:type="spellEnd"/>
      <w:r w:rsidRPr="00F62546">
        <w:t xml:space="preserve"> PRO, Edwards Lifesciences SAPIEN 3, and Portico TAVI devices are listed on the Prosthesis List as at November 2020.</w:t>
      </w:r>
    </w:p>
    <w:p w14:paraId="7430DAA1" w14:textId="4F99422E" w:rsidR="005070BA" w:rsidRPr="00F62546" w:rsidRDefault="005070BA" w:rsidP="005B05CF">
      <w:pPr>
        <w:pStyle w:val="Caption"/>
        <w:spacing w:before="240"/>
      </w:pPr>
      <w:bookmarkStart w:id="4" w:name="_Ref54183470"/>
      <w:r w:rsidRPr="00F62546">
        <w:t xml:space="preserve">Table </w:t>
      </w:r>
      <w:r w:rsidR="002F70F5">
        <w:fldChar w:fldCharType="begin"/>
      </w:r>
      <w:r w:rsidR="002F70F5">
        <w:instrText xml:space="preserve"> SEQ Table \* ARABIC </w:instrText>
      </w:r>
      <w:r w:rsidR="002F70F5">
        <w:fldChar w:fldCharType="separate"/>
      </w:r>
      <w:r w:rsidR="00C24855">
        <w:rPr>
          <w:noProof/>
        </w:rPr>
        <w:t>3</w:t>
      </w:r>
      <w:r w:rsidR="002F70F5">
        <w:rPr>
          <w:noProof/>
        </w:rPr>
        <w:fldChar w:fldCharType="end"/>
      </w:r>
      <w:bookmarkEnd w:id="4"/>
      <w:r w:rsidR="004B35D0">
        <w:tab/>
      </w:r>
      <w:r w:rsidRPr="00F62546">
        <w:t>TAVI devices on the ARTG</w:t>
      </w:r>
    </w:p>
    <w:tbl>
      <w:tblPr>
        <w:tblStyle w:val="CMATableTemplate1"/>
        <w:tblW w:w="5000" w:type="pct"/>
        <w:tblLook w:val="04A0" w:firstRow="1" w:lastRow="0" w:firstColumn="1" w:lastColumn="0" w:noHBand="0" w:noVBand="1"/>
        <w:tblDescription w:val="TAVI devices on the ARTG"/>
      </w:tblPr>
      <w:tblGrid>
        <w:gridCol w:w="862"/>
        <w:gridCol w:w="1879"/>
        <w:gridCol w:w="1607"/>
        <w:gridCol w:w="2627"/>
        <w:gridCol w:w="2041"/>
      </w:tblGrid>
      <w:tr w:rsidR="005070BA" w:rsidRPr="005070BA" w14:paraId="295332BD" w14:textId="77777777" w:rsidTr="005F024E">
        <w:trPr>
          <w:tblHeader/>
        </w:trPr>
        <w:tc>
          <w:tcPr>
            <w:tcW w:w="478" w:type="pct"/>
          </w:tcPr>
          <w:p w14:paraId="1140559E" w14:textId="77777777" w:rsidR="005070BA" w:rsidRPr="005070BA" w:rsidRDefault="005070BA" w:rsidP="005F024E">
            <w:pPr>
              <w:keepLines/>
              <w:spacing w:before="40" w:after="40"/>
              <w:rPr>
                <w:rFonts w:ascii="Arial Narrow" w:hAnsi="Arial Narrow" w:cs="Tahoma"/>
                <w:b/>
                <w:sz w:val="20"/>
              </w:rPr>
            </w:pPr>
            <w:r w:rsidRPr="005070BA">
              <w:rPr>
                <w:rFonts w:ascii="Arial Narrow" w:hAnsi="Arial Narrow" w:cs="Tahoma"/>
                <w:b/>
                <w:sz w:val="20"/>
              </w:rPr>
              <w:t>ARTG Number</w:t>
            </w:r>
          </w:p>
        </w:tc>
        <w:tc>
          <w:tcPr>
            <w:tcW w:w="1042" w:type="pct"/>
          </w:tcPr>
          <w:p w14:paraId="6C213D14" w14:textId="77777777" w:rsidR="005070BA" w:rsidRPr="005070BA" w:rsidRDefault="005070BA" w:rsidP="005F024E">
            <w:pPr>
              <w:keepLines/>
              <w:spacing w:before="40" w:after="40"/>
              <w:ind w:left="48"/>
              <w:rPr>
                <w:rFonts w:ascii="Arial Narrow" w:hAnsi="Arial Narrow" w:cs="Tahoma"/>
                <w:b/>
                <w:sz w:val="20"/>
              </w:rPr>
            </w:pPr>
            <w:r w:rsidRPr="005070BA">
              <w:rPr>
                <w:rFonts w:ascii="Arial Narrow" w:hAnsi="Arial Narrow" w:cs="Tahoma"/>
                <w:b/>
                <w:sz w:val="20"/>
              </w:rPr>
              <w:t>Device name (abbreviated)</w:t>
            </w:r>
          </w:p>
        </w:tc>
        <w:tc>
          <w:tcPr>
            <w:tcW w:w="891" w:type="pct"/>
          </w:tcPr>
          <w:p w14:paraId="52310853" w14:textId="77777777" w:rsidR="005070BA" w:rsidRPr="005070BA" w:rsidRDefault="005070BA" w:rsidP="005F024E">
            <w:pPr>
              <w:keepLines/>
              <w:spacing w:before="40" w:after="40"/>
              <w:rPr>
                <w:rFonts w:ascii="Arial Narrow" w:hAnsi="Arial Narrow" w:cs="Tahoma"/>
                <w:b/>
                <w:sz w:val="20"/>
              </w:rPr>
            </w:pPr>
            <w:r w:rsidRPr="005070BA">
              <w:rPr>
                <w:rFonts w:ascii="Arial Narrow" w:hAnsi="Arial Narrow" w:cs="Tahoma"/>
                <w:b/>
                <w:sz w:val="20"/>
              </w:rPr>
              <w:t>Sponsor</w:t>
            </w:r>
          </w:p>
        </w:tc>
        <w:tc>
          <w:tcPr>
            <w:tcW w:w="1457" w:type="pct"/>
          </w:tcPr>
          <w:p w14:paraId="3E192CE6" w14:textId="77777777" w:rsidR="005070BA" w:rsidRPr="005070BA" w:rsidRDefault="005070BA" w:rsidP="005F024E">
            <w:pPr>
              <w:keepLines/>
              <w:spacing w:before="40" w:after="40"/>
              <w:rPr>
                <w:rFonts w:ascii="Arial Narrow" w:hAnsi="Arial Narrow" w:cs="Tahoma"/>
                <w:b/>
                <w:i/>
                <w:sz w:val="20"/>
              </w:rPr>
            </w:pPr>
            <w:r w:rsidRPr="005070BA">
              <w:rPr>
                <w:rFonts w:ascii="Arial Narrow" w:hAnsi="Arial Narrow" w:cs="Tahoma"/>
                <w:b/>
                <w:i/>
                <w:sz w:val="20"/>
              </w:rPr>
              <w:t>Intended purpose</w:t>
            </w:r>
          </w:p>
        </w:tc>
        <w:tc>
          <w:tcPr>
            <w:tcW w:w="1132" w:type="pct"/>
          </w:tcPr>
          <w:p w14:paraId="66DC37BD" w14:textId="77777777" w:rsidR="005070BA" w:rsidRPr="005070BA" w:rsidRDefault="005070BA" w:rsidP="005F024E">
            <w:pPr>
              <w:keepLines/>
              <w:spacing w:before="40" w:after="40"/>
              <w:ind w:left="2" w:hanging="2"/>
              <w:rPr>
                <w:rFonts w:ascii="Arial Narrow" w:hAnsi="Arial Narrow" w:cs="Tahoma"/>
                <w:b/>
                <w:sz w:val="20"/>
              </w:rPr>
            </w:pPr>
            <w:r w:rsidRPr="005070BA">
              <w:rPr>
                <w:rFonts w:ascii="Arial Narrow" w:hAnsi="Arial Narrow" w:cs="Tahoma"/>
                <w:b/>
                <w:sz w:val="20"/>
              </w:rPr>
              <w:t>Patient surgical risk in TGA registered indication</w:t>
            </w:r>
          </w:p>
        </w:tc>
      </w:tr>
      <w:tr w:rsidR="005070BA" w:rsidRPr="005070BA" w14:paraId="28C314BE" w14:textId="77777777" w:rsidTr="005F024E">
        <w:tc>
          <w:tcPr>
            <w:tcW w:w="478" w:type="pct"/>
          </w:tcPr>
          <w:p w14:paraId="77CE57C5"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319850</w:t>
            </w:r>
          </w:p>
        </w:tc>
        <w:tc>
          <w:tcPr>
            <w:tcW w:w="1042" w:type="pct"/>
          </w:tcPr>
          <w:p w14:paraId="420A1BF9" w14:textId="77777777" w:rsidR="005070BA" w:rsidRPr="005070BA" w:rsidRDefault="005070BA" w:rsidP="005F024E">
            <w:pPr>
              <w:keepLines/>
              <w:spacing w:before="40" w:after="40"/>
              <w:rPr>
                <w:rFonts w:ascii="Arial Narrow" w:hAnsi="Arial Narrow" w:cs="Tahoma"/>
                <w:sz w:val="20"/>
              </w:rPr>
            </w:pPr>
            <w:proofErr w:type="spellStart"/>
            <w:r w:rsidRPr="005070BA">
              <w:rPr>
                <w:rFonts w:ascii="Arial Narrow" w:hAnsi="Arial Narrow" w:cs="Tahoma"/>
                <w:sz w:val="20"/>
              </w:rPr>
              <w:t>CoreValve</w:t>
            </w:r>
            <w:proofErr w:type="spellEnd"/>
            <w:r w:rsidRPr="005070BA">
              <w:rPr>
                <w:rFonts w:ascii="Arial Narrow" w:hAnsi="Arial Narrow" w:cs="Tahoma"/>
                <w:sz w:val="20"/>
              </w:rPr>
              <w:t xml:space="preserve"> </w:t>
            </w:r>
            <w:proofErr w:type="spellStart"/>
            <w:r w:rsidRPr="005070BA">
              <w:rPr>
                <w:rFonts w:ascii="Arial Narrow" w:hAnsi="Arial Narrow" w:cs="Tahoma"/>
                <w:sz w:val="20"/>
              </w:rPr>
              <w:t>Evolut</w:t>
            </w:r>
            <w:proofErr w:type="spellEnd"/>
            <w:r w:rsidRPr="005070BA">
              <w:rPr>
                <w:rFonts w:ascii="Arial Narrow" w:hAnsi="Arial Narrow" w:cs="Tahoma"/>
                <w:sz w:val="20"/>
              </w:rPr>
              <w:t xml:space="preserve"> PRO system </w:t>
            </w:r>
          </w:p>
        </w:tc>
        <w:tc>
          <w:tcPr>
            <w:tcW w:w="891" w:type="pct"/>
          </w:tcPr>
          <w:p w14:paraId="18DFFF98"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Medtronic Australasia Pty Ltd</w:t>
            </w:r>
          </w:p>
        </w:tc>
        <w:tc>
          <w:tcPr>
            <w:tcW w:w="1457" w:type="pct"/>
            <w:vMerge w:val="restart"/>
          </w:tcPr>
          <w:p w14:paraId="645D1F6A" w14:textId="77777777" w:rsidR="005070BA" w:rsidRPr="005070BA" w:rsidRDefault="005070BA" w:rsidP="005F024E">
            <w:pPr>
              <w:keepLines/>
              <w:spacing w:before="40" w:after="40"/>
              <w:rPr>
                <w:rFonts w:ascii="Arial Narrow" w:hAnsi="Arial Narrow" w:cs="Tahoma"/>
                <w:i/>
                <w:sz w:val="20"/>
              </w:rPr>
            </w:pPr>
            <w:r w:rsidRPr="005070BA">
              <w:rPr>
                <w:rFonts w:ascii="Arial Narrow" w:hAnsi="Arial Narrow" w:cs="Tahoma"/>
                <w:i/>
                <w:sz w:val="20"/>
              </w:rPr>
              <w:t>Relief of aortic stenosis in patients with symptomatic heart disease due to severe native calcific aortic stenosis who are judged by a heart team, including a cardiac surgeon, to be appropriate for the</w:t>
            </w:r>
          </w:p>
          <w:p w14:paraId="638B245C" w14:textId="77777777" w:rsidR="005070BA" w:rsidRPr="005070BA" w:rsidRDefault="005070BA" w:rsidP="005F024E">
            <w:pPr>
              <w:keepLines/>
              <w:spacing w:before="40" w:after="40"/>
              <w:rPr>
                <w:rFonts w:ascii="Arial Narrow" w:hAnsi="Arial Narrow" w:cs="Tahoma"/>
                <w:i/>
                <w:sz w:val="20"/>
              </w:rPr>
            </w:pPr>
            <w:proofErr w:type="spellStart"/>
            <w:r w:rsidRPr="005070BA">
              <w:rPr>
                <w:rFonts w:ascii="Arial Narrow" w:hAnsi="Arial Narrow" w:cs="Tahoma"/>
                <w:i/>
                <w:sz w:val="20"/>
              </w:rPr>
              <w:t>transcatheter</w:t>
            </w:r>
            <w:proofErr w:type="spellEnd"/>
            <w:r w:rsidRPr="005070BA">
              <w:rPr>
                <w:rFonts w:ascii="Arial Narrow" w:hAnsi="Arial Narrow" w:cs="Tahoma"/>
                <w:i/>
                <w:sz w:val="20"/>
              </w:rPr>
              <w:t xml:space="preserve"> heart valve replacement therapy</w:t>
            </w:r>
          </w:p>
        </w:tc>
        <w:tc>
          <w:tcPr>
            <w:tcW w:w="1132" w:type="pct"/>
          </w:tcPr>
          <w:p w14:paraId="6BFECB1D" w14:textId="77777777" w:rsidR="005070BA" w:rsidRPr="005070BA" w:rsidRDefault="005070BA" w:rsidP="005F024E">
            <w:pPr>
              <w:keepLines/>
              <w:spacing w:before="40" w:after="40"/>
              <w:ind w:left="2" w:hanging="2"/>
              <w:rPr>
                <w:rFonts w:ascii="Arial Narrow" w:hAnsi="Arial Narrow" w:cs="Tahoma"/>
                <w:sz w:val="20"/>
              </w:rPr>
            </w:pPr>
            <w:r w:rsidRPr="005070BA">
              <w:rPr>
                <w:rFonts w:ascii="Arial Narrow" w:hAnsi="Arial Narrow" w:cs="Tahoma"/>
                <w:sz w:val="20"/>
              </w:rPr>
              <w:t>All risk levels</w:t>
            </w:r>
          </w:p>
        </w:tc>
      </w:tr>
      <w:tr w:rsidR="005070BA" w:rsidRPr="005070BA" w14:paraId="28832682" w14:textId="77777777" w:rsidTr="005F024E">
        <w:tc>
          <w:tcPr>
            <w:tcW w:w="478" w:type="pct"/>
          </w:tcPr>
          <w:p w14:paraId="5EFF8494"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284003</w:t>
            </w:r>
          </w:p>
        </w:tc>
        <w:tc>
          <w:tcPr>
            <w:tcW w:w="1042" w:type="pct"/>
          </w:tcPr>
          <w:p w14:paraId="0B8E0D84"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 xml:space="preserve">Medtronic </w:t>
            </w:r>
            <w:proofErr w:type="spellStart"/>
            <w:r w:rsidRPr="005070BA">
              <w:rPr>
                <w:rFonts w:ascii="Arial Narrow" w:hAnsi="Arial Narrow" w:cs="Tahoma"/>
                <w:sz w:val="20"/>
              </w:rPr>
              <w:t>CoreValve</w:t>
            </w:r>
            <w:proofErr w:type="spellEnd"/>
            <w:r w:rsidRPr="005070BA">
              <w:rPr>
                <w:rFonts w:ascii="Arial Narrow" w:hAnsi="Arial Narrow" w:cs="Tahoma"/>
                <w:sz w:val="20"/>
              </w:rPr>
              <w:t xml:space="preserve"> </w:t>
            </w:r>
            <w:proofErr w:type="spellStart"/>
            <w:r w:rsidRPr="005070BA">
              <w:rPr>
                <w:rFonts w:ascii="Arial Narrow" w:hAnsi="Arial Narrow" w:cs="Tahoma"/>
                <w:sz w:val="20"/>
              </w:rPr>
              <w:t>Evolut</w:t>
            </w:r>
            <w:proofErr w:type="spellEnd"/>
            <w:r w:rsidRPr="005070BA">
              <w:rPr>
                <w:rFonts w:ascii="Arial Narrow" w:hAnsi="Arial Narrow" w:cs="Tahoma"/>
                <w:sz w:val="20"/>
              </w:rPr>
              <w:t xml:space="preserve"> R System</w:t>
            </w:r>
          </w:p>
        </w:tc>
        <w:tc>
          <w:tcPr>
            <w:tcW w:w="891" w:type="pct"/>
          </w:tcPr>
          <w:p w14:paraId="63A93C12"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Medtronic Australasia Pty Ltd</w:t>
            </w:r>
          </w:p>
        </w:tc>
        <w:tc>
          <w:tcPr>
            <w:tcW w:w="1457" w:type="pct"/>
            <w:vMerge/>
          </w:tcPr>
          <w:p w14:paraId="6E726470" w14:textId="77777777" w:rsidR="005070BA" w:rsidRPr="005070BA" w:rsidRDefault="005070BA" w:rsidP="005F024E">
            <w:pPr>
              <w:keepLines/>
              <w:spacing w:before="40" w:after="40"/>
              <w:rPr>
                <w:rFonts w:ascii="Arial Narrow" w:hAnsi="Arial Narrow" w:cs="Tahoma"/>
                <w:i/>
                <w:sz w:val="20"/>
              </w:rPr>
            </w:pPr>
          </w:p>
        </w:tc>
        <w:tc>
          <w:tcPr>
            <w:tcW w:w="1132" w:type="pct"/>
          </w:tcPr>
          <w:p w14:paraId="35841E17" w14:textId="77777777" w:rsidR="005070BA" w:rsidRPr="005070BA" w:rsidRDefault="005070BA" w:rsidP="005F024E">
            <w:pPr>
              <w:keepLines/>
              <w:spacing w:before="40" w:after="40"/>
              <w:ind w:left="2" w:hanging="2"/>
              <w:rPr>
                <w:rFonts w:ascii="Arial Narrow" w:hAnsi="Arial Narrow" w:cs="Tahoma"/>
                <w:sz w:val="20"/>
              </w:rPr>
            </w:pPr>
            <w:r w:rsidRPr="005070BA">
              <w:rPr>
                <w:rFonts w:ascii="Arial Narrow" w:hAnsi="Arial Narrow" w:cs="Tahoma"/>
                <w:sz w:val="20"/>
              </w:rPr>
              <w:t>All risk levels</w:t>
            </w:r>
          </w:p>
        </w:tc>
      </w:tr>
      <w:tr w:rsidR="005070BA" w:rsidRPr="005070BA" w14:paraId="24C0770A" w14:textId="77777777" w:rsidTr="005F024E">
        <w:tc>
          <w:tcPr>
            <w:tcW w:w="478" w:type="pct"/>
          </w:tcPr>
          <w:p w14:paraId="4A690E03"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284496</w:t>
            </w:r>
          </w:p>
        </w:tc>
        <w:tc>
          <w:tcPr>
            <w:tcW w:w="1042" w:type="pct"/>
          </w:tcPr>
          <w:p w14:paraId="3B4B5930"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Edwards SAPIEN 3 Kit</w:t>
            </w:r>
          </w:p>
        </w:tc>
        <w:tc>
          <w:tcPr>
            <w:tcW w:w="891" w:type="pct"/>
          </w:tcPr>
          <w:p w14:paraId="54A966F2"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Edwards Lifesciences Pty Ltd</w:t>
            </w:r>
          </w:p>
        </w:tc>
        <w:tc>
          <w:tcPr>
            <w:tcW w:w="1457" w:type="pct"/>
            <w:vMerge/>
          </w:tcPr>
          <w:p w14:paraId="01DF29F5" w14:textId="77777777" w:rsidR="005070BA" w:rsidRPr="005070BA" w:rsidRDefault="005070BA" w:rsidP="005F024E">
            <w:pPr>
              <w:keepLines/>
              <w:spacing w:before="40" w:after="40"/>
              <w:rPr>
                <w:rFonts w:ascii="Arial Narrow" w:hAnsi="Arial Narrow" w:cs="Tahoma"/>
                <w:i/>
                <w:sz w:val="20"/>
              </w:rPr>
            </w:pPr>
          </w:p>
        </w:tc>
        <w:tc>
          <w:tcPr>
            <w:tcW w:w="1132" w:type="pct"/>
          </w:tcPr>
          <w:p w14:paraId="69595FE3" w14:textId="77777777" w:rsidR="005070BA" w:rsidRPr="005070BA" w:rsidRDefault="005070BA" w:rsidP="005F024E">
            <w:pPr>
              <w:keepLines/>
              <w:spacing w:before="40" w:after="40"/>
              <w:ind w:left="2" w:hanging="2"/>
              <w:rPr>
                <w:rFonts w:ascii="Arial Narrow" w:hAnsi="Arial Narrow" w:cs="Tahoma"/>
                <w:sz w:val="20"/>
              </w:rPr>
            </w:pPr>
            <w:r w:rsidRPr="005070BA">
              <w:rPr>
                <w:rFonts w:ascii="Arial Narrow" w:hAnsi="Arial Narrow" w:cs="Tahoma"/>
                <w:sz w:val="20"/>
              </w:rPr>
              <w:t>All risk levels</w:t>
            </w:r>
          </w:p>
        </w:tc>
      </w:tr>
      <w:tr w:rsidR="005070BA" w:rsidRPr="005070BA" w14:paraId="0755D1F0" w14:textId="77777777" w:rsidTr="005F024E">
        <w:tc>
          <w:tcPr>
            <w:tcW w:w="478" w:type="pct"/>
          </w:tcPr>
          <w:p w14:paraId="06A37083"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254835</w:t>
            </w:r>
          </w:p>
        </w:tc>
        <w:tc>
          <w:tcPr>
            <w:tcW w:w="1042" w:type="pct"/>
          </w:tcPr>
          <w:p w14:paraId="471FF5B5"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 xml:space="preserve">Portico </w:t>
            </w:r>
            <w:proofErr w:type="spellStart"/>
            <w:r w:rsidRPr="005070BA">
              <w:rPr>
                <w:rFonts w:ascii="Arial Narrow" w:hAnsi="Arial Narrow" w:cs="Tahoma"/>
                <w:sz w:val="20"/>
              </w:rPr>
              <w:t>Transcatheter</w:t>
            </w:r>
            <w:proofErr w:type="spellEnd"/>
            <w:r w:rsidRPr="005070BA">
              <w:rPr>
                <w:rFonts w:ascii="Arial Narrow" w:hAnsi="Arial Narrow" w:cs="Tahoma"/>
                <w:sz w:val="20"/>
              </w:rPr>
              <w:t xml:space="preserve"> Heart Valve</w:t>
            </w:r>
          </w:p>
        </w:tc>
        <w:tc>
          <w:tcPr>
            <w:tcW w:w="891" w:type="pct"/>
          </w:tcPr>
          <w:p w14:paraId="3021E95C"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Abbott Medical Australia Pty Ltd</w:t>
            </w:r>
          </w:p>
        </w:tc>
        <w:tc>
          <w:tcPr>
            <w:tcW w:w="1457" w:type="pct"/>
          </w:tcPr>
          <w:p w14:paraId="200248A3" w14:textId="77777777" w:rsidR="005070BA" w:rsidRPr="005070BA" w:rsidRDefault="005070BA" w:rsidP="005F024E">
            <w:pPr>
              <w:keepLines/>
              <w:spacing w:before="40" w:after="40"/>
              <w:rPr>
                <w:rFonts w:ascii="Arial Narrow" w:hAnsi="Arial Narrow" w:cs="Tahoma"/>
                <w:i/>
                <w:sz w:val="20"/>
              </w:rPr>
            </w:pPr>
            <w:proofErr w:type="spellStart"/>
            <w:r w:rsidRPr="005070BA">
              <w:rPr>
                <w:rFonts w:ascii="Arial Narrow" w:hAnsi="Arial Narrow" w:cs="Tahoma"/>
                <w:i/>
                <w:sz w:val="20"/>
              </w:rPr>
              <w:t>Transcatheter</w:t>
            </w:r>
            <w:proofErr w:type="spellEnd"/>
            <w:r w:rsidRPr="005070BA">
              <w:rPr>
                <w:rFonts w:ascii="Arial Narrow" w:hAnsi="Arial Narrow" w:cs="Tahoma"/>
                <w:i/>
                <w:sz w:val="20"/>
              </w:rPr>
              <w:t xml:space="preserve"> delivery in patients with symptomatic severe native aortic stenosis who are considered high surgical risk</w:t>
            </w:r>
          </w:p>
        </w:tc>
        <w:tc>
          <w:tcPr>
            <w:tcW w:w="1132" w:type="pct"/>
          </w:tcPr>
          <w:p w14:paraId="12A9635E" w14:textId="77777777" w:rsidR="005070BA" w:rsidRPr="005070BA" w:rsidRDefault="005070BA" w:rsidP="005F024E">
            <w:pPr>
              <w:keepLines/>
              <w:spacing w:before="40" w:after="40"/>
              <w:ind w:left="2" w:hanging="2"/>
              <w:rPr>
                <w:rFonts w:ascii="Arial Narrow" w:hAnsi="Arial Narrow" w:cs="Tahoma"/>
                <w:sz w:val="20"/>
              </w:rPr>
            </w:pPr>
            <w:r w:rsidRPr="005070BA">
              <w:rPr>
                <w:rFonts w:ascii="Arial Narrow" w:hAnsi="Arial Narrow" w:cs="Tahoma"/>
                <w:sz w:val="20"/>
              </w:rPr>
              <w:t>High risk</w:t>
            </w:r>
          </w:p>
        </w:tc>
      </w:tr>
      <w:tr w:rsidR="005070BA" w:rsidRPr="005070BA" w14:paraId="70FF37FB" w14:textId="77777777" w:rsidTr="005F024E">
        <w:tc>
          <w:tcPr>
            <w:tcW w:w="478" w:type="pct"/>
          </w:tcPr>
          <w:p w14:paraId="02638DED"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326386</w:t>
            </w:r>
          </w:p>
        </w:tc>
        <w:tc>
          <w:tcPr>
            <w:tcW w:w="1042" w:type="pct"/>
          </w:tcPr>
          <w:p w14:paraId="4048773E"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LOTUS Edge</w:t>
            </w:r>
          </w:p>
        </w:tc>
        <w:tc>
          <w:tcPr>
            <w:tcW w:w="891" w:type="pct"/>
          </w:tcPr>
          <w:p w14:paraId="37135D91" w14:textId="77777777" w:rsidR="005070BA" w:rsidRPr="005070BA" w:rsidRDefault="005070BA" w:rsidP="005F024E">
            <w:pPr>
              <w:keepLines/>
              <w:spacing w:before="40" w:after="40"/>
              <w:rPr>
                <w:rFonts w:ascii="Arial Narrow" w:hAnsi="Arial Narrow" w:cs="Tahoma"/>
                <w:sz w:val="20"/>
              </w:rPr>
            </w:pPr>
            <w:r w:rsidRPr="005070BA">
              <w:rPr>
                <w:rFonts w:ascii="Arial Narrow" w:hAnsi="Arial Narrow" w:cs="Tahoma"/>
                <w:sz w:val="20"/>
              </w:rPr>
              <w:t>Boston Scientific Pty Ltd</w:t>
            </w:r>
          </w:p>
        </w:tc>
        <w:tc>
          <w:tcPr>
            <w:tcW w:w="1457" w:type="pct"/>
          </w:tcPr>
          <w:p w14:paraId="7CF95E8F" w14:textId="77777777" w:rsidR="005070BA" w:rsidRPr="005070BA" w:rsidRDefault="005070BA" w:rsidP="005F024E">
            <w:pPr>
              <w:keepLines/>
              <w:spacing w:before="40" w:after="40"/>
              <w:rPr>
                <w:rFonts w:ascii="Arial Narrow" w:hAnsi="Arial Narrow" w:cs="Tahoma"/>
                <w:i/>
                <w:sz w:val="20"/>
              </w:rPr>
            </w:pPr>
            <w:r w:rsidRPr="005070BA">
              <w:rPr>
                <w:rFonts w:ascii="Arial Narrow" w:hAnsi="Arial Narrow" w:cs="Tahoma"/>
                <w:i/>
                <w:sz w:val="20"/>
              </w:rPr>
              <w:t>To improve aortic valve function for symptomatic patients with severe calcific aortic stenosis (aortic valve area of &lt; 1.0 cm2 or index of &lt; 0.6 cm2/m2) who are at high risk for standard surgical valve replacement.</w:t>
            </w:r>
          </w:p>
        </w:tc>
        <w:tc>
          <w:tcPr>
            <w:tcW w:w="1132" w:type="pct"/>
          </w:tcPr>
          <w:p w14:paraId="05ADA0D1" w14:textId="77777777" w:rsidR="005070BA" w:rsidRPr="005070BA" w:rsidRDefault="005070BA" w:rsidP="005F024E">
            <w:pPr>
              <w:keepLines/>
              <w:spacing w:before="40" w:after="40"/>
              <w:ind w:left="2" w:hanging="2"/>
              <w:rPr>
                <w:rFonts w:ascii="Arial Narrow" w:hAnsi="Arial Narrow" w:cs="Tahoma"/>
                <w:sz w:val="20"/>
              </w:rPr>
            </w:pPr>
            <w:r w:rsidRPr="005070BA">
              <w:rPr>
                <w:rFonts w:ascii="Arial Narrow" w:hAnsi="Arial Narrow" w:cs="Tahoma"/>
                <w:sz w:val="20"/>
              </w:rPr>
              <w:t>High risk</w:t>
            </w:r>
          </w:p>
        </w:tc>
      </w:tr>
    </w:tbl>
    <w:p w14:paraId="0A139205" w14:textId="77777777" w:rsidR="005070BA" w:rsidRPr="00F62546" w:rsidRDefault="005070BA" w:rsidP="005070BA">
      <w:pPr>
        <w:pStyle w:val="Tablenotes"/>
      </w:pPr>
      <w:r w:rsidRPr="00F62546">
        <w:t xml:space="preserve">Source: Table 11, p34 of the ADAR and ARTG public summaries for ARTG entries 319850, 284003, 284496, 254835, 326386. </w:t>
      </w:r>
    </w:p>
    <w:p w14:paraId="2BD58AC8" w14:textId="77777777" w:rsidR="005070BA" w:rsidRPr="00F62546" w:rsidRDefault="005070BA" w:rsidP="005070BA">
      <w:pPr>
        <w:pStyle w:val="Tablenotes"/>
      </w:pPr>
      <w:r w:rsidRPr="00F62546">
        <w:t xml:space="preserve">ADAR = Applicant Developed Assessment Report; ARTG = Australian Register of Therapeutic Goods; TGA = Therapeutic Goods </w:t>
      </w:r>
      <w:r w:rsidRPr="00F62546">
        <w:rPr>
          <w:rStyle w:val="Tablenotes1Char"/>
        </w:rPr>
        <w:t xml:space="preserve">Administration </w:t>
      </w:r>
    </w:p>
    <w:p w14:paraId="15B4AA91" w14:textId="66C06C1A" w:rsidR="005070BA" w:rsidRDefault="005070BA" w:rsidP="005B05CF">
      <w:pPr>
        <w:spacing w:before="240"/>
      </w:pPr>
      <w:r w:rsidRPr="00F62546">
        <w:t xml:space="preserve">The key trials presented in the ADAR used older generation TAVI devices than those currently registered on the ARTG and the listed on the Prosthesis List. </w:t>
      </w:r>
      <w:r w:rsidRPr="002D6137">
        <w:rPr>
          <w:szCs w:val="24"/>
        </w:rPr>
        <w:fldChar w:fldCharType="begin"/>
      </w:r>
      <w:r w:rsidRPr="002D6137">
        <w:rPr>
          <w:szCs w:val="24"/>
        </w:rPr>
        <w:instrText xml:space="preserve"> REF _Ref57704439 \h  \* MERGEFORMAT </w:instrText>
      </w:r>
      <w:r w:rsidRPr="002D6137">
        <w:rPr>
          <w:szCs w:val="24"/>
        </w:rPr>
      </w:r>
      <w:r w:rsidRPr="002D6137">
        <w:rPr>
          <w:szCs w:val="24"/>
        </w:rPr>
        <w:fldChar w:fldCharType="separate"/>
      </w:r>
      <w:r w:rsidR="00C24855" w:rsidRPr="00C24855">
        <w:rPr>
          <w:noProof/>
          <w:szCs w:val="24"/>
        </w:rPr>
        <w:t>Table</w:t>
      </w:r>
      <w:r w:rsidR="00C24855" w:rsidRPr="00C24855">
        <w:rPr>
          <w:bCs/>
          <w:szCs w:val="24"/>
        </w:rPr>
        <w:t xml:space="preserve"> </w:t>
      </w:r>
      <w:r w:rsidR="00C24855" w:rsidRPr="00C24855">
        <w:rPr>
          <w:bCs/>
          <w:noProof/>
          <w:szCs w:val="24"/>
        </w:rPr>
        <w:t>4</w:t>
      </w:r>
      <w:r w:rsidRPr="002D6137">
        <w:rPr>
          <w:szCs w:val="24"/>
        </w:rPr>
        <w:fldChar w:fldCharType="end"/>
      </w:r>
      <w:r w:rsidRPr="00F62546">
        <w:t xml:space="preserve"> presents a comparison of the TAVI devices used in the key trials and devices currently registered for use in intermediate-risk patients. The newer devices </w:t>
      </w:r>
      <w:proofErr w:type="spellStart"/>
      <w:r w:rsidRPr="00F62546">
        <w:t>Evolut</w:t>
      </w:r>
      <w:proofErr w:type="spellEnd"/>
      <w:r w:rsidRPr="00F62546">
        <w:t xml:space="preserve"> PRO and </w:t>
      </w:r>
      <w:proofErr w:type="spellStart"/>
      <w:r w:rsidRPr="00F62546">
        <w:t>Sapien</w:t>
      </w:r>
      <w:proofErr w:type="spellEnd"/>
      <w:r w:rsidRPr="00F62546">
        <w:t xml:space="preserve"> 3 have additional features designed to reduce </w:t>
      </w:r>
      <w:proofErr w:type="spellStart"/>
      <w:r w:rsidRPr="00F62546">
        <w:t>paravalvular</w:t>
      </w:r>
      <w:proofErr w:type="spellEnd"/>
      <w:r w:rsidRPr="00F62546">
        <w:t xml:space="preserve"> leakage (</w:t>
      </w:r>
      <w:proofErr w:type="spellStart"/>
      <w:r w:rsidRPr="00F62546">
        <w:t>Classen</w:t>
      </w:r>
      <w:proofErr w:type="spellEnd"/>
      <w:r w:rsidRPr="00F62546">
        <w:t xml:space="preserve"> 2020)</w:t>
      </w:r>
      <w:r w:rsidRPr="00F62546">
        <w:rPr>
          <w:rStyle w:val="FootnoteReference"/>
          <w:rFonts w:ascii="Calibri" w:hAnsi="Calibri" w:cs="Tahoma"/>
          <w:sz w:val="22"/>
          <w:szCs w:val="22"/>
        </w:rPr>
        <w:footnoteReference w:id="2"/>
      </w:r>
      <w:r w:rsidRPr="00F62546">
        <w:t>.</w:t>
      </w:r>
      <w:r>
        <w:br w:type="page"/>
      </w:r>
    </w:p>
    <w:p w14:paraId="4F003459" w14:textId="67095855" w:rsidR="005070BA" w:rsidRPr="004B35D0" w:rsidRDefault="004B35D0" w:rsidP="004B35D0">
      <w:pPr>
        <w:pStyle w:val="Caption"/>
      </w:pPr>
      <w:bookmarkStart w:id="5" w:name="_Ref57704439"/>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4</w:t>
      </w:r>
      <w:r w:rsidR="002F70F5">
        <w:rPr>
          <w:noProof/>
        </w:rPr>
        <w:fldChar w:fldCharType="end"/>
      </w:r>
      <w:bookmarkEnd w:id="5"/>
      <w:r w:rsidRPr="00F62546">
        <w:tab/>
        <w:t>Comparison of older TAVI devices used in the clinical trials and newer devices registered for intermediate risk patients</w:t>
      </w:r>
    </w:p>
    <w:tbl>
      <w:tblPr>
        <w:tblStyle w:val="CMATableTemplate1"/>
        <w:tblW w:w="0" w:type="auto"/>
        <w:tblLook w:val="04A0" w:firstRow="1" w:lastRow="0" w:firstColumn="1" w:lastColumn="0" w:noHBand="0" w:noVBand="1"/>
        <w:tblDescription w:val="Comparison of older TAVI devices used in the clinical trials and newer devices registered for intermediate risk patients"/>
      </w:tblPr>
      <w:tblGrid>
        <w:gridCol w:w="1331"/>
        <w:gridCol w:w="1358"/>
        <w:gridCol w:w="1417"/>
        <w:gridCol w:w="1526"/>
        <w:gridCol w:w="1671"/>
        <w:gridCol w:w="1713"/>
      </w:tblGrid>
      <w:tr w:rsidR="005070BA" w:rsidRPr="005070BA" w14:paraId="21BDFD4D" w14:textId="77777777" w:rsidTr="005F024E">
        <w:trPr>
          <w:cantSplit/>
          <w:tblHeader/>
        </w:trPr>
        <w:tc>
          <w:tcPr>
            <w:tcW w:w="1331" w:type="dxa"/>
          </w:tcPr>
          <w:p w14:paraId="55E51299" w14:textId="77777777" w:rsidR="005070BA" w:rsidRPr="005070BA" w:rsidRDefault="005070BA" w:rsidP="005F024E">
            <w:pPr>
              <w:spacing w:before="40" w:after="40"/>
              <w:ind w:left="30"/>
              <w:rPr>
                <w:rFonts w:ascii="Arial Narrow" w:hAnsi="Arial Narrow" w:cs="Tahoma"/>
                <w:b/>
                <w:sz w:val="20"/>
              </w:rPr>
            </w:pPr>
            <w:r w:rsidRPr="005070BA">
              <w:rPr>
                <w:rFonts w:ascii="Arial Narrow" w:hAnsi="Arial Narrow" w:cs="Tahoma"/>
                <w:b/>
                <w:sz w:val="20"/>
              </w:rPr>
              <w:t>Parameter</w:t>
            </w:r>
          </w:p>
        </w:tc>
        <w:tc>
          <w:tcPr>
            <w:tcW w:w="1358" w:type="dxa"/>
          </w:tcPr>
          <w:p w14:paraId="5007505F" w14:textId="77777777" w:rsidR="005070BA" w:rsidRPr="005070BA" w:rsidRDefault="005070BA" w:rsidP="005F024E">
            <w:pPr>
              <w:spacing w:before="40" w:after="40"/>
              <w:ind w:hanging="14"/>
              <w:rPr>
                <w:rFonts w:ascii="Arial Narrow" w:hAnsi="Arial Narrow" w:cs="Tahoma"/>
                <w:b/>
                <w:sz w:val="20"/>
              </w:rPr>
            </w:pPr>
            <w:proofErr w:type="spellStart"/>
            <w:r w:rsidRPr="005070BA">
              <w:rPr>
                <w:rFonts w:ascii="Arial Narrow" w:hAnsi="Arial Narrow" w:cs="Tahoma"/>
                <w:b/>
                <w:sz w:val="20"/>
              </w:rPr>
              <w:t>CoreValve</w:t>
            </w:r>
            <w:proofErr w:type="spellEnd"/>
          </w:p>
        </w:tc>
        <w:tc>
          <w:tcPr>
            <w:tcW w:w="1417" w:type="dxa"/>
          </w:tcPr>
          <w:p w14:paraId="43A32FB8" w14:textId="77777777" w:rsidR="005070BA" w:rsidRPr="005070BA" w:rsidRDefault="005070BA" w:rsidP="005F024E">
            <w:pPr>
              <w:spacing w:before="40" w:after="40"/>
              <w:ind w:left="16" w:hanging="16"/>
              <w:rPr>
                <w:rFonts w:ascii="Arial Narrow" w:hAnsi="Arial Narrow" w:cs="Tahoma"/>
                <w:b/>
                <w:sz w:val="20"/>
              </w:rPr>
            </w:pPr>
            <w:proofErr w:type="spellStart"/>
            <w:r w:rsidRPr="005070BA">
              <w:rPr>
                <w:rFonts w:ascii="Arial Narrow" w:hAnsi="Arial Narrow" w:cs="Tahoma"/>
                <w:b/>
                <w:sz w:val="20"/>
              </w:rPr>
              <w:t>Evolut</w:t>
            </w:r>
            <w:proofErr w:type="spellEnd"/>
            <w:r w:rsidRPr="005070BA">
              <w:rPr>
                <w:rFonts w:ascii="Arial Narrow" w:hAnsi="Arial Narrow" w:cs="Tahoma"/>
                <w:b/>
                <w:sz w:val="20"/>
              </w:rPr>
              <w:t xml:space="preserve"> R</w:t>
            </w:r>
          </w:p>
        </w:tc>
        <w:tc>
          <w:tcPr>
            <w:tcW w:w="1526" w:type="dxa"/>
            <w:tcBorders>
              <w:right w:val="double" w:sz="4" w:space="0" w:color="auto"/>
            </w:tcBorders>
          </w:tcPr>
          <w:p w14:paraId="666A6C33" w14:textId="77777777" w:rsidR="005070BA" w:rsidRPr="005070BA" w:rsidRDefault="005070BA" w:rsidP="005F024E">
            <w:pPr>
              <w:spacing w:before="40" w:after="40"/>
              <w:ind w:left="3"/>
              <w:rPr>
                <w:rFonts w:ascii="Arial Narrow" w:hAnsi="Arial Narrow" w:cs="Tahoma"/>
                <w:b/>
                <w:sz w:val="20"/>
              </w:rPr>
            </w:pPr>
            <w:proofErr w:type="spellStart"/>
            <w:r w:rsidRPr="005070BA">
              <w:rPr>
                <w:rFonts w:ascii="Arial Narrow" w:hAnsi="Arial Narrow" w:cs="Tahoma"/>
                <w:b/>
                <w:sz w:val="20"/>
              </w:rPr>
              <w:t>Evolut</w:t>
            </w:r>
            <w:proofErr w:type="spellEnd"/>
            <w:r w:rsidRPr="005070BA">
              <w:rPr>
                <w:rFonts w:ascii="Arial Narrow" w:hAnsi="Arial Narrow" w:cs="Tahoma"/>
                <w:b/>
                <w:sz w:val="20"/>
              </w:rPr>
              <w:t xml:space="preserve"> PRO</w:t>
            </w:r>
          </w:p>
        </w:tc>
        <w:tc>
          <w:tcPr>
            <w:tcW w:w="1671" w:type="dxa"/>
            <w:tcBorders>
              <w:top w:val="single" w:sz="4" w:space="0" w:color="auto"/>
              <w:left w:val="double" w:sz="4" w:space="0" w:color="auto"/>
              <w:bottom w:val="single" w:sz="4" w:space="0" w:color="auto"/>
              <w:right w:val="single" w:sz="4" w:space="0" w:color="auto"/>
            </w:tcBorders>
          </w:tcPr>
          <w:p w14:paraId="1BC5CFE0" w14:textId="77777777" w:rsidR="005070BA" w:rsidRPr="005070BA" w:rsidRDefault="005070BA" w:rsidP="005F024E">
            <w:pPr>
              <w:spacing w:before="40" w:after="40"/>
              <w:ind w:left="12" w:hanging="12"/>
              <w:rPr>
                <w:rFonts w:ascii="Arial Narrow" w:hAnsi="Arial Narrow" w:cs="Tahoma"/>
                <w:b/>
                <w:sz w:val="20"/>
              </w:rPr>
            </w:pPr>
            <w:proofErr w:type="spellStart"/>
            <w:r w:rsidRPr="005070BA">
              <w:rPr>
                <w:rFonts w:ascii="Arial Narrow" w:hAnsi="Arial Narrow" w:cs="Tahoma"/>
                <w:b/>
                <w:sz w:val="20"/>
              </w:rPr>
              <w:t>Sapien</w:t>
            </w:r>
            <w:proofErr w:type="spellEnd"/>
            <w:r w:rsidRPr="005070BA">
              <w:rPr>
                <w:rFonts w:ascii="Arial Narrow" w:hAnsi="Arial Narrow" w:cs="Tahoma"/>
                <w:b/>
                <w:sz w:val="20"/>
              </w:rPr>
              <w:t xml:space="preserve"> XT</w:t>
            </w:r>
          </w:p>
        </w:tc>
        <w:tc>
          <w:tcPr>
            <w:tcW w:w="1713" w:type="dxa"/>
            <w:tcBorders>
              <w:left w:val="single" w:sz="4" w:space="0" w:color="auto"/>
            </w:tcBorders>
          </w:tcPr>
          <w:p w14:paraId="0EC474B5" w14:textId="77777777" w:rsidR="005070BA" w:rsidRPr="005070BA" w:rsidRDefault="005070BA" w:rsidP="005F024E">
            <w:pPr>
              <w:spacing w:before="40" w:after="40"/>
              <w:ind w:left="22"/>
              <w:rPr>
                <w:rFonts w:ascii="Arial Narrow" w:hAnsi="Arial Narrow" w:cs="Tahoma"/>
                <w:b/>
                <w:sz w:val="20"/>
              </w:rPr>
            </w:pPr>
            <w:proofErr w:type="spellStart"/>
            <w:r w:rsidRPr="005070BA">
              <w:rPr>
                <w:rFonts w:ascii="Arial Narrow" w:hAnsi="Arial Narrow" w:cs="Tahoma"/>
                <w:b/>
                <w:sz w:val="20"/>
              </w:rPr>
              <w:t>Sapien</w:t>
            </w:r>
            <w:proofErr w:type="spellEnd"/>
            <w:r w:rsidRPr="005070BA">
              <w:rPr>
                <w:rFonts w:ascii="Arial Narrow" w:hAnsi="Arial Narrow" w:cs="Tahoma"/>
                <w:b/>
                <w:sz w:val="20"/>
              </w:rPr>
              <w:t xml:space="preserve"> 3</w:t>
            </w:r>
          </w:p>
        </w:tc>
      </w:tr>
      <w:tr w:rsidR="005070BA" w:rsidRPr="005070BA" w14:paraId="0E466105" w14:textId="77777777" w:rsidTr="005F024E">
        <w:tc>
          <w:tcPr>
            <w:tcW w:w="1331" w:type="dxa"/>
          </w:tcPr>
          <w:p w14:paraId="10AB39A2"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Prosthesis List (Nov 2020)</w:t>
            </w:r>
          </w:p>
        </w:tc>
        <w:tc>
          <w:tcPr>
            <w:tcW w:w="1358" w:type="dxa"/>
          </w:tcPr>
          <w:p w14:paraId="13CEBA58"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No</w:t>
            </w:r>
          </w:p>
        </w:tc>
        <w:tc>
          <w:tcPr>
            <w:tcW w:w="1417" w:type="dxa"/>
          </w:tcPr>
          <w:p w14:paraId="7CCF882C" w14:textId="77777777" w:rsidR="005070BA" w:rsidRPr="005070BA" w:rsidRDefault="005070BA" w:rsidP="005F024E">
            <w:pPr>
              <w:spacing w:before="40" w:after="40"/>
              <w:ind w:left="16" w:hanging="16"/>
              <w:rPr>
                <w:rFonts w:ascii="Arial Narrow" w:hAnsi="Arial Narrow" w:cs="Tahoma"/>
                <w:sz w:val="20"/>
              </w:rPr>
            </w:pPr>
            <w:r w:rsidRPr="005070BA">
              <w:rPr>
                <w:rFonts w:ascii="Arial Narrow" w:hAnsi="Arial Narrow" w:cs="Tahoma"/>
                <w:sz w:val="20"/>
              </w:rPr>
              <w:t>Yes</w:t>
            </w:r>
          </w:p>
        </w:tc>
        <w:tc>
          <w:tcPr>
            <w:tcW w:w="1526" w:type="dxa"/>
            <w:tcBorders>
              <w:right w:val="double" w:sz="4" w:space="0" w:color="auto"/>
            </w:tcBorders>
          </w:tcPr>
          <w:p w14:paraId="40A807C1"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Yes</w:t>
            </w:r>
          </w:p>
        </w:tc>
        <w:tc>
          <w:tcPr>
            <w:tcW w:w="1671" w:type="dxa"/>
            <w:tcBorders>
              <w:top w:val="single" w:sz="4" w:space="0" w:color="auto"/>
              <w:left w:val="double" w:sz="4" w:space="0" w:color="auto"/>
              <w:bottom w:val="single" w:sz="4" w:space="0" w:color="auto"/>
              <w:right w:val="single" w:sz="4" w:space="0" w:color="auto"/>
            </w:tcBorders>
          </w:tcPr>
          <w:p w14:paraId="093E560D"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No</w:t>
            </w:r>
          </w:p>
        </w:tc>
        <w:tc>
          <w:tcPr>
            <w:tcW w:w="1713" w:type="dxa"/>
            <w:tcBorders>
              <w:left w:val="single" w:sz="4" w:space="0" w:color="auto"/>
            </w:tcBorders>
          </w:tcPr>
          <w:p w14:paraId="3777E985" w14:textId="77777777" w:rsidR="005070BA" w:rsidRPr="005070BA" w:rsidRDefault="005070BA" w:rsidP="005F024E">
            <w:pPr>
              <w:spacing w:before="40" w:after="40"/>
              <w:ind w:left="22"/>
              <w:rPr>
                <w:rFonts w:ascii="Arial Narrow" w:hAnsi="Arial Narrow" w:cs="Tahoma"/>
                <w:sz w:val="20"/>
              </w:rPr>
            </w:pPr>
            <w:r w:rsidRPr="005070BA">
              <w:rPr>
                <w:rFonts w:ascii="Arial Narrow" w:hAnsi="Arial Narrow" w:cs="Tahoma"/>
                <w:sz w:val="20"/>
              </w:rPr>
              <w:t>Yes</w:t>
            </w:r>
          </w:p>
        </w:tc>
      </w:tr>
      <w:tr w:rsidR="005070BA" w:rsidRPr="005070BA" w14:paraId="4413AC8D" w14:textId="77777777" w:rsidTr="005F024E">
        <w:tc>
          <w:tcPr>
            <w:tcW w:w="1331" w:type="dxa"/>
          </w:tcPr>
          <w:p w14:paraId="3D04BE28"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Use in trials</w:t>
            </w:r>
          </w:p>
        </w:tc>
        <w:tc>
          <w:tcPr>
            <w:tcW w:w="1358" w:type="dxa"/>
          </w:tcPr>
          <w:p w14:paraId="79FFC6FD"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Yes</w:t>
            </w:r>
          </w:p>
        </w:tc>
        <w:tc>
          <w:tcPr>
            <w:tcW w:w="1417" w:type="dxa"/>
          </w:tcPr>
          <w:p w14:paraId="6481DC88" w14:textId="77777777" w:rsidR="005070BA" w:rsidRPr="005070BA" w:rsidRDefault="005070BA" w:rsidP="005F024E">
            <w:pPr>
              <w:spacing w:before="40" w:after="40"/>
              <w:ind w:left="16" w:hanging="16"/>
              <w:rPr>
                <w:rFonts w:ascii="Arial Narrow" w:hAnsi="Arial Narrow" w:cs="Tahoma"/>
                <w:sz w:val="20"/>
              </w:rPr>
            </w:pPr>
            <w:r w:rsidRPr="005070BA">
              <w:rPr>
                <w:rFonts w:ascii="Arial Narrow" w:hAnsi="Arial Narrow" w:cs="Tahoma"/>
                <w:sz w:val="20"/>
              </w:rPr>
              <w:t xml:space="preserve">Yes </w:t>
            </w:r>
          </w:p>
        </w:tc>
        <w:tc>
          <w:tcPr>
            <w:tcW w:w="1526" w:type="dxa"/>
            <w:tcBorders>
              <w:right w:val="double" w:sz="4" w:space="0" w:color="auto"/>
            </w:tcBorders>
          </w:tcPr>
          <w:p w14:paraId="64F63ABA"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No</w:t>
            </w:r>
          </w:p>
        </w:tc>
        <w:tc>
          <w:tcPr>
            <w:tcW w:w="1671" w:type="dxa"/>
            <w:tcBorders>
              <w:top w:val="single" w:sz="4" w:space="0" w:color="auto"/>
              <w:left w:val="double" w:sz="4" w:space="0" w:color="auto"/>
              <w:bottom w:val="single" w:sz="4" w:space="0" w:color="auto"/>
              <w:right w:val="single" w:sz="4" w:space="0" w:color="auto"/>
            </w:tcBorders>
          </w:tcPr>
          <w:p w14:paraId="5537CBEF"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Yes</w:t>
            </w:r>
          </w:p>
        </w:tc>
        <w:tc>
          <w:tcPr>
            <w:tcW w:w="1713" w:type="dxa"/>
            <w:tcBorders>
              <w:left w:val="single" w:sz="4" w:space="0" w:color="auto"/>
            </w:tcBorders>
          </w:tcPr>
          <w:p w14:paraId="58976BE9" w14:textId="77777777" w:rsidR="005070BA" w:rsidRPr="005070BA" w:rsidRDefault="005070BA" w:rsidP="005F024E">
            <w:pPr>
              <w:spacing w:before="40" w:after="40"/>
              <w:ind w:left="22"/>
              <w:rPr>
                <w:rFonts w:ascii="Arial Narrow" w:hAnsi="Arial Narrow" w:cs="Tahoma"/>
                <w:sz w:val="20"/>
              </w:rPr>
            </w:pPr>
            <w:r w:rsidRPr="005070BA">
              <w:rPr>
                <w:rFonts w:ascii="Arial Narrow" w:hAnsi="Arial Narrow" w:cs="Tahoma"/>
                <w:sz w:val="20"/>
              </w:rPr>
              <w:t>No</w:t>
            </w:r>
          </w:p>
        </w:tc>
      </w:tr>
      <w:tr w:rsidR="005070BA" w:rsidRPr="005070BA" w14:paraId="13689647" w14:textId="77777777" w:rsidTr="005F024E">
        <w:tc>
          <w:tcPr>
            <w:tcW w:w="1331" w:type="dxa"/>
          </w:tcPr>
          <w:p w14:paraId="41CF6E12"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 xml:space="preserve">Expansion </w:t>
            </w:r>
          </w:p>
        </w:tc>
        <w:tc>
          <w:tcPr>
            <w:tcW w:w="1358" w:type="dxa"/>
          </w:tcPr>
          <w:p w14:paraId="4DBE8201"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Self-expanding</w:t>
            </w:r>
          </w:p>
        </w:tc>
        <w:tc>
          <w:tcPr>
            <w:tcW w:w="1417" w:type="dxa"/>
          </w:tcPr>
          <w:p w14:paraId="208E358F"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Self-expanding</w:t>
            </w:r>
          </w:p>
        </w:tc>
        <w:tc>
          <w:tcPr>
            <w:tcW w:w="1526" w:type="dxa"/>
            <w:tcBorders>
              <w:right w:val="double" w:sz="4" w:space="0" w:color="auto"/>
            </w:tcBorders>
          </w:tcPr>
          <w:p w14:paraId="0AA97696"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Self-expanding</w:t>
            </w:r>
          </w:p>
        </w:tc>
        <w:tc>
          <w:tcPr>
            <w:tcW w:w="1671" w:type="dxa"/>
            <w:tcBorders>
              <w:top w:val="single" w:sz="4" w:space="0" w:color="auto"/>
              <w:left w:val="double" w:sz="4" w:space="0" w:color="auto"/>
              <w:bottom w:val="single" w:sz="4" w:space="0" w:color="auto"/>
              <w:right w:val="single" w:sz="4" w:space="0" w:color="auto"/>
            </w:tcBorders>
          </w:tcPr>
          <w:p w14:paraId="2236FE7C"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 xml:space="preserve">Balloon expandable </w:t>
            </w:r>
          </w:p>
        </w:tc>
        <w:tc>
          <w:tcPr>
            <w:tcW w:w="1713" w:type="dxa"/>
            <w:tcBorders>
              <w:left w:val="single" w:sz="4" w:space="0" w:color="auto"/>
            </w:tcBorders>
          </w:tcPr>
          <w:p w14:paraId="32CD920C" w14:textId="77777777" w:rsidR="005070BA" w:rsidRPr="005070BA" w:rsidRDefault="005070BA" w:rsidP="005F024E">
            <w:pPr>
              <w:spacing w:before="40" w:after="40"/>
              <w:ind w:left="22"/>
              <w:rPr>
                <w:rFonts w:ascii="Arial Narrow" w:hAnsi="Arial Narrow" w:cs="Tahoma"/>
                <w:sz w:val="20"/>
              </w:rPr>
            </w:pPr>
            <w:r w:rsidRPr="005070BA">
              <w:rPr>
                <w:rFonts w:ascii="Arial Narrow" w:hAnsi="Arial Narrow" w:cs="Tahoma"/>
                <w:sz w:val="20"/>
              </w:rPr>
              <w:t>Balloon expandable</w:t>
            </w:r>
          </w:p>
        </w:tc>
      </w:tr>
      <w:tr w:rsidR="005070BA" w:rsidRPr="005070BA" w14:paraId="1136A733" w14:textId="77777777" w:rsidTr="005F024E">
        <w:tc>
          <w:tcPr>
            <w:tcW w:w="1331" w:type="dxa"/>
          </w:tcPr>
          <w:p w14:paraId="2E59D2F3"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Frame</w:t>
            </w:r>
          </w:p>
        </w:tc>
        <w:tc>
          <w:tcPr>
            <w:tcW w:w="1358" w:type="dxa"/>
          </w:tcPr>
          <w:p w14:paraId="46FE6DBF" w14:textId="77777777" w:rsidR="005070BA" w:rsidRPr="005070BA" w:rsidRDefault="005070BA" w:rsidP="005F024E">
            <w:pPr>
              <w:spacing w:before="40" w:after="40"/>
              <w:ind w:hanging="14"/>
              <w:rPr>
                <w:rFonts w:ascii="Arial Narrow" w:hAnsi="Arial Narrow" w:cs="Tahoma"/>
                <w:sz w:val="20"/>
              </w:rPr>
            </w:pPr>
            <w:proofErr w:type="spellStart"/>
            <w:r w:rsidRPr="005070BA">
              <w:rPr>
                <w:rFonts w:ascii="Arial Narrow" w:hAnsi="Arial Narrow" w:cs="Tahoma"/>
                <w:sz w:val="20"/>
              </w:rPr>
              <w:t>Nitinol</w:t>
            </w:r>
            <w:proofErr w:type="spellEnd"/>
          </w:p>
        </w:tc>
        <w:tc>
          <w:tcPr>
            <w:tcW w:w="1417" w:type="dxa"/>
          </w:tcPr>
          <w:p w14:paraId="29C51E71" w14:textId="77777777" w:rsidR="005070BA" w:rsidRPr="005070BA" w:rsidRDefault="005070BA" w:rsidP="005F024E">
            <w:pPr>
              <w:spacing w:before="40" w:after="40"/>
              <w:ind w:firstLine="17"/>
              <w:rPr>
                <w:rFonts w:ascii="Arial Narrow" w:hAnsi="Arial Narrow" w:cs="Tahoma"/>
                <w:sz w:val="20"/>
              </w:rPr>
            </w:pPr>
            <w:proofErr w:type="spellStart"/>
            <w:r w:rsidRPr="005070BA">
              <w:rPr>
                <w:rFonts w:ascii="Arial Narrow" w:hAnsi="Arial Narrow" w:cs="Tahoma"/>
                <w:sz w:val="20"/>
              </w:rPr>
              <w:t>Nitinol</w:t>
            </w:r>
            <w:proofErr w:type="spellEnd"/>
          </w:p>
        </w:tc>
        <w:tc>
          <w:tcPr>
            <w:tcW w:w="1526" w:type="dxa"/>
            <w:tcBorders>
              <w:right w:val="double" w:sz="4" w:space="0" w:color="auto"/>
            </w:tcBorders>
          </w:tcPr>
          <w:p w14:paraId="0A2D97AA" w14:textId="77777777" w:rsidR="005070BA" w:rsidRPr="005070BA" w:rsidRDefault="005070BA" w:rsidP="005F024E">
            <w:pPr>
              <w:spacing w:before="40" w:after="40"/>
              <w:ind w:left="3"/>
              <w:rPr>
                <w:rFonts w:ascii="Arial Narrow" w:hAnsi="Arial Narrow" w:cs="Tahoma"/>
                <w:sz w:val="20"/>
              </w:rPr>
            </w:pPr>
            <w:proofErr w:type="spellStart"/>
            <w:r w:rsidRPr="005070BA">
              <w:rPr>
                <w:rFonts w:ascii="Arial Narrow" w:hAnsi="Arial Narrow" w:cs="Tahoma"/>
                <w:sz w:val="20"/>
              </w:rPr>
              <w:t>Nitinol</w:t>
            </w:r>
            <w:proofErr w:type="spellEnd"/>
          </w:p>
        </w:tc>
        <w:tc>
          <w:tcPr>
            <w:tcW w:w="1671" w:type="dxa"/>
            <w:tcBorders>
              <w:top w:val="single" w:sz="4" w:space="0" w:color="auto"/>
              <w:left w:val="double" w:sz="4" w:space="0" w:color="auto"/>
              <w:bottom w:val="single" w:sz="4" w:space="0" w:color="auto"/>
              <w:right w:val="single" w:sz="4" w:space="0" w:color="auto"/>
            </w:tcBorders>
          </w:tcPr>
          <w:p w14:paraId="12201A98"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Cobalt-chromium</w:t>
            </w:r>
          </w:p>
        </w:tc>
        <w:tc>
          <w:tcPr>
            <w:tcW w:w="1713" w:type="dxa"/>
            <w:tcBorders>
              <w:left w:val="single" w:sz="4" w:space="0" w:color="auto"/>
            </w:tcBorders>
          </w:tcPr>
          <w:p w14:paraId="74A8F7C8"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Cobalt-chromium</w:t>
            </w:r>
          </w:p>
        </w:tc>
      </w:tr>
      <w:tr w:rsidR="005070BA" w:rsidRPr="005070BA" w14:paraId="484C29B3" w14:textId="77777777" w:rsidTr="005F024E">
        <w:tc>
          <w:tcPr>
            <w:tcW w:w="1331" w:type="dxa"/>
          </w:tcPr>
          <w:p w14:paraId="78B90699"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Valve tissue</w:t>
            </w:r>
          </w:p>
        </w:tc>
        <w:tc>
          <w:tcPr>
            <w:tcW w:w="1358" w:type="dxa"/>
          </w:tcPr>
          <w:p w14:paraId="6D3F08D3"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Porcine pericardial</w:t>
            </w:r>
          </w:p>
        </w:tc>
        <w:tc>
          <w:tcPr>
            <w:tcW w:w="1417" w:type="dxa"/>
          </w:tcPr>
          <w:p w14:paraId="26428090"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Porcine pericardial</w:t>
            </w:r>
          </w:p>
        </w:tc>
        <w:tc>
          <w:tcPr>
            <w:tcW w:w="1526" w:type="dxa"/>
            <w:tcBorders>
              <w:right w:val="double" w:sz="4" w:space="0" w:color="auto"/>
            </w:tcBorders>
          </w:tcPr>
          <w:p w14:paraId="604ADC2B"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Porcine pericardial</w:t>
            </w:r>
          </w:p>
        </w:tc>
        <w:tc>
          <w:tcPr>
            <w:tcW w:w="1671" w:type="dxa"/>
            <w:tcBorders>
              <w:top w:val="single" w:sz="4" w:space="0" w:color="auto"/>
              <w:left w:val="double" w:sz="4" w:space="0" w:color="auto"/>
              <w:bottom w:val="single" w:sz="4" w:space="0" w:color="auto"/>
              <w:right w:val="single" w:sz="4" w:space="0" w:color="auto"/>
            </w:tcBorders>
          </w:tcPr>
          <w:p w14:paraId="32ED3EE1"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Bovine pericardial</w:t>
            </w:r>
          </w:p>
        </w:tc>
        <w:tc>
          <w:tcPr>
            <w:tcW w:w="1713" w:type="dxa"/>
            <w:tcBorders>
              <w:left w:val="single" w:sz="4" w:space="0" w:color="auto"/>
            </w:tcBorders>
          </w:tcPr>
          <w:p w14:paraId="52920EBC"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Bovine pericardial</w:t>
            </w:r>
          </w:p>
        </w:tc>
      </w:tr>
      <w:tr w:rsidR="005070BA" w:rsidRPr="005070BA" w14:paraId="06BEDC91" w14:textId="77777777" w:rsidTr="005F024E">
        <w:tc>
          <w:tcPr>
            <w:tcW w:w="1331" w:type="dxa"/>
          </w:tcPr>
          <w:p w14:paraId="2CE884FB"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Valve size (mm)</w:t>
            </w:r>
          </w:p>
        </w:tc>
        <w:tc>
          <w:tcPr>
            <w:tcW w:w="1358" w:type="dxa"/>
          </w:tcPr>
          <w:p w14:paraId="6F425990"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26, 29, 31</w:t>
            </w:r>
          </w:p>
        </w:tc>
        <w:tc>
          <w:tcPr>
            <w:tcW w:w="1417" w:type="dxa"/>
          </w:tcPr>
          <w:p w14:paraId="5F72D4FC"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23, 26, 29, 34</w:t>
            </w:r>
          </w:p>
        </w:tc>
        <w:tc>
          <w:tcPr>
            <w:tcW w:w="1526" w:type="dxa"/>
            <w:tcBorders>
              <w:right w:val="double" w:sz="4" w:space="0" w:color="auto"/>
            </w:tcBorders>
          </w:tcPr>
          <w:p w14:paraId="5361A222"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23, 26, 29</w:t>
            </w:r>
          </w:p>
        </w:tc>
        <w:tc>
          <w:tcPr>
            <w:tcW w:w="1671" w:type="dxa"/>
            <w:tcBorders>
              <w:top w:val="single" w:sz="4" w:space="0" w:color="auto"/>
              <w:left w:val="double" w:sz="4" w:space="0" w:color="auto"/>
              <w:bottom w:val="single" w:sz="4" w:space="0" w:color="auto"/>
              <w:right w:val="single" w:sz="4" w:space="0" w:color="auto"/>
            </w:tcBorders>
          </w:tcPr>
          <w:p w14:paraId="6395E357"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23, 26, 29</w:t>
            </w:r>
          </w:p>
        </w:tc>
        <w:tc>
          <w:tcPr>
            <w:tcW w:w="1713" w:type="dxa"/>
            <w:tcBorders>
              <w:left w:val="single" w:sz="4" w:space="0" w:color="auto"/>
            </w:tcBorders>
          </w:tcPr>
          <w:p w14:paraId="083F7D84"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20, 23, 26, 29</w:t>
            </w:r>
          </w:p>
        </w:tc>
      </w:tr>
      <w:tr w:rsidR="005070BA" w:rsidRPr="005070BA" w14:paraId="475D66CE" w14:textId="77777777" w:rsidTr="005F024E">
        <w:tc>
          <w:tcPr>
            <w:tcW w:w="1331" w:type="dxa"/>
          </w:tcPr>
          <w:p w14:paraId="63204F36"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Sheath sixes</w:t>
            </w:r>
          </w:p>
        </w:tc>
        <w:tc>
          <w:tcPr>
            <w:tcW w:w="1358" w:type="dxa"/>
          </w:tcPr>
          <w:p w14:paraId="698BAEB8"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18F</w:t>
            </w:r>
          </w:p>
        </w:tc>
        <w:tc>
          <w:tcPr>
            <w:tcW w:w="1417" w:type="dxa"/>
          </w:tcPr>
          <w:p w14:paraId="2EBABC76"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14F (23-29 mm)</w:t>
            </w:r>
          </w:p>
          <w:p w14:paraId="4CDCB8C2"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16F (34 mm only)</w:t>
            </w:r>
          </w:p>
        </w:tc>
        <w:tc>
          <w:tcPr>
            <w:tcW w:w="1526" w:type="dxa"/>
            <w:tcBorders>
              <w:right w:val="double" w:sz="4" w:space="0" w:color="auto"/>
            </w:tcBorders>
          </w:tcPr>
          <w:p w14:paraId="4AA8C5AA"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16F equivalent</w:t>
            </w:r>
          </w:p>
        </w:tc>
        <w:tc>
          <w:tcPr>
            <w:tcW w:w="1671" w:type="dxa"/>
            <w:tcBorders>
              <w:top w:val="single" w:sz="4" w:space="0" w:color="auto"/>
              <w:left w:val="double" w:sz="4" w:space="0" w:color="auto"/>
              <w:bottom w:val="single" w:sz="4" w:space="0" w:color="auto"/>
              <w:right w:val="single" w:sz="4" w:space="0" w:color="auto"/>
            </w:tcBorders>
          </w:tcPr>
          <w:p w14:paraId="47B3E6C5"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16F (23 mm)</w:t>
            </w:r>
          </w:p>
          <w:p w14:paraId="5BA8EF81"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 xml:space="preserve">18F (26 mm) </w:t>
            </w:r>
          </w:p>
          <w:p w14:paraId="7AF8FCD4"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20F (29 mm)</w:t>
            </w:r>
          </w:p>
        </w:tc>
        <w:tc>
          <w:tcPr>
            <w:tcW w:w="1713" w:type="dxa"/>
            <w:tcBorders>
              <w:left w:val="single" w:sz="4" w:space="0" w:color="auto"/>
            </w:tcBorders>
          </w:tcPr>
          <w:p w14:paraId="3D085078"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14F (20-26 mm)</w:t>
            </w:r>
          </w:p>
          <w:p w14:paraId="0303E463"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16F (29 mm)</w:t>
            </w:r>
          </w:p>
        </w:tc>
      </w:tr>
      <w:tr w:rsidR="005070BA" w:rsidRPr="005070BA" w14:paraId="4F3E2215" w14:textId="77777777" w:rsidTr="005F024E">
        <w:tc>
          <w:tcPr>
            <w:tcW w:w="1331" w:type="dxa"/>
          </w:tcPr>
          <w:p w14:paraId="653DD98F"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Positioning</w:t>
            </w:r>
          </w:p>
        </w:tc>
        <w:tc>
          <w:tcPr>
            <w:tcW w:w="1358" w:type="dxa"/>
          </w:tcPr>
          <w:p w14:paraId="10D022F0"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Supra-annular</w:t>
            </w:r>
          </w:p>
        </w:tc>
        <w:tc>
          <w:tcPr>
            <w:tcW w:w="1417" w:type="dxa"/>
          </w:tcPr>
          <w:p w14:paraId="1BD8F874"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Supra-annular</w:t>
            </w:r>
          </w:p>
        </w:tc>
        <w:tc>
          <w:tcPr>
            <w:tcW w:w="1526" w:type="dxa"/>
            <w:tcBorders>
              <w:right w:val="double" w:sz="4" w:space="0" w:color="auto"/>
            </w:tcBorders>
          </w:tcPr>
          <w:p w14:paraId="6DC03482"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Supra-annular</w:t>
            </w:r>
          </w:p>
        </w:tc>
        <w:tc>
          <w:tcPr>
            <w:tcW w:w="1671" w:type="dxa"/>
            <w:tcBorders>
              <w:top w:val="single" w:sz="4" w:space="0" w:color="auto"/>
              <w:left w:val="double" w:sz="4" w:space="0" w:color="auto"/>
              <w:bottom w:val="single" w:sz="4" w:space="0" w:color="auto"/>
              <w:right w:val="single" w:sz="4" w:space="0" w:color="auto"/>
            </w:tcBorders>
          </w:tcPr>
          <w:p w14:paraId="01AB4C2D"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Intra-annular</w:t>
            </w:r>
          </w:p>
        </w:tc>
        <w:tc>
          <w:tcPr>
            <w:tcW w:w="1713" w:type="dxa"/>
            <w:tcBorders>
              <w:left w:val="single" w:sz="4" w:space="0" w:color="auto"/>
            </w:tcBorders>
          </w:tcPr>
          <w:p w14:paraId="23961205"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Intra-annular</w:t>
            </w:r>
          </w:p>
        </w:tc>
      </w:tr>
      <w:tr w:rsidR="005070BA" w:rsidRPr="005070BA" w14:paraId="34A33239" w14:textId="77777777" w:rsidTr="005F024E">
        <w:tc>
          <w:tcPr>
            <w:tcW w:w="1331" w:type="dxa"/>
          </w:tcPr>
          <w:p w14:paraId="1DAE6F6D"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Repositionable</w:t>
            </w:r>
          </w:p>
        </w:tc>
        <w:tc>
          <w:tcPr>
            <w:tcW w:w="1358" w:type="dxa"/>
          </w:tcPr>
          <w:p w14:paraId="47F55C5F"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Yes</w:t>
            </w:r>
          </w:p>
        </w:tc>
        <w:tc>
          <w:tcPr>
            <w:tcW w:w="1417" w:type="dxa"/>
          </w:tcPr>
          <w:p w14:paraId="2AE5960F"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Yes</w:t>
            </w:r>
          </w:p>
        </w:tc>
        <w:tc>
          <w:tcPr>
            <w:tcW w:w="1526" w:type="dxa"/>
            <w:tcBorders>
              <w:right w:val="double" w:sz="4" w:space="0" w:color="auto"/>
            </w:tcBorders>
          </w:tcPr>
          <w:p w14:paraId="44BA865B"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Yes</w:t>
            </w:r>
          </w:p>
        </w:tc>
        <w:tc>
          <w:tcPr>
            <w:tcW w:w="1671" w:type="dxa"/>
            <w:tcBorders>
              <w:top w:val="single" w:sz="4" w:space="0" w:color="auto"/>
              <w:left w:val="double" w:sz="4" w:space="0" w:color="auto"/>
              <w:bottom w:val="single" w:sz="4" w:space="0" w:color="auto"/>
              <w:right w:val="single" w:sz="4" w:space="0" w:color="auto"/>
            </w:tcBorders>
          </w:tcPr>
          <w:p w14:paraId="42C120C8" w14:textId="77777777" w:rsidR="005070BA" w:rsidRPr="005070BA" w:rsidRDefault="005070BA" w:rsidP="005F024E">
            <w:pPr>
              <w:spacing w:before="40" w:after="40"/>
              <w:ind w:left="12" w:hanging="12"/>
              <w:rPr>
                <w:rFonts w:ascii="Arial Narrow" w:hAnsi="Arial Narrow" w:cs="Tahoma"/>
                <w:sz w:val="20"/>
              </w:rPr>
            </w:pPr>
            <w:r w:rsidRPr="005070BA">
              <w:rPr>
                <w:rFonts w:ascii="Arial Narrow" w:hAnsi="Arial Narrow" w:cs="Tahoma"/>
                <w:sz w:val="20"/>
              </w:rPr>
              <w:t>No</w:t>
            </w:r>
          </w:p>
        </w:tc>
        <w:tc>
          <w:tcPr>
            <w:tcW w:w="1713" w:type="dxa"/>
            <w:tcBorders>
              <w:left w:val="single" w:sz="4" w:space="0" w:color="auto"/>
            </w:tcBorders>
          </w:tcPr>
          <w:p w14:paraId="06137CB0"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No</w:t>
            </w:r>
          </w:p>
        </w:tc>
      </w:tr>
      <w:tr w:rsidR="005070BA" w:rsidRPr="005070BA" w14:paraId="496202CD" w14:textId="77777777" w:rsidTr="005F024E">
        <w:tc>
          <w:tcPr>
            <w:tcW w:w="1331" w:type="dxa"/>
          </w:tcPr>
          <w:p w14:paraId="73CA76B7"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Retrievable</w:t>
            </w:r>
          </w:p>
        </w:tc>
        <w:tc>
          <w:tcPr>
            <w:tcW w:w="1358" w:type="dxa"/>
          </w:tcPr>
          <w:p w14:paraId="39394BA8"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Yes</w:t>
            </w:r>
          </w:p>
        </w:tc>
        <w:tc>
          <w:tcPr>
            <w:tcW w:w="1417" w:type="dxa"/>
          </w:tcPr>
          <w:p w14:paraId="66184B90"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Yes</w:t>
            </w:r>
          </w:p>
        </w:tc>
        <w:tc>
          <w:tcPr>
            <w:tcW w:w="1526" w:type="dxa"/>
            <w:tcBorders>
              <w:right w:val="double" w:sz="4" w:space="0" w:color="auto"/>
            </w:tcBorders>
          </w:tcPr>
          <w:p w14:paraId="4D17C3DB"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Yes</w:t>
            </w:r>
          </w:p>
        </w:tc>
        <w:tc>
          <w:tcPr>
            <w:tcW w:w="1671" w:type="dxa"/>
            <w:tcBorders>
              <w:top w:val="single" w:sz="4" w:space="0" w:color="auto"/>
              <w:left w:val="double" w:sz="4" w:space="0" w:color="auto"/>
              <w:bottom w:val="single" w:sz="4" w:space="0" w:color="auto"/>
              <w:right w:val="single" w:sz="4" w:space="0" w:color="auto"/>
            </w:tcBorders>
          </w:tcPr>
          <w:p w14:paraId="23C17BA8" w14:textId="77777777" w:rsidR="005070BA" w:rsidRPr="005070BA" w:rsidRDefault="005070BA" w:rsidP="005F024E">
            <w:pPr>
              <w:spacing w:before="40" w:after="40"/>
              <w:ind w:left="-72" w:firstLine="72"/>
              <w:rPr>
                <w:rFonts w:ascii="Arial Narrow" w:hAnsi="Arial Narrow" w:cs="Tahoma"/>
                <w:sz w:val="20"/>
              </w:rPr>
            </w:pPr>
            <w:r w:rsidRPr="005070BA">
              <w:rPr>
                <w:rFonts w:ascii="Arial Narrow" w:hAnsi="Arial Narrow" w:cs="Tahoma"/>
                <w:sz w:val="20"/>
              </w:rPr>
              <w:t>No</w:t>
            </w:r>
          </w:p>
        </w:tc>
        <w:tc>
          <w:tcPr>
            <w:tcW w:w="1713" w:type="dxa"/>
            <w:tcBorders>
              <w:left w:val="single" w:sz="4" w:space="0" w:color="auto"/>
            </w:tcBorders>
          </w:tcPr>
          <w:p w14:paraId="50B1A05D"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No</w:t>
            </w:r>
          </w:p>
        </w:tc>
      </w:tr>
      <w:tr w:rsidR="005070BA" w:rsidRPr="005070BA" w14:paraId="0AA3ADB2" w14:textId="77777777" w:rsidTr="005F024E">
        <w:tc>
          <w:tcPr>
            <w:tcW w:w="1331" w:type="dxa"/>
          </w:tcPr>
          <w:p w14:paraId="50124558"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 xml:space="preserve">New features </w:t>
            </w:r>
          </w:p>
        </w:tc>
        <w:tc>
          <w:tcPr>
            <w:tcW w:w="1358" w:type="dxa"/>
          </w:tcPr>
          <w:p w14:paraId="67FB16C2" w14:textId="77777777" w:rsidR="005070BA" w:rsidRPr="005070BA" w:rsidRDefault="005070BA" w:rsidP="005F024E">
            <w:pPr>
              <w:spacing w:before="40" w:after="40"/>
              <w:ind w:hanging="14"/>
              <w:rPr>
                <w:rFonts w:ascii="Arial Narrow" w:hAnsi="Arial Narrow" w:cs="Tahoma"/>
                <w:sz w:val="20"/>
              </w:rPr>
            </w:pPr>
            <w:r w:rsidRPr="005070BA">
              <w:rPr>
                <w:rFonts w:ascii="Arial Narrow" w:hAnsi="Arial Narrow" w:cs="Tahoma"/>
                <w:sz w:val="20"/>
              </w:rPr>
              <w:t>-</w:t>
            </w:r>
          </w:p>
        </w:tc>
        <w:tc>
          <w:tcPr>
            <w:tcW w:w="1417" w:type="dxa"/>
          </w:tcPr>
          <w:p w14:paraId="26A50FDB" w14:textId="77777777" w:rsidR="005070BA" w:rsidRPr="005070BA" w:rsidRDefault="005070BA" w:rsidP="005F024E">
            <w:pPr>
              <w:spacing w:before="40" w:after="40"/>
              <w:ind w:firstLine="17"/>
              <w:rPr>
                <w:rFonts w:ascii="Arial Narrow" w:hAnsi="Arial Narrow" w:cs="Tahoma"/>
                <w:sz w:val="20"/>
              </w:rPr>
            </w:pPr>
            <w:r w:rsidRPr="005070BA">
              <w:rPr>
                <w:rFonts w:ascii="Arial Narrow" w:hAnsi="Arial Narrow" w:cs="Tahoma"/>
                <w:sz w:val="20"/>
              </w:rPr>
              <w:t>-</w:t>
            </w:r>
          </w:p>
        </w:tc>
        <w:tc>
          <w:tcPr>
            <w:tcW w:w="1526" w:type="dxa"/>
            <w:tcBorders>
              <w:right w:val="double" w:sz="4" w:space="0" w:color="auto"/>
            </w:tcBorders>
          </w:tcPr>
          <w:p w14:paraId="255E164F" w14:textId="77777777" w:rsidR="005070BA" w:rsidRPr="005070BA" w:rsidRDefault="005070BA" w:rsidP="005F024E">
            <w:pPr>
              <w:spacing w:before="40" w:after="40"/>
              <w:ind w:left="3"/>
              <w:rPr>
                <w:rFonts w:ascii="Arial Narrow" w:hAnsi="Arial Narrow" w:cs="Tahoma"/>
                <w:sz w:val="20"/>
              </w:rPr>
            </w:pPr>
            <w:r w:rsidRPr="005070BA">
              <w:rPr>
                <w:rFonts w:ascii="Arial Narrow" w:hAnsi="Arial Narrow" w:cs="Tahoma"/>
                <w:sz w:val="20"/>
              </w:rPr>
              <w:t xml:space="preserve">Outer pericardial skirt to reduce </w:t>
            </w:r>
            <w:proofErr w:type="spellStart"/>
            <w:r w:rsidRPr="005070BA">
              <w:rPr>
                <w:rFonts w:ascii="Arial Narrow" w:hAnsi="Arial Narrow" w:cs="Tahoma"/>
                <w:sz w:val="20"/>
              </w:rPr>
              <w:t>paravalvular</w:t>
            </w:r>
            <w:proofErr w:type="spellEnd"/>
            <w:r w:rsidRPr="005070BA">
              <w:rPr>
                <w:rFonts w:ascii="Arial Narrow" w:hAnsi="Arial Narrow" w:cs="Tahoma"/>
                <w:sz w:val="20"/>
              </w:rPr>
              <w:t xml:space="preserve"> leakage </w:t>
            </w:r>
          </w:p>
        </w:tc>
        <w:tc>
          <w:tcPr>
            <w:tcW w:w="1671" w:type="dxa"/>
            <w:tcBorders>
              <w:top w:val="single" w:sz="4" w:space="0" w:color="auto"/>
              <w:left w:val="double" w:sz="4" w:space="0" w:color="auto"/>
              <w:bottom w:val="single" w:sz="4" w:space="0" w:color="auto"/>
              <w:right w:val="single" w:sz="4" w:space="0" w:color="auto"/>
            </w:tcBorders>
          </w:tcPr>
          <w:p w14:paraId="258A8EB2" w14:textId="77777777" w:rsidR="005070BA" w:rsidRPr="005070BA" w:rsidRDefault="005070BA" w:rsidP="005F024E">
            <w:pPr>
              <w:spacing w:before="40" w:after="40"/>
              <w:ind w:left="-72" w:firstLine="72"/>
              <w:rPr>
                <w:rFonts w:ascii="Arial Narrow" w:hAnsi="Arial Narrow" w:cs="Tahoma"/>
                <w:sz w:val="20"/>
              </w:rPr>
            </w:pPr>
            <w:r w:rsidRPr="005070BA">
              <w:rPr>
                <w:rFonts w:ascii="Arial Narrow" w:hAnsi="Arial Narrow" w:cs="Tahoma"/>
                <w:sz w:val="20"/>
              </w:rPr>
              <w:t>-</w:t>
            </w:r>
          </w:p>
        </w:tc>
        <w:tc>
          <w:tcPr>
            <w:tcW w:w="1713" w:type="dxa"/>
            <w:tcBorders>
              <w:left w:val="single" w:sz="4" w:space="0" w:color="auto"/>
            </w:tcBorders>
          </w:tcPr>
          <w:p w14:paraId="4F910CC4"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 xml:space="preserve">Outer skirt  surrounding valve frame to reduce </w:t>
            </w:r>
            <w:proofErr w:type="spellStart"/>
            <w:r w:rsidRPr="005070BA">
              <w:rPr>
                <w:rFonts w:ascii="Arial Narrow" w:hAnsi="Arial Narrow" w:cs="Tahoma"/>
                <w:sz w:val="20"/>
              </w:rPr>
              <w:t>paravalvular</w:t>
            </w:r>
            <w:proofErr w:type="spellEnd"/>
            <w:r w:rsidRPr="005070BA">
              <w:rPr>
                <w:rFonts w:ascii="Arial Narrow" w:hAnsi="Arial Narrow" w:cs="Tahoma"/>
                <w:sz w:val="20"/>
              </w:rPr>
              <w:t xml:space="preserve"> leakage</w:t>
            </w:r>
          </w:p>
        </w:tc>
      </w:tr>
      <w:tr w:rsidR="005070BA" w:rsidRPr="005070BA" w14:paraId="546D3214" w14:textId="77777777" w:rsidTr="005F024E">
        <w:tc>
          <w:tcPr>
            <w:tcW w:w="1331" w:type="dxa"/>
          </w:tcPr>
          <w:p w14:paraId="444B4E1F" w14:textId="77777777" w:rsidR="005070BA" w:rsidRPr="005070BA" w:rsidRDefault="005070BA" w:rsidP="005F024E">
            <w:pPr>
              <w:spacing w:before="40" w:after="40"/>
              <w:ind w:left="30"/>
              <w:rPr>
                <w:rFonts w:ascii="Arial Narrow" w:hAnsi="Arial Narrow" w:cs="Tahoma"/>
                <w:sz w:val="20"/>
              </w:rPr>
            </w:pPr>
            <w:proofErr w:type="spellStart"/>
            <w:r w:rsidRPr="005070BA">
              <w:rPr>
                <w:rFonts w:ascii="Arial Narrow" w:hAnsi="Arial Narrow" w:cs="Tahoma"/>
                <w:sz w:val="20"/>
              </w:rPr>
              <w:t>Transvalvular</w:t>
            </w:r>
            <w:proofErr w:type="spellEnd"/>
            <w:r w:rsidRPr="005070BA">
              <w:rPr>
                <w:rFonts w:ascii="Arial Narrow" w:hAnsi="Arial Narrow" w:cs="Tahoma"/>
                <w:sz w:val="20"/>
              </w:rPr>
              <w:t xml:space="preserve"> gradient</w:t>
            </w:r>
          </w:p>
        </w:tc>
        <w:tc>
          <w:tcPr>
            <w:tcW w:w="4301" w:type="dxa"/>
            <w:gridSpan w:val="3"/>
            <w:tcBorders>
              <w:right w:val="double" w:sz="4" w:space="0" w:color="auto"/>
            </w:tcBorders>
          </w:tcPr>
          <w:p w14:paraId="1800C78B"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 xml:space="preserve">May have lower gradients than intra-annular devices. </w:t>
            </w:r>
          </w:p>
        </w:tc>
        <w:tc>
          <w:tcPr>
            <w:tcW w:w="3384" w:type="dxa"/>
            <w:gridSpan w:val="2"/>
            <w:tcBorders>
              <w:top w:val="single" w:sz="4" w:space="0" w:color="auto"/>
              <w:left w:val="double" w:sz="4" w:space="0" w:color="auto"/>
              <w:bottom w:val="single" w:sz="4" w:space="0" w:color="auto"/>
            </w:tcBorders>
          </w:tcPr>
          <w:p w14:paraId="70F3CF86" w14:textId="77777777" w:rsidR="005070BA" w:rsidRPr="005070BA" w:rsidRDefault="005070BA" w:rsidP="005F024E">
            <w:pPr>
              <w:spacing w:before="40" w:after="40"/>
              <w:ind w:left="70"/>
              <w:rPr>
                <w:rFonts w:ascii="Arial Narrow" w:hAnsi="Arial Narrow" w:cs="Tahoma"/>
                <w:sz w:val="20"/>
              </w:rPr>
            </w:pPr>
            <w:r w:rsidRPr="005070BA">
              <w:rPr>
                <w:rFonts w:ascii="Arial Narrow" w:hAnsi="Arial Narrow" w:cs="Tahoma"/>
                <w:sz w:val="20"/>
              </w:rPr>
              <w:t>May result in higher residual gradients particularly in patients with smaller annuli (clinical significance unknown)</w:t>
            </w:r>
          </w:p>
        </w:tc>
      </w:tr>
      <w:tr w:rsidR="005070BA" w:rsidRPr="005070BA" w14:paraId="19E8DBA6" w14:textId="77777777" w:rsidTr="005F024E">
        <w:tc>
          <w:tcPr>
            <w:tcW w:w="1331" w:type="dxa"/>
          </w:tcPr>
          <w:p w14:paraId="7C270067" w14:textId="77777777" w:rsidR="005070BA" w:rsidRPr="005070BA" w:rsidRDefault="005070BA" w:rsidP="005F024E">
            <w:pPr>
              <w:spacing w:before="40" w:after="40"/>
              <w:ind w:left="30"/>
              <w:rPr>
                <w:rFonts w:ascii="Arial Narrow" w:hAnsi="Arial Narrow" w:cs="Tahoma"/>
                <w:sz w:val="20"/>
              </w:rPr>
            </w:pPr>
            <w:r w:rsidRPr="005070BA">
              <w:rPr>
                <w:rFonts w:ascii="Arial Narrow" w:hAnsi="Arial Narrow" w:cs="Tahoma"/>
                <w:sz w:val="20"/>
              </w:rPr>
              <w:t>Coronary access</w:t>
            </w:r>
          </w:p>
        </w:tc>
        <w:tc>
          <w:tcPr>
            <w:tcW w:w="4301" w:type="dxa"/>
            <w:gridSpan w:val="3"/>
            <w:tcBorders>
              <w:right w:val="double" w:sz="4" w:space="0" w:color="auto"/>
            </w:tcBorders>
          </w:tcPr>
          <w:p w14:paraId="7F477922" w14:textId="77777777" w:rsidR="005070BA" w:rsidRPr="005070BA" w:rsidRDefault="005070BA" w:rsidP="005F024E">
            <w:pPr>
              <w:spacing w:before="40" w:after="40"/>
              <w:rPr>
                <w:rFonts w:ascii="Arial Narrow" w:hAnsi="Arial Narrow" w:cs="Tahoma"/>
                <w:sz w:val="20"/>
              </w:rPr>
            </w:pPr>
            <w:r w:rsidRPr="005070BA">
              <w:rPr>
                <w:rFonts w:ascii="Arial Narrow" w:hAnsi="Arial Narrow" w:cs="Tahoma"/>
                <w:sz w:val="20"/>
              </w:rPr>
              <w:t>More difficult  due to higher frame height and diamond frame lattice</w:t>
            </w:r>
          </w:p>
        </w:tc>
        <w:tc>
          <w:tcPr>
            <w:tcW w:w="3384" w:type="dxa"/>
            <w:gridSpan w:val="2"/>
            <w:tcBorders>
              <w:top w:val="single" w:sz="4" w:space="0" w:color="auto"/>
              <w:left w:val="double" w:sz="4" w:space="0" w:color="auto"/>
              <w:bottom w:val="single" w:sz="4" w:space="0" w:color="auto"/>
            </w:tcBorders>
          </w:tcPr>
          <w:p w14:paraId="73FF0828" w14:textId="77777777" w:rsidR="005070BA" w:rsidRPr="005070BA" w:rsidRDefault="005070BA" w:rsidP="005F024E">
            <w:pPr>
              <w:spacing w:before="40" w:after="40"/>
              <w:ind w:left="70"/>
              <w:rPr>
                <w:rFonts w:ascii="Arial Narrow" w:hAnsi="Arial Narrow" w:cs="Tahoma"/>
                <w:sz w:val="20"/>
              </w:rPr>
            </w:pPr>
            <w:r w:rsidRPr="005070BA">
              <w:rPr>
                <w:rFonts w:ascii="Arial Narrow" w:hAnsi="Arial Narrow" w:cs="Tahoma"/>
                <w:sz w:val="20"/>
              </w:rPr>
              <w:t>Easier due to lower stent frame</w:t>
            </w:r>
          </w:p>
        </w:tc>
      </w:tr>
    </w:tbl>
    <w:p w14:paraId="153F1F30" w14:textId="77777777" w:rsidR="005070BA" w:rsidRPr="00F62546" w:rsidRDefault="005070BA" w:rsidP="005070BA">
      <w:pPr>
        <w:keepNext/>
        <w:keepLines/>
        <w:rPr>
          <w:rFonts w:ascii="Arial Narrow" w:hAnsi="Arial Narrow"/>
          <w:color w:val="000000"/>
          <w:sz w:val="18"/>
          <w:szCs w:val="18"/>
        </w:rPr>
      </w:pPr>
      <w:r w:rsidRPr="00F62546">
        <w:rPr>
          <w:rFonts w:ascii="Arial Narrow" w:hAnsi="Arial Narrow"/>
          <w:color w:val="000000"/>
          <w:sz w:val="18"/>
          <w:szCs w:val="18"/>
        </w:rPr>
        <w:t xml:space="preserve">Source: Compiled during the evaluation from Table 24, p61; Table 90, p159 of the ADAR; Table 1, pE3 of </w:t>
      </w:r>
      <w:proofErr w:type="spellStart"/>
      <w:r w:rsidRPr="00F62546">
        <w:rPr>
          <w:rFonts w:ascii="Arial Narrow" w:hAnsi="Arial Narrow"/>
          <w:color w:val="000000"/>
          <w:sz w:val="18"/>
          <w:szCs w:val="18"/>
        </w:rPr>
        <w:t>Classen</w:t>
      </w:r>
      <w:proofErr w:type="spellEnd"/>
      <w:r w:rsidRPr="00F62546">
        <w:rPr>
          <w:rFonts w:ascii="Arial Narrow" w:hAnsi="Arial Narrow"/>
          <w:color w:val="000000"/>
          <w:sz w:val="18"/>
          <w:szCs w:val="18"/>
        </w:rPr>
        <w:t xml:space="preserve"> (2020); and November 2020 Prosthesis List</w:t>
      </w:r>
    </w:p>
    <w:p w14:paraId="319C2A89" w14:textId="77777777" w:rsidR="00BC1364" w:rsidRPr="005070BA" w:rsidRDefault="005070BA" w:rsidP="005070BA">
      <w:pPr>
        <w:keepNext/>
        <w:keepLines/>
        <w:spacing w:after="360"/>
        <w:rPr>
          <w:rFonts w:ascii="Arial Narrow" w:hAnsi="Arial Narrow"/>
          <w:color w:val="000000"/>
          <w:sz w:val="18"/>
          <w:szCs w:val="18"/>
        </w:rPr>
      </w:pPr>
      <w:r w:rsidRPr="00F62546">
        <w:rPr>
          <w:rFonts w:ascii="Arial Narrow" w:hAnsi="Arial Narrow"/>
          <w:color w:val="000000"/>
          <w:sz w:val="18"/>
          <w:szCs w:val="18"/>
        </w:rPr>
        <w:t>ADAR = Applicant Developed Assessment Report; F = French sizing (1F = 0.33 mm); Nov = November</w:t>
      </w:r>
    </w:p>
    <w:p w14:paraId="4F18A927" w14:textId="77777777" w:rsidR="00BC1364" w:rsidRPr="00F715D1" w:rsidRDefault="00BC1364" w:rsidP="00F715D1">
      <w:pPr>
        <w:pStyle w:val="Heading1"/>
      </w:pPr>
      <w:r w:rsidRPr="00F715D1">
        <w:t>Proposal for public funding</w:t>
      </w:r>
    </w:p>
    <w:p w14:paraId="001E1FC7" w14:textId="6779C30A" w:rsidR="005F024E" w:rsidRDefault="005F024E" w:rsidP="005F024E">
      <w:r w:rsidRPr="00F62546">
        <w:t xml:space="preserve">The MBS item descriptor proposed in the ADAR is given in </w:t>
      </w:r>
      <w:bookmarkStart w:id="6" w:name="_Ref54708407"/>
      <w:bookmarkStart w:id="7" w:name="_Toc399251120"/>
      <w:r w:rsidRPr="007C4B2B">
        <w:fldChar w:fldCharType="begin"/>
      </w:r>
      <w:r w:rsidRPr="007C4B2B">
        <w:instrText xml:space="preserve"> REF _Ref66201123 \h </w:instrText>
      </w:r>
      <w:r>
        <w:instrText xml:space="preserve"> \* MERGEFORMAT </w:instrText>
      </w:r>
      <w:r w:rsidRPr="007C4B2B">
        <w:fldChar w:fldCharType="separate"/>
      </w:r>
      <w:r w:rsidR="00C24855" w:rsidRPr="00F62546">
        <w:t xml:space="preserve">Table </w:t>
      </w:r>
      <w:r w:rsidR="00C24855">
        <w:t>5</w:t>
      </w:r>
      <w:r w:rsidRPr="007C4B2B">
        <w:fldChar w:fldCharType="end"/>
      </w:r>
      <w:r>
        <w:t>.</w:t>
      </w:r>
      <w:r>
        <w:br w:type="page"/>
      </w:r>
    </w:p>
    <w:p w14:paraId="3F1D7CA7" w14:textId="54440A4D" w:rsidR="005F024E" w:rsidRPr="00F62546" w:rsidRDefault="005F024E" w:rsidP="004B35D0">
      <w:pPr>
        <w:pStyle w:val="Caption"/>
      </w:pPr>
      <w:bookmarkStart w:id="8" w:name="_Ref66201123"/>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5</w:t>
      </w:r>
      <w:r w:rsidR="002F70F5">
        <w:rPr>
          <w:noProof/>
        </w:rPr>
        <w:fldChar w:fldCharType="end"/>
      </w:r>
      <w:bookmarkEnd w:id="6"/>
      <w:bookmarkEnd w:id="8"/>
      <w:r w:rsidRPr="00F62546">
        <w:tab/>
      </w:r>
      <w:bookmarkEnd w:id="7"/>
      <w:r w:rsidRPr="00F62546">
        <w:t>Proposed MBS item descriptor (unchanged) and proposed amendment to explanatory notes (abridged)</w:t>
      </w:r>
    </w:p>
    <w:tbl>
      <w:tblPr>
        <w:tblStyle w:val="Summarybox1"/>
        <w:tblW w:w="5000" w:type="pct"/>
        <w:tblLook w:val="04A0" w:firstRow="1" w:lastRow="0" w:firstColumn="1" w:lastColumn="0" w:noHBand="0" w:noVBand="1"/>
        <w:tblDescription w:val="Proposed MBS item descriptor (unchanged) and proposed amendment to explanatory notes (abridged)"/>
      </w:tblPr>
      <w:tblGrid>
        <w:gridCol w:w="9016"/>
      </w:tblGrid>
      <w:tr w:rsidR="005F024E" w:rsidRPr="00F62546" w14:paraId="6F113AAC" w14:textId="77777777" w:rsidTr="00A123CD">
        <w:trPr>
          <w:tblHeader/>
        </w:trPr>
        <w:tc>
          <w:tcPr>
            <w:tcW w:w="5000" w:type="pct"/>
          </w:tcPr>
          <w:p w14:paraId="6943F4BF" w14:textId="77777777" w:rsidR="005F024E" w:rsidRPr="00F62546" w:rsidRDefault="005F024E" w:rsidP="005F024E">
            <w:pPr>
              <w:keepNext/>
              <w:jc w:val="right"/>
              <w:rPr>
                <w:rFonts w:ascii="Arial Narrow" w:hAnsi="Arial Narrow" w:cs="Arial"/>
              </w:rPr>
            </w:pPr>
            <w:r w:rsidRPr="00F62546">
              <w:rPr>
                <w:rFonts w:ascii="Arial Narrow" w:hAnsi="Arial Narrow" w:cs="Arial"/>
                <w:sz w:val="20"/>
              </w:rPr>
              <w:t>Category 3 – THERAPEUTIC PROCEDURES – Surgical Operations</w:t>
            </w:r>
          </w:p>
        </w:tc>
      </w:tr>
      <w:tr w:rsidR="005F024E" w:rsidRPr="00F62546" w14:paraId="3F501D4B" w14:textId="77777777" w:rsidTr="00A123CD">
        <w:tc>
          <w:tcPr>
            <w:tcW w:w="5000" w:type="pct"/>
          </w:tcPr>
          <w:p w14:paraId="0304B8EC" w14:textId="77777777" w:rsidR="005F024E" w:rsidRPr="00F62546" w:rsidRDefault="005F024E" w:rsidP="005F024E">
            <w:pPr>
              <w:spacing w:before="40" w:after="40"/>
              <w:rPr>
                <w:rFonts w:ascii="Arial Narrow" w:hAnsi="Arial Narrow" w:cs="Tahoma"/>
                <w:snapToGrid w:val="0"/>
                <w:sz w:val="20"/>
              </w:rPr>
            </w:pPr>
            <w:r w:rsidRPr="00F62546">
              <w:rPr>
                <w:rFonts w:ascii="Arial Narrow" w:hAnsi="Arial Narrow" w:cs="Tahoma"/>
                <w:snapToGrid w:val="0"/>
                <w:sz w:val="20"/>
              </w:rPr>
              <w:t xml:space="preserve">TAVI, for the treatment of symptomatic severe aortic stenosis, performed via </w:t>
            </w:r>
            <w:proofErr w:type="spellStart"/>
            <w:r w:rsidRPr="00F62546">
              <w:rPr>
                <w:rFonts w:ascii="Arial Narrow" w:hAnsi="Arial Narrow" w:cs="Tahoma"/>
                <w:snapToGrid w:val="0"/>
                <w:sz w:val="20"/>
              </w:rPr>
              <w:t>transfemoral</w:t>
            </w:r>
            <w:proofErr w:type="spellEnd"/>
            <w:r w:rsidRPr="00F62546">
              <w:rPr>
                <w:rFonts w:ascii="Arial Narrow" w:hAnsi="Arial Narrow" w:cs="Tahoma"/>
                <w:snapToGrid w:val="0"/>
                <w:sz w:val="20"/>
              </w:rPr>
              <w:t xml:space="preserve"> delivery, unless </w:t>
            </w:r>
            <w:proofErr w:type="spellStart"/>
            <w:r w:rsidRPr="00F62546">
              <w:rPr>
                <w:rFonts w:ascii="Arial Narrow" w:hAnsi="Arial Narrow" w:cs="Tahoma"/>
                <w:snapToGrid w:val="0"/>
                <w:sz w:val="20"/>
              </w:rPr>
              <w:t>transfemoral</w:t>
            </w:r>
            <w:proofErr w:type="spellEnd"/>
            <w:r w:rsidRPr="00F62546">
              <w:rPr>
                <w:rFonts w:ascii="Arial Narrow" w:hAnsi="Arial Narrow" w:cs="Tahoma"/>
                <w:snapToGrid w:val="0"/>
                <w:sz w:val="20"/>
              </w:rPr>
              <w:t xml:space="preserve"> delivery is contraindicated or not feasible, in a TAVI Hospital on a TAVI Patient by a TAVI Practitioner – includes all intraoperative diagnostic imaging that the TAVI Practitioner performs upon the TAVI Patient.</w:t>
            </w:r>
          </w:p>
          <w:p w14:paraId="6736E084" w14:textId="77777777" w:rsidR="005F024E" w:rsidRPr="00F62546" w:rsidRDefault="005F024E" w:rsidP="005F024E">
            <w:pPr>
              <w:spacing w:before="40" w:after="40"/>
              <w:rPr>
                <w:rFonts w:ascii="Arial Narrow" w:hAnsi="Arial Narrow" w:cs="Tahoma"/>
                <w:snapToGrid w:val="0"/>
                <w:sz w:val="20"/>
              </w:rPr>
            </w:pPr>
            <w:r w:rsidRPr="00F62546">
              <w:rPr>
                <w:rFonts w:ascii="Arial Narrow" w:hAnsi="Arial Narrow" w:cs="Tahoma"/>
                <w:snapToGrid w:val="0"/>
                <w:sz w:val="20"/>
              </w:rPr>
              <w:t xml:space="preserve">TN.8.135  </w:t>
            </w:r>
            <w:proofErr w:type="spellStart"/>
            <w:r w:rsidRPr="00F62546">
              <w:rPr>
                <w:rFonts w:ascii="Arial Narrow" w:hAnsi="Arial Narrow" w:cs="Tahoma"/>
                <w:snapToGrid w:val="0"/>
                <w:sz w:val="20"/>
              </w:rPr>
              <w:t>Transcatheter</w:t>
            </w:r>
            <w:proofErr w:type="spellEnd"/>
            <w:r w:rsidRPr="00F62546">
              <w:rPr>
                <w:rFonts w:ascii="Arial Narrow" w:hAnsi="Arial Narrow" w:cs="Tahoma"/>
                <w:snapToGrid w:val="0"/>
                <w:sz w:val="20"/>
              </w:rPr>
              <w:t xml:space="preserve"> Aortic Valve Implantation (Item 38495) </w:t>
            </w:r>
          </w:p>
        </w:tc>
      </w:tr>
      <w:tr w:rsidR="005F024E" w:rsidRPr="00F62546" w14:paraId="04D21A6F" w14:textId="77777777" w:rsidTr="00A123CD">
        <w:tc>
          <w:tcPr>
            <w:tcW w:w="5000" w:type="pct"/>
          </w:tcPr>
          <w:p w14:paraId="7F80A1F4" w14:textId="77777777" w:rsidR="005F024E" w:rsidRPr="00F62546" w:rsidRDefault="005F024E" w:rsidP="005F024E">
            <w:pPr>
              <w:spacing w:before="40" w:after="40"/>
              <w:rPr>
                <w:rFonts w:ascii="Arial Narrow" w:hAnsi="Arial Narrow" w:cs="Tahoma"/>
                <w:snapToGrid w:val="0"/>
                <w:sz w:val="20"/>
              </w:rPr>
            </w:pPr>
            <w:r w:rsidRPr="00F62546">
              <w:rPr>
                <w:rFonts w:ascii="Arial Narrow" w:hAnsi="Arial Narrow" w:cs="Tahoma"/>
                <w:snapToGrid w:val="0"/>
                <w:sz w:val="20"/>
              </w:rPr>
              <w:t xml:space="preserve">A TAVI Patient means a patient who, as a result of a TAVI Case Conference, has been assessed as having an </w:t>
            </w:r>
            <w:r w:rsidRPr="00F62546">
              <w:rPr>
                <w:rFonts w:ascii="Arial Narrow" w:hAnsi="Arial Narrow" w:cs="Tahoma"/>
                <w:b/>
                <w:snapToGrid w:val="0"/>
                <w:sz w:val="20"/>
              </w:rPr>
              <w:t xml:space="preserve">intermediate </w:t>
            </w:r>
            <w:r w:rsidRPr="00F62546">
              <w:rPr>
                <w:rFonts w:ascii="Arial Narrow" w:hAnsi="Arial Narrow" w:cs="Tahoma"/>
                <w:b/>
                <w:snapToGrid w:val="0"/>
                <w:sz w:val="20"/>
                <w:vertAlign w:val="superscript"/>
              </w:rPr>
              <w:t>a</w:t>
            </w:r>
            <w:r w:rsidRPr="00F62546">
              <w:rPr>
                <w:rFonts w:ascii="Arial Narrow" w:hAnsi="Arial Narrow" w:cs="Tahoma"/>
                <w:b/>
                <w:snapToGrid w:val="0"/>
                <w:sz w:val="20"/>
              </w:rPr>
              <w:t xml:space="preserve"> or</w:t>
            </w:r>
            <w:r w:rsidRPr="00F62546">
              <w:rPr>
                <w:rFonts w:ascii="Arial Narrow" w:hAnsi="Arial Narrow" w:cs="Tahoma"/>
                <w:snapToGrid w:val="0"/>
                <w:sz w:val="20"/>
              </w:rPr>
              <w:t xml:space="preserve"> unacceptably high risk for surgical aortic valve replacement and is recommended as being suitable to receive the service described in item 38495…”</w:t>
            </w:r>
          </w:p>
        </w:tc>
      </w:tr>
      <w:tr w:rsidR="005F024E" w:rsidRPr="00F62546" w14:paraId="1D5A40F9" w14:textId="77777777" w:rsidTr="00A123CD">
        <w:tc>
          <w:tcPr>
            <w:tcW w:w="5000" w:type="pct"/>
          </w:tcPr>
          <w:p w14:paraId="0B4CD37E" w14:textId="77777777" w:rsidR="005F024E" w:rsidRPr="00F62546" w:rsidRDefault="005F024E" w:rsidP="005F024E">
            <w:pPr>
              <w:spacing w:before="40" w:after="40"/>
              <w:rPr>
                <w:rFonts w:ascii="Arial Narrow" w:hAnsi="Arial Narrow" w:cs="Tahoma"/>
              </w:rPr>
            </w:pPr>
            <w:r w:rsidRPr="00F62546">
              <w:rPr>
                <w:rFonts w:ascii="Arial Narrow" w:hAnsi="Arial Narrow" w:cs="Tahoma"/>
                <w:sz w:val="20"/>
              </w:rPr>
              <w:t>Fee: $1,476.95</w:t>
            </w:r>
          </w:p>
        </w:tc>
      </w:tr>
    </w:tbl>
    <w:p w14:paraId="2A7B4CC7" w14:textId="77777777" w:rsidR="005F024E" w:rsidRPr="00F62546" w:rsidRDefault="005F024E" w:rsidP="005F024E">
      <w:pPr>
        <w:keepNext/>
        <w:keepLines/>
        <w:rPr>
          <w:rFonts w:ascii="Arial Narrow" w:hAnsi="Arial Narrow"/>
          <w:color w:val="000000"/>
          <w:sz w:val="18"/>
          <w:szCs w:val="18"/>
        </w:rPr>
      </w:pPr>
      <w:r w:rsidRPr="00F62546">
        <w:rPr>
          <w:rFonts w:ascii="Arial Narrow" w:hAnsi="Arial Narrow"/>
          <w:color w:val="000000"/>
          <w:sz w:val="18"/>
          <w:szCs w:val="18"/>
        </w:rPr>
        <w:t>Source: Table 12, p36 of the ADAR.</w:t>
      </w:r>
      <w:r w:rsidRPr="00F62546">
        <w:rPr>
          <w:rFonts w:ascii="Arial Narrow" w:hAnsi="Arial Narrow"/>
          <w:b/>
          <w:color w:val="000000"/>
          <w:sz w:val="18"/>
          <w:szCs w:val="18"/>
        </w:rPr>
        <w:t xml:space="preserve"> Bold</w:t>
      </w:r>
      <w:r w:rsidRPr="00F62546">
        <w:rPr>
          <w:rFonts w:ascii="Arial Narrow" w:hAnsi="Arial Narrow"/>
          <w:color w:val="000000"/>
          <w:sz w:val="18"/>
          <w:szCs w:val="18"/>
        </w:rPr>
        <w:t xml:space="preserve"> = proposed changes to the explanatory notes </w:t>
      </w:r>
    </w:p>
    <w:p w14:paraId="573D2A3C" w14:textId="77777777" w:rsidR="005F024E" w:rsidRPr="00F62546" w:rsidRDefault="005F024E" w:rsidP="005F024E">
      <w:pPr>
        <w:keepNext/>
        <w:keepLines/>
        <w:rPr>
          <w:rFonts w:ascii="Arial Narrow" w:hAnsi="Arial Narrow"/>
          <w:color w:val="000000"/>
          <w:sz w:val="18"/>
          <w:szCs w:val="18"/>
        </w:rPr>
      </w:pPr>
      <w:r w:rsidRPr="00F62546">
        <w:rPr>
          <w:rFonts w:ascii="Arial Narrow" w:hAnsi="Arial Narrow"/>
          <w:color w:val="000000"/>
          <w:sz w:val="18"/>
          <w:szCs w:val="18"/>
        </w:rPr>
        <w:t xml:space="preserve">ADAR = Applicant Developed Assessment Report; STS-PROM = Society of Thoracic Surgeons Predicted Risk of Mortality Score; TAVI = </w:t>
      </w:r>
      <w:proofErr w:type="spellStart"/>
      <w:r w:rsidRPr="00F62546">
        <w:rPr>
          <w:rFonts w:ascii="Arial Narrow" w:hAnsi="Arial Narrow"/>
          <w:color w:val="000000"/>
          <w:sz w:val="18"/>
          <w:szCs w:val="18"/>
        </w:rPr>
        <w:t>transcatheter</w:t>
      </w:r>
      <w:proofErr w:type="spellEnd"/>
      <w:r w:rsidRPr="00F62546">
        <w:rPr>
          <w:rFonts w:ascii="Arial Narrow" w:hAnsi="Arial Narrow"/>
          <w:color w:val="000000"/>
          <w:sz w:val="18"/>
          <w:szCs w:val="18"/>
        </w:rPr>
        <w:t xml:space="preserve"> aortic valve implantation; </w:t>
      </w:r>
    </w:p>
    <w:p w14:paraId="608A259F" w14:textId="77777777" w:rsidR="00BC1364" w:rsidRPr="00DD6765" w:rsidRDefault="005F024E" w:rsidP="00DD6765">
      <w:pPr>
        <w:keepNext/>
        <w:keepLines/>
        <w:spacing w:after="360"/>
        <w:rPr>
          <w:rFonts w:ascii="Arial Narrow" w:hAnsi="Arial Narrow"/>
          <w:color w:val="000000"/>
          <w:sz w:val="18"/>
          <w:szCs w:val="18"/>
          <w:highlight w:val="yellow"/>
        </w:rPr>
      </w:pPr>
      <w:proofErr w:type="gramStart"/>
      <w:r w:rsidRPr="00F62546">
        <w:rPr>
          <w:rFonts w:ascii="Arial Narrow" w:hAnsi="Arial Narrow"/>
          <w:color w:val="000000"/>
          <w:sz w:val="18"/>
          <w:szCs w:val="18"/>
          <w:vertAlign w:val="superscript"/>
        </w:rPr>
        <w:t>a</w:t>
      </w:r>
      <w:proofErr w:type="gramEnd"/>
      <w:r w:rsidRPr="00F62546">
        <w:rPr>
          <w:rFonts w:ascii="Arial Narrow" w:hAnsi="Arial Narrow"/>
          <w:color w:val="000000"/>
          <w:sz w:val="18"/>
          <w:szCs w:val="18"/>
        </w:rPr>
        <w:t xml:space="preserve"> </w:t>
      </w:r>
      <w:proofErr w:type="spellStart"/>
      <w:r w:rsidRPr="00F62546">
        <w:rPr>
          <w:rFonts w:ascii="Arial Narrow" w:hAnsi="Arial Narrow"/>
          <w:color w:val="000000"/>
          <w:sz w:val="18"/>
          <w:szCs w:val="18"/>
        </w:rPr>
        <w:t>A</w:t>
      </w:r>
      <w:proofErr w:type="spellEnd"/>
      <w:r w:rsidRPr="00F62546">
        <w:rPr>
          <w:rFonts w:ascii="Arial Narrow" w:hAnsi="Arial Narrow"/>
          <w:color w:val="000000"/>
          <w:sz w:val="18"/>
          <w:szCs w:val="18"/>
        </w:rPr>
        <w:t xml:space="preserve"> patient is defined at intermediate risk of surgery if they meet the following criteria: No more than mild frailty; AND STS-PROM 4-8%; OR One major organ system compromise not to be improved post-operatively; OR Possible procedure-specific impediment</w:t>
      </w:r>
    </w:p>
    <w:p w14:paraId="2ED23F32"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52CF335C" w14:textId="77777777" w:rsidR="00DD6765" w:rsidRPr="00DD6765" w:rsidRDefault="00DD6765" w:rsidP="00DD6765">
      <w:r w:rsidRPr="00DD6765">
        <w:t>Public consultation surveys were received from one consumer organisation, a medical device manufacturer and a specialist.</w:t>
      </w:r>
    </w:p>
    <w:p w14:paraId="71F23439" w14:textId="77777777" w:rsidR="00DD6765" w:rsidRPr="00DD6765" w:rsidRDefault="00DD6765" w:rsidP="00DD6765">
      <w:pPr>
        <w:rPr>
          <w:szCs w:val="28"/>
          <w:lang w:eastAsia="en-US"/>
        </w:rPr>
      </w:pPr>
      <w:r w:rsidRPr="00DD6765">
        <w:rPr>
          <w:szCs w:val="28"/>
          <w:lang w:eastAsia="en-US"/>
        </w:rPr>
        <w:t>The consumer organisation (Hearts4Heart) was highly supportive of the application. The feedback highlighted that:</w:t>
      </w:r>
    </w:p>
    <w:p w14:paraId="73CA6CCF" w14:textId="77777777" w:rsidR="00DD6765" w:rsidRPr="00DD6765" w:rsidRDefault="004B35D0" w:rsidP="00DD6765">
      <w:pPr>
        <w:numPr>
          <w:ilvl w:val="0"/>
          <w:numId w:val="31"/>
        </w:numPr>
        <w:contextualSpacing/>
        <w:rPr>
          <w:szCs w:val="28"/>
          <w:lang w:eastAsia="en-US"/>
        </w:rPr>
      </w:pPr>
      <w:proofErr w:type="gramStart"/>
      <w:r>
        <w:rPr>
          <w:szCs w:val="28"/>
          <w:lang w:eastAsia="en-US"/>
        </w:rPr>
        <w:t>p</w:t>
      </w:r>
      <w:r w:rsidR="00DD6765" w:rsidRPr="00DD6765">
        <w:rPr>
          <w:szCs w:val="28"/>
          <w:lang w:eastAsia="en-US"/>
        </w:rPr>
        <w:t>atients</w:t>
      </w:r>
      <w:proofErr w:type="gramEnd"/>
      <w:r w:rsidR="00DD6765" w:rsidRPr="00DD6765">
        <w:rPr>
          <w:szCs w:val="28"/>
          <w:lang w:eastAsia="en-US"/>
        </w:rPr>
        <w:t xml:space="preserve"> are mobile following TAVI and can be discharged relatively quickly after the procedure. Physical recovery from SAVR is much longer. Faster discharge from hospital and faster recovery are highly valued by patients; </w:t>
      </w:r>
    </w:p>
    <w:p w14:paraId="37BD3603" w14:textId="77777777" w:rsidR="00DD6765" w:rsidRPr="00DD6765" w:rsidRDefault="004B35D0" w:rsidP="00DD6765">
      <w:pPr>
        <w:numPr>
          <w:ilvl w:val="0"/>
          <w:numId w:val="31"/>
        </w:numPr>
        <w:contextualSpacing/>
        <w:rPr>
          <w:szCs w:val="28"/>
          <w:lang w:eastAsia="en-US"/>
        </w:rPr>
      </w:pPr>
      <w:proofErr w:type="gramStart"/>
      <w:r>
        <w:rPr>
          <w:szCs w:val="28"/>
          <w:lang w:eastAsia="en-US"/>
        </w:rPr>
        <w:t>t</w:t>
      </w:r>
      <w:r w:rsidR="00DD6765" w:rsidRPr="00DD6765">
        <w:rPr>
          <w:szCs w:val="28"/>
          <w:lang w:eastAsia="en-US"/>
        </w:rPr>
        <w:t>here</w:t>
      </w:r>
      <w:proofErr w:type="gramEnd"/>
      <w:r w:rsidR="00DD6765" w:rsidRPr="00DD6765">
        <w:rPr>
          <w:szCs w:val="28"/>
          <w:lang w:eastAsia="en-US"/>
        </w:rPr>
        <w:t xml:space="preserve"> are several randomised controlled trials supporting the use of TAVI patients irrespective of surgical risk. However, TAVI is only subsidised for patients with a higher surgical risk;</w:t>
      </w:r>
    </w:p>
    <w:p w14:paraId="70CDF1D2" w14:textId="77777777" w:rsidR="00DD6765" w:rsidRPr="00DD6765" w:rsidRDefault="004B35D0" w:rsidP="00DD6765">
      <w:pPr>
        <w:numPr>
          <w:ilvl w:val="0"/>
          <w:numId w:val="31"/>
        </w:numPr>
        <w:contextualSpacing/>
        <w:rPr>
          <w:szCs w:val="28"/>
          <w:lang w:eastAsia="en-US"/>
        </w:rPr>
      </w:pPr>
      <w:proofErr w:type="gramStart"/>
      <w:r>
        <w:rPr>
          <w:szCs w:val="28"/>
          <w:lang w:eastAsia="en-US"/>
        </w:rPr>
        <w:t>p</w:t>
      </w:r>
      <w:r w:rsidR="00DD6765" w:rsidRPr="00DD6765">
        <w:rPr>
          <w:szCs w:val="28"/>
          <w:lang w:eastAsia="en-US"/>
        </w:rPr>
        <w:t>atients</w:t>
      </w:r>
      <w:proofErr w:type="gramEnd"/>
      <w:r w:rsidR="00DD6765" w:rsidRPr="00DD6765">
        <w:rPr>
          <w:szCs w:val="28"/>
          <w:lang w:eastAsia="en-US"/>
        </w:rPr>
        <w:t xml:space="preserve"> must be assessed by a Heart Team for TAVI. This was considered beneficial for patients, but it was noted that this is not required for SAVR;</w:t>
      </w:r>
    </w:p>
    <w:p w14:paraId="27C2F23D" w14:textId="77777777" w:rsidR="00DD6765" w:rsidRPr="00DD6765" w:rsidRDefault="00DD6765" w:rsidP="00DD6765">
      <w:pPr>
        <w:numPr>
          <w:ilvl w:val="0"/>
          <w:numId w:val="31"/>
        </w:numPr>
        <w:contextualSpacing/>
        <w:rPr>
          <w:szCs w:val="28"/>
          <w:lang w:eastAsia="en-US"/>
        </w:rPr>
      </w:pPr>
      <w:r w:rsidRPr="00DD6765">
        <w:rPr>
          <w:szCs w:val="28"/>
          <w:lang w:eastAsia="en-US"/>
        </w:rPr>
        <w:t>TAVI has similar outcomes to SAVR but patients are less likely to develop atrial fibrillation or experience life-threatening or disabling bleeding; and</w:t>
      </w:r>
    </w:p>
    <w:p w14:paraId="7CD3C5D4" w14:textId="77777777" w:rsidR="00DD6765" w:rsidRPr="00DD6765" w:rsidRDefault="00DD6765" w:rsidP="00DD6765">
      <w:pPr>
        <w:numPr>
          <w:ilvl w:val="0"/>
          <w:numId w:val="31"/>
        </w:numPr>
        <w:contextualSpacing/>
        <w:rPr>
          <w:szCs w:val="28"/>
          <w:lang w:eastAsia="en-US"/>
        </w:rPr>
      </w:pPr>
      <w:r w:rsidRPr="00DD6765">
        <w:rPr>
          <w:szCs w:val="28"/>
          <w:lang w:eastAsia="en-US"/>
        </w:rPr>
        <w:t>TAVI provides an alternative to SAVR that is less invasive and requires less hospital care (operating theatres, intensive care,</w:t>
      </w:r>
      <w:r w:rsidR="004B35D0">
        <w:rPr>
          <w:szCs w:val="28"/>
          <w:lang w:eastAsia="en-US"/>
        </w:rPr>
        <w:t xml:space="preserve"> and longer stay in hospital).</w:t>
      </w:r>
    </w:p>
    <w:p w14:paraId="751116E1" w14:textId="19E3AD4F" w:rsidR="00DD6765" w:rsidRPr="00DD6765" w:rsidRDefault="00DD6765" w:rsidP="005B05CF">
      <w:pPr>
        <w:spacing w:before="240"/>
      </w:pPr>
      <w:r w:rsidRPr="00DD6765">
        <w:t>The competitor medical device manufacturer feedback considered that:</w:t>
      </w:r>
    </w:p>
    <w:p w14:paraId="2BA7A6E2" w14:textId="77777777" w:rsidR="00DD6765" w:rsidRPr="00DD6765" w:rsidRDefault="00DD6765" w:rsidP="00DD6765">
      <w:pPr>
        <w:numPr>
          <w:ilvl w:val="0"/>
          <w:numId w:val="30"/>
        </w:numPr>
        <w:contextualSpacing/>
      </w:pPr>
      <w:r w:rsidRPr="00DD6765">
        <w:t>the SAPIEN 3 TAVI-BEV device should be excluded from the current application as application 1603 for TAVI-BEV was supported by MSAC</w:t>
      </w:r>
    </w:p>
    <w:p w14:paraId="59B9EA5E" w14:textId="77777777" w:rsidR="00DD6765" w:rsidRPr="00DD6765" w:rsidRDefault="00DD6765" w:rsidP="00DD6765">
      <w:pPr>
        <w:numPr>
          <w:ilvl w:val="0"/>
          <w:numId w:val="30"/>
        </w:numPr>
        <w:contextualSpacing/>
      </w:pPr>
      <w:r w:rsidRPr="00DD6765">
        <w:t>the SAPIEN 3 device is a comparator for SEVs and evaluating the difference between TAVI-BEV and TAVI-SEV is therefore important</w:t>
      </w:r>
    </w:p>
    <w:p w14:paraId="4C60EFD0" w14:textId="77777777" w:rsidR="00DD6765" w:rsidRPr="00DD6765" w:rsidRDefault="00DD6765" w:rsidP="00DD6765">
      <w:pPr>
        <w:numPr>
          <w:ilvl w:val="0"/>
          <w:numId w:val="30"/>
        </w:numPr>
        <w:contextualSpacing/>
      </w:pPr>
      <w:proofErr w:type="gramStart"/>
      <w:r w:rsidRPr="00DD6765">
        <w:t>the</w:t>
      </w:r>
      <w:proofErr w:type="gramEnd"/>
      <w:r w:rsidRPr="00DD6765">
        <w:t xml:space="preserve"> PARTNER 2A trial is not appropriate as the SAPIEN XT valve (not marketed in Australia) was used and not the SAPIEN 3 valve. PARTNER S3i (</w:t>
      </w:r>
      <w:proofErr w:type="spellStart"/>
      <w:r w:rsidRPr="00DD6765">
        <w:t>Thourani</w:t>
      </w:r>
      <w:proofErr w:type="spellEnd"/>
      <w:r w:rsidRPr="00DD6765">
        <w:t xml:space="preserve"> 2016), a propensity score adjusted observational study should instead be used</w:t>
      </w:r>
    </w:p>
    <w:p w14:paraId="3DDCEC55" w14:textId="77777777" w:rsidR="00DD6765" w:rsidRPr="00DD6765" w:rsidRDefault="00DD6765" w:rsidP="00DD6765">
      <w:pPr>
        <w:numPr>
          <w:ilvl w:val="0"/>
          <w:numId w:val="30"/>
        </w:numPr>
        <w:contextualSpacing/>
      </w:pPr>
      <w:r w:rsidRPr="00DD6765">
        <w:t xml:space="preserve">TAVI-BEV (SAPIEN 3) is clinically superior to SAVR based on </w:t>
      </w:r>
      <w:proofErr w:type="spellStart"/>
      <w:r w:rsidRPr="00DD6765">
        <w:t>Thourani</w:t>
      </w:r>
      <w:proofErr w:type="spellEnd"/>
      <w:r w:rsidRPr="00DD6765">
        <w:t xml:space="preserve"> 2016. TAVI-SEV using the self-expandable valves (SEV) </w:t>
      </w:r>
      <w:proofErr w:type="spellStart"/>
      <w:r w:rsidRPr="00DD6765">
        <w:t>CoreValve</w:t>
      </w:r>
      <w:proofErr w:type="spellEnd"/>
      <w:r w:rsidRPr="00DD6765">
        <w:t xml:space="preserve"> and </w:t>
      </w:r>
      <w:proofErr w:type="spellStart"/>
      <w:r w:rsidRPr="00DD6765">
        <w:t>Evolut</w:t>
      </w:r>
      <w:proofErr w:type="spellEnd"/>
      <w:r w:rsidRPr="00DD6765">
        <w:t xml:space="preserve"> </w:t>
      </w:r>
      <w:proofErr w:type="spellStart"/>
      <w:r w:rsidRPr="00DD6765">
        <w:t>R are</w:t>
      </w:r>
      <w:proofErr w:type="spellEnd"/>
      <w:r w:rsidRPr="00DD6765">
        <w:t xml:space="preserve"> non</w:t>
      </w:r>
      <w:r w:rsidRPr="00DD6765">
        <w:noBreakHyphen/>
        <w:t>inferior to SAVR based on a direct RCT (Reardon 2017)</w:t>
      </w:r>
    </w:p>
    <w:p w14:paraId="5F6356B0" w14:textId="77777777" w:rsidR="00DD6765" w:rsidRPr="00DD6765" w:rsidRDefault="00DD6765" w:rsidP="00DD6765">
      <w:pPr>
        <w:numPr>
          <w:ilvl w:val="0"/>
          <w:numId w:val="30"/>
        </w:numPr>
        <w:contextualSpacing/>
      </w:pPr>
      <w:proofErr w:type="gramStart"/>
      <w:r w:rsidRPr="00DD6765">
        <w:t>the</w:t>
      </w:r>
      <w:proofErr w:type="gramEnd"/>
      <w:r w:rsidRPr="00DD6765">
        <w:t xml:space="preserve"> clinical claim was inappropriate and uncertain as it assumed all TAVI valves are non-inferior to SAVR, reiterating the findings of </w:t>
      </w:r>
      <w:proofErr w:type="spellStart"/>
      <w:r w:rsidRPr="00DD6765">
        <w:t>T</w:t>
      </w:r>
      <w:r w:rsidR="004B35D0">
        <w:t>hourani</w:t>
      </w:r>
      <w:proofErr w:type="spellEnd"/>
      <w:r w:rsidR="004B35D0">
        <w:t xml:space="preserve"> 2016 and Reardon 2017. </w:t>
      </w:r>
      <w:r w:rsidRPr="00DD6765">
        <w:t xml:space="preserve">The feedback claimed non-inferiority have not been established for the </w:t>
      </w:r>
      <w:proofErr w:type="spellStart"/>
      <w:r w:rsidRPr="00DD6765">
        <w:t>Potico</w:t>
      </w:r>
      <w:proofErr w:type="spellEnd"/>
      <w:r w:rsidRPr="00DD6765">
        <w:t xml:space="preserve"> and </w:t>
      </w:r>
      <w:proofErr w:type="spellStart"/>
      <w:r w:rsidRPr="00DD6765">
        <w:lastRenderedPageBreak/>
        <w:t>Acurate</w:t>
      </w:r>
      <w:proofErr w:type="spellEnd"/>
      <w:r w:rsidRPr="00DD6765">
        <w:t xml:space="preserve"> Neo SEVs. The SCOPE I trial (</w:t>
      </w:r>
      <w:proofErr w:type="spellStart"/>
      <w:r w:rsidRPr="00DD6765">
        <w:t>Lanz</w:t>
      </w:r>
      <w:proofErr w:type="spellEnd"/>
      <w:r w:rsidRPr="00DD6765">
        <w:t xml:space="preserve"> 2019</w:t>
      </w:r>
      <w:r w:rsidRPr="00DD6765">
        <w:rPr>
          <w:vertAlign w:val="superscript"/>
        </w:rPr>
        <w:footnoteReference w:id="3"/>
      </w:r>
      <w:r w:rsidRPr="00DD6765">
        <w:t xml:space="preserve">) reported that TAVI-SEV with ACURATE Neo being inferior compared to TAVI-BEV with SAPIEN 3. The feedback also referred to real-world observational studies </w:t>
      </w:r>
      <w:proofErr w:type="spellStart"/>
      <w:r w:rsidRPr="00DD6765">
        <w:t>Deharo</w:t>
      </w:r>
      <w:proofErr w:type="spellEnd"/>
      <w:r w:rsidRPr="00DD6765">
        <w:t xml:space="preserve"> (2020)</w:t>
      </w:r>
      <w:r w:rsidRPr="00DD6765">
        <w:rPr>
          <w:vertAlign w:val="superscript"/>
        </w:rPr>
        <w:footnoteReference w:id="4"/>
      </w:r>
      <w:r w:rsidRPr="00DD6765">
        <w:t xml:space="preserve"> and van Belle (2019)</w:t>
      </w:r>
      <w:r w:rsidRPr="00DD6765">
        <w:rPr>
          <w:vertAlign w:val="superscript"/>
        </w:rPr>
        <w:footnoteReference w:id="5"/>
      </w:r>
      <w:r w:rsidRPr="00DD6765">
        <w:t xml:space="preserve"> as supporting differences between SAPIEN 3 and </w:t>
      </w:r>
      <w:proofErr w:type="spellStart"/>
      <w:r w:rsidRPr="00DD6765">
        <w:t>Evolut</w:t>
      </w:r>
      <w:proofErr w:type="spellEnd"/>
      <w:r w:rsidRPr="00DD6765">
        <w:t> R.</w:t>
      </w:r>
    </w:p>
    <w:p w14:paraId="32BE438D" w14:textId="0F8DD1BB" w:rsidR="00BC1364" w:rsidRPr="00DD6765" w:rsidRDefault="00DD6765" w:rsidP="005B05CF">
      <w:pPr>
        <w:tabs>
          <w:tab w:val="left" w:pos="720"/>
          <w:tab w:val="left" w:pos="1140"/>
        </w:tabs>
        <w:spacing w:before="240"/>
        <w:rPr>
          <w:szCs w:val="24"/>
        </w:rPr>
      </w:pPr>
      <w:r w:rsidRPr="00DD6765">
        <w:rPr>
          <w:szCs w:val="24"/>
        </w:rPr>
        <w:t xml:space="preserve">The specialist who has personally deployed </w:t>
      </w:r>
      <w:proofErr w:type="spellStart"/>
      <w:r w:rsidRPr="00DD6765">
        <w:rPr>
          <w:szCs w:val="24"/>
        </w:rPr>
        <w:t>Evolut</w:t>
      </w:r>
      <w:proofErr w:type="spellEnd"/>
      <w:r w:rsidRPr="00DD6765">
        <w:rPr>
          <w:szCs w:val="24"/>
        </w:rPr>
        <w:t>-R valves into high risk patients, was in favour of the application and considered that the benefits to the patients would be shorter stays in hospital and less morbidity and mortality.</w:t>
      </w:r>
    </w:p>
    <w:p w14:paraId="483233F1" w14:textId="77777777" w:rsidR="00BC1364" w:rsidRPr="00F715D1" w:rsidRDefault="00BC1364" w:rsidP="00F715D1">
      <w:pPr>
        <w:pStyle w:val="Heading1"/>
      </w:pPr>
      <w:r w:rsidRPr="00F715D1">
        <w:t>Proposed intervention’s place in clinical management</w:t>
      </w:r>
    </w:p>
    <w:p w14:paraId="48FF80F9" w14:textId="77777777" w:rsidR="00CF4E81" w:rsidRDefault="00CF4E81" w:rsidP="00F715D1">
      <w:pPr>
        <w:spacing w:after="240"/>
        <w:rPr>
          <w:b/>
          <w:szCs w:val="24"/>
        </w:rPr>
      </w:pPr>
      <w:r w:rsidRPr="00CF4E81">
        <w:rPr>
          <w:b/>
          <w:szCs w:val="24"/>
        </w:rPr>
        <w:t>Description of Proposed Intervention</w:t>
      </w:r>
    </w:p>
    <w:p w14:paraId="0D03BF81" w14:textId="77777777" w:rsidR="00DD6765" w:rsidRPr="00DD6765" w:rsidRDefault="00DD6765" w:rsidP="00DD6765">
      <w:pPr>
        <w:spacing w:after="240"/>
        <w:rPr>
          <w:szCs w:val="24"/>
        </w:rPr>
      </w:pPr>
      <w:r w:rsidRPr="00DD6765">
        <w:rPr>
          <w:szCs w:val="24"/>
        </w:rPr>
        <w:t xml:space="preserve">The procedure relevant to this application consists of the </w:t>
      </w:r>
      <w:proofErr w:type="spellStart"/>
      <w:r w:rsidRPr="00DD6765">
        <w:rPr>
          <w:szCs w:val="24"/>
        </w:rPr>
        <w:t>transfemoral</w:t>
      </w:r>
      <w:proofErr w:type="spellEnd"/>
      <w:r w:rsidRPr="00DD6765">
        <w:rPr>
          <w:szCs w:val="24"/>
        </w:rPr>
        <w:t xml:space="preserve"> insertion of a minimally invasive prosthetic heart valve that is positioned within the native aortic annulus. Once in situ, the valve is expanded while the heart is rapidly paced. The procedure is performed under fluoroscopic and </w:t>
      </w:r>
      <w:proofErr w:type="spellStart"/>
      <w:r w:rsidRPr="00DD6765">
        <w:rPr>
          <w:szCs w:val="24"/>
        </w:rPr>
        <w:t>transosophageal</w:t>
      </w:r>
      <w:proofErr w:type="spellEnd"/>
      <w:r w:rsidRPr="00DD6765">
        <w:rPr>
          <w:szCs w:val="24"/>
        </w:rPr>
        <w:t xml:space="preserve"> guidance and under general anaesthesia or </w:t>
      </w:r>
      <w:r>
        <w:rPr>
          <w:szCs w:val="24"/>
        </w:rPr>
        <w:t>sedation and local anaesthetic.</w:t>
      </w:r>
    </w:p>
    <w:p w14:paraId="63D672AE" w14:textId="77777777" w:rsidR="00DD6765" w:rsidRPr="00DD6765" w:rsidRDefault="00DD6765" w:rsidP="00DD6765">
      <w:pPr>
        <w:spacing w:after="240"/>
        <w:rPr>
          <w:szCs w:val="24"/>
        </w:rPr>
      </w:pPr>
      <w:r w:rsidRPr="00DD6765">
        <w:rPr>
          <w:szCs w:val="24"/>
        </w:rPr>
        <w:t xml:space="preserve">The procedure can be performed using either a self-expandable, mechanically expandable or balloon-expandable device. Once the correct position is confirmed, the heart is again rapidly paced, the balloon or valve is expanded until the device meets native annular walls, and the guide wire, </w:t>
      </w:r>
      <w:proofErr w:type="gramStart"/>
      <w:r w:rsidRPr="00DD6765">
        <w:rPr>
          <w:szCs w:val="24"/>
        </w:rPr>
        <w:t>catheter</w:t>
      </w:r>
      <w:proofErr w:type="gramEnd"/>
      <w:r w:rsidRPr="00DD6765">
        <w:rPr>
          <w:szCs w:val="24"/>
        </w:rPr>
        <w:t xml:space="preserve"> and balloon (if present) are removed.</w:t>
      </w:r>
    </w:p>
    <w:p w14:paraId="34FA6D9B" w14:textId="77777777" w:rsidR="00CF4E81" w:rsidRDefault="00CF4E81" w:rsidP="00CF4E81">
      <w:pPr>
        <w:autoSpaceDE w:val="0"/>
        <w:autoSpaceDN w:val="0"/>
        <w:adjustRightInd w:val="0"/>
        <w:rPr>
          <w:b/>
        </w:rPr>
      </w:pPr>
      <w:r w:rsidRPr="00CF4E81">
        <w:rPr>
          <w:b/>
        </w:rPr>
        <w:t>Description of Medical Condition(s)</w:t>
      </w:r>
    </w:p>
    <w:p w14:paraId="1D25002C" w14:textId="0CB6C0D9" w:rsidR="00DD6765" w:rsidRDefault="00DD6765" w:rsidP="005B05CF">
      <w:pPr>
        <w:autoSpaceDE w:val="0"/>
        <w:autoSpaceDN w:val="0"/>
        <w:adjustRightInd w:val="0"/>
        <w:spacing w:before="240"/>
      </w:pPr>
      <w:r w:rsidRPr="00DD6765">
        <w:t>Severe aortic stenosis is the abnormal narrowing of the aortic valve, which restricts the flow of blood from the left ventricle of the heart into the aorta. When the heart contracts to pump oxygenated blood from the left ventricle into the aorta, the aortic valve opens. If the aortic valve is narrowed, the heart no longer pumps blood efficiently and therefore, increases the blood pressure inside the left ventricle. In response to the extra workload, the muscle of the left ventricle thickens (concentric hypertrophy) and the chamber itself may eventually balloon out. Left untreated, congestive heart failure develops, and death is likely. This application is relevant to patients with severe, symptomatic aortic stenosis classified as being at intermediate risk for surgery. ‘Intermediate risk’ is historically defined by a predicted 30-day risk of surgical mortality of 4-8%, based on the Society of Thoracic Surgeons Predicted Risk of Mortality score.</w:t>
      </w:r>
    </w:p>
    <w:p w14:paraId="04F8D562" w14:textId="50ED3DF7" w:rsidR="004B35D0" w:rsidRPr="00DD6765" w:rsidRDefault="004B35D0" w:rsidP="005B05CF">
      <w:pPr>
        <w:autoSpaceDE w:val="0"/>
        <w:autoSpaceDN w:val="0"/>
        <w:adjustRightInd w:val="0"/>
        <w:spacing w:before="240"/>
      </w:pPr>
      <w:r>
        <w:rPr>
          <w:b/>
        </w:rPr>
        <w:t>Clinical place</w:t>
      </w:r>
    </w:p>
    <w:p w14:paraId="0C270703" w14:textId="3D66D19F" w:rsidR="00DD6765" w:rsidRPr="00DD6765" w:rsidRDefault="00DD6765" w:rsidP="005B05CF">
      <w:pPr>
        <w:spacing w:before="240"/>
        <w:rPr>
          <w:i/>
        </w:rPr>
      </w:pPr>
      <w:r w:rsidRPr="00DD6765">
        <w:t>The key difference between the current and proposed clinical management pathway is the addition of TAVI as an alternative to SAVR. The ADAR’s clinical management algorithm (</w:t>
      </w:r>
      <w:r w:rsidRPr="00DD6765">
        <w:fldChar w:fldCharType="begin"/>
      </w:r>
      <w:r w:rsidRPr="00DD6765">
        <w:instrText xml:space="preserve"> REF _Ref54360211 \h  \* MERGEFORMAT </w:instrText>
      </w:r>
      <w:r w:rsidRPr="00DD6765">
        <w:fldChar w:fldCharType="separate"/>
      </w:r>
      <w:r w:rsidR="00C24855" w:rsidRPr="00DD6765">
        <w:t xml:space="preserve">Figure </w:t>
      </w:r>
      <w:r w:rsidR="00C24855">
        <w:t>2</w:t>
      </w:r>
      <w:r w:rsidRPr="00DD6765">
        <w:fldChar w:fldCharType="end"/>
      </w:r>
      <w:r w:rsidRPr="00DD6765">
        <w:t>) differed from the Ratified PICO as it included referral to a cardiologist after presentation to a GP, included medical management as an option following referral, and removed repeat aortic valve replacement (with SAVR) following complications.</w:t>
      </w:r>
      <w:r w:rsidRPr="00DD6765">
        <w:rPr>
          <w:i/>
        </w:rPr>
        <w:t xml:space="preserve"> </w:t>
      </w:r>
      <w:r w:rsidRPr="00DD6765">
        <w:t xml:space="preserve">The </w:t>
      </w:r>
      <w:r w:rsidRPr="00DD6765">
        <w:lastRenderedPageBreak/>
        <w:t>Commentary considered the removal of reintervention from the algorithm was not appropriate as the rates of reintervention were numerically (but not statistically significantly) higher in the TAVI arms (relative to SAVR) of the key trials. The Commentary also considered that the inclusion of medical management as a separate pathway that occurs before AS diagnosis may not be reflective of clinical practice as medical management is not a first line therapy for an operable patient.</w:t>
      </w:r>
    </w:p>
    <w:p w14:paraId="74ADACBE" w14:textId="365A34C7" w:rsidR="00DD6765" w:rsidRPr="00DD6765" w:rsidRDefault="00DD6765" w:rsidP="005B05CF">
      <w:pPr>
        <w:spacing w:before="240"/>
      </w:pPr>
      <w:r w:rsidRPr="00DD6765">
        <w:rPr>
          <w:iCs/>
        </w:rPr>
        <w:t xml:space="preserve">The Commentary highlighted that the proposed algorithm did not consider the patient’s age as an important factor in the choice between SAVR and TAVI-BEV. The European Society of Cardiology </w:t>
      </w:r>
      <w:r w:rsidR="009A1CC6">
        <w:rPr>
          <w:iCs/>
        </w:rPr>
        <w:t xml:space="preserve">(ECS) </w:t>
      </w:r>
      <w:r w:rsidRPr="00DD6765">
        <w:rPr>
          <w:iCs/>
        </w:rPr>
        <w:t>and the European Association for Cardio-Thoracic Surgery (EACTS) Guidelines for Valvular Heart Disease, considered that SAVR is generally preferred in patients under 75 years and TAVI-BEV in patients 75 years and older. This is because the long-term durability of TAVI devices is unknown, with only preliminary data showing TAVI devices may last at least five-years without any signs of early degeneration (Baumgartner et al., 2017)</w:t>
      </w:r>
      <w:r w:rsidRPr="00DD6765">
        <w:rPr>
          <w:iCs/>
          <w:vertAlign w:val="superscript"/>
        </w:rPr>
        <w:footnoteReference w:id="6"/>
      </w:r>
      <w:r w:rsidRPr="00DD6765">
        <w:rPr>
          <w:iCs/>
        </w:rPr>
        <w:t>. In comparison, SAVR valves are estimated to last 10 to 15 years.</w:t>
      </w:r>
      <w:r w:rsidR="009A1CC6">
        <w:rPr>
          <w:iCs/>
        </w:rPr>
        <w:t xml:space="preserve"> The pre-MSAC response highlighted that the ECS/EACTS guidelines were developed before several studies reported on the long term durability of TAVI valves over 5-10 years follow-up. </w:t>
      </w:r>
    </w:p>
    <w:p w14:paraId="45C8F91F" w14:textId="77777777" w:rsidR="00DD6765" w:rsidRPr="00DD6765" w:rsidRDefault="00DD6765" w:rsidP="00DD6765">
      <w:pPr>
        <w:keepNext/>
        <w:keepLines/>
        <w:jc w:val="both"/>
        <w:rPr>
          <w:rFonts w:ascii="Arial Narrow" w:hAnsi="Arial Narrow" w:cs="Arial"/>
          <w:sz w:val="20"/>
          <w:lang w:eastAsia="en-US"/>
        </w:rPr>
      </w:pPr>
      <w:r w:rsidRPr="00DD6765">
        <w:rPr>
          <w:rFonts w:ascii="Arial Narrow" w:hAnsi="Arial Narrow" w:cs="Arial"/>
          <w:noProof/>
          <w:sz w:val="20"/>
        </w:rPr>
        <w:lastRenderedPageBreak/>
        <w:drawing>
          <wp:inline distT="0" distB="0" distL="0" distR="0" wp14:anchorId="66ED185D" wp14:editId="30CC95B5">
            <wp:extent cx="5943600" cy="6758609"/>
            <wp:effectExtent l="0" t="38100" r="0" b="0"/>
            <wp:docPr id="8" name="Diagram 8" title="&quot;&quo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A09FD18" w14:textId="63AD0D69" w:rsidR="00DD6765" w:rsidRPr="00DD6765" w:rsidRDefault="00DD6765" w:rsidP="004B35D0">
      <w:pPr>
        <w:pStyle w:val="Caption"/>
      </w:pPr>
      <w:bookmarkStart w:id="9" w:name="_Ref54360211"/>
      <w:r w:rsidRPr="00DD6765">
        <w:t xml:space="preserve">Figure </w:t>
      </w:r>
      <w:r w:rsidR="002F70F5">
        <w:fldChar w:fldCharType="begin"/>
      </w:r>
      <w:r w:rsidR="002F70F5">
        <w:instrText xml:space="preserve"> SEQ Figure \* ARABIC </w:instrText>
      </w:r>
      <w:r w:rsidR="002F70F5">
        <w:fldChar w:fldCharType="separate"/>
      </w:r>
      <w:r w:rsidR="00C24855">
        <w:rPr>
          <w:noProof/>
        </w:rPr>
        <w:t>2</w:t>
      </w:r>
      <w:r w:rsidR="002F70F5">
        <w:rPr>
          <w:noProof/>
        </w:rPr>
        <w:fldChar w:fldCharType="end"/>
      </w:r>
      <w:bookmarkEnd w:id="9"/>
      <w:r w:rsidRPr="00DD6765">
        <w:t xml:space="preserve"> Current and proposed clinical management algorithm for the TAVI in the intermediate surgical risk population</w:t>
      </w:r>
    </w:p>
    <w:p w14:paraId="7C3F4B98" w14:textId="0CB03135" w:rsidR="00DD6765" w:rsidRPr="00DD6765" w:rsidRDefault="00DD6765" w:rsidP="004B35D0">
      <w:pPr>
        <w:rPr>
          <w:rFonts w:ascii="Arial Narrow" w:hAnsi="Arial Narrow"/>
          <w:color w:val="000000"/>
          <w:sz w:val="18"/>
          <w:szCs w:val="18"/>
        </w:rPr>
      </w:pPr>
      <w:r w:rsidRPr="00DD6765">
        <w:rPr>
          <w:rFonts w:ascii="Arial Narrow" w:hAnsi="Arial Narrow"/>
          <w:color w:val="000000"/>
          <w:sz w:val="18"/>
          <w:szCs w:val="18"/>
        </w:rPr>
        <w:t>Source: Figure 3, p42 of the ADAR</w:t>
      </w:r>
      <w:r w:rsidR="00443954">
        <w:rPr>
          <w:rFonts w:ascii="Arial Narrow" w:hAnsi="Arial Narrow"/>
          <w:color w:val="000000"/>
          <w:sz w:val="18"/>
          <w:szCs w:val="18"/>
        </w:rPr>
        <w:t xml:space="preserve"> </w:t>
      </w:r>
      <w:r w:rsidR="00443954">
        <w:rPr>
          <w:rFonts w:ascii="Arial Narrow" w:hAnsi="Arial Narrow"/>
          <w:i/>
          <w:color w:val="000000"/>
          <w:sz w:val="18"/>
          <w:szCs w:val="18"/>
        </w:rPr>
        <w:t xml:space="preserve">noting </w:t>
      </w:r>
      <w:r w:rsidR="00A61E38">
        <w:rPr>
          <w:rFonts w:ascii="Arial Narrow" w:hAnsi="Arial Narrow"/>
          <w:i/>
          <w:color w:val="000000"/>
          <w:sz w:val="18"/>
          <w:szCs w:val="18"/>
        </w:rPr>
        <w:t>the ADAR created this algorithm with adjustments (</w:t>
      </w:r>
      <w:r w:rsidR="00A61E38" w:rsidRPr="00A61E38">
        <w:rPr>
          <w:rFonts w:ascii="Arial Narrow" w:hAnsi="Arial Narrow"/>
          <w:i/>
          <w:color w:val="000000"/>
          <w:sz w:val="18"/>
          <w:szCs w:val="18"/>
        </w:rPr>
        <w:t>addition of cardiologist following presentation of GP, addition of medical management option following referral and removal of r</w:t>
      </w:r>
      <w:r w:rsidR="00A61E38">
        <w:rPr>
          <w:rFonts w:ascii="Arial Narrow" w:hAnsi="Arial Narrow"/>
          <w:i/>
          <w:color w:val="000000"/>
          <w:sz w:val="18"/>
          <w:szCs w:val="18"/>
        </w:rPr>
        <w:t>epeat aortic valve replacement following complications)</w:t>
      </w:r>
      <w:r w:rsidR="00A61E38" w:rsidRPr="00A61E38">
        <w:rPr>
          <w:rFonts w:ascii="Arial Narrow" w:hAnsi="Arial Narrow"/>
          <w:i/>
          <w:color w:val="000000"/>
          <w:sz w:val="18"/>
          <w:szCs w:val="18"/>
        </w:rPr>
        <w:t xml:space="preserve"> </w:t>
      </w:r>
      <w:r w:rsidR="00A61E38">
        <w:rPr>
          <w:rFonts w:ascii="Arial Narrow" w:hAnsi="Arial Narrow"/>
          <w:i/>
          <w:color w:val="000000"/>
          <w:sz w:val="18"/>
          <w:szCs w:val="18"/>
        </w:rPr>
        <w:t xml:space="preserve">from the figure in </w:t>
      </w:r>
      <w:hyperlink r:id="rId24" w:history="1">
        <w:r w:rsidR="00A61E38" w:rsidRPr="00903208">
          <w:rPr>
            <w:rStyle w:val="Hyperlink"/>
            <w:rFonts w:ascii="Arial Narrow" w:hAnsi="Arial Narrow"/>
            <w:i/>
            <w:sz w:val="18"/>
            <w:szCs w:val="18"/>
          </w:rPr>
          <w:t>1552 Ratified PICO</w:t>
        </w:r>
      </w:hyperlink>
      <w:r w:rsidR="00A61E38">
        <w:rPr>
          <w:rFonts w:ascii="Arial Narrow" w:hAnsi="Arial Narrow"/>
          <w:i/>
          <w:color w:val="000000"/>
          <w:sz w:val="18"/>
          <w:szCs w:val="18"/>
        </w:rPr>
        <w:t xml:space="preserve"> (p10)</w:t>
      </w:r>
    </w:p>
    <w:p w14:paraId="23440A2B" w14:textId="77777777" w:rsidR="00DD6765" w:rsidRPr="00DD6765" w:rsidRDefault="00DD6765" w:rsidP="004B35D0">
      <w:pPr>
        <w:rPr>
          <w:rFonts w:ascii="Arial Narrow" w:hAnsi="Arial Narrow"/>
          <w:b/>
          <w:color w:val="000000"/>
          <w:sz w:val="18"/>
          <w:szCs w:val="18"/>
        </w:rPr>
      </w:pPr>
      <w:r w:rsidRPr="00DD6765">
        <w:rPr>
          <w:rFonts w:ascii="Arial Narrow" w:hAnsi="Arial Narrow"/>
          <w:color w:val="000000"/>
          <w:sz w:val="18"/>
          <w:szCs w:val="18"/>
        </w:rPr>
        <w:t xml:space="preserve">ADAR = Applicant Developed Assessment Report; AS = aortic stenosis; GP = General Practitioner; MRI = magnetic resonance imaging; SAVR = surgical aortic valve replacement; TAVI = </w:t>
      </w:r>
      <w:proofErr w:type="spellStart"/>
      <w:r w:rsidRPr="00DD6765">
        <w:rPr>
          <w:rFonts w:ascii="Arial Narrow" w:hAnsi="Arial Narrow"/>
          <w:color w:val="000000"/>
          <w:sz w:val="18"/>
          <w:szCs w:val="18"/>
        </w:rPr>
        <w:t>transcatheter</w:t>
      </w:r>
      <w:proofErr w:type="spellEnd"/>
      <w:r w:rsidRPr="00DD6765">
        <w:rPr>
          <w:rFonts w:ascii="Arial Narrow" w:hAnsi="Arial Narrow"/>
          <w:color w:val="000000"/>
          <w:sz w:val="18"/>
          <w:szCs w:val="18"/>
        </w:rPr>
        <w:t xml:space="preserve"> aortic valve implantation</w:t>
      </w:r>
    </w:p>
    <w:p w14:paraId="0446E885" w14:textId="77777777" w:rsidR="00CF4E81" w:rsidRPr="00DD6765" w:rsidRDefault="00DD6765" w:rsidP="004B35D0">
      <w:pPr>
        <w:spacing w:after="360"/>
        <w:rPr>
          <w:rFonts w:ascii="Arial Narrow" w:hAnsi="Arial Narrow"/>
          <w:color w:val="000000"/>
          <w:sz w:val="18"/>
          <w:szCs w:val="18"/>
        </w:rPr>
      </w:pPr>
      <w:r w:rsidRPr="00DD6765">
        <w:rPr>
          <w:rFonts w:ascii="Arial Narrow" w:hAnsi="Arial Narrow"/>
          <w:color w:val="000000"/>
          <w:sz w:val="18"/>
          <w:szCs w:val="18"/>
        </w:rPr>
        <w:t>Note: Addition of TAVI represented as orange boxes.</w:t>
      </w:r>
    </w:p>
    <w:p w14:paraId="2F52E213" w14:textId="77777777" w:rsidR="00BC1364" w:rsidRPr="00F715D1" w:rsidRDefault="00BC1364" w:rsidP="00F715D1">
      <w:pPr>
        <w:pStyle w:val="Heading1"/>
      </w:pPr>
      <w:r w:rsidRPr="00F715D1">
        <w:lastRenderedPageBreak/>
        <w:t xml:space="preserve">Comparator </w:t>
      </w:r>
    </w:p>
    <w:p w14:paraId="19B7CFBE" w14:textId="77777777" w:rsidR="00C55693" w:rsidRPr="00F62546" w:rsidRDefault="00C55693" w:rsidP="00C55693">
      <w:pPr>
        <w:keepNext/>
        <w:keepLines/>
      </w:pPr>
      <w:r w:rsidRPr="00F62546">
        <w:t>The comparator for TAVI in the proposed intermediate surgical risk population is SAVR- an open</w:t>
      </w:r>
      <w:r w:rsidRPr="00F62546">
        <w:noBreakHyphen/>
        <w:t xml:space="preserve">heart surgical procedure to repair or remove the narrowed aortic valve and replace it with a </w:t>
      </w:r>
      <w:proofErr w:type="spellStart"/>
      <w:r w:rsidRPr="00F62546">
        <w:t>bioprosthesis</w:t>
      </w:r>
      <w:proofErr w:type="spellEnd"/>
      <w:r w:rsidRPr="00F62546">
        <w:t xml:space="preserve"> or mechanical aortic valve. The Commentary considered that this is was appropriate and consistent with the Ratified PICO. Following the SAVR procedure, patients recover in the intensive care unit (ICU) on a ventilator with a chest drain tube and pacing wire for a few days before moving to a surgical ward.</w:t>
      </w:r>
    </w:p>
    <w:p w14:paraId="6C0F1FAD" w14:textId="01F2594B" w:rsidR="00C55693" w:rsidRPr="00F62546" w:rsidRDefault="00C55693" w:rsidP="005B05CF">
      <w:pPr>
        <w:spacing w:before="240"/>
      </w:pPr>
      <w:r w:rsidRPr="00F62546">
        <w:t>The ADAR anticipated the following MBS items would be used in combination with the SAVR procedure (item 38488 and Item 38489): surgical assistance (item 51303), anaesthesia (items 21941 and 23118), ICU attendance (item 13870), transthoracic echocardiography (Item 55113), and Whole body perfusion for cardiac bypass (item 22060).</w:t>
      </w:r>
    </w:p>
    <w:p w14:paraId="62A48E93" w14:textId="0B2E7AFF" w:rsidR="00DB5833" w:rsidRPr="00F72715" w:rsidRDefault="00C55693" w:rsidP="005B05CF">
      <w:pPr>
        <w:spacing w:before="240"/>
        <w:rPr>
          <w:i/>
          <w:szCs w:val="24"/>
        </w:rPr>
      </w:pPr>
      <w:r w:rsidRPr="00F62546">
        <w:t>The ADAR considered that TAVI will replace SAVR and will provide similar clinical outcomes but reduce patient length of hospital stay (in both ICU and the surgical ward) and therefore reduces amount of hospital staff resourcing required for recovery.</w:t>
      </w:r>
    </w:p>
    <w:p w14:paraId="5DFE7D29" w14:textId="77777777" w:rsidR="00BC1364" w:rsidRPr="00F715D1" w:rsidRDefault="00BC1364" w:rsidP="00F715D1">
      <w:pPr>
        <w:pStyle w:val="Heading1"/>
      </w:pPr>
      <w:r w:rsidRPr="00F715D1">
        <w:t>Comparative safety</w:t>
      </w:r>
    </w:p>
    <w:p w14:paraId="35A59FEB" w14:textId="09B2B356" w:rsidR="00EE4D44" w:rsidRPr="00F62546" w:rsidRDefault="00EE4D44" w:rsidP="005B05CF">
      <w:pPr>
        <w:spacing w:after="120"/>
      </w:pPr>
      <w:r w:rsidRPr="00F62546">
        <w:t>A systematic review of published literature was undertaken. The ADAR presented evidence from two RCTs that compared TAVI with SAVR in patients with an intermediate risk from surgery:</w:t>
      </w:r>
    </w:p>
    <w:p w14:paraId="2DF4BFD5" w14:textId="77777777" w:rsidR="00EE4D44" w:rsidRPr="00F62546" w:rsidRDefault="00EE4D44" w:rsidP="00EE4D44">
      <w:pPr>
        <w:pStyle w:val="ListParagraph"/>
        <w:numPr>
          <w:ilvl w:val="0"/>
          <w:numId w:val="32"/>
        </w:numPr>
      </w:pPr>
      <w:r w:rsidRPr="00F62546">
        <w:t>PARTNER 2A</w:t>
      </w:r>
      <w:r w:rsidRPr="00F62546">
        <w:rPr>
          <w:rStyle w:val="FootnoteReference"/>
        </w:rPr>
        <w:footnoteReference w:id="7"/>
      </w:r>
      <w:r w:rsidRPr="00F62546">
        <w:rPr>
          <w:vertAlign w:val="superscript"/>
        </w:rPr>
        <w:t>,</w:t>
      </w:r>
      <w:r w:rsidRPr="00F62546">
        <w:rPr>
          <w:rStyle w:val="FootnoteReference"/>
        </w:rPr>
        <w:footnoteReference w:id="8"/>
      </w:r>
      <w:r w:rsidRPr="00F62546">
        <w:t>, a RCT with that compared TAVI (SAPIEN-XT device) with SAVR in 2,032 patients with severe AS at intermediate risk of surgery; and</w:t>
      </w:r>
    </w:p>
    <w:p w14:paraId="21701078" w14:textId="77777777" w:rsidR="00EE4D44" w:rsidRPr="00F62546" w:rsidRDefault="00EE4D44" w:rsidP="00EE4D44">
      <w:pPr>
        <w:pStyle w:val="ListParagraph"/>
        <w:numPr>
          <w:ilvl w:val="0"/>
          <w:numId w:val="32"/>
        </w:numPr>
      </w:pPr>
      <w:r w:rsidRPr="00F62546">
        <w:t>SURTAVI</w:t>
      </w:r>
      <w:r w:rsidRPr="00F62546">
        <w:rPr>
          <w:rStyle w:val="FootnoteReference"/>
        </w:rPr>
        <w:footnoteReference w:id="9"/>
      </w:r>
      <w:r w:rsidRPr="00F62546">
        <w:t>, a RCT with that compared TAVI (</w:t>
      </w:r>
      <w:proofErr w:type="spellStart"/>
      <w:r w:rsidRPr="00F62546">
        <w:t>CoreValve</w:t>
      </w:r>
      <w:proofErr w:type="spellEnd"/>
      <w:r w:rsidRPr="00F62546">
        <w:t xml:space="preserve"> or </w:t>
      </w:r>
      <w:proofErr w:type="spellStart"/>
      <w:r w:rsidRPr="00F62546">
        <w:t>Evolut</w:t>
      </w:r>
      <w:proofErr w:type="spellEnd"/>
      <w:r w:rsidRPr="00F62546">
        <w:t xml:space="preserve"> R device) with SAVR in 1,660 patients with severe AS at intermediate risk of surgery.</w:t>
      </w:r>
    </w:p>
    <w:p w14:paraId="3AE8FC85" w14:textId="13D2E7EF" w:rsidR="00EE4D44" w:rsidRPr="005B05CF" w:rsidRDefault="00EE4D44" w:rsidP="005B05CF">
      <w:pPr>
        <w:spacing w:before="240"/>
        <w:rPr>
          <w:szCs w:val="24"/>
        </w:rPr>
      </w:pPr>
      <w:r w:rsidRPr="00F62546">
        <w:t xml:space="preserve">The key RCTs presented in the ADAR are summarised in </w:t>
      </w:r>
      <w:r w:rsidRPr="003D4CBD">
        <w:fldChar w:fldCharType="begin"/>
      </w:r>
      <w:r w:rsidRPr="003D4CBD">
        <w:instrText xml:space="preserve"> REF _Ref66201168 \h </w:instrText>
      </w:r>
      <w:r>
        <w:instrText xml:space="preserve"> \* MERGEFORMAT </w:instrText>
      </w:r>
      <w:r w:rsidRPr="003D4CBD">
        <w:fldChar w:fldCharType="separate"/>
      </w:r>
      <w:r w:rsidR="00C24855" w:rsidRPr="00F62546">
        <w:t xml:space="preserve">Table </w:t>
      </w:r>
      <w:r w:rsidR="00C24855">
        <w:t>6</w:t>
      </w:r>
      <w:r w:rsidRPr="003D4CBD">
        <w:fldChar w:fldCharType="end"/>
      </w:r>
      <w:r>
        <w:t>.</w:t>
      </w:r>
      <w:r w:rsidRPr="002D6137">
        <w:rPr>
          <w:szCs w:val="24"/>
        </w:rPr>
        <w:t xml:space="preserve"> The</w:t>
      </w:r>
      <w:r w:rsidRPr="00F62546">
        <w:t xml:space="preserve"> RCTs used predominantly older generation TAVI devices that are no longer marketed in Australia. Two observational studies (</w:t>
      </w:r>
      <w:proofErr w:type="spellStart"/>
      <w:r w:rsidRPr="00F62546">
        <w:t>Yakubov</w:t>
      </w:r>
      <w:proofErr w:type="spellEnd"/>
      <w:r w:rsidRPr="00F62546">
        <w:t xml:space="preserve"> 2020</w:t>
      </w:r>
      <w:r w:rsidRPr="00F62546">
        <w:rPr>
          <w:rStyle w:val="FootnoteReference"/>
        </w:rPr>
        <w:footnoteReference w:id="10"/>
      </w:r>
      <w:r w:rsidRPr="00F62546">
        <w:t xml:space="preserve"> and PARTNER 3Si</w:t>
      </w:r>
      <w:r w:rsidRPr="00F62546">
        <w:rPr>
          <w:rStyle w:val="FootnoteReference"/>
        </w:rPr>
        <w:footnoteReference w:id="11"/>
      </w:r>
      <w:r w:rsidRPr="00F62546">
        <w:t>) were included in indirect comparisons (performed during evaluation) comparing the older generation devices with the corresponding newer generation device.</w:t>
      </w:r>
      <w:bookmarkStart w:id="10" w:name="_Ref57729686"/>
      <w:r>
        <w:rPr>
          <w:rFonts w:ascii="Arial Narrow" w:hAnsi="Arial Narrow" w:cs="Tahoma"/>
          <w:b/>
          <w:bCs/>
          <w:sz w:val="20"/>
          <w:szCs w:val="22"/>
        </w:rPr>
        <w:br w:type="page"/>
      </w:r>
    </w:p>
    <w:p w14:paraId="172C5761" w14:textId="299F007B" w:rsidR="00EE4D44" w:rsidRPr="00F62546" w:rsidRDefault="00EE4D44" w:rsidP="00A123CD">
      <w:pPr>
        <w:pStyle w:val="Caption"/>
        <w:jc w:val="left"/>
        <w:rPr>
          <w:snapToGrid w:val="0"/>
        </w:rPr>
      </w:pPr>
      <w:bookmarkStart w:id="11" w:name="_Ref66201168"/>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6</w:t>
      </w:r>
      <w:r w:rsidR="002F70F5">
        <w:rPr>
          <w:noProof/>
        </w:rPr>
        <w:fldChar w:fldCharType="end"/>
      </w:r>
      <w:bookmarkEnd w:id="10"/>
      <w:bookmarkEnd w:id="11"/>
      <w:r w:rsidRPr="00F62546">
        <w:rPr>
          <w:noProof/>
        </w:rPr>
        <w:tab/>
      </w:r>
      <w:r w:rsidRPr="00F62546">
        <w:rPr>
          <w:snapToGrid w:val="0"/>
        </w:rPr>
        <w:t>Key features of the included evidence comparing TAVI with SAVR and comparing older and newer generation TAVI devices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Key features of the included evidence comparing intervention with comparator"/>
        <w:tblDescription w:val="This table provides a summary of the key features of each study included in the evidence base - including the study authors, sample size, study design and duration, risk of bias in the results, patient population characteristics, key outcomes measured, and whether the results were used in the economic evaluation in the report."/>
      </w:tblPr>
      <w:tblGrid>
        <w:gridCol w:w="1461"/>
        <w:gridCol w:w="944"/>
        <w:gridCol w:w="825"/>
        <w:gridCol w:w="1052"/>
        <w:gridCol w:w="1444"/>
        <w:gridCol w:w="2066"/>
        <w:gridCol w:w="1197"/>
      </w:tblGrid>
      <w:tr w:rsidR="00EE4D44" w:rsidRPr="00F62546" w14:paraId="7A5E84A5" w14:textId="77777777" w:rsidTr="001D4246">
        <w:trPr>
          <w:tblHeader/>
        </w:trPr>
        <w:tc>
          <w:tcPr>
            <w:tcW w:w="813" w:type="pct"/>
            <w:shd w:val="clear" w:color="auto" w:fill="auto"/>
            <w:vAlign w:val="center"/>
          </w:tcPr>
          <w:p w14:paraId="1B20EEA5" w14:textId="77777777" w:rsidR="00EE4D44" w:rsidRPr="00F62546" w:rsidRDefault="00EE4D44" w:rsidP="001D4246">
            <w:pPr>
              <w:keepNext/>
              <w:spacing w:before="40" w:after="40"/>
              <w:rPr>
                <w:rFonts w:ascii="Arial Narrow" w:hAnsi="Arial Narrow" w:cs="Tahoma"/>
                <w:b/>
                <w:snapToGrid w:val="0"/>
                <w:sz w:val="20"/>
                <w:lang w:eastAsia="en-US"/>
              </w:rPr>
            </w:pPr>
            <w:r w:rsidRPr="00F62546">
              <w:rPr>
                <w:rFonts w:ascii="Arial Narrow" w:hAnsi="Arial Narrow" w:cs="Tahoma"/>
                <w:b/>
                <w:snapToGrid w:val="0"/>
                <w:sz w:val="20"/>
                <w:lang w:eastAsia="en-US"/>
              </w:rPr>
              <w:t>Trial/Study</w:t>
            </w:r>
          </w:p>
          <w:p w14:paraId="596FF194" w14:textId="77777777" w:rsidR="00EE4D44" w:rsidRPr="00F62546" w:rsidRDefault="00EE4D44" w:rsidP="001D4246">
            <w:pPr>
              <w:keepNext/>
              <w:spacing w:before="40" w:after="40"/>
              <w:rPr>
                <w:rFonts w:ascii="Arial Narrow" w:hAnsi="Arial Narrow" w:cs="Tahoma"/>
                <w:b/>
                <w:snapToGrid w:val="0"/>
                <w:sz w:val="20"/>
                <w:lang w:eastAsia="en-US"/>
              </w:rPr>
            </w:pPr>
            <w:r w:rsidRPr="00F62546">
              <w:rPr>
                <w:rFonts w:ascii="Arial Narrow" w:hAnsi="Arial Narrow" w:cs="Tahoma"/>
                <w:b/>
                <w:snapToGrid w:val="0"/>
                <w:sz w:val="20"/>
                <w:lang w:eastAsia="en-US"/>
              </w:rPr>
              <w:t>(device)</w:t>
            </w:r>
          </w:p>
        </w:tc>
        <w:tc>
          <w:tcPr>
            <w:tcW w:w="525" w:type="pct"/>
            <w:shd w:val="clear" w:color="auto" w:fill="auto"/>
            <w:vAlign w:val="center"/>
          </w:tcPr>
          <w:p w14:paraId="3693991A"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N</w:t>
            </w:r>
          </w:p>
        </w:tc>
        <w:tc>
          <w:tcPr>
            <w:tcW w:w="459" w:type="pct"/>
            <w:shd w:val="clear" w:color="auto" w:fill="auto"/>
            <w:vAlign w:val="center"/>
          </w:tcPr>
          <w:p w14:paraId="57654838"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Design/ duration</w:t>
            </w:r>
          </w:p>
        </w:tc>
        <w:tc>
          <w:tcPr>
            <w:tcW w:w="585" w:type="pct"/>
            <w:shd w:val="clear" w:color="auto" w:fill="auto"/>
            <w:vAlign w:val="center"/>
          </w:tcPr>
          <w:p w14:paraId="63907B03"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Risk of bias</w:t>
            </w:r>
          </w:p>
        </w:tc>
        <w:tc>
          <w:tcPr>
            <w:tcW w:w="803" w:type="pct"/>
            <w:shd w:val="clear" w:color="auto" w:fill="auto"/>
            <w:vAlign w:val="center"/>
          </w:tcPr>
          <w:p w14:paraId="38CC06CB"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Patient population</w:t>
            </w:r>
          </w:p>
        </w:tc>
        <w:tc>
          <w:tcPr>
            <w:tcW w:w="1149" w:type="pct"/>
            <w:shd w:val="clear" w:color="auto" w:fill="auto"/>
            <w:vAlign w:val="center"/>
          </w:tcPr>
          <w:p w14:paraId="062D7862"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Key outcome(s)</w:t>
            </w:r>
          </w:p>
        </w:tc>
        <w:tc>
          <w:tcPr>
            <w:tcW w:w="666" w:type="pct"/>
            <w:shd w:val="clear" w:color="auto" w:fill="auto"/>
            <w:vAlign w:val="center"/>
          </w:tcPr>
          <w:p w14:paraId="19700AE4" w14:textId="77777777" w:rsidR="00EE4D44" w:rsidRPr="00F62546" w:rsidRDefault="00EE4D44" w:rsidP="001D4246">
            <w:pPr>
              <w:keepNext/>
              <w:spacing w:before="40" w:after="40"/>
              <w:jc w:val="center"/>
              <w:rPr>
                <w:rFonts w:ascii="Arial Narrow" w:hAnsi="Arial Narrow" w:cs="Tahoma"/>
                <w:b/>
                <w:snapToGrid w:val="0"/>
                <w:sz w:val="20"/>
                <w:lang w:eastAsia="en-US"/>
              </w:rPr>
            </w:pPr>
            <w:r w:rsidRPr="00F62546">
              <w:rPr>
                <w:rFonts w:ascii="Arial Narrow" w:hAnsi="Arial Narrow" w:cs="Tahoma"/>
                <w:b/>
                <w:snapToGrid w:val="0"/>
                <w:sz w:val="20"/>
                <w:lang w:eastAsia="en-US"/>
              </w:rPr>
              <w:t>Used in economic evaluation</w:t>
            </w:r>
          </w:p>
        </w:tc>
      </w:tr>
      <w:tr w:rsidR="00EE4D44" w:rsidRPr="00F62546" w14:paraId="6AE6DDC6" w14:textId="77777777" w:rsidTr="001D4246">
        <w:tc>
          <w:tcPr>
            <w:tcW w:w="1" w:type="pct"/>
            <w:gridSpan w:val="7"/>
            <w:shd w:val="clear" w:color="auto" w:fill="auto"/>
            <w:vAlign w:val="center"/>
          </w:tcPr>
          <w:p w14:paraId="1713BA82" w14:textId="5A3CAA5C" w:rsidR="00EE4D44" w:rsidRPr="00F62546" w:rsidRDefault="00EE4D44" w:rsidP="001D4246">
            <w:pPr>
              <w:spacing w:before="40" w:after="40"/>
              <w:ind w:left="6" w:right="6"/>
              <w:rPr>
                <w:rFonts w:ascii="Arial Narrow" w:hAnsi="Arial Narrow" w:cs="Tahoma"/>
                <w:b/>
                <w:snapToGrid w:val="0"/>
                <w:sz w:val="20"/>
              </w:rPr>
            </w:pPr>
            <w:r w:rsidRPr="00F62546">
              <w:rPr>
                <w:rFonts w:ascii="Arial Narrow" w:hAnsi="Arial Narrow" w:cs="Tahoma"/>
                <w:b/>
                <w:snapToGrid w:val="0"/>
                <w:sz w:val="20"/>
              </w:rPr>
              <w:t xml:space="preserve">TAVI </w:t>
            </w:r>
            <w:r w:rsidRPr="00904CF2">
              <w:rPr>
                <w:rFonts w:ascii="Arial Narrow" w:hAnsi="Arial Narrow" w:cs="Tahoma"/>
                <w:b/>
                <w:i/>
                <w:snapToGrid w:val="0"/>
                <w:sz w:val="20"/>
              </w:rPr>
              <w:t>vs</w:t>
            </w:r>
            <w:r w:rsidR="00904CF2" w:rsidRPr="00904CF2">
              <w:rPr>
                <w:rFonts w:ascii="Arial Narrow" w:hAnsi="Arial Narrow" w:cs="Tahoma"/>
                <w:b/>
                <w:i/>
                <w:snapToGrid w:val="0"/>
                <w:sz w:val="20"/>
              </w:rPr>
              <w:t>.</w:t>
            </w:r>
            <w:r w:rsidRPr="00F62546">
              <w:rPr>
                <w:rFonts w:ascii="Arial Narrow" w:hAnsi="Arial Narrow" w:cs="Tahoma"/>
                <w:b/>
                <w:snapToGrid w:val="0"/>
                <w:sz w:val="20"/>
              </w:rPr>
              <w:t xml:space="preserve"> SAVR </w:t>
            </w:r>
          </w:p>
        </w:tc>
      </w:tr>
      <w:tr w:rsidR="00EE4D44" w:rsidRPr="00F62546" w14:paraId="78DC9986" w14:textId="77777777" w:rsidTr="001D4246">
        <w:tc>
          <w:tcPr>
            <w:tcW w:w="813" w:type="pct"/>
            <w:shd w:val="clear" w:color="auto" w:fill="auto"/>
            <w:vAlign w:val="center"/>
          </w:tcPr>
          <w:p w14:paraId="35D6D8E3"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PARTNER 2A</w:t>
            </w:r>
          </w:p>
          <w:p w14:paraId="0E4B3BEF"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 xml:space="preserve">(SAPIEN-XT) </w:t>
            </w:r>
          </w:p>
        </w:tc>
        <w:tc>
          <w:tcPr>
            <w:tcW w:w="525" w:type="pct"/>
            <w:shd w:val="clear" w:color="auto" w:fill="auto"/>
            <w:vAlign w:val="center"/>
          </w:tcPr>
          <w:p w14:paraId="7746ED87" w14:textId="77777777" w:rsidR="00EE4D44" w:rsidRPr="00F62546" w:rsidRDefault="00EE4D44" w:rsidP="001D4246">
            <w:pPr>
              <w:spacing w:before="40" w:after="40"/>
              <w:ind w:left="6" w:right="6"/>
              <w:jc w:val="center"/>
              <w:rPr>
                <w:rFonts w:ascii="Arial Narrow" w:hAnsi="Arial Narrow" w:cs="Tahoma"/>
                <w:snapToGrid w:val="0"/>
                <w:sz w:val="20"/>
                <w:vertAlign w:val="superscript"/>
              </w:rPr>
            </w:pPr>
            <w:r w:rsidRPr="00F62546">
              <w:rPr>
                <w:rFonts w:ascii="Arial Narrow" w:hAnsi="Arial Narrow" w:cs="Tahoma"/>
                <w:snapToGrid w:val="0"/>
                <w:sz w:val="20"/>
              </w:rPr>
              <w:t xml:space="preserve">2,032 </w:t>
            </w:r>
          </w:p>
        </w:tc>
        <w:tc>
          <w:tcPr>
            <w:tcW w:w="459" w:type="pct"/>
            <w:shd w:val="clear" w:color="auto" w:fill="auto"/>
            <w:vAlign w:val="center"/>
          </w:tcPr>
          <w:p w14:paraId="77134C9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R, OL, MC</w:t>
            </w:r>
          </w:p>
          <w:p w14:paraId="3A6E93D3"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5 years</w:t>
            </w:r>
          </w:p>
        </w:tc>
        <w:tc>
          <w:tcPr>
            <w:tcW w:w="585" w:type="pct"/>
            <w:shd w:val="clear" w:color="auto" w:fill="auto"/>
            <w:vAlign w:val="center"/>
          </w:tcPr>
          <w:p w14:paraId="3F29E470" w14:textId="77777777" w:rsidR="00EE4D44" w:rsidRPr="00F62546" w:rsidRDefault="00EE4D44" w:rsidP="001D4246">
            <w:pPr>
              <w:spacing w:before="40" w:after="40"/>
              <w:ind w:left="6" w:right="6"/>
              <w:jc w:val="center"/>
              <w:rPr>
                <w:rFonts w:ascii="Arial Narrow" w:hAnsi="Arial Narrow" w:cs="Tahoma"/>
                <w:i/>
                <w:snapToGrid w:val="0"/>
                <w:sz w:val="20"/>
                <w:vertAlign w:val="superscript"/>
              </w:rPr>
            </w:pPr>
            <w:r w:rsidRPr="00F62546">
              <w:rPr>
                <w:rFonts w:ascii="Arial Narrow" w:hAnsi="Arial Narrow" w:cs="Tahoma"/>
                <w:i/>
                <w:snapToGrid w:val="0"/>
                <w:sz w:val="20"/>
              </w:rPr>
              <w:t xml:space="preserve">Some concerns </w:t>
            </w:r>
            <w:r w:rsidRPr="00F62546">
              <w:rPr>
                <w:rFonts w:ascii="Arial Narrow" w:hAnsi="Arial Narrow" w:cs="Tahoma"/>
                <w:i/>
                <w:snapToGrid w:val="0"/>
                <w:sz w:val="20"/>
                <w:vertAlign w:val="superscript"/>
              </w:rPr>
              <w:t>a</w:t>
            </w:r>
            <w:r w:rsidRPr="00F62546">
              <w:rPr>
                <w:rFonts w:ascii="Arial Narrow" w:hAnsi="Arial Narrow" w:cs="Tahoma"/>
                <w:i/>
                <w:snapToGrid w:val="0"/>
                <w:sz w:val="20"/>
              </w:rPr>
              <w:t xml:space="preserve"> </w:t>
            </w:r>
          </w:p>
        </w:tc>
        <w:tc>
          <w:tcPr>
            <w:tcW w:w="803" w:type="pct"/>
            <w:shd w:val="clear" w:color="auto" w:fill="auto"/>
            <w:vAlign w:val="center"/>
          </w:tcPr>
          <w:p w14:paraId="452D6DE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Severe AS, intermediate risk</w:t>
            </w:r>
          </w:p>
          <w:p w14:paraId="7ADE5996" w14:textId="77777777" w:rsidR="00EE4D44" w:rsidRPr="00F62546" w:rsidRDefault="00EE4D44" w:rsidP="001D4246">
            <w:pPr>
              <w:spacing w:before="40" w:after="40"/>
              <w:ind w:left="6" w:right="6"/>
              <w:jc w:val="center"/>
              <w:rPr>
                <w:rFonts w:ascii="Arial Narrow" w:hAnsi="Arial Narrow" w:cs="Tahoma"/>
                <w:snapToGrid w:val="0"/>
                <w:sz w:val="20"/>
                <w:vertAlign w:val="superscript"/>
              </w:rPr>
            </w:pPr>
            <w:r w:rsidRPr="00F62546">
              <w:rPr>
                <w:rFonts w:ascii="Arial Narrow" w:hAnsi="Arial Narrow" w:cs="Tahoma"/>
                <w:snapToGrid w:val="0"/>
                <w:sz w:val="20"/>
              </w:rPr>
              <w:t xml:space="preserve">(4.0-8.0%) </w:t>
            </w:r>
            <w:r w:rsidRPr="00F62546">
              <w:rPr>
                <w:rFonts w:ascii="Arial Narrow" w:hAnsi="Arial Narrow" w:cs="Tahoma"/>
                <w:snapToGrid w:val="0"/>
                <w:sz w:val="20"/>
                <w:vertAlign w:val="superscript"/>
              </w:rPr>
              <w:t>a</w:t>
            </w:r>
          </w:p>
        </w:tc>
        <w:tc>
          <w:tcPr>
            <w:tcW w:w="1149" w:type="pct"/>
            <w:vMerge w:val="restart"/>
            <w:shd w:val="clear" w:color="auto" w:fill="auto"/>
            <w:vAlign w:val="center"/>
          </w:tcPr>
          <w:p w14:paraId="3F1FB672"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Death, disabling stroke, bleeding, vascular,  MI, AKI, AF, </w:t>
            </w:r>
            <w:proofErr w:type="spellStart"/>
            <w:r w:rsidRPr="00F62546">
              <w:rPr>
                <w:rFonts w:ascii="Arial Narrow" w:hAnsi="Arial Narrow" w:cs="Tahoma"/>
                <w:snapToGrid w:val="0"/>
                <w:sz w:val="20"/>
              </w:rPr>
              <w:t>pacemacker</w:t>
            </w:r>
            <w:proofErr w:type="spellEnd"/>
            <w:r w:rsidRPr="00F62546">
              <w:rPr>
                <w:rFonts w:ascii="Arial Narrow" w:hAnsi="Arial Narrow" w:cs="Tahoma"/>
                <w:snapToGrid w:val="0"/>
                <w:sz w:val="20"/>
              </w:rPr>
              <w:t xml:space="preserve"> implantation, </w:t>
            </w:r>
            <w:proofErr w:type="spellStart"/>
            <w:r w:rsidRPr="00F62546">
              <w:rPr>
                <w:rFonts w:ascii="Arial Narrow" w:hAnsi="Arial Narrow" w:cs="Tahoma"/>
                <w:snapToGrid w:val="0"/>
                <w:sz w:val="20"/>
              </w:rPr>
              <w:t>paravalvular</w:t>
            </w:r>
            <w:proofErr w:type="spellEnd"/>
            <w:r w:rsidRPr="00F62546">
              <w:rPr>
                <w:rFonts w:ascii="Arial Narrow" w:hAnsi="Arial Narrow" w:cs="Tahoma"/>
                <w:snapToGrid w:val="0"/>
                <w:sz w:val="20"/>
              </w:rPr>
              <w:t xml:space="preserve"> leakage, </w:t>
            </w:r>
            <w:proofErr w:type="spellStart"/>
            <w:r w:rsidRPr="00F62546">
              <w:rPr>
                <w:rFonts w:ascii="Arial Narrow" w:hAnsi="Arial Narrow" w:cs="Tahoma"/>
                <w:snapToGrid w:val="0"/>
                <w:sz w:val="20"/>
              </w:rPr>
              <w:t>HRQoL</w:t>
            </w:r>
            <w:proofErr w:type="spellEnd"/>
            <w:r w:rsidRPr="00F62546">
              <w:rPr>
                <w:rFonts w:ascii="Arial Narrow" w:hAnsi="Arial Narrow" w:cs="Tahoma"/>
                <w:snapToGrid w:val="0"/>
                <w:sz w:val="20"/>
              </w:rPr>
              <w:t>, reintervention, length of stay</w:t>
            </w:r>
          </w:p>
        </w:tc>
        <w:tc>
          <w:tcPr>
            <w:tcW w:w="666" w:type="pct"/>
            <w:shd w:val="clear" w:color="auto" w:fill="auto"/>
            <w:vAlign w:val="center"/>
          </w:tcPr>
          <w:p w14:paraId="3EA6FD12"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Yes</w:t>
            </w:r>
          </w:p>
          <w:p w14:paraId="2747643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(meta-analysis)</w:t>
            </w:r>
          </w:p>
        </w:tc>
      </w:tr>
      <w:tr w:rsidR="00EE4D44" w:rsidRPr="00F62546" w14:paraId="3684F6FD" w14:textId="77777777" w:rsidTr="001D4246">
        <w:tc>
          <w:tcPr>
            <w:tcW w:w="813" w:type="pct"/>
            <w:shd w:val="clear" w:color="auto" w:fill="auto"/>
            <w:vAlign w:val="center"/>
          </w:tcPr>
          <w:p w14:paraId="41FA9A13"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 xml:space="preserve">SURTAVI </w:t>
            </w:r>
          </w:p>
          <w:p w14:paraId="45F59010"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w:t>
            </w:r>
            <w:proofErr w:type="spellStart"/>
            <w:r w:rsidRPr="00F62546">
              <w:rPr>
                <w:rFonts w:ascii="Arial Narrow" w:hAnsi="Arial Narrow" w:cs="Tahoma"/>
                <w:snapToGrid w:val="0"/>
                <w:sz w:val="20"/>
              </w:rPr>
              <w:t>CoreValve</w:t>
            </w:r>
            <w:proofErr w:type="spellEnd"/>
            <w:r w:rsidRPr="00F62546">
              <w:rPr>
                <w:rFonts w:ascii="Arial Narrow" w:hAnsi="Arial Narrow" w:cs="Tahoma"/>
                <w:snapToGrid w:val="0"/>
                <w:sz w:val="20"/>
              </w:rPr>
              <w:t>,</w:t>
            </w:r>
          </w:p>
          <w:p w14:paraId="78A48263" w14:textId="77777777" w:rsidR="00EE4D44" w:rsidRPr="00F62546" w:rsidRDefault="00EE4D44" w:rsidP="001D4246">
            <w:pPr>
              <w:spacing w:before="40" w:after="40"/>
              <w:ind w:left="6" w:right="6"/>
              <w:rPr>
                <w:rFonts w:ascii="Arial Narrow" w:hAnsi="Arial Narrow" w:cs="Tahoma"/>
                <w:snapToGrid w:val="0"/>
                <w:sz w:val="20"/>
              </w:rPr>
            </w:pPr>
            <w:proofErr w:type="spellStart"/>
            <w:r w:rsidRPr="00F62546">
              <w:rPr>
                <w:rFonts w:ascii="Arial Narrow" w:hAnsi="Arial Narrow" w:cs="Tahoma"/>
                <w:snapToGrid w:val="0"/>
                <w:sz w:val="20"/>
              </w:rPr>
              <w:t>CoreValve</w:t>
            </w:r>
            <w:proofErr w:type="spellEnd"/>
            <w:r w:rsidRPr="00F62546">
              <w:rPr>
                <w:rFonts w:ascii="Arial Narrow" w:hAnsi="Arial Narrow" w:cs="Tahoma"/>
                <w:snapToGrid w:val="0"/>
                <w:sz w:val="20"/>
              </w:rPr>
              <w:t xml:space="preserve"> </w:t>
            </w:r>
            <w:r w:rsidRPr="00F62546">
              <w:rPr>
                <w:rFonts w:ascii="Arial Narrow" w:hAnsi="Arial Narrow" w:cs="Tahoma"/>
                <w:snapToGrid w:val="0"/>
                <w:sz w:val="20"/>
              </w:rPr>
              <w:br/>
            </w:r>
            <w:proofErr w:type="spellStart"/>
            <w:r w:rsidRPr="00F62546">
              <w:rPr>
                <w:rFonts w:ascii="Arial Narrow" w:hAnsi="Arial Narrow" w:cs="Tahoma"/>
                <w:snapToGrid w:val="0"/>
                <w:sz w:val="20"/>
              </w:rPr>
              <w:t>Evolut</w:t>
            </w:r>
            <w:proofErr w:type="spellEnd"/>
            <w:r w:rsidRPr="00F62546">
              <w:rPr>
                <w:rFonts w:ascii="Arial Narrow" w:hAnsi="Arial Narrow" w:cs="Tahoma"/>
                <w:snapToGrid w:val="0"/>
                <w:sz w:val="20"/>
              </w:rPr>
              <w:t xml:space="preserve"> R) </w:t>
            </w:r>
          </w:p>
        </w:tc>
        <w:tc>
          <w:tcPr>
            <w:tcW w:w="525" w:type="pct"/>
            <w:shd w:val="clear" w:color="auto" w:fill="auto"/>
            <w:vAlign w:val="center"/>
          </w:tcPr>
          <w:p w14:paraId="5A2B023B"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1,746</w:t>
            </w:r>
          </w:p>
        </w:tc>
        <w:tc>
          <w:tcPr>
            <w:tcW w:w="459" w:type="pct"/>
            <w:shd w:val="clear" w:color="auto" w:fill="auto"/>
            <w:vAlign w:val="center"/>
          </w:tcPr>
          <w:p w14:paraId="3F016B6C"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R, OL, MC</w:t>
            </w:r>
          </w:p>
          <w:p w14:paraId="3482EDD8"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2 years</w:t>
            </w:r>
          </w:p>
        </w:tc>
        <w:tc>
          <w:tcPr>
            <w:tcW w:w="585" w:type="pct"/>
            <w:shd w:val="clear" w:color="auto" w:fill="auto"/>
            <w:vAlign w:val="center"/>
          </w:tcPr>
          <w:p w14:paraId="1DEB489E"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i/>
                <w:snapToGrid w:val="0"/>
                <w:sz w:val="20"/>
              </w:rPr>
              <w:t>Some concerns</w:t>
            </w:r>
            <w:r w:rsidRPr="00F62546">
              <w:rPr>
                <w:rFonts w:ascii="Arial Narrow" w:hAnsi="Arial Narrow" w:cs="Tahoma"/>
                <w:i/>
                <w:snapToGrid w:val="0"/>
                <w:sz w:val="20"/>
                <w:vertAlign w:val="superscript"/>
              </w:rPr>
              <w:t xml:space="preserve"> a</w:t>
            </w:r>
          </w:p>
        </w:tc>
        <w:tc>
          <w:tcPr>
            <w:tcW w:w="803" w:type="pct"/>
            <w:shd w:val="clear" w:color="auto" w:fill="auto"/>
            <w:vAlign w:val="center"/>
          </w:tcPr>
          <w:p w14:paraId="664DA45F"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Severe AS, intermediate risk</w:t>
            </w:r>
          </w:p>
          <w:p w14:paraId="4BA7BB95"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(3-15%) </w:t>
            </w:r>
            <w:r w:rsidRPr="00F62546">
              <w:rPr>
                <w:rFonts w:ascii="Arial Narrow" w:hAnsi="Arial Narrow" w:cs="Tahoma"/>
                <w:snapToGrid w:val="0"/>
                <w:sz w:val="20"/>
                <w:vertAlign w:val="superscript"/>
              </w:rPr>
              <w:t>b</w:t>
            </w:r>
          </w:p>
        </w:tc>
        <w:tc>
          <w:tcPr>
            <w:tcW w:w="1149" w:type="pct"/>
            <w:vMerge/>
            <w:shd w:val="clear" w:color="auto" w:fill="auto"/>
            <w:vAlign w:val="center"/>
          </w:tcPr>
          <w:p w14:paraId="7CD4329E" w14:textId="77777777" w:rsidR="00EE4D44" w:rsidRPr="00F62546" w:rsidRDefault="00EE4D44" w:rsidP="001D4246">
            <w:pPr>
              <w:spacing w:before="40" w:after="40"/>
              <w:ind w:left="6" w:right="6"/>
              <w:jc w:val="center"/>
              <w:rPr>
                <w:rFonts w:ascii="Arial Narrow" w:hAnsi="Arial Narrow" w:cs="Tahoma"/>
                <w:snapToGrid w:val="0"/>
                <w:sz w:val="20"/>
              </w:rPr>
            </w:pPr>
          </w:p>
        </w:tc>
        <w:tc>
          <w:tcPr>
            <w:tcW w:w="666" w:type="pct"/>
            <w:shd w:val="clear" w:color="auto" w:fill="auto"/>
            <w:vAlign w:val="center"/>
          </w:tcPr>
          <w:p w14:paraId="73A6E263"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Yes</w:t>
            </w:r>
          </w:p>
          <w:p w14:paraId="6447EE11"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(meta-analysis)</w:t>
            </w:r>
          </w:p>
        </w:tc>
      </w:tr>
      <w:tr w:rsidR="00EE4D44" w:rsidRPr="00F62546" w14:paraId="748E7EAF" w14:textId="77777777" w:rsidTr="001D4246">
        <w:tc>
          <w:tcPr>
            <w:tcW w:w="813" w:type="pct"/>
            <w:shd w:val="clear" w:color="auto" w:fill="auto"/>
            <w:vAlign w:val="center"/>
          </w:tcPr>
          <w:p w14:paraId="26042892"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Meta-analysis</w:t>
            </w:r>
          </w:p>
        </w:tc>
        <w:tc>
          <w:tcPr>
            <w:tcW w:w="525" w:type="pct"/>
            <w:shd w:val="clear" w:color="auto" w:fill="auto"/>
            <w:vAlign w:val="center"/>
          </w:tcPr>
          <w:p w14:paraId="089528A8"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3,210</w:t>
            </w:r>
          </w:p>
          <w:p w14:paraId="5D4570AC"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k=2</w:t>
            </w:r>
          </w:p>
        </w:tc>
        <w:tc>
          <w:tcPr>
            <w:tcW w:w="459" w:type="pct"/>
            <w:tcBorders>
              <w:right w:val="nil"/>
            </w:tcBorders>
            <w:shd w:val="clear" w:color="auto" w:fill="auto"/>
            <w:vAlign w:val="center"/>
          </w:tcPr>
          <w:p w14:paraId="4C0066CD"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w:t>
            </w:r>
          </w:p>
        </w:tc>
        <w:tc>
          <w:tcPr>
            <w:tcW w:w="585" w:type="pct"/>
            <w:tcBorders>
              <w:left w:val="nil"/>
              <w:right w:val="nil"/>
            </w:tcBorders>
            <w:shd w:val="clear" w:color="auto" w:fill="auto"/>
            <w:vAlign w:val="center"/>
          </w:tcPr>
          <w:p w14:paraId="4674AB07"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w:t>
            </w:r>
          </w:p>
        </w:tc>
        <w:tc>
          <w:tcPr>
            <w:tcW w:w="803" w:type="pct"/>
            <w:tcBorders>
              <w:left w:val="nil"/>
            </w:tcBorders>
            <w:shd w:val="clear" w:color="auto" w:fill="auto"/>
            <w:vAlign w:val="center"/>
          </w:tcPr>
          <w:p w14:paraId="04D1FC3F"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PARTNER 2A </w:t>
            </w:r>
            <w:r w:rsidRPr="00F62546">
              <w:rPr>
                <w:rFonts w:ascii="Arial Narrow" w:hAnsi="Arial Narrow" w:cs="Tahoma"/>
                <w:snapToGrid w:val="0"/>
                <w:sz w:val="20"/>
              </w:rPr>
              <w:br/>
              <w:t>(TF cohort) + SURTAVI</w:t>
            </w:r>
          </w:p>
        </w:tc>
        <w:tc>
          <w:tcPr>
            <w:tcW w:w="1149" w:type="pct"/>
            <w:vMerge/>
            <w:shd w:val="clear" w:color="auto" w:fill="auto"/>
            <w:vAlign w:val="center"/>
          </w:tcPr>
          <w:p w14:paraId="06C6A20E" w14:textId="77777777" w:rsidR="00EE4D44" w:rsidRPr="00F62546" w:rsidRDefault="00EE4D44" w:rsidP="001D4246">
            <w:pPr>
              <w:spacing w:before="40" w:after="40"/>
              <w:ind w:left="6" w:right="6"/>
              <w:jc w:val="center"/>
              <w:rPr>
                <w:rFonts w:ascii="Arial Narrow" w:hAnsi="Arial Narrow" w:cs="Tahoma"/>
                <w:snapToGrid w:val="0"/>
                <w:sz w:val="20"/>
              </w:rPr>
            </w:pPr>
          </w:p>
        </w:tc>
        <w:tc>
          <w:tcPr>
            <w:tcW w:w="666" w:type="pct"/>
            <w:shd w:val="clear" w:color="auto" w:fill="auto"/>
            <w:vAlign w:val="center"/>
          </w:tcPr>
          <w:p w14:paraId="0D43AA2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Yes</w:t>
            </w:r>
          </w:p>
          <w:p w14:paraId="77E3ADC6"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length of stay</w:t>
            </w:r>
          </w:p>
        </w:tc>
      </w:tr>
      <w:tr w:rsidR="00EE4D44" w:rsidRPr="00F62546" w14:paraId="04BE7BEC" w14:textId="77777777" w:rsidTr="001D4246">
        <w:tc>
          <w:tcPr>
            <w:tcW w:w="5000" w:type="pct"/>
            <w:gridSpan w:val="7"/>
            <w:shd w:val="clear" w:color="auto" w:fill="auto"/>
            <w:vAlign w:val="center"/>
          </w:tcPr>
          <w:p w14:paraId="199F0639" w14:textId="77777777" w:rsidR="00EE4D44" w:rsidRPr="00F62546" w:rsidRDefault="00EE4D44" w:rsidP="001D4246">
            <w:pPr>
              <w:spacing w:before="40" w:after="40"/>
              <w:ind w:left="6" w:right="6"/>
              <w:rPr>
                <w:rFonts w:ascii="Arial Narrow" w:hAnsi="Arial Narrow" w:cs="Tahoma"/>
                <w:b/>
                <w:snapToGrid w:val="0"/>
                <w:sz w:val="20"/>
              </w:rPr>
            </w:pPr>
            <w:r w:rsidRPr="00F62546">
              <w:rPr>
                <w:rFonts w:ascii="Arial Narrow" w:hAnsi="Arial Narrow" w:cs="Tahoma"/>
                <w:b/>
                <w:snapToGrid w:val="0"/>
                <w:sz w:val="20"/>
              </w:rPr>
              <w:t>Observational studies of newer generation TAVI devices</w:t>
            </w:r>
          </w:p>
        </w:tc>
      </w:tr>
      <w:tr w:rsidR="00EE4D44" w:rsidRPr="00F62546" w14:paraId="28311539" w14:textId="77777777" w:rsidTr="001D4246">
        <w:tc>
          <w:tcPr>
            <w:tcW w:w="813" w:type="pct"/>
            <w:shd w:val="clear" w:color="auto" w:fill="auto"/>
            <w:vAlign w:val="center"/>
          </w:tcPr>
          <w:p w14:paraId="1AA4BD97" w14:textId="77777777" w:rsidR="00EE4D44" w:rsidRPr="00F62546" w:rsidRDefault="00EE4D44" w:rsidP="001D4246">
            <w:pPr>
              <w:spacing w:before="40" w:after="40"/>
              <w:ind w:left="6" w:right="6"/>
              <w:rPr>
                <w:rFonts w:ascii="Arial Narrow" w:hAnsi="Arial Narrow" w:cs="Tahoma"/>
                <w:snapToGrid w:val="0"/>
                <w:sz w:val="20"/>
              </w:rPr>
            </w:pPr>
            <w:proofErr w:type="spellStart"/>
            <w:r w:rsidRPr="00F62546">
              <w:rPr>
                <w:rFonts w:ascii="Arial Narrow" w:hAnsi="Arial Narrow" w:cs="Tahoma"/>
                <w:snapToGrid w:val="0"/>
                <w:sz w:val="20"/>
              </w:rPr>
              <w:t>Yakubov</w:t>
            </w:r>
            <w:proofErr w:type="spellEnd"/>
            <w:r w:rsidRPr="00F62546">
              <w:rPr>
                <w:rFonts w:ascii="Arial Narrow" w:hAnsi="Arial Narrow" w:cs="Tahoma"/>
                <w:snapToGrid w:val="0"/>
                <w:sz w:val="20"/>
              </w:rPr>
              <w:t xml:space="preserve"> (2020)</w:t>
            </w:r>
            <w:r w:rsidRPr="00F62546">
              <w:rPr>
                <w:rFonts w:ascii="Arial Narrow" w:hAnsi="Arial Narrow" w:cs="Tahoma"/>
                <w:sz w:val="20"/>
              </w:rPr>
              <w:t xml:space="preserve"> (</w:t>
            </w:r>
            <w:proofErr w:type="spellStart"/>
            <w:r w:rsidRPr="00F62546">
              <w:rPr>
                <w:rFonts w:ascii="Arial Narrow" w:hAnsi="Arial Narrow" w:cs="Tahoma"/>
                <w:snapToGrid w:val="0"/>
                <w:sz w:val="20"/>
              </w:rPr>
              <w:t>CoreValve</w:t>
            </w:r>
            <w:proofErr w:type="spellEnd"/>
            <w:r w:rsidRPr="00F62546">
              <w:rPr>
                <w:rFonts w:ascii="Arial Narrow" w:hAnsi="Arial Narrow" w:cs="Tahoma"/>
                <w:snapToGrid w:val="0"/>
                <w:sz w:val="20"/>
              </w:rPr>
              <w:t xml:space="preserve"> </w:t>
            </w:r>
            <w:r w:rsidRPr="00F62546">
              <w:rPr>
                <w:rFonts w:ascii="Arial Narrow" w:hAnsi="Arial Narrow" w:cs="Tahoma"/>
                <w:snapToGrid w:val="0"/>
                <w:sz w:val="20"/>
              </w:rPr>
              <w:br/>
            </w:r>
            <w:proofErr w:type="spellStart"/>
            <w:r w:rsidRPr="00F62546">
              <w:rPr>
                <w:rFonts w:ascii="Arial Narrow" w:hAnsi="Arial Narrow" w:cs="Tahoma"/>
                <w:snapToGrid w:val="0"/>
                <w:sz w:val="20"/>
              </w:rPr>
              <w:t>Evolut</w:t>
            </w:r>
            <w:proofErr w:type="spellEnd"/>
            <w:r w:rsidRPr="00F62546">
              <w:rPr>
                <w:rFonts w:ascii="Arial Narrow" w:hAnsi="Arial Narrow" w:cs="Tahoma"/>
                <w:snapToGrid w:val="0"/>
                <w:sz w:val="20"/>
              </w:rPr>
              <w:t xml:space="preserve"> R)</w:t>
            </w:r>
          </w:p>
        </w:tc>
        <w:tc>
          <w:tcPr>
            <w:tcW w:w="525" w:type="pct"/>
            <w:shd w:val="clear" w:color="auto" w:fill="auto"/>
            <w:vAlign w:val="center"/>
          </w:tcPr>
          <w:p w14:paraId="3D0A0DD1"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570</w:t>
            </w:r>
          </w:p>
        </w:tc>
        <w:tc>
          <w:tcPr>
            <w:tcW w:w="459" w:type="pct"/>
            <w:tcBorders>
              <w:right w:val="single" w:sz="4" w:space="0" w:color="auto"/>
            </w:tcBorders>
            <w:shd w:val="clear" w:color="auto" w:fill="auto"/>
            <w:vAlign w:val="center"/>
          </w:tcPr>
          <w:p w14:paraId="45C0DB1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Cohort,</w:t>
            </w:r>
            <w:r w:rsidRPr="00F62546">
              <w:rPr>
                <w:rFonts w:ascii="Arial Narrow" w:hAnsi="Arial Narrow" w:cs="Tahoma"/>
                <w:snapToGrid w:val="0"/>
                <w:sz w:val="20"/>
              </w:rPr>
              <w:br/>
              <w:t xml:space="preserve"> 1 year</w:t>
            </w:r>
          </w:p>
        </w:tc>
        <w:tc>
          <w:tcPr>
            <w:tcW w:w="585" w:type="pct"/>
            <w:tcBorders>
              <w:left w:val="single" w:sz="4" w:space="0" w:color="auto"/>
              <w:right w:val="single" w:sz="4" w:space="0" w:color="auto"/>
            </w:tcBorders>
            <w:shd w:val="clear" w:color="auto" w:fill="auto"/>
            <w:vAlign w:val="center"/>
          </w:tcPr>
          <w:p w14:paraId="12A23590"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Moderate</w:t>
            </w:r>
          </w:p>
        </w:tc>
        <w:tc>
          <w:tcPr>
            <w:tcW w:w="803" w:type="pct"/>
            <w:tcBorders>
              <w:left w:val="single" w:sz="4" w:space="0" w:color="auto"/>
              <w:right w:val="single" w:sz="4" w:space="0" w:color="auto"/>
            </w:tcBorders>
            <w:shd w:val="clear" w:color="auto" w:fill="auto"/>
            <w:vAlign w:val="center"/>
          </w:tcPr>
          <w:p w14:paraId="73ED82DE"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Severe AS, intermediate risk</w:t>
            </w:r>
          </w:p>
          <w:p w14:paraId="79C26945"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(3-15%) </w:t>
            </w:r>
            <w:r w:rsidRPr="00F62546">
              <w:rPr>
                <w:rFonts w:ascii="Arial Narrow" w:hAnsi="Arial Narrow" w:cs="Tahoma"/>
                <w:snapToGrid w:val="0"/>
                <w:sz w:val="20"/>
                <w:vertAlign w:val="superscript"/>
              </w:rPr>
              <w:t>b</w:t>
            </w:r>
          </w:p>
        </w:tc>
        <w:tc>
          <w:tcPr>
            <w:tcW w:w="1149" w:type="pct"/>
            <w:tcBorders>
              <w:left w:val="single" w:sz="4" w:space="0" w:color="auto"/>
            </w:tcBorders>
            <w:shd w:val="clear" w:color="auto" w:fill="auto"/>
            <w:vAlign w:val="center"/>
          </w:tcPr>
          <w:p w14:paraId="324D6830"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Death, disabling stroke, aortic regurgitation, reintervention</w:t>
            </w:r>
          </w:p>
        </w:tc>
        <w:tc>
          <w:tcPr>
            <w:tcW w:w="666" w:type="pct"/>
            <w:shd w:val="clear" w:color="auto" w:fill="auto"/>
            <w:vAlign w:val="center"/>
          </w:tcPr>
          <w:p w14:paraId="5EA2D779"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No</w:t>
            </w:r>
          </w:p>
        </w:tc>
      </w:tr>
      <w:tr w:rsidR="00EE4D44" w:rsidRPr="00F62546" w14:paraId="1752FB62" w14:textId="77777777" w:rsidTr="001D4246">
        <w:tc>
          <w:tcPr>
            <w:tcW w:w="813" w:type="pct"/>
            <w:shd w:val="clear" w:color="auto" w:fill="auto"/>
            <w:vAlign w:val="center"/>
          </w:tcPr>
          <w:p w14:paraId="7E08047E"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PARTNER 3Si</w:t>
            </w:r>
          </w:p>
          <w:p w14:paraId="14A15F58" w14:textId="77777777" w:rsidR="00EE4D44" w:rsidRPr="00F62546" w:rsidRDefault="00EE4D44" w:rsidP="001D4246">
            <w:pPr>
              <w:spacing w:before="40" w:after="40"/>
              <w:ind w:left="6" w:right="6"/>
              <w:rPr>
                <w:rFonts w:ascii="Arial Narrow" w:hAnsi="Arial Narrow" w:cs="Tahoma"/>
                <w:snapToGrid w:val="0"/>
                <w:sz w:val="20"/>
              </w:rPr>
            </w:pPr>
            <w:r w:rsidRPr="00F62546">
              <w:rPr>
                <w:rFonts w:ascii="Arial Narrow" w:hAnsi="Arial Narrow" w:cs="Tahoma"/>
                <w:snapToGrid w:val="0"/>
                <w:sz w:val="20"/>
              </w:rPr>
              <w:t>(SAPIEN 3)</w:t>
            </w:r>
          </w:p>
        </w:tc>
        <w:tc>
          <w:tcPr>
            <w:tcW w:w="525" w:type="pct"/>
            <w:shd w:val="clear" w:color="auto" w:fill="auto"/>
            <w:vAlign w:val="center"/>
          </w:tcPr>
          <w:p w14:paraId="0DD37954"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2,021</w:t>
            </w:r>
          </w:p>
        </w:tc>
        <w:tc>
          <w:tcPr>
            <w:tcW w:w="459" w:type="pct"/>
            <w:tcBorders>
              <w:right w:val="single" w:sz="4" w:space="0" w:color="auto"/>
            </w:tcBorders>
            <w:shd w:val="clear" w:color="auto" w:fill="auto"/>
            <w:vAlign w:val="center"/>
          </w:tcPr>
          <w:p w14:paraId="04E25480"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Cohort,</w:t>
            </w:r>
            <w:r w:rsidRPr="00F62546">
              <w:rPr>
                <w:rFonts w:ascii="Arial Narrow" w:hAnsi="Arial Narrow" w:cs="Tahoma"/>
                <w:snapToGrid w:val="0"/>
                <w:sz w:val="20"/>
              </w:rPr>
              <w:br/>
              <w:t xml:space="preserve"> 1 year</w:t>
            </w:r>
          </w:p>
        </w:tc>
        <w:tc>
          <w:tcPr>
            <w:tcW w:w="585" w:type="pct"/>
            <w:tcBorders>
              <w:left w:val="single" w:sz="4" w:space="0" w:color="auto"/>
              <w:right w:val="single" w:sz="4" w:space="0" w:color="auto"/>
            </w:tcBorders>
            <w:shd w:val="clear" w:color="auto" w:fill="auto"/>
            <w:vAlign w:val="center"/>
          </w:tcPr>
          <w:p w14:paraId="79D062D3"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Moderate</w:t>
            </w:r>
          </w:p>
        </w:tc>
        <w:tc>
          <w:tcPr>
            <w:tcW w:w="803" w:type="pct"/>
            <w:tcBorders>
              <w:left w:val="single" w:sz="4" w:space="0" w:color="auto"/>
              <w:right w:val="single" w:sz="4" w:space="0" w:color="auto"/>
            </w:tcBorders>
            <w:shd w:val="clear" w:color="auto" w:fill="auto"/>
            <w:vAlign w:val="center"/>
          </w:tcPr>
          <w:p w14:paraId="4A6C3EEC"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Severe AS, intermediate risk</w:t>
            </w:r>
          </w:p>
          <w:p w14:paraId="35B6D0C2"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(4.0-8.0%) </w:t>
            </w:r>
          </w:p>
        </w:tc>
        <w:tc>
          <w:tcPr>
            <w:tcW w:w="1149" w:type="pct"/>
            <w:tcBorders>
              <w:left w:val="single" w:sz="4" w:space="0" w:color="auto"/>
            </w:tcBorders>
            <w:shd w:val="clear" w:color="auto" w:fill="auto"/>
            <w:vAlign w:val="center"/>
          </w:tcPr>
          <w:p w14:paraId="417360F8"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 xml:space="preserve">Death, disabling stroke, </w:t>
            </w:r>
            <w:proofErr w:type="spellStart"/>
            <w:r w:rsidRPr="00F62546">
              <w:rPr>
                <w:rFonts w:ascii="Arial Narrow" w:hAnsi="Arial Narrow" w:cs="Tahoma"/>
                <w:snapToGrid w:val="0"/>
                <w:sz w:val="20"/>
              </w:rPr>
              <w:t>paravalvular</w:t>
            </w:r>
            <w:proofErr w:type="spellEnd"/>
            <w:r w:rsidRPr="00F62546">
              <w:rPr>
                <w:rFonts w:ascii="Arial Narrow" w:hAnsi="Arial Narrow" w:cs="Tahoma"/>
                <w:snapToGrid w:val="0"/>
                <w:sz w:val="20"/>
              </w:rPr>
              <w:t xml:space="preserve"> regurgitation, reintervention</w:t>
            </w:r>
          </w:p>
        </w:tc>
        <w:tc>
          <w:tcPr>
            <w:tcW w:w="666" w:type="pct"/>
            <w:shd w:val="clear" w:color="auto" w:fill="auto"/>
            <w:vAlign w:val="center"/>
          </w:tcPr>
          <w:p w14:paraId="025BD04E" w14:textId="77777777" w:rsidR="00EE4D44" w:rsidRPr="00F62546" w:rsidRDefault="00EE4D44" w:rsidP="001D4246">
            <w:pPr>
              <w:spacing w:before="40" w:after="40"/>
              <w:ind w:left="6" w:right="6"/>
              <w:jc w:val="center"/>
              <w:rPr>
                <w:rFonts w:ascii="Arial Narrow" w:hAnsi="Arial Narrow" w:cs="Tahoma"/>
                <w:snapToGrid w:val="0"/>
                <w:sz w:val="20"/>
              </w:rPr>
            </w:pPr>
            <w:r w:rsidRPr="00F62546">
              <w:rPr>
                <w:rFonts w:ascii="Arial Narrow" w:hAnsi="Arial Narrow" w:cs="Tahoma"/>
                <w:snapToGrid w:val="0"/>
                <w:sz w:val="20"/>
              </w:rPr>
              <w:t>No</w:t>
            </w:r>
          </w:p>
        </w:tc>
      </w:tr>
    </w:tbl>
    <w:p w14:paraId="6582972C" w14:textId="77777777" w:rsidR="00EE4D44" w:rsidRPr="00F62546" w:rsidRDefault="00EE4D44" w:rsidP="00EE4D44">
      <w:pPr>
        <w:keepNext/>
        <w:keepLines/>
        <w:jc w:val="both"/>
        <w:rPr>
          <w:rFonts w:ascii="Arial Narrow" w:hAnsi="Arial Narrow" w:cs="Arial"/>
          <w:i/>
          <w:snapToGrid w:val="0"/>
          <w:sz w:val="18"/>
          <w:lang w:eastAsia="en-US"/>
        </w:rPr>
      </w:pPr>
      <w:r w:rsidRPr="00F62546">
        <w:rPr>
          <w:rFonts w:ascii="Arial Narrow" w:hAnsi="Arial Narrow" w:cs="Arial"/>
          <w:snapToGrid w:val="0"/>
          <w:sz w:val="18"/>
          <w:lang w:eastAsia="en-US"/>
        </w:rPr>
        <w:t xml:space="preserve">Source: </w:t>
      </w:r>
      <w:r w:rsidRPr="00F62546">
        <w:rPr>
          <w:rFonts w:ascii="Arial Narrow" w:hAnsi="Arial Narrow" w:cs="Arial"/>
          <w:i/>
          <w:snapToGrid w:val="0"/>
          <w:sz w:val="18"/>
          <w:lang w:eastAsia="en-US"/>
        </w:rPr>
        <w:t>Compiled during the evaluation using Section B of the ADAR; Leon (2016) and Reardon (2017)</w:t>
      </w:r>
    </w:p>
    <w:p w14:paraId="5DEE6925" w14:textId="77777777" w:rsidR="00EE4D44" w:rsidRPr="00F62546" w:rsidRDefault="00EE4D44" w:rsidP="00EE4D44">
      <w:pPr>
        <w:keepNext/>
        <w:keepLines/>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Abbreviations: AS = aortic stenosis; </w:t>
      </w:r>
      <w:proofErr w:type="spellStart"/>
      <w:r w:rsidRPr="00F62546">
        <w:rPr>
          <w:rFonts w:ascii="Arial Narrow" w:hAnsi="Arial Narrow" w:cs="Arial"/>
          <w:snapToGrid w:val="0"/>
          <w:sz w:val="18"/>
          <w:lang w:eastAsia="en-US"/>
        </w:rPr>
        <w:t>HRQoL</w:t>
      </w:r>
      <w:proofErr w:type="spellEnd"/>
      <w:r w:rsidRPr="00F62546">
        <w:rPr>
          <w:rFonts w:ascii="Arial Narrow" w:hAnsi="Arial Narrow" w:cs="Arial"/>
          <w:snapToGrid w:val="0"/>
          <w:sz w:val="18"/>
          <w:lang w:eastAsia="en-US"/>
        </w:rPr>
        <w:t xml:space="preserve"> = health-related quality of life; MC=multi-centre; OL=open label (</w:t>
      </w:r>
      <w:proofErr w:type="spellStart"/>
      <w:r w:rsidRPr="00F62546">
        <w:rPr>
          <w:rFonts w:ascii="Arial Narrow" w:hAnsi="Arial Narrow" w:cs="Arial"/>
          <w:snapToGrid w:val="0"/>
          <w:sz w:val="18"/>
          <w:lang w:eastAsia="en-US"/>
        </w:rPr>
        <w:t>unblinded</w:t>
      </w:r>
      <w:proofErr w:type="spellEnd"/>
      <w:r w:rsidRPr="00F62546">
        <w:rPr>
          <w:rFonts w:ascii="Arial Narrow" w:hAnsi="Arial Narrow" w:cs="Arial"/>
          <w:snapToGrid w:val="0"/>
          <w:sz w:val="18"/>
          <w:lang w:eastAsia="en-US"/>
        </w:rPr>
        <w:t xml:space="preserve">); R=randomised; STS-PROM = Society of Thoracic Surgeons Predicted Risk of Mortality Score; TAVI = </w:t>
      </w:r>
      <w:proofErr w:type="spellStart"/>
      <w:r w:rsidRPr="00F62546">
        <w:rPr>
          <w:rFonts w:ascii="Arial Narrow" w:hAnsi="Arial Narrow" w:cs="Arial"/>
          <w:snapToGrid w:val="0"/>
          <w:sz w:val="18"/>
          <w:lang w:eastAsia="en-US"/>
        </w:rPr>
        <w:t>transcatheter</w:t>
      </w:r>
      <w:proofErr w:type="spellEnd"/>
      <w:r w:rsidRPr="00F62546">
        <w:rPr>
          <w:rFonts w:ascii="Arial Narrow" w:hAnsi="Arial Narrow" w:cs="Arial"/>
          <w:snapToGrid w:val="0"/>
          <w:sz w:val="18"/>
          <w:lang w:eastAsia="en-US"/>
        </w:rPr>
        <w:t xml:space="preserve"> aortic valve implantation; TF = </w:t>
      </w:r>
      <w:proofErr w:type="spellStart"/>
      <w:r w:rsidRPr="00F62546">
        <w:rPr>
          <w:rFonts w:ascii="Arial Narrow" w:hAnsi="Arial Narrow" w:cs="Arial"/>
          <w:snapToGrid w:val="0"/>
          <w:sz w:val="18"/>
          <w:lang w:eastAsia="en-US"/>
        </w:rPr>
        <w:t>transfermoral</w:t>
      </w:r>
      <w:proofErr w:type="spellEnd"/>
    </w:p>
    <w:p w14:paraId="1E449B71" w14:textId="77777777" w:rsidR="00EE4D44" w:rsidRPr="00F62546" w:rsidRDefault="00EE4D44" w:rsidP="00EE4D44">
      <w:pPr>
        <w:keepNext/>
        <w:keepLines/>
        <w:jc w:val="both"/>
        <w:rPr>
          <w:rFonts w:ascii="Arial Narrow" w:hAnsi="Arial Narrow" w:cs="Arial"/>
          <w:snapToGrid w:val="0"/>
          <w:sz w:val="18"/>
          <w:lang w:eastAsia="en-US"/>
        </w:rPr>
      </w:pPr>
      <w:proofErr w:type="spellStart"/>
      <w:proofErr w:type="gramStart"/>
      <w:r w:rsidRPr="00F62546">
        <w:rPr>
          <w:rFonts w:ascii="Arial Narrow" w:hAnsi="Arial Narrow" w:cs="Arial"/>
          <w:snapToGrid w:val="0"/>
          <w:sz w:val="18"/>
          <w:vertAlign w:val="superscript"/>
          <w:lang w:eastAsia="en-US"/>
        </w:rPr>
        <w:t>a</w:t>
      </w:r>
      <w:proofErr w:type="spellEnd"/>
      <w:proofErr w:type="gramEnd"/>
      <w:r w:rsidRPr="00F62546">
        <w:rPr>
          <w:rFonts w:ascii="Arial Narrow" w:hAnsi="Arial Narrow" w:cs="Arial"/>
          <w:snapToGrid w:val="0"/>
          <w:sz w:val="18"/>
          <w:vertAlign w:val="superscript"/>
          <w:lang w:eastAsia="en-US"/>
        </w:rPr>
        <w:t xml:space="preserve"> </w:t>
      </w:r>
      <w:r w:rsidRPr="00F62546">
        <w:rPr>
          <w:rFonts w:ascii="Arial Narrow" w:hAnsi="Arial Narrow" w:cs="Arial"/>
          <w:i/>
          <w:snapToGrid w:val="0"/>
          <w:sz w:val="18"/>
          <w:lang w:eastAsia="en-US"/>
        </w:rPr>
        <w:t xml:space="preserve">Both trials lacked allocation concealment. More patients withdrew from the SAVR arm after randomisation but before the procedure in both trials:  6.7% vs 1.1% for SAVR and TAVI, respectively in PARTNER 2A and 5.0% vs 0.7% for SAVR and TAVI, respectively in SURTAVI. </w:t>
      </w:r>
    </w:p>
    <w:p w14:paraId="490C0036" w14:textId="77777777" w:rsidR="00EE4D44" w:rsidRPr="00F62546" w:rsidRDefault="00EE4D44" w:rsidP="00EE4D44">
      <w:pPr>
        <w:keepNext/>
        <w:keepLines/>
        <w:jc w:val="both"/>
        <w:rPr>
          <w:rFonts w:ascii="Arial Narrow" w:hAnsi="Arial Narrow" w:cs="Arial"/>
          <w:snapToGrid w:val="0"/>
          <w:sz w:val="18"/>
          <w:lang w:eastAsia="en-US"/>
        </w:rPr>
      </w:pPr>
      <w:proofErr w:type="gramStart"/>
      <w:r w:rsidRPr="00F62546">
        <w:rPr>
          <w:rFonts w:ascii="Arial Narrow" w:hAnsi="Arial Narrow" w:cs="Arial"/>
          <w:snapToGrid w:val="0"/>
          <w:sz w:val="18"/>
          <w:vertAlign w:val="superscript"/>
          <w:lang w:eastAsia="en-US"/>
        </w:rPr>
        <w:t>a</w:t>
      </w:r>
      <w:proofErr w:type="gramEnd"/>
      <w:r w:rsidRPr="00F62546">
        <w:rPr>
          <w:rFonts w:ascii="Arial Narrow" w:hAnsi="Arial Narrow" w:cs="Arial"/>
          <w:snapToGrid w:val="0"/>
          <w:sz w:val="18"/>
          <w:lang w:eastAsia="en-US"/>
        </w:rPr>
        <w:t xml:space="preserve"> 30-day mortality risk as assessed by multidisciplinary Heart Team using STS-PROM. Included patients with STS-PROM &lt; 4% if there coexisting conditions not represented in the risk model.</w:t>
      </w:r>
    </w:p>
    <w:p w14:paraId="6E2A35C4" w14:textId="77777777" w:rsidR="002F70F5" w:rsidRDefault="00EE4D44" w:rsidP="002F70F5">
      <w:pPr>
        <w:rPr>
          <w:b/>
        </w:rPr>
      </w:pPr>
      <w:proofErr w:type="gramStart"/>
      <w:r w:rsidRPr="00F62546">
        <w:rPr>
          <w:rFonts w:ascii="Arial Narrow" w:hAnsi="Arial Narrow" w:cs="Arial"/>
          <w:snapToGrid w:val="0"/>
          <w:color w:val="000000"/>
          <w:sz w:val="18"/>
          <w:szCs w:val="18"/>
          <w:vertAlign w:val="superscript"/>
          <w:lang w:eastAsia="en-US"/>
        </w:rPr>
        <w:t>b</w:t>
      </w:r>
      <w:proofErr w:type="gramEnd"/>
      <w:r w:rsidRPr="00F62546">
        <w:rPr>
          <w:rFonts w:ascii="Arial Narrow" w:hAnsi="Arial Narrow" w:cs="Arial"/>
          <w:snapToGrid w:val="0"/>
          <w:color w:val="000000"/>
          <w:sz w:val="18"/>
          <w:szCs w:val="18"/>
          <w:lang w:eastAsia="en-US"/>
        </w:rPr>
        <w:t xml:space="preserve"> 30-day mortality risk as assessed by multidisciplinary Heart Team using STS-PROM and non-traditional factors as coexisting illnesses, frailty, and disability.</w:t>
      </w:r>
      <w:bookmarkStart w:id="12" w:name="_GoBack"/>
      <w:bookmarkEnd w:id="12"/>
      <w:r w:rsidRPr="00FF07C7">
        <w:rPr>
          <w:b/>
        </w:rPr>
        <w:t xml:space="preserve"> </w:t>
      </w:r>
    </w:p>
    <w:p w14:paraId="04CCD30F" w14:textId="39759036" w:rsidR="00EE4D44" w:rsidRPr="005B05CF" w:rsidRDefault="00EE4D44" w:rsidP="005B05CF">
      <w:pPr>
        <w:spacing w:before="240"/>
        <w:rPr>
          <w:b/>
        </w:rPr>
      </w:pPr>
      <w:r w:rsidRPr="00FF07C7">
        <w:fldChar w:fldCharType="begin"/>
      </w:r>
      <w:r w:rsidRPr="00FF07C7">
        <w:instrText xml:space="preserve"> REF _Ref66201301 \h  \* MERGEFORMAT </w:instrText>
      </w:r>
      <w:r w:rsidRPr="00FF07C7">
        <w:fldChar w:fldCharType="separate"/>
      </w:r>
      <w:r w:rsidR="00C24855" w:rsidRPr="00F62546">
        <w:t xml:space="preserve">Table </w:t>
      </w:r>
      <w:r w:rsidR="00C24855">
        <w:t>7</w:t>
      </w:r>
      <w:r w:rsidRPr="00FF07C7">
        <w:fldChar w:fldCharType="end"/>
      </w:r>
      <w:r w:rsidRPr="00F62546">
        <w:t xml:space="preserve"> presents the key bleeding outcomes from the key trials. TAVI was associated with fewer bleeding events in the PARTNER 2A trial. This may be a more robust basis for assessment as PARTNER 2A assessing bleeding according to the Valve Academic Research (VARC-2) criteria. SURTAVI used a different definition of ‘overt bleeding’ than the standard VARC-2 definition to prevent classification of SAVR patients with procedural </w:t>
      </w:r>
      <w:proofErr w:type="spellStart"/>
      <w:r w:rsidRPr="00F62546">
        <w:t>haemodilution</w:t>
      </w:r>
      <w:proofErr w:type="spellEnd"/>
      <w:r w:rsidRPr="00F62546">
        <w:t xml:space="preserve"> as having a bleeding event without a true procedural complication and likely contributed to the SAVR arm reporting fewer bleeding events. The ADAR also presented a meta-analysis pooling bleeding outcomes from the two RCTs; however, this was considered uninformative and having poor quality of evidence due to the high statistical heterogeneity most likely due to differences in the definitions of bleeding.</w:t>
      </w:r>
      <w:bookmarkStart w:id="13" w:name="_Ref59095488"/>
      <w:r>
        <w:br w:type="page"/>
      </w:r>
    </w:p>
    <w:p w14:paraId="40C9931B" w14:textId="60DB2BD3" w:rsidR="00EE4D44" w:rsidRPr="00F62546" w:rsidRDefault="00EE4D44" w:rsidP="004B35D0">
      <w:pPr>
        <w:pStyle w:val="Caption"/>
      </w:pPr>
      <w:bookmarkStart w:id="14" w:name="_Ref66201301"/>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7</w:t>
      </w:r>
      <w:r w:rsidR="002F70F5">
        <w:rPr>
          <w:noProof/>
        </w:rPr>
        <w:fldChar w:fldCharType="end"/>
      </w:r>
      <w:bookmarkEnd w:id="13"/>
      <w:bookmarkEnd w:id="14"/>
      <w:r>
        <w:tab/>
      </w:r>
      <w:r w:rsidRPr="00F62546">
        <w:t>Key bleeding outcomes from the RCTs</w:t>
      </w:r>
    </w:p>
    <w:tbl>
      <w:tblPr>
        <w:tblW w:w="0" w:type="auto"/>
        <w:tblLayout w:type="fixed"/>
        <w:tblCellMar>
          <w:left w:w="28" w:type="dxa"/>
          <w:right w:w="28" w:type="dxa"/>
        </w:tblCellMar>
        <w:tblLook w:val="04A0" w:firstRow="1" w:lastRow="0" w:firstColumn="1" w:lastColumn="0" w:noHBand="0" w:noVBand="1"/>
        <w:tblDescription w:val="Key bleeding outcomes from the RCTs"/>
      </w:tblPr>
      <w:tblGrid>
        <w:gridCol w:w="1555"/>
        <w:gridCol w:w="1242"/>
        <w:gridCol w:w="1026"/>
        <w:gridCol w:w="1134"/>
        <w:gridCol w:w="992"/>
        <w:gridCol w:w="1276"/>
        <w:gridCol w:w="1559"/>
      </w:tblGrid>
      <w:tr w:rsidR="00EE4D44" w:rsidRPr="00F62546" w14:paraId="089ABF97" w14:textId="77777777" w:rsidTr="001D4246">
        <w:trPr>
          <w:cantSplit/>
          <w:tblHeader/>
        </w:trPr>
        <w:tc>
          <w:tcPr>
            <w:tcW w:w="1555" w:type="dxa"/>
            <w:tcBorders>
              <w:top w:val="single" w:sz="4" w:space="0" w:color="auto"/>
              <w:left w:val="single" w:sz="4" w:space="0" w:color="auto"/>
              <w:bottom w:val="single" w:sz="4" w:space="0" w:color="auto"/>
              <w:right w:val="single" w:sz="4" w:space="0" w:color="auto"/>
            </w:tcBorders>
            <w:vAlign w:val="center"/>
          </w:tcPr>
          <w:p w14:paraId="101D568B"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 xml:space="preserve">Outcomes </w:t>
            </w:r>
          </w:p>
          <w:p w14:paraId="508DBCE8"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Follow-up</w:t>
            </w:r>
          </w:p>
        </w:tc>
        <w:tc>
          <w:tcPr>
            <w:tcW w:w="1242" w:type="dxa"/>
            <w:tcBorders>
              <w:top w:val="single" w:sz="4" w:space="0" w:color="auto"/>
              <w:left w:val="single" w:sz="4" w:space="0" w:color="auto"/>
              <w:bottom w:val="single" w:sz="4" w:space="0" w:color="auto"/>
              <w:right w:val="single" w:sz="4" w:space="0" w:color="auto"/>
            </w:tcBorders>
            <w:vAlign w:val="center"/>
          </w:tcPr>
          <w:p w14:paraId="6894E2C6"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Participants (studies)</w:t>
            </w:r>
          </w:p>
          <w:p w14:paraId="32CCC59C" w14:textId="77777777" w:rsidR="00EE4D44" w:rsidRPr="00F62546" w:rsidRDefault="00EE4D44" w:rsidP="001D4246">
            <w:pPr>
              <w:keepNext/>
              <w:spacing w:before="40" w:after="40"/>
              <w:jc w:val="center"/>
              <w:rPr>
                <w:rFonts w:ascii="Arial Narrow" w:hAnsi="Arial Narrow" w:cs="Tahoma"/>
                <w:b/>
                <w:sz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74C5B8ED"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Quality of evidence (GRADE)</w:t>
            </w:r>
          </w:p>
        </w:tc>
        <w:tc>
          <w:tcPr>
            <w:tcW w:w="1134" w:type="dxa"/>
            <w:tcBorders>
              <w:top w:val="single" w:sz="4" w:space="0" w:color="auto"/>
              <w:left w:val="single" w:sz="4" w:space="0" w:color="auto"/>
              <w:bottom w:val="single" w:sz="4" w:space="0" w:color="auto"/>
              <w:right w:val="single" w:sz="4" w:space="0" w:color="auto"/>
            </w:tcBorders>
            <w:vAlign w:val="center"/>
          </w:tcPr>
          <w:p w14:paraId="60545255"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TAVI</w:t>
            </w:r>
          </w:p>
          <w:p w14:paraId="1DE778FF"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54199A9D"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SAVR</w:t>
            </w:r>
          </w:p>
          <w:p w14:paraId="754D59EA"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37F60E4"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Relative risk (95% CI)</w:t>
            </w:r>
          </w:p>
          <w:p w14:paraId="38B4E079" w14:textId="67580812" w:rsidR="00EE4D44" w:rsidRPr="00F62546" w:rsidRDefault="00EE4D44" w:rsidP="001D4246">
            <w:pPr>
              <w:keepNext/>
              <w:spacing w:before="40" w:after="40"/>
              <w:jc w:val="center"/>
              <w:rPr>
                <w:rFonts w:ascii="Arial Narrow" w:hAnsi="Arial Narrow" w:cs="Tahoma"/>
                <w:b/>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E144D0A"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difference (95% CI)</w:t>
            </w:r>
          </w:p>
          <w:p w14:paraId="3BDC2C42" w14:textId="74989C9C" w:rsidR="00EE4D44" w:rsidRPr="00F62546" w:rsidRDefault="00EE4D44" w:rsidP="001D4246">
            <w:pPr>
              <w:keepNext/>
              <w:spacing w:before="40" w:after="40"/>
              <w:jc w:val="center"/>
              <w:rPr>
                <w:rFonts w:ascii="Arial Narrow" w:hAnsi="Arial Narrow" w:cs="Tahoma"/>
                <w:b/>
                <w:sz w:val="20"/>
              </w:rPr>
            </w:pPr>
          </w:p>
        </w:tc>
      </w:tr>
      <w:tr w:rsidR="00EE4D44" w:rsidRPr="00F62546" w14:paraId="359C988E" w14:textId="77777777" w:rsidTr="001D4246">
        <w:trPr>
          <w:cantSplit/>
          <w:trHeight w:val="263"/>
        </w:trPr>
        <w:tc>
          <w:tcPr>
            <w:tcW w:w="8784" w:type="dxa"/>
            <w:gridSpan w:val="7"/>
            <w:tcBorders>
              <w:top w:val="single" w:sz="4" w:space="0" w:color="auto"/>
              <w:left w:val="single" w:sz="4" w:space="0" w:color="auto"/>
              <w:bottom w:val="single" w:sz="4" w:space="0" w:color="auto"/>
              <w:right w:val="single" w:sz="4" w:space="0" w:color="auto"/>
            </w:tcBorders>
            <w:vAlign w:val="center"/>
          </w:tcPr>
          <w:p w14:paraId="33B4AEA4" w14:textId="77777777" w:rsidR="00EE4D44" w:rsidRPr="00F62546" w:rsidRDefault="00EE4D44" w:rsidP="001D4246">
            <w:pPr>
              <w:spacing w:before="40" w:after="40"/>
              <w:rPr>
                <w:rFonts w:ascii="Arial Narrow" w:hAnsi="Arial Narrow" w:cs="Tahoma"/>
                <w:b/>
                <w:sz w:val="20"/>
              </w:rPr>
            </w:pPr>
            <w:r w:rsidRPr="00F62546">
              <w:rPr>
                <w:rFonts w:ascii="Arial Narrow" w:hAnsi="Arial Narrow" w:cs="Tahoma"/>
                <w:b/>
                <w:sz w:val="20"/>
              </w:rPr>
              <w:t>Life-threatening or disabling bleeding – 30 days</w:t>
            </w:r>
            <w:r w:rsidRPr="00F62546">
              <w:rPr>
                <w:rFonts w:ascii="Arial Narrow" w:hAnsi="Arial Narrow" w:cs="Tahoma"/>
                <w:sz w:val="20"/>
              </w:rPr>
              <w:t xml:space="preserve"> </w:t>
            </w:r>
            <w:r w:rsidRPr="00F62546">
              <w:rPr>
                <w:rFonts w:ascii="Arial Narrow" w:hAnsi="Arial Narrow" w:cs="Tahoma"/>
                <w:sz w:val="20"/>
                <w:vertAlign w:val="superscript"/>
              </w:rPr>
              <w:t>a</w:t>
            </w:r>
          </w:p>
        </w:tc>
      </w:tr>
      <w:tr w:rsidR="00EE4D44" w:rsidRPr="00F62546" w14:paraId="1A7C37BF"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5395444B" w14:textId="77777777" w:rsidR="00EE4D44" w:rsidRPr="00F62546" w:rsidRDefault="00EE4D44" w:rsidP="001D4246">
            <w:pPr>
              <w:spacing w:before="40" w:after="40"/>
              <w:rPr>
                <w:rFonts w:ascii="Arial Narrow" w:hAnsi="Arial Narrow" w:cs="Tahoma"/>
                <w:sz w:val="20"/>
                <w:vertAlign w:val="superscript"/>
              </w:rPr>
            </w:pPr>
            <w:r w:rsidRPr="00F62546">
              <w:rPr>
                <w:rFonts w:ascii="Arial Narrow" w:hAnsi="Arial Narrow" w:cs="Tahoma"/>
                <w:sz w:val="20"/>
              </w:rPr>
              <w:t>PARTNER 2A</w:t>
            </w:r>
          </w:p>
        </w:tc>
        <w:tc>
          <w:tcPr>
            <w:tcW w:w="1242" w:type="dxa"/>
            <w:tcBorders>
              <w:top w:val="single" w:sz="4" w:space="0" w:color="auto"/>
              <w:left w:val="single" w:sz="4" w:space="0" w:color="auto"/>
              <w:bottom w:val="single" w:sz="4" w:space="0" w:color="auto"/>
              <w:right w:val="single" w:sz="4" w:space="0" w:color="auto"/>
            </w:tcBorders>
            <w:vAlign w:val="center"/>
          </w:tcPr>
          <w:p w14:paraId="2069E0BE"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N = 1,550</w:t>
            </w:r>
          </w:p>
        </w:tc>
        <w:tc>
          <w:tcPr>
            <w:tcW w:w="1026" w:type="dxa"/>
            <w:tcBorders>
              <w:top w:val="single" w:sz="4" w:space="0" w:color="auto"/>
              <w:left w:val="single" w:sz="4" w:space="0" w:color="auto"/>
              <w:bottom w:val="single" w:sz="4" w:space="0" w:color="auto"/>
              <w:right w:val="single" w:sz="4" w:space="0" w:color="auto"/>
            </w:tcBorders>
          </w:tcPr>
          <w:p w14:paraId="18DF974B" w14:textId="77777777" w:rsidR="00EE4D44" w:rsidRPr="00F62546" w:rsidRDefault="00EE4D44" w:rsidP="001D4246">
            <w:pPr>
              <w:spacing w:before="40" w:after="40"/>
              <w:ind w:left="176"/>
              <w:rPr>
                <w:rFonts w:ascii="Arial Narrow" w:hAnsi="Arial Narrow"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tcPr>
          <w:p w14:paraId="54BBC98C"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 xml:space="preserve">52/775 </w:t>
            </w:r>
          </w:p>
          <w:p w14:paraId="432FEDA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(6.7%)</w:t>
            </w:r>
          </w:p>
        </w:tc>
        <w:tc>
          <w:tcPr>
            <w:tcW w:w="992" w:type="dxa"/>
            <w:tcBorders>
              <w:top w:val="single" w:sz="4" w:space="0" w:color="auto"/>
              <w:left w:val="single" w:sz="4" w:space="0" w:color="auto"/>
              <w:bottom w:val="single" w:sz="4" w:space="0" w:color="auto"/>
              <w:right w:val="single" w:sz="4" w:space="0" w:color="auto"/>
            </w:tcBorders>
          </w:tcPr>
          <w:p w14:paraId="20BC174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320/775 (41.3%)</w:t>
            </w:r>
          </w:p>
        </w:tc>
        <w:tc>
          <w:tcPr>
            <w:tcW w:w="1276" w:type="dxa"/>
            <w:tcBorders>
              <w:top w:val="single" w:sz="4" w:space="0" w:color="auto"/>
              <w:left w:val="single" w:sz="4" w:space="0" w:color="auto"/>
              <w:bottom w:val="single" w:sz="4" w:space="0" w:color="auto"/>
              <w:right w:val="single" w:sz="4" w:space="0" w:color="auto"/>
            </w:tcBorders>
          </w:tcPr>
          <w:p w14:paraId="6AD6A855"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0.16</w:t>
            </w:r>
          </w:p>
          <w:p w14:paraId="4804AA08"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(0.12, 0.21)</w:t>
            </w:r>
          </w:p>
        </w:tc>
        <w:tc>
          <w:tcPr>
            <w:tcW w:w="1559" w:type="dxa"/>
            <w:tcBorders>
              <w:top w:val="single" w:sz="4" w:space="0" w:color="auto"/>
              <w:left w:val="single" w:sz="4" w:space="0" w:color="auto"/>
              <w:bottom w:val="single" w:sz="4" w:space="0" w:color="auto"/>
              <w:right w:val="single" w:sz="4" w:space="0" w:color="auto"/>
            </w:tcBorders>
          </w:tcPr>
          <w:p w14:paraId="75FBD722"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-34.6%</w:t>
            </w:r>
          </w:p>
          <w:p w14:paraId="59793893"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(-38.5%, -30.7%)</w:t>
            </w:r>
          </w:p>
        </w:tc>
      </w:tr>
      <w:tr w:rsidR="00EE4D44" w:rsidRPr="00F62546" w14:paraId="5618835B"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2A7353C9" w14:textId="77777777" w:rsidR="00EE4D44" w:rsidRPr="00F62546" w:rsidRDefault="00EE4D44" w:rsidP="001D4246">
            <w:pPr>
              <w:spacing w:before="40" w:after="40"/>
              <w:rPr>
                <w:rFonts w:ascii="Arial Narrow" w:hAnsi="Arial Narrow" w:cs="Tahoma"/>
                <w:sz w:val="20"/>
                <w:vertAlign w:val="superscript"/>
              </w:rPr>
            </w:pPr>
            <w:r w:rsidRPr="00F62546">
              <w:rPr>
                <w:rFonts w:ascii="Arial Narrow" w:hAnsi="Arial Narrow" w:cs="Tahoma"/>
                <w:sz w:val="20"/>
              </w:rPr>
              <w:t xml:space="preserve">SURTAVI </w:t>
            </w:r>
          </w:p>
        </w:tc>
        <w:tc>
          <w:tcPr>
            <w:tcW w:w="1242" w:type="dxa"/>
            <w:tcBorders>
              <w:top w:val="single" w:sz="4" w:space="0" w:color="auto"/>
              <w:left w:val="single" w:sz="4" w:space="0" w:color="auto"/>
              <w:bottom w:val="single" w:sz="4" w:space="0" w:color="auto"/>
              <w:right w:val="single" w:sz="4" w:space="0" w:color="auto"/>
            </w:tcBorders>
            <w:vAlign w:val="center"/>
          </w:tcPr>
          <w:p w14:paraId="2561FEBE"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N = 1,660</w:t>
            </w:r>
          </w:p>
        </w:tc>
        <w:tc>
          <w:tcPr>
            <w:tcW w:w="1026" w:type="dxa"/>
            <w:tcBorders>
              <w:top w:val="single" w:sz="4" w:space="0" w:color="auto"/>
              <w:left w:val="single" w:sz="4" w:space="0" w:color="auto"/>
              <w:bottom w:val="single" w:sz="4" w:space="0" w:color="auto"/>
              <w:right w:val="single" w:sz="4" w:space="0" w:color="auto"/>
            </w:tcBorders>
          </w:tcPr>
          <w:p w14:paraId="3B7685C2" w14:textId="77777777" w:rsidR="00EE4D44" w:rsidRPr="00F62546" w:rsidRDefault="00EE4D44" w:rsidP="001D4246">
            <w:pPr>
              <w:spacing w:before="40" w:after="40"/>
              <w:ind w:left="176"/>
              <w:rPr>
                <w:rFonts w:ascii="Cambria Math" w:hAnsi="Cambria Math"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tcPr>
          <w:p w14:paraId="4CF628EF"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49/864</w:t>
            </w:r>
          </w:p>
          <w:p w14:paraId="1A8D4147"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(5.7%)</w:t>
            </w:r>
          </w:p>
        </w:tc>
        <w:tc>
          <w:tcPr>
            <w:tcW w:w="992" w:type="dxa"/>
            <w:tcBorders>
              <w:top w:val="single" w:sz="4" w:space="0" w:color="auto"/>
              <w:left w:val="single" w:sz="4" w:space="0" w:color="auto"/>
              <w:bottom w:val="single" w:sz="4" w:space="0" w:color="auto"/>
              <w:right w:val="single" w:sz="4" w:space="0" w:color="auto"/>
            </w:tcBorders>
          </w:tcPr>
          <w:p w14:paraId="380DFC36"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47/796</w:t>
            </w:r>
          </w:p>
          <w:p w14:paraId="0B917F09"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(5.9%)</w:t>
            </w:r>
          </w:p>
        </w:tc>
        <w:tc>
          <w:tcPr>
            <w:tcW w:w="1276" w:type="dxa"/>
            <w:tcBorders>
              <w:top w:val="single" w:sz="4" w:space="0" w:color="auto"/>
              <w:left w:val="single" w:sz="4" w:space="0" w:color="auto"/>
              <w:bottom w:val="single" w:sz="4" w:space="0" w:color="auto"/>
              <w:right w:val="single" w:sz="4" w:space="0" w:color="auto"/>
            </w:tcBorders>
          </w:tcPr>
          <w:p w14:paraId="67C32075"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0.96</w:t>
            </w:r>
          </w:p>
          <w:p w14:paraId="43C11E7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(0.65, 1.42)</w:t>
            </w:r>
          </w:p>
        </w:tc>
        <w:tc>
          <w:tcPr>
            <w:tcW w:w="1559" w:type="dxa"/>
            <w:tcBorders>
              <w:top w:val="single" w:sz="4" w:space="0" w:color="auto"/>
              <w:left w:val="single" w:sz="4" w:space="0" w:color="auto"/>
              <w:bottom w:val="single" w:sz="4" w:space="0" w:color="auto"/>
              <w:right w:val="single" w:sz="4" w:space="0" w:color="auto"/>
            </w:tcBorders>
          </w:tcPr>
          <w:p w14:paraId="62B9AB24"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-0.2%</w:t>
            </w:r>
          </w:p>
          <w:p w14:paraId="07E778F8"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(-2.5%, 2.0%)</w:t>
            </w:r>
          </w:p>
        </w:tc>
      </w:tr>
      <w:tr w:rsidR="00EE4D44" w:rsidRPr="00F62546" w14:paraId="525FC263" w14:textId="77777777" w:rsidTr="001D4246">
        <w:trPr>
          <w:cantSplit/>
          <w:trHeight w:val="263"/>
        </w:trPr>
        <w:tc>
          <w:tcPr>
            <w:tcW w:w="8784" w:type="dxa"/>
            <w:gridSpan w:val="7"/>
            <w:tcBorders>
              <w:top w:val="single" w:sz="4" w:space="0" w:color="auto"/>
              <w:left w:val="single" w:sz="4" w:space="0" w:color="auto"/>
              <w:bottom w:val="single" w:sz="4" w:space="0" w:color="auto"/>
              <w:right w:val="single" w:sz="4" w:space="0" w:color="auto"/>
            </w:tcBorders>
            <w:vAlign w:val="center"/>
          </w:tcPr>
          <w:p w14:paraId="05741BEB"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b/>
                <w:sz w:val="20"/>
              </w:rPr>
              <w:t>Life-threatening or disabling bleeding – 2 years</w:t>
            </w:r>
            <w:r w:rsidRPr="00F62546">
              <w:rPr>
                <w:rFonts w:ascii="Arial Narrow" w:hAnsi="Arial Narrow" w:cs="Tahoma"/>
                <w:sz w:val="20"/>
              </w:rPr>
              <w:t xml:space="preserve"> </w:t>
            </w:r>
            <w:r w:rsidRPr="00F62546">
              <w:rPr>
                <w:rFonts w:ascii="Arial Narrow" w:hAnsi="Arial Narrow" w:cs="Tahoma"/>
                <w:sz w:val="20"/>
                <w:vertAlign w:val="superscript"/>
              </w:rPr>
              <w:t>a</w:t>
            </w:r>
          </w:p>
        </w:tc>
      </w:tr>
      <w:tr w:rsidR="00EE4D44" w:rsidRPr="00F62546" w14:paraId="7005228A"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3EB13CC3"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PARTNER 2A</w:t>
            </w:r>
          </w:p>
        </w:tc>
        <w:tc>
          <w:tcPr>
            <w:tcW w:w="1242" w:type="dxa"/>
            <w:tcBorders>
              <w:top w:val="single" w:sz="4" w:space="0" w:color="auto"/>
              <w:left w:val="single" w:sz="4" w:space="0" w:color="auto"/>
              <w:bottom w:val="single" w:sz="4" w:space="0" w:color="auto"/>
              <w:right w:val="single" w:sz="4" w:space="0" w:color="auto"/>
            </w:tcBorders>
            <w:vAlign w:val="center"/>
          </w:tcPr>
          <w:p w14:paraId="3074D4CA"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N = 1,550</w:t>
            </w:r>
          </w:p>
        </w:tc>
        <w:tc>
          <w:tcPr>
            <w:tcW w:w="1026" w:type="dxa"/>
            <w:tcBorders>
              <w:top w:val="single" w:sz="4" w:space="0" w:color="auto"/>
              <w:left w:val="single" w:sz="4" w:space="0" w:color="auto"/>
              <w:bottom w:val="single" w:sz="4" w:space="0" w:color="auto"/>
              <w:right w:val="single" w:sz="4" w:space="0" w:color="auto"/>
            </w:tcBorders>
          </w:tcPr>
          <w:p w14:paraId="0D141BF5" w14:textId="77777777" w:rsidR="00EE4D44" w:rsidRPr="00F62546" w:rsidRDefault="00EE4D44" w:rsidP="001D4246">
            <w:pPr>
              <w:spacing w:before="40" w:after="40"/>
              <w:ind w:left="176"/>
              <w:rPr>
                <w:rFonts w:ascii="Cambria Math" w:hAnsi="Cambria Math"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left w:val="single" w:sz="4" w:space="0" w:color="auto"/>
              <w:bottom w:val="single" w:sz="4" w:space="0" w:color="auto"/>
              <w:right w:val="single" w:sz="4" w:space="0" w:color="auto"/>
            </w:tcBorders>
            <w:shd w:val="clear" w:color="auto" w:fill="auto"/>
            <w:vAlign w:val="center"/>
          </w:tcPr>
          <w:p w14:paraId="57813FEC"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napToGrid w:val="0"/>
                <w:sz w:val="20"/>
              </w:rPr>
              <w:t>101/775 (13.0%)</w:t>
            </w:r>
          </w:p>
        </w:tc>
        <w:tc>
          <w:tcPr>
            <w:tcW w:w="992" w:type="dxa"/>
            <w:tcBorders>
              <w:left w:val="single" w:sz="4" w:space="0" w:color="auto"/>
              <w:bottom w:val="single" w:sz="4" w:space="0" w:color="auto"/>
              <w:right w:val="single" w:sz="4" w:space="0" w:color="auto"/>
            </w:tcBorders>
            <w:shd w:val="clear" w:color="auto" w:fill="auto"/>
            <w:vAlign w:val="center"/>
          </w:tcPr>
          <w:p w14:paraId="147E2A3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napToGrid w:val="0"/>
                <w:sz w:val="20"/>
              </w:rPr>
              <w:t>341/775 (44.0%)</w:t>
            </w:r>
          </w:p>
        </w:tc>
        <w:tc>
          <w:tcPr>
            <w:tcW w:w="1276" w:type="dxa"/>
            <w:tcBorders>
              <w:left w:val="single" w:sz="4" w:space="0" w:color="auto"/>
              <w:bottom w:val="single" w:sz="4" w:space="0" w:color="auto"/>
              <w:right w:val="single" w:sz="4" w:space="0" w:color="auto"/>
            </w:tcBorders>
            <w:shd w:val="clear" w:color="auto" w:fill="auto"/>
            <w:vAlign w:val="center"/>
          </w:tcPr>
          <w:p w14:paraId="4727100C"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0.30</w:t>
            </w:r>
          </w:p>
          <w:p w14:paraId="409F647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b/>
                <w:sz w:val="20"/>
              </w:rPr>
              <w:t>(0.24, 0.36)</w:t>
            </w:r>
          </w:p>
        </w:tc>
        <w:tc>
          <w:tcPr>
            <w:tcW w:w="1559" w:type="dxa"/>
            <w:tcBorders>
              <w:left w:val="single" w:sz="4" w:space="0" w:color="auto"/>
              <w:bottom w:val="single" w:sz="4" w:space="0" w:color="auto"/>
              <w:right w:val="single" w:sz="4" w:space="0" w:color="auto"/>
            </w:tcBorders>
            <w:shd w:val="clear" w:color="auto" w:fill="auto"/>
          </w:tcPr>
          <w:p w14:paraId="3DDD12DA"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-31.0%</w:t>
            </w:r>
          </w:p>
          <w:p w14:paraId="6528F9D4"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(-35.2%, -26.8%)</w:t>
            </w:r>
          </w:p>
        </w:tc>
      </w:tr>
      <w:tr w:rsidR="00EE4D44" w:rsidRPr="00F62546" w14:paraId="676C3B4B"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100AF0E3"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 xml:space="preserve">SURTAVI </w:t>
            </w:r>
          </w:p>
        </w:tc>
        <w:tc>
          <w:tcPr>
            <w:tcW w:w="1242" w:type="dxa"/>
            <w:tcBorders>
              <w:top w:val="single" w:sz="4" w:space="0" w:color="auto"/>
              <w:left w:val="single" w:sz="4" w:space="0" w:color="auto"/>
              <w:bottom w:val="single" w:sz="4" w:space="0" w:color="auto"/>
              <w:right w:val="single" w:sz="4" w:space="0" w:color="auto"/>
            </w:tcBorders>
            <w:vAlign w:val="center"/>
          </w:tcPr>
          <w:p w14:paraId="0EC7E58C"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N = 1,660</w:t>
            </w:r>
          </w:p>
        </w:tc>
        <w:tc>
          <w:tcPr>
            <w:tcW w:w="1026" w:type="dxa"/>
            <w:tcBorders>
              <w:top w:val="single" w:sz="4" w:space="0" w:color="auto"/>
              <w:left w:val="single" w:sz="4" w:space="0" w:color="auto"/>
              <w:bottom w:val="single" w:sz="4" w:space="0" w:color="auto"/>
              <w:right w:val="single" w:sz="4" w:space="0" w:color="auto"/>
            </w:tcBorders>
          </w:tcPr>
          <w:p w14:paraId="25BDDE5D" w14:textId="77777777" w:rsidR="00EE4D44" w:rsidRPr="00F62546" w:rsidRDefault="00EE4D44" w:rsidP="001D4246">
            <w:pPr>
              <w:spacing w:before="40" w:after="40"/>
              <w:ind w:left="176"/>
              <w:rPr>
                <w:rFonts w:ascii="Cambria Math" w:hAnsi="Cambria Math"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085999" w14:textId="77777777" w:rsidR="00EE4D44" w:rsidRPr="00F62546" w:rsidRDefault="00EE4D44" w:rsidP="001D4246">
            <w:pPr>
              <w:spacing w:before="40" w:after="40"/>
              <w:jc w:val="center"/>
              <w:rPr>
                <w:rFonts w:ascii="Arial Narrow" w:hAnsi="Arial Narrow" w:cs="Tahoma"/>
                <w:snapToGrid w:val="0"/>
                <w:sz w:val="20"/>
              </w:rPr>
            </w:pPr>
            <w:r w:rsidRPr="00F62546">
              <w:rPr>
                <w:rFonts w:ascii="Arial Narrow" w:hAnsi="Arial Narrow" w:cs="Tahoma"/>
                <w:snapToGrid w:val="0"/>
                <w:sz w:val="20"/>
              </w:rPr>
              <w:t>71/864</w:t>
            </w:r>
          </w:p>
          <w:p w14:paraId="5B6204D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napToGrid w:val="0"/>
                <w:sz w:val="20"/>
              </w:rPr>
              <w:t>(8.2%)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5FB5A5"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napToGrid w:val="0"/>
                <w:sz w:val="20"/>
              </w:rPr>
              <w:t>65/796 (8.2%)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85BC0"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1.01</w:t>
            </w:r>
          </w:p>
          <w:p w14:paraId="3574A24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(0.73, 1.39)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833DBC"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0.05%</w:t>
            </w:r>
          </w:p>
          <w:p w14:paraId="03E4465E"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(-2.6%, 2.7%)</w:t>
            </w:r>
          </w:p>
        </w:tc>
      </w:tr>
    </w:tbl>
    <w:p w14:paraId="3E2BA076" w14:textId="77777777" w:rsidR="00EE4D44" w:rsidRPr="00F62546" w:rsidRDefault="00EE4D44" w:rsidP="00EE4D44">
      <w:pPr>
        <w:widowControl w:val="0"/>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Source: Table 32-33 of the ADAR </w:t>
      </w:r>
      <w:r w:rsidRPr="00F62546">
        <w:rPr>
          <w:rFonts w:ascii="Arial Narrow" w:hAnsi="Arial Narrow" w:cs="Arial"/>
          <w:i/>
          <w:snapToGrid w:val="0"/>
          <w:sz w:val="18"/>
          <w:lang w:eastAsia="en-US"/>
        </w:rPr>
        <w:t>and included during the evaluation</w:t>
      </w:r>
      <w:r w:rsidRPr="00F62546">
        <w:rPr>
          <w:rFonts w:ascii="Arial Narrow" w:hAnsi="Arial Narrow" w:cs="Arial"/>
          <w:snapToGrid w:val="0"/>
          <w:sz w:val="18"/>
          <w:lang w:eastAsia="en-US"/>
        </w:rPr>
        <w:t xml:space="preserve">; </w:t>
      </w:r>
      <w:r w:rsidRPr="00F62546">
        <w:rPr>
          <w:rFonts w:ascii="Arial Narrow" w:hAnsi="Arial Narrow" w:cs="Arial"/>
          <w:b/>
          <w:snapToGrid w:val="0"/>
          <w:sz w:val="18"/>
          <w:lang w:eastAsia="en-US"/>
        </w:rPr>
        <w:t>bold</w:t>
      </w:r>
      <w:r w:rsidRPr="00F62546">
        <w:rPr>
          <w:rFonts w:ascii="Arial Narrow" w:hAnsi="Arial Narrow" w:cs="Arial"/>
          <w:snapToGrid w:val="0"/>
          <w:sz w:val="18"/>
          <w:lang w:eastAsia="en-US"/>
        </w:rPr>
        <w:t xml:space="preserve"> = statistically significant  </w:t>
      </w:r>
    </w:p>
    <w:p w14:paraId="2AB79E25" w14:textId="77777777" w:rsidR="00EE4D44" w:rsidRPr="00F62546" w:rsidRDefault="00EE4D44" w:rsidP="00EE4D44">
      <w:pPr>
        <w:widowControl w:val="0"/>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ADAR = Applicant Developed Assessment Report; BARC = Bleeding Academic Research Consortium; CI = confidence interval; RCT = randomised controlled trial; SAVR = surgical aortic valve replacement; TAVI = </w:t>
      </w:r>
      <w:proofErr w:type="spellStart"/>
      <w:r w:rsidRPr="00F62546">
        <w:rPr>
          <w:rFonts w:ascii="Arial Narrow" w:hAnsi="Arial Narrow" w:cs="Arial"/>
          <w:snapToGrid w:val="0"/>
          <w:sz w:val="18"/>
          <w:lang w:eastAsia="en-US"/>
        </w:rPr>
        <w:t>transcatheter</w:t>
      </w:r>
      <w:proofErr w:type="spellEnd"/>
      <w:r w:rsidRPr="00F62546">
        <w:rPr>
          <w:rFonts w:ascii="Arial Narrow" w:hAnsi="Arial Narrow" w:cs="Arial"/>
          <w:snapToGrid w:val="0"/>
          <w:sz w:val="18"/>
          <w:lang w:eastAsia="en-US"/>
        </w:rPr>
        <w:t xml:space="preserve"> aortic valve implantation; VARC-2 = Valve Academic Research Consortium </w:t>
      </w:r>
    </w:p>
    <w:p w14:paraId="613AABA9" w14:textId="77777777" w:rsidR="00EE4D44" w:rsidRPr="00F62546" w:rsidRDefault="00EE4D44" w:rsidP="005B05CF">
      <w:pPr>
        <w:keepNext/>
        <w:keepLines/>
        <w:spacing w:after="240"/>
        <w:rPr>
          <w:rFonts w:ascii="Arial Narrow" w:hAnsi="Arial Narrow"/>
          <w:color w:val="000000"/>
          <w:sz w:val="18"/>
          <w:szCs w:val="18"/>
        </w:rPr>
      </w:pPr>
      <w:proofErr w:type="spellStart"/>
      <w:proofErr w:type="gramStart"/>
      <w:r w:rsidRPr="00F62546">
        <w:rPr>
          <w:rFonts w:ascii="Arial Narrow" w:hAnsi="Arial Narrow"/>
          <w:color w:val="000000"/>
          <w:sz w:val="18"/>
          <w:szCs w:val="18"/>
          <w:vertAlign w:val="superscript"/>
        </w:rPr>
        <w:t>a</w:t>
      </w:r>
      <w:proofErr w:type="spellEnd"/>
      <w:proofErr w:type="gramEnd"/>
      <w:r w:rsidRPr="00F62546">
        <w:rPr>
          <w:rFonts w:ascii="Arial Narrow" w:hAnsi="Arial Narrow"/>
          <w:color w:val="000000"/>
          <w:sz w:val="18"/>
          <w:szCs w:val="18"/>
        </w:rPr>
        <w:t xml:space="preserve"> Both trials used the VARC-2 definition of life-threatening or disabling. SURTAVI used a modified definition of “overt bleeding” which required any of: reoperation after closure of sternotomy for the purpose of controlling bleeding (BARC Type 4); chest tube output 2 L within a 24 hour period (BARC Type 4) or 350 cc within 1st hour post operation or ≥ 250 cc. 2nd hour post operation or 150 cc 3rd hr. post operation bleeding from the vascular system outside of the access site (TAVI); bleeding from an access site that requires an intervention (TAVI); or  bleeding from the vascular system outside of the surgical site (SAVR).</w:t>
      </w:r>
    </w:p>
    <w:p w14:paraId="22D85168" w14:textId="75CB413B" w:rsidR="00EE4D44" w:rsidRPr="00F62546" w:rsidRDefault="00EE4D44" w:rsidP="00EE4D44">
      <w:r w:rsidRPr="00F62546">
        <w:t xml:space="preserve">The meta-analysis of key safety outcomes and 5-year outcomes from PARTNER 2A are presented in </w:t>
      </w:r>
      <w:r w:rsidRPr="00F62546">
        <w:fldChar w:fldCharType="begin"/>
      </w:r>
      <w:r w:rsidRPr="00F62546">
        <w:instrText xml:space="preserve"> REF _Ref56058936 \h  \* MERGEFORMAT </w:instrText>
      </w:r>
      <w:r w:rsidRPr="00F62546">
        <w:fldChar w:fldCharType="separate"/>
      </w:r>
      <w:r w:rsidR="00C24855" w:rsidRPr="00F62546">
        <w:t xml:space="preserve">Table </w:t>
      </w:r>
      <w:r w:rsidR="00C24855">
        <w:t>8</w:t>
      </w:r>
      <w:r w:rsidRPr="00F62546">
        <w:fldChar w:fldCharType="end"/>
      </w:r>
      <w:r w:rsidRPr="00F62546">
        <w:t>. Compared with SAVR, TAVI was associated with more major vascular complications, a known risk from the delivery of TAVI through the vasculature. There were consistently more vascular complications in PARTNER 2A, however the risk difference between the TAVI and SAVR arms were consistent in both trials over 2 years.</w:t>
      </w:r>
    </w:p>
    <w:p w14:paraId="27AF3E71" w14:textId="76558CC8" w:rsidR="00EE4D44" w:rsidRPr="00F62546" w:rsidRDefault="00EE4D44" w:rsidP="005B05CF">
      <w:pPr>
        <w:spacing w:before="240"/>
      </w:pPr>
      <w:r w:rsidRPr="00F62546">
        <w:t xml:space="preserve">TAVI was also associated with higher rates of aortic valve reintervention, and </w:t>
      </w:r>
      <w:proofErr w:type="spellStart"/>
      <w:r w:rsidRPr="00F62546">
        <w:t>paravalvular</w:t>
      </w:r>
      <w:proofErr w:type="spellEnd"/>
      <w:r w:rsidRPr="00F62546">
        <w:t xml:space="preserve"> regurgitation/leaks. The Commentary highlighted that at 5-years in the PARTNER 2A trial, TAVI was associated with higher rates of aortic valve reintervention due to progressive aortic-valve stenosis or regurgitation (</w:t>
      </w:r>
      <w:proofErr w:type="spellStart"/>
      <w:r w:rsidRPr="00F62546">
        <w:t>paravalvular</w:t>
      </w:r>
      <w:proofErr w:type="spellEnd"/>
      <w:r w:rsidRPr="00F62546">
        <w:t xml:space="preserve"> or combined </w:t>
      </w:r>
      <w:proofErr w:type="spellStart"/>
      <w:r w:rsidRPr="00F62546">
        <w:t>paravalvular</w:t>
      </w:r>
      <w:proofErr w:type="spellEnd"/>
      <w:r w:rsidRPr="00F62546">
        <w:t xml:space="preserve"> and </w:t>
      </w:r>
      <w:proofErr w:type="spellStart"/>
      <w:r w:rsidRPr="00F62546">
        <w:t>transvalvular</w:t>
      </w:r>
      <w:proofErr w:type="spellEnd"/>
      <w:r w:rsidRPr="00F62546">
        <w:t>). The hazard ratio for reintervention in PARTNER 2A increased from 0.92 (0.23 to 3.67) at 2 years follow-up to 3.48 (1.30 to 9.33) at 5 years follow-up. The Commentary considered that this may suggest there was an increasing risk of aortic valve reintervention with TAVI.</w:t>
      </w:r>
    </w:p>
    <w:p w14:paraId="2870BC25" w14:textId="393C1CB3" w:rsidR="00EE4D44" w:rsidRPr="00F62546" w:rsidRDefault="00EE4D44" w:rsidP="005B05CF">
      <w:pPr>
        <w:spacing w:before="240"/>
      </w:pPr>
      <w:r w:rsidRPr="00F62546">
        <w:t xml:space="preserve">The meta-analyses of permanent pacemaker implantation did not find a statistically significant difference. However, the Commentary highlighted that SURTAVI, which used the </w:t>
      </w:r>
      <w:proofErr w:type="spellStart"/>
      <w:r w:rsidRPr="00F62546">
        <w:t>CoreValve</w:t>
      </w:r>
      <w:proofErr w:type="spellEnd"/>
      <w:r w:rsidRPr="00F62546">
        <w:t xml:space="preserve"> self-expanding TAVI device, reported higher rates of permanent pacemaker implantation. The ADAR suggested that this was due to self-expanding valves exerting continuous radial force and may exert external pressure on the conduction system. </w:t>
      </w:r>
      <w:proofErr w:type="spellStart"/>
      <w:r w:rsidRPr="00F62546">
        <w:t>Classen</w:t>
      </w:r>
      <w:proofErr w:type="spellEnd"/>
      <w:r w:rsidRPr="00F62546">
        <w:t xml:space="preserve"> (2020) noted that pre-existing right bundle branch block or short membranous septal length are risk factors for permanent pacemaker implantation. Additionally, </w:t>
      </w:r>
      <w:proofErr w:type="spellStart"/>
      <w:r w:rsidRPr="00F62546">
        <w:t>Classen</w:t>
      </w:r>
      <w:proofErr w:type="spellEnd"/>
      <w:r w:rsidRPr="00F62546">
        <w:t xml:space="preserve"> (2020) highlighted that low valve implantation and increased valve oversizing are predictors for new permanent pacemaker implantation. The difference in rates of new permanent pacemaker implantation may reflect different baseline risks for conduction abnormalities, different implantation techniques and potential differences in TAVI devices. These differences may also occur in Australian clinical practice.</w:t>
      </w:r>
    </w:p>
    <w:p w14:paraId="68A704C3" w14:textId="5542C0E4" w:rsidR="00EE4D44" w:rsidRPr="00F62546" w:rsidRDefault="00EE4D44" w:rsidP="005B05CF">
      <w:pPr>
        <w:spacing w:before="240"/>
      </w:pPr>
      <w:r w:rsidRPr="00F62546">
        <w:t xml:space="preserve">TAVI was associated with a lower likelihood of new onset atrial fibrillation compared with SAVR. The Commentary noted that there was substantial heterogeneity in the meta-analysis </w:t>
      </w:r>
      <w:r w:rsidRPr="00F62546">
        <w:lastRenderedPageBreak/>
        <w:t>as SURTAVI had substantially higher rates of atrial fibrillation in both arms. This made the meta-analysis difficult to interpret.</w:t>
      </w:r>
    </w:p>
    <w:p w14:paraId="2E4B4636" w14:textId="69FB646F" w:rsidR="00EE4D44" w:rsidRPr="00F62546" w:rsidRDefault="00EE4D44" w:rsidP="005B05CF">
      <w:pPr>
        <w:spacing w:before="240"/>
      </w:pPr>
      <w:r w:rsidRPr="00F62546">
        <w:t>TAVI appeared to be associated with less acute kidney injury compared with SAVR. The results were statistically significant in PARTNER 2A but not in SURTAVI. The Commentary considered the meta-analysis based on relative risk may be the more reliable measure as the absolute rate of kidney injury differed in the SAVR arm of the two trials, resulting in substantial heterogeneity in the analysis of risk difference.</w:t>
      </w:r>
    </w:p>
    <w:p w14:paraId="302E80DF" w14:textId="34791786" w:rsidR="00EE4D44" w:rsidRPr="00F62546" w:rsidRDefault="00EE4D44" w:rsidP="005B05CF">
      <w:pPr>
        <w:spacing w:before="240"/>
      </w:pPr>
      <w:r w:rsidRPr="00F62546">
        <w:t xml:space="preserve">The Commentary considered the safety of TAVI over 2-5 years was supported by the evidence presented in the ADAR. However, the long-term safety of TAVI is unknown, particularly in terms of valve durability and </w:t>
      </w:r>
      <w:proofErr w:type="spellStart"/>
      <w:r w:rsidRPr="00F62546">
        <w:t>paravalvular</w:t>
      </w:r>
      <w:proofErr w:type="spellEnd"/>
      <w:r w:rsidRPr="00F62546">
        <w:t xml:space="preserve"> leakage.</w:t>
      </w:r>
    </w:p>
    <w:p w14:paraId="000008ED" w14:textId="03D04026" w:rsidR="00EE4D44" w:rsidRPr="00F62546" w:rsidRDefault="00EE4D44" w:rsidP="005B05CF">
      <w:pPr>
        <w:pStyle w:val="Caption"/>
        <w:spacing w:before="240"/>
      </w:pPr>
      <w:bookmarkStart w:id="15" w:name="_Ref56058936"/>
      <w:r w:rsidRPr="00F62546">
        <w:t xml:space="preserve">Table </w:t>
      </w:r>
      <w:r w:rsidR="002F70F5">
        <w:fldChar w:fldCharType="begin"/>
      </w:r>
      <w:r w:rsidR="002F70F5">
        <w:instrText xml:space="preserve"> SEQ Table \* ARABIC </w:instrText>
      </w:r>
      <w:r w:rsidR="002F70F5">
        <w:fldChar w:fldCharType="separate"/>
      </w:r>
      <w:r w:rsidR="00C24855">
        <w:rPr>
          <w:noProof/>
        </w:rPr>
        <w:t>8</w:t>
      </w:r>
      <w:r w:rsidR="002F70F5">
        <w:rPr>
          <w:noProof/>
        </w:rPr>
        <w:fldChar w:fldCharType="end"/>
      </w:r>
      <w:bookmarkEnd w:id="15"/>
      <w:r>
        <w:tab/>
      </w:r>
      <w:r w:rsidRPr="00F62546">
        <w:t>Summary of key safety outcomes</w:t>
      </w:r>
    </w:p>
    <w:tbl>
      <w:tblPr>
        <w:tblW w:w="0" w:type="auto"/>
        <w:tblLayout w:type="fixed"/>
        <w:tblLook w:val="04A0" w:firstRow="1" w:lastRow="0" w:firstColumn="1" w:lastColumn="0" w:noHBand="0" w:noVBand="1"/>
        <w:tblDescription w:val="Summary of key safety outcomes"/>
      </w:tblPr>
      <w:tblGrid>
        <w:gridCol w:w="1555"/>
        <w:gridCol w:w="1242"/>
        <w:gridCol w:w="1026"/>
        <w:gridCol w:w="1134"/>
        <w:gridCol w:w="992"/>
        <w:gridCol w:w="1276"/>
        <w:gridCol w:w="1559"/>
      </w:tblGrid>
      <w:tr w:rsidR="00EE4D44" w:rsidRPr="00F62546" w14:paraId="1FC95995" w14:textId="77777777" w:rsidTr="001D4246">
        <w:trPr>
          <w:cantSplit/>
          <w:tblHeader/>
        </w:trPr>
        <w:tc>
          <w:tcPr>
            <w:tcW w:w="1555" w:type="dxa"/>
            <w:tcBorders>
              <w:top w:val="single" w:sz="4" w:space="0" w:color="auto"/>
              <w:left w:val="single" w:sz="4" w:space="0" w:color="auto"/>
              <w:bottom w:val="single" w:sz="4" w:space="0" w:color="auto"/>
              <w:right w:val="single" w:sz="4" w:space="0" w:color="auto"/>
            </w:tcBorders>
            <w:vAlign w:val="center"/>
          </w:tcPr>
          <w:p w14:paraId="1C631E61"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 xml:space="preserve">Outcomes </w:t>
            </w:r>
          </w:p>
          <w:p w14:paraId="21913525"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Follow-up</w:t>
            </w:r>
          </w:p>
        </w:tc>
        <w:tc>
          <w:tcPr>
            <w:tcW w:w="1242" w:type="dxa"/>
            <w:tcBorders>
              <w:top w:val="single" w:sz="4" w:space="0" w:color="auto"/>
              <w:left w:val="single" w:sz="4" w:space="0" w:color="auto"/>
              <w:bottom w:val="single" w:sz="4" w:space="0" w:color="auto"/>
              <w:right w:val="single" w:sz="4" w:space="0" w:color="auto"/>
            </w:tcBorders>
            <w:vAlign w:val="center"/>
          </w:tcPr>
          <w:p w14:paraId="5AB08127"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Participants (studies)</w:t>
            </w:r>
          </w:p>
          <w:p w14:paraId="405799E9" w14:textId="77777777" w:rsidR="00EE4D44" w:rsidRPr="00F62546" w:rsidRDefault="00EE4D44" w:rsidP="001D4246">
            <w:pPr>
              <w:keepNext/>
              <w:spacing w:before="40" w:after="40"/>
              <w:jc w:val="center"/>
              <w:rPr>
                <w:rFonts w:ascii="Arial Narrow" w:hAnsi="Arial Narrow" w:cs="Tahoma"/>
                <w:b/>
                <w:sz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7BB84E9E"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Quality of evidence (GRADE)</w:t>
            </w:r>
          </w:p>
        </w:tc>
        <w:tc>
          <w:tcPr>
            <w:tcW w:w="1134" w:type="dxa"/>
            <w:tcBorders>
              <w:top w:val="single" w:sz="4" w:space="0" w:color="auto"/>
              <w:left w:val="single" w:sz="4" w:space="0" w:color="auto"/>
              <w:bottom w:val="single" w:sz="4" w:space="0" w:color="auto"/>
              <w:right w:val="single" w:sz="4" w:space="0" w:color="auto"/>
            </w:tcBorders>
            <w:vAlign w:val="center"/>
          </w:tcPr>
          <w:p w14:paraId="68ACEE78"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TAVI</w:t>
            </w:r>
          </w:p>
          <w:p w14:paraId="4D456129"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9AD4D7D"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SAVR</w:t>
            </w:r>
          </w:p>
          <w:p w14:paraId="0882AE52"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86647A6"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Relative risk (95% CI)</w:t>
            </w:r>
          </w:p>
          <w:p w14:paraId="26D76633"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[I</w:t>
            </w:r>
            <w:r w:rsidRPr="00F62546">
              <w:rPr>
                <w:rFonts w:ascii="Arial Narrow" w:hAnsi="Arial Narrow" w:cs="Tahoma"/>
                <w:b/>
                <w:sz w:val="20"/>
                <w:vertAlign w:val="superscript"/>
              </w:rPr>
              <w:t>2</w:t>
            </w:r>
            <w:r w:rsidRPr="00F62546">
              <w:rPr>
                <w:rFonts w:ascii="Arial Narrow" w:hAnsi="Arial Narrow" w:cs="Tahoma"/>
                <w:b/>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0788387"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difference (95% CI)</w:t>
            </w:r>
          </w:p>
          <w:p w14:paraId="1A5A9315"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[I</w:t>
            </w:r>
            <w:r w:rsidRPr="00F62546">
              <w:rPr>
                <w:rFonts w:ascii="Arial Narrow" w:hAnsi="Arial Narrow" w:cs="Tahoma"/>
                <w:b/>
                <w:sz w:val="20"/>
                <w:vertAlign w:val="superscript"/>
              </w:rPr>
              <w:t>2</w:t>
            </w:r>
            <w:r w:rsidRPr="00F62546">
              <w:rPr>
                <w:rFonts w:ascii="Arial Narrow" w:hAnsi="Arial Narrow" w:cs="Tahoma"/>
                <w:b/>
                <w:sz w:val="20"/>
              </w:rPr>
              <w:t>]</w:t>
            </w:r>
          </w:p>
        </w:tc>
      </w:tr>
      <w:tr w:rsidR="00EE4D44" w:rsidRPr="00F62546" w14:paraId="2FD573E6" w14:textId="77777777" w:rsidTr="001D4246">
        <w:trPr>
          <w:cantSplit/>
          <w:trHeight w:val="263"/>
        </w:trPr>
        <w:tc>
          <w:tcPr>
            <w:tcW w:w="8784" w:type="dxa"/>
            <w:gridSpan w:val="7"/>
            <w:tcBorders>
              <w:top w:val="single" w:sz="4" w:space="0" w:color="auto"/>
              <w:left w:val="single" w:sz="4" w:space="0" w:color="auto"/>
              <w:bottom w:val="single" w:sz="4" w:space="0" w:color="auto"/>
              <w:right w:val="single" w:sz="4" w:space="0" w:color="auto"/>
            </w:tcBorders>
            <w:vAlign w:val="center"/>
          </w:tcPr>
          <w:p w14:paraId="0A7E7183" w14:textId="77777777" w:rsidR="00EE4D44" w:rsidRPr="00F62546" w:rsidRDefault="00EE4D44" w:rsidP="001D4246">
            <w:pPr>
              <w:spacing w:before="40" w:after="40"/>
              <w:ind w:left="6" w:right="6"/>
              <w:rPr>
                <w:rFonts w:ascii="Arial Narrow" w:hAnsi="Arial Narrow" w:cs="Tahoma"/>
                <w:b/>
                <w:sz w:val="20"/>
              </w:rPr>
            </w:pPr>
            <w:r w:rsidRPr="00F62546">
              <w:rPr>
                <w:rFonts w:ascii="Arial Narrow" w:hAnsi="Arial Narrow" w:cs="Tahoma"/>
                <w:b/>
                <w:sz w:val="20"/>
              </w:rPr>
              <w:t>30 day outcomes</w:t>
            </w:r>
          </w:p>
        </w:tc>
      </w:tr>
      <w:tr w:rsidR="00EE4D44" w:rsidRPr="00F62546" w14:paraId="10B5205D"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2ACC1912"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Major vascular complications </w:t>
            </w:r>
          </w:p>
          <w:p w14:paraId="72EA8B32"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2AEAFE31"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14266F8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21922E38" w14:textId="77777777" w:rsidR="00EE4D44" w:rsidRPr="00F62546" w:rsidRDefault="00EE4D44" w:rsidP="001D4246">
            <w:pPr>
              <w:spacing w:before="40" w:after="40"/>
              <w:ind w:left="6" w:right="6"/>
              <w:jc w:val="center"/>
              <w:rPr>
                <w:rFonts w:ascii="Arial Narrow" w:hAnsi="Arial Narrow" w:cs="Cambria Math"/>
                <w:snapToGrid w:val="0"/>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0003E474"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117/1639 (7.1%)</w:t>
            </w:r>
          </w:p>
        </w:tc>
        <w:tc>
          <w:tcPr>
            <w:tcW w:w="992" w:type="dxa"/>
            <w:tcBorders>
              <w:top w:val="single" w:sz="4" w:space="0" w:color="auto"/>
              <w:left w:val="single" w:sz="4" w:space="0" w:color="auto"/>
              <w:bottom w:val="single" w:sz="4" w:space="0" w:color="auto"/>
              <w:right w:val="single" w:sz="4" w:space="0" w:color="auto"/>
            </w:tcBorders>
            <w:vAlign w:val="center"/>
          </w:tcPr>
          <w:p w14:paraId="305FDBE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39/1571 (2.5%)</w:t>
            </w:r>
          </w:p>
        </w:tc>
        <w:tc>
          <w:tcPr>
            <w:tcW w:w="1276" w:type="dxa"/>
            <w:tcBorders>
              <w:top w:val="single" w:sz="4" w:space="0" w:color="auto"/>
              <w:left w:val="single" w:sz="4" w:space="0" w:color="auto"/>
              <w:bottom w:val="single" w:sz="4" w:space="0" w:color="auto"/>
              <w:right w:val="single" w:sz="4" w:space="0" w:color="auto"/>
            </w:tcBorders>
            <w:vAlign w:val="center"/>
          </w:tcPr>
          <w:p w14:paraId="68841BBC"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3.23</w:t>
            </w:r>
          </w:p>
          <w:p w14:paraId="2F28FBC3"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(1.38, 7.57)</w:t>
            </w:r>
          </w:p>
          <w:p w14:paraId="524F3EC2"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=77%]</w:t>
            </w:r>
          </w:p>
        </w:tc>
        <w:tc>
          <w:tcPr>
            <w:tcW w:w="1559" w:type="dxa"/>
            <w:tcBorders>
              <w:top w:val="single" w:sz="4" w:space="0" w:color="auto"/>
              <w:left w:val="single" w:sz="4" w:space="0" w:color="auto"/>
              <w:bottom w:val="single" w:sz="4" w:space="0" w:color="auto"/>
              <w:right w:val="single" w:sz="4" w:space="0" w:color="auto"/>
            </w:tcBorders>
            <w:vAlign w:val="center"/>
          </w:tcPr>
          <w:p w14:paraId="452766E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4.7%</w:t>
            </w:r>
          </w:p>
          <w:p w14:paraId="13A472C2"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(3.3%, 6.1%)</w:t>
            </w:r>
          </w:p>
          <w:p w14:paraId="26D33C18"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0%]</w:t>
            </w:r>
          </w:p>
        </w:tc>
      </w:tr>
      <w:tr w:rsidR="00EE4D44" w:rsidRPr="00F62546" w14:paraId="4333E667"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0FA759B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Myocardial infarction </w:t>
            </w:r>
          </w:p>
          <w:p w14:paraId="222A8C3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5551EAA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42A4E0B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4A4E9018" w14:textId="77777777" w:rsidR="00EE4D44" w:rsidRPr="00F62546" w:rsidRDefault="00EE4D44" w:rsidP="001D4246">
            <w:pPr>
              <w:spacing w:before="40" w:after="40"/>
              <w:ind w:left="6" w:right="6"/>
              <w:jc w:val="center"/>
              <w:rPr>
                <w:rFonts w:ascii="Arial Narrow" w:hAnsi="Arial Narrow"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42FAD5F7"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12/1,639 (0.7%)</w:t>
            </w:r>
          </w:p>
        </w:tc>
        <w:tc>
          <w:tcPr>
            <w:tcW w:w="992" w:type="dxa"/>
            <w:tcBorders>
              <w:top w:val="single" w:sz="4" w:space="0" w:color="auto"/>
              <w:left w:val="single" w:sz="4" w:space="0" w:color="auto"/>
              <w:bottom w:val="single" w:sz="4" w:space="0" w:color="auto"/>
              <w:right w:val="single" w:sz="4" w:space="0" w:color="auto"/>
            </w:tcBorders>
            <w:vAlign w:val="center"/>
          </w:tcPr>
          <w:p w14:paraId="2BEF382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21/1,571 (1.3%)</w:t>
            </w:r>
          </w:p>
        </w:tc>
        <w:tc>
          <w:tcPr>
            <w:tcW w:w="1276" w:type="dxa"/>
            <w:tcBorders>
              <w:top w:val="single" w:sz="4" w:space="0" w:color="auto"/>
              <w:left w:val="single" w:sz="4" w:space="0" w:color="auto"/>
              <w:bottom w:val="single" w:sz="4" w:space="0" w:color="auto"/>
              <w:right w:val="single" w:sz="4" w:space="0" w:color="auto"/>
            </w:tcBorders>
            <w:vAlign w:val="center"/>
          </w:tcPr>
          <w:p w14:paraId="134903D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0.57</w:t>
            </w:r>
          </w:p>
          <w:p w14:paraId="7324E4E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(0.22, 1.44)</w:t>
            </w:r>
          </w:p>
          <w:p w14:paraId="696E9303"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39%]</w:t>
            </w:r>
          </w:p>
        </w:tc>
        <w:tc>
          <w:tcPr>
            <w:tcW w:w="1559" w:type="dxa"/>
            <w:tcBorders>
              <w:top w:val="single" w:sz="4" w:space="0" w:color="auto"/>
              <w:left w:val="single" w:sz="4" w:space="0" w:color="auto"/>
              <w:bottom w:val="single" w:sz="4" w:space="0" w:color="auto"/>
              <w:right w:val="single" w:sz="4" w:space="0" w:color="auto"/>
            </w:tcBorders>
            <w:vAlign w:val="center"/>
          </w:tcPr>
          <w:p w14:paraId="520AC84F"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-0.6%</w:t>
            </w:r>
          </w:p>
          <w:p w14:paraId="02B35FF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(-1.7%, 0.5%)</w:t>
            </w:r>
          </w:p>
          <w:p w14:paraId="36750B0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58%]</w:t>
            </w:r>
          </w:p>
        </w:tc>
      </w:tr>
      <w:tr w:rsidR="00EE4D44" w:rsidRPr="00F62546" w14:paraId="52E9F07C"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391AE16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Acute kidney injury (Stage 3)</w:t>
            </w:r>
          </w:p>
          <w:p w14:paraId="5744DF3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083320F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2C834B44"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43EB2C65"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3012FD7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10/1,639 (0.6%)</w:t>
            </w:r>
          </w:p>
        </w:tc>
        <w:tc>
          <w:tcPr>
            <w:tcW w:w="992" w:type="dxa"/>
            <w:tcBorders>
              <w:top w:val="single" w:sz="4" w:space="0" w:color="auto"/>
              <w:left w:val="single" w:sz="4" w:space="0" w:color="auto"/>
              <w:bottom w:val="single" w:sz="4" w:space="0" w:color="auto"/>
              <w:right w:val="single" w:sz="4" w:space="0" w:color="auto"/>
            </w:tcBorders>
            <w:vAlign w:val="center"/>
          </w:tcPr>
          <w:p w14:paraId="6393028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34/1,571 (2.2%)</w:t>
            </w:r>
          </w:p>
        </w:tc>
        <w:tc>
          <w:tcPr>
            <w:tcW w:w="1276" w:type="dxa"/>
            <w:tcBorders>
              <w:top w:val="single" w:sz="4" w:space="0" w:color="auto"/>
              <w:left w:val="single" w:sz="4" w:space="0" w:color="auto"/>
              <w:bottom w:val="single" w:sz="4" w:space="0" w:color="auto"/>
              <w:right w:val="single" w:sz="4" w:space="0" w:color="auto"/>
            </w:tcBorders>
            <w:vAlign w:val="center"/>
          </w:tcPr>
          <w:p w14:paraId="19D56471"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0.30</w:t>
            </w:r>
          </w:p>
          <w:p w14:paraId="2A7B03A4"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(0.11, 0.86)</w:t>
            </w:r>
          </w:p>
          <w:p w14:paraId="4C477415"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napToGrid w:val="0"/>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53%]</w:t>
            </w:r>
          </w:p>
        </w:tc>
        <w:tc>
          <w:tcPr>
            <w:tcW w:w="1559" w:type="dxa"/>
            <w:tcBorders>
              <w:top w:val="single" w:sz="4" w:space="0" w:color="auto"/>
              <w:left w:val="single" w:sz="4" w:space="0" w:color="auto"/>
              <w:bottom w:val="single" w:sz="4" w:space="0" w:color="auto"/>
              <w:right w:val="single" w:sz="4" w:space="0" w:color="auto"/>
            </w:tcBorders>
            <w:vAlign w:val="center"/>
          </w:tcPr>
          <w:p w14:paraId="6C3D2AB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-1.5%</w:t>
            </w:r>
          </w:p>
          <w:p w14:paraId="019D57B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(-3.3%, 0.3%)</w:t>
            </w:r>
          </w:p>
          <w:p w14:paraId="0C3B1D9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napToGrid w:val="0"/>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79%]</w:t>
            </w:r>
          </w:p>
        </w:tc>
      </w:tr>
      <w:tr w:rsidR="00EE4D44" w:rsidRPr="00F62546" w14:paraId="4EC9D073"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73BB9BD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Atrial fibrillation</w:t>
            </w:r>
          </w:p>
          <w:p w14:paraId="7F56D16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40AC9378"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37A232D8"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6485508C"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69700105"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147/1,639 (9%)</w:t>
            </w:r>
          </w:p>
        </w:tc>
        <w:tc>
          <w:tcPr>
            <w:tcW w:w="992" w:type="dxa"/>
            <w:tcBorders>
              <w:top w:val="single" w:sz="4" w:space="0" w:color="auto"/>
              <w:left w:val="single" w:sz="4" w:space="0" w:color="auto"/>
              <w:bottom w:val="single" w:sz="4" w:space="0" w:color="auto"/>
              <w:right w:val="single" w:sz="4" w:space="0" w:color="auto"/>
            </w:tcBorders>
            <w:vAlign w:val="center"/>
          </w:tcPr>
          <w:p w14:paraId="08E407D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546/1,571 (34.8%)</w:t>
            </w:r>
          </w:p>
        </w:tc>
        <w:tc>
          <w:tcPr>
            <w:tcW w:w="1276" w:type="dxa"/>
            <w:tcBorders>
              <w:top w:val="single" w:sz="4" w:space="0" w:color="auto"/>
              <w:left w:val="single" w:sz="4" w:space="0" w:color="auto"/>
              <w:bottom w:val="single" w:sz="4" w:space="0" w:color="auto"/>
              <w:right w:val="single" w:sz="4" w:space="0" w:color="auto"/>
            </w:tcBorders>
            <w:vAlign w:val="center"/>
          </w:tcPr>
          <w:p w14:paraId="2F0C9F17"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0.24</w:t>
            </w:r>
          </w:p>
          <w:p w14:paraId="123FF7BF"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(0.15, 0.37)</w:t>
            </w:r>
          </w:p>
          <w:p w14:paraId="3B100B51"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82%]</w:t>
            </w:r>
          </w:p>
        </w:tc>
        <w:tc>
          <w:tcPr>
            <w:tcW w:w="1559" w:type="dxa"/>
            <w:tcBorders>
              <w:top w:val="single" w:sz="4" w:space="0" w:color="auto"/>
              <w:left w:val="single" w:sz="4" w:space="0" w:color="auto"/>
              <w:bottom w:val="single" w:sz="4" w:space="0" w:color="auto"/>
              <w:right w:val="single" w:sz="4" w:space="0" w:color="auto"/>
            </w:tcBorders>
            <w:vAlign w:val="center"/>
          </w:tcPr>
          <w:p w14:paraId="718EED5A"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-25.8%</w:t>
            </w:r>
          </w:p>
          <w:p w14:paraId="1334881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(-34.8%, -16.9%)</w:t>
            </w:r>
          </w:p>
          <w:p w14:paraId="61568219"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91%]</w:t>
            </w:r>
          </w:p>
        </w:tc>
      </w:tr>
      <w:tr w:rsidR="00EE4D44" w:rsidRPr="00F62546" w14:paraId="73052F5B"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2F4E9DA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New permanent pacemakers</w:t>
            </w:r>
          </w:p>
          <w:p w14:paraId="7603BDC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08946386"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3FBAB245"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7855C972" w14:textId="77777777" w:rsidR="00EE4D44" w:rsidRPr="00F62546" w:rsidRDefault="00EE4D44" w:rsidP="001D4246">
            <w:pPr>
              <w:spacing w:before="40" w:after="40"/>
              <w:ind w:left="6" w:right="6"/>
              <w:jc w:val="center"/>
              <w:rPr>
                <w:rFonts w:ascii="Cambria Math" w:hAnsi="Cambria Math" w:cs="Cambria Math"/>
                <w:i/>
                <w:snapToGrid w:val="0"/>
                <w:sz w:val="20"/>
              </w:rPr>
            </w:pPr>
            <w:r w:rsidRPr="00F62546">
              <w:rPr>
                <w:rFonts w:ascii="Cambria Math" w:hAnsi="Cambria Math" w:cs="Cambria Math"/>
                <w:i/>
                <w:snapToGrid w:val="0"/>
                <w:sz w:val="20"/>
              </w:rPr>
              <w:t xml:space="preserve">⊕⊕ </w:t>
            </w:r>
          </w:p>
          <w:p w14:paraId="0E1E0617" w14:textId="77777777" w:rsidR="00EE4D44" w:rsidRPr="00F62546" w:rsidRDefault="00EE4D44" w:rsidP="001D4246">
            <w:pPr>
              <w:spacing w:before="40" w:after="40"/>
              <w:ind w:left="6" w:right="6"/>
              <w:jc w:val="center"/>
              <w:rPr>
                <w:rFonts w:ascii="Cambria Math" w:hAnsi="Cambria Math" w:cs="Cambria Math"/>
                <w:snapToGrid w:val="0"/>
                <w:sz w:val="20"/>
                <w:vertAlign w:val="superscript"/>
              </w:rPr>
            </w:pPr>
            <w:r w:rsidRPr="00F62546">
              <w:rPr>
                <w:rFonts w:ascii="Arial Narrow" w:hAnsi="Arial Narrow" w:cs="Cambria Math"/>
                <w:i/>
                <w:snapToGrid w:val="0"/>
                <w:sz w:val="20"/>
              </w:rPr>
              <w:t xml:space="preserve">Low </w:t>
            </w:r>
            <w:r w:rsidRPr="00F62546">
              <w:rPr>
                <w:rFonts w:ascii="Arial Narrow" w:hAnsi="Arial Narrow" w:cs="Cambria Math"/>
                <w:i/>
                <w:snapToGrid w:val="0"/>
                <w:sz w:val="20"/>
                <w:vertAlign w:val="superscript"/>
              </w:rPr>
              <w:t>a</w:t>
            </w:r>
          </w:p>
        </w:tc>
        <w:tc>
          <w:tcPr>
            <w:tcW w:w="1134" w:type="dxa"/>
            <w:tcBorders>
              <w:top w:val="single" w:sz="4" w:space="0" w:color="auto"/>
              <w:left w:val="single" w:sz="4" w:space="0" w:color="auto"/>
              <w:bottom w:val="single" w:sz="4" w:space="0" w:color="auto"/>
              <w:right w:val="single" w:sz="4" w:space="0" w:color="auto"/>
            </w:tcBorders>
            <w:vAlign w:val="center"/>
          </w:tcPr>
          <w:p w14:paraId="30DC5495"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279/1,639 (17.0%)</w:t>
            </w:r>
          </w:p>
        </w:tc>
        <w:tc>
          <w:tcPr>
            <w:tcW w:w="992" w:type="dxa"/>
            <w:tcBorders>
              <w:top w:val="single" w:sz="4" w:space="0" w:color="auto"/>
              <w:left w:val="single" w:sz="4" w:space="0" w:color="auto"/>
              <w:bottom w:val="single" w:sz="4" w:space="0" w:color="auto"/>
              <w:right w:val="single" w:sz="4" w:space="0" w:color="auto"/>
            </w:tcBorders>
            <w:vAlign w:val="center"/>
          </w:tcPr>
          <w:p w14:paraId="0FA5A2C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102/1,571 (6.5%)</w:t>
            </w:r>
          </w:p>
        </w:tc>
        <w:tc>
          <w:tcPr>
            <w:tcW w:w="1276" w:type="dxa"/>
            <w:tcBorders>
              <w:top w:val="single" w:sz="4" w:space="0" w:color="auto"/>
              <w:left w:val="single" w:sz="4" w:space="0" w:color="auto"/>
              <w:bottom w:val="single" w:sz="4" w:space="0" w:color="auto"/>
              <w:right w:val="single" w:sz="4" w:space="0" w:color="auto"/>
            </w:tcBorders>
            <w:vAlign w:val="center"/>
          </w:tcPr>
          <w:p w14:paraId="6061C304"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2.19</w:t>
            </w:r>
          </w:p>
          <w:p w14:paraId="218368C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(0.62, 7.81)</w:t>
            </w:r>
          </w:p>
          <w:p w14:paraId="4957DC4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97%]</w:t>
            </w:r>
          </w:p>
        </w:tc>
        <w:tc>
          <w:tcPr>
            <w:tcW w:w="1559" w:type="dxa"/>
            <w:tcBorders>
              <w:top w:val="single" w:sz="4" w:space="0" w:color="auto"/>
              <w:left w:val="single" w:sz="4" w:space="0" w:color="auto"/>
              <w:bottom w:val="single" w:sz="4" w:space="0" w:color="auto"/>
              <w:right w:val="single" w:sz="4" w:space="0" w:color="auto"/>
            </w:tcBorders>
            <w:vAlign w:val="center"/>
          </w:tcPr>
          <w:p w14:paraId="4AAA9A4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10.0%</w:t>
            </w:r>
          </w:p>
          <w:p w14:paraId="0DECC99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(-8.3%, 28.4%)</w:t>
            </w:r>
          </w:p>
          <w:p w14:paraId="4FFE8A1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99%]</w:t>
            </w:r>
          </w:p>
        </w:tc>
      </w:tr>
      <w:tr w:rsidR="00EE4D44" w:rsidRPr="00F62546" w14:paraId="2A60BE55"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28F6B87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Aortic valve reintervention</w:t>
            </w:r>
          </w:p>
          <w:p w14:paraId="1C0E5644"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242" w:type="dxa"/>
            <w:tcBorders>
              <w:top w:val="single" w:sz="4" w:space="0" w:color="auto"/>
              <w:left w:val="single" w:sz="4" w:space="0" w:color="auto"/>
              <w:bottom w:val="single" w:sz="4" w:space="0" w:color="auto"/>
              <w:right w:val="single" w:sz="4" w:space="0" w:color="auto"/>
            </w:tcBorders>
            <w:vAlign w:val="center"/>
          </w:tcPr>
          <w:p w14:paraId="6D101D4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1E4138CB"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472C762C" w14:textId="77777777" w:rsidR="00EE4D44" w:rsidRPr="00F62546" w:rsidRDefault="00EE4D44" w:rsidP="001D4246">
            <w:pPr>
              <w:spacing w:before="40" w:after="40"/>
              <w:ind w:left="6" w:right="6"/>
              <w:jc w:val="center"/>
              <w:rPr>
                <w:rFonts w:ascii="Cambria Math" w:hAnsi="Cambria Math" w:cs="Cambria Math"/>
                <w:i/>
                <w:snapToGrid w:val="0"/>
                <w:sz w:val="20"/>
              </w:rPr>
            </w:pPr>
            <w:r w:rsidRPr="00F62546">
              <w:rPr>
                <w:rFonts w:ascii="Cambria Math" w:hAnsi="Cambria Math" w:cs="Cambria Math"/>
                <w:i/>
                <w:snapToGrid w:val="0"/>
                <w:sz w:val="20"/>
              </w:rPr>
              <w:t xml:space="preserve">⊕⊕ </w:t>
            </w:r>
          </w:p>
          <w:p w14:paraId="0FBE5931"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Arial Narrow" w:hAnsi="Arial Narrow" w:cs="Cambria Math"/>
                <w:i/>
                <w:snapToGrid w:val="0"/>
                <w:sz w:val="20"/>
              </w:rPr>
              <w:t xml:space="preserve">Low </w:t>
            </w:r>
            <w:r w:rsidRPr="00F62546">
              <w:rPr>
                <w:rFonts w:ascii="Arial Narrow" w:hAnsi="Arial Narrow" w:cs="Cambria Math"/>
                <w:i/>
                <w:snapToGrid w:val="0"/>
                <w:sz w:val="20"/>
                <w:vertAlign w:val="superscript"/>
              </w:rPr>
              <w:t xml:space="preserve">b </w:t>
            </w:r>
          </w:p>
        </w:tc>
        <w:tc>
          <w:tcPr>
            <w:tcW w:w="1134" w:type="dxa"/>
            <w:tcBorders>
              <w:top w:val="single" w:sz="4" w:space="0" w:color="auto"/>
              <w:left w:val="single" w:sz="4" w:space="0" w:color="auto"/>
              <w:bottom w:val="single" w:sz="4" w:space="0" w:color="auto"/>
              <w:right w:val="single" w:sz="4" w:space="0" w:color="auto"/>
            </w:tcBorders>
            <w:vAlign w:val="center"/>
          </w:tcPr>
          <w:p w14:paraId="14707329"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10/1,639 (0.6%)</w:t>
            </w:r>
          </w:p>
        </w:tc>
        <w:tc>
          <w:tcPr>
            <w:tcW w:w="992" w:type="dxa"/>
            <w:tcBorders>
              <w:top w:val="single" w:sz="4" w:space="0" w:color="auto"/>
              <w:left w:val="single" w:sz="4" w:space="0" w:color="auto"/>
              <w:bottom w:val="single" w:sz="4" w:space="0" w:color="auto"/>
              <w:right w:val="single" w:sz="4" w:space="0" w:color="auto"/>
            </w:tcBorders>
            <w:vAlign w:val="center"/>
          </w:tcPr>
          <w:p w14:paraId="38FEB4E0"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1/1,571 (0.1%)</w:t>
            </w:r>
          </w:p>
        </w:tc>
        <w:tc>
          <w:tcPr>
            <w:tcW w:w="1276" w:type="dxa"/>
            <w:tcBorders>
              <w:top w:val="single" w:sz="4" w:space="0" w:color="auto"/>
              <w:left w:val="single" w:sz="4" w:space="0" w:color="auto"/>
              <w:bottom w:val="single" w:sz="4" w:space="0" w:color="auto"/>
              <w:right w:val="single" w:sz="4" w:space="0" w:color="auto"/>
            </w:tcBorders>
            <w:vAlign w:val="center"/>
          </w:tcPr>
          <w:p w14:paraId="1E6DCC12"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6.63</w:t>
            </w:r>
          </w:p>
          <w:p w14:paraId="753A8815"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(1.20, 36.62)</w:t>
            </w:r>
          </w:p>
          <w:p w14:paraId="61837AA6"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0%]</w:t>
            </w:r>
          </w:p>
        </w:tc>
        <w:tc>
          <w:tcPr>
            <w:tcW w:w="1559" w:type="dxa"/>
            <w:tcBorders>
              <w:top w:val="single" w:sz="4" w:space="0" w:color="auto"/>
              <w:left w:val="single" w:sz="4" w:space="0" w:color="auto"/>
              <w:bottom w:val="single" w:sz="4" w:space="0" w:color="auto"/>
              <w:right w:val="single" w:sz="4" w:space="0" w:color="auto"/>
            </w:tcBorders>
            <w:vAlign w:val="center"/>
          </w:tcPr>
          <w:p w14:paraId="0C05173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0.5%</w:t>
            </w:r>
          </w:p>
          <w:p w14:paraId="3A5925F9"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(0.1%, 0.9%)</w:t>
            </w:r>
          </w:p>
          <w:p w14:paraId="09129EBF"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0%]</w:t>
            </w:r>
          </w:p>
        </w:tc>
      </w:tr>
      <w:tr w:rsidR="00EE4D44" w:rsidRPr="00F62546" w14:paraId="34380D6A" w14:textId="77777777" w:rsidTr="001D4246">
        <w:trPr>
          <w:cantSplit/>
          <w:trHeight w:val="263"/>
        </w:trPr>
        <w:tc>
          <w:tcPr>
            <w:tcW w:w="8784" w:type="dxa"/>
            <w:gridSpan w:val="7"/>
            <w:tcBorders>
              <w:top w:val="single" w:sz="4" w:space="0" w:color="auto"/>
              <w:left w:val="single" w:sz="4" w:space="0" w:color="auto"/>
              <w:bottom w:val="single" w:sz="4" w:space="0" w:color="auto"/>
              <w:right w:val="single" w:sz="4" w:space="0" w:color="auto"/>
            </w:tcBorders>
            <w:vAlign w:val="center"/>
          </w:tcPr>
          <w:p w14:paraId="5C729E84" w14:textId="77777777" w:rsidR="00EE4D44" w:rsidRPr="00F62546" w:rsidRDefault="00EE4D44" w:rsidP="001D4246">
            <w:pPr>
              <w:spacing w:before="40" w:after="40"/>
              <w:ind w:left="6" w:right="6"/>
              <w:rPr>
                <w:rFonts w:ascii="Arial Narrow" w:hAnsi="Arial Narrow"/>
                <w:b/>
                <w:sz w:val="20"/>
              </w:rPr>
            </w:pPr>
            <w:r w:rsidRPr="00F62546">
              <w:rPr>
                <w:rFonts w:ascii="Arial Narrow" w:hAnsi="Arial Narrow" w:cs="Tahoma"/>
                <w:b/>
                <w:sz w:val="20"/>
              </w:rPr>
              <w:t>2-5 year outcomes</w:t>
            </w:r>
          </w:p>
        </w:tc>
      </w:tr>
      <w:tr w:rsidR="00EE4D44" w:rsidRPr="00F62546" w14:paraId="6D6BA236"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65675EB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Major vascular complications </w:t>
            </w:r>
          </w:p>
          <w:p w14:paraId="49A9900F" w14:textId="77777777" w:rsidR="00EE4D44" w:rsidRPr="00F62546" w:rsidRDefault="00EE4D44" w:rsidP="001D4246">
            <w:pPr>
              <w:spacing w:before="40" w:after="40"/>
              <w:ind w:left="6" w:right="6"/>
              <w:rPr>
                <w:rFonts w:ascii="Arial Narrow" w:hAnsi="Arial Narrow" w:cs="Tahoma"/>
                <w:b/>
                <w:sz w:val="20"/>
              </w:rPr>
            </w:pPr>
            <w:r w:rsidRPr="00F62546">
              <w:rPr>
                <w:rFonts w:ascii="Arial Narrow" w:hAnsi="Arial Narrow" w:cs="Tahoma"/>
                <w:sz w:val="20"/>
              </w:rPr>
              <w:t>(2 years)</w:t>
            </w:r>
          </w:p>
        </w:tc>
        <w:tc>
          <w:tcPr>
            <w:tcW w:w="1242" w:type="dxa"/>
            <w:tcBorders>
              <w:top w:val="single" w:sz="4" w:space="0" w:color="auto"/>
              <w:left w:val="single" w:sz="4" w:space="0" w:color="auto"/>
              <w:bottom w:val="single" w:sz="4" w:space="0" w:color="auto"/>
              <w:right w:val="single" w:sz="4" w:space="0" w:color="auto"/>
            </w:tcBorders>
            <w:vAlign w:val="center"/>
          </w:tcPr>
          <w:p w14:paraId="090879C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2534711B"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67E3D9EB"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2B2C06A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123/1,639 (7.5%)</w:t>
            </w:r>
          </w:p>
        </w:tc>
        <w:tc>
          <w:tcPr>
            <w:tcW w:w="992" w:type="dxa"/>
            <w:tcBorders>
              <w:top w:val="single" w:sz="4" w:space="0" w:color="auto"/>
              <w:left w:val="single" w:sz="4" w:space="0" w:color="auto"/>
              <w:bottom w:val="single" w:sz="4" w:space="0" w:color="auto"/>
              <w:right w:val="single" w:sz="4" w:space="0" w:color="auto"/>
            </w:tcBorders>
            <w:vAlign w:val="center"/>
          </w:tcPr>
          <w:p w14:paraId="53081F4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43/1,571 (2.7%)</w:t>
            </w:r>
          </w:p>
        </w:tc>
        <w:tc>
          <w:tcPr>
            <w:tcW w:w="1276" w:type="dxa"/>
            <w:tcBorders>
              <w:top w:val="single" w:sz="4" w:space="0" w:color="auto"/>
              <w:left w:val="single" w:sz="4" w:space="0" w:color="auto"/>
              <w:bottom w:val="single" w:sz="4" w:space="0" w:color="auto"/>
              <w:right w:val="single" w:sz="4" w:space="0" w:color="auto"/>
            </w:tcBorders>
            <w:vAlign w:val="center"/>
          </w:tcPr>
          <w:p w14:paraId="79A545E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3.21</w:t>
            </w:r>
          </w:p>
          <w:p w14:paraId="54789274"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(1.19, 8.66)</w:t>
            </w:r>
          </w:p>
          <w:p w14:paraId="309741A3"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84%]</w:t>
            </w:r>
          </w:p>
        </w:tc>
        <w:tc>
          <w:tcPr>
            <w:tcW w:w="1559" w:type="dxa"/>
            <w:tcBorders>
              <w:top w:val="single" w:sz="4" w:space="0" w:color="auto"/>
              <w:left w:val="single" w:sz="4" w:space="0" w:color="auto"/>
              <w:bottom w:val="single" w:sz="4" w:space="0" w:color="auto"/>
              <w:right w:val="single" w:sz="4" w:space="0" w:color="auto"/>
            </w:tcBorders>
            <w:vAlign w:val="center"/>
          </w:tcPr>
          <w:p w14:paraId="35BDC75B" w14:textId="77777777" w:rsidR="00EE4D44" w:rsidRPr="00F62546" w:rsidRDefault="00EE4D44" w:rsidP="001D4246">
            <w:pPr>
              <w:spacing w:before="40" w:after="40"/>
              <w:ind w:left="6" w:right="6"/>
              <w:jc w:val="center"/>
              <w:rPr>
                <w:rFonts w:ascii="Arial Narrow" w:hAnsi="Arial Narrow"/>
                <w:b/>
                <w:sz w:val="20"/>
              </w:rPr>
            </w:pPr>
            <w:r w:rsidRPr="00F62546">
              <w:rPr>
                <w:rFonts w:ascii="Arial Narrow" w:hAnsi="Arial Narrow"/>
                <w:b/>
                <w:sz w:val="20"/>
              </w:rPr>
              <w:t>4.9%</w:t>
            </w:r>
          </w:p>
          <w:p w14:paraId="4C95D04A" w14:textId="77777777" w:rsidR="00EE4D44" w:rsidRPr="00F62546" w:rsidRDefault="00EE4D44" w:rsidP="001D4246">
            <w:pPr>
              <w:spacing w:before="40" w:after="40"/>
              <w:ind w:left="6" w:right="6"/>
              <w:jc w:val="center"/>
              <w:rPr>
                <w:rFonts w:ascii="Arial Narrow" w:hAnsi="Arial Narrow"/>
                <w:b/>
                <w:sz w:val="20"/>
              </w:rPr>
            </w:pPr>
            <w:r w:rsidRPr="00F62546">
              <w:rPr>
                <w:rFonts w:ascii="Arial Narrow" w:hAnsi="Arial Narrow"/>
                <w:b/>
                <w:sz w:val="20"/>
              </w:rPr>
              <w:t>(3.5%, 6.4%)</w:t>
            </w:r>
          </w:p>
          <w:p w14:paraId="2A6485BE" w14:textId="77777777" w:rsidR="00EE4D44" w:rsidRPr="00F62546" w:rsidRDefault="00EE4D44" w:rsidP="001D4246">
            <w:pPr>
              <w:spacing w:before="40" w:after="40"/>
              <w:ind w:left="6" w:right="6"/>
              <w:jc w:val="center"/>
              <w:rPr>
                <w:rFonts w:ascii="Arial Narrow" w:hAnsi="Arial Narrow"/>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0%]</w:t>
            </w:r>
          </w:p>
        </w:tc>
      </w:tr>
      <w:tr w:rsidR="00EE4D44" w:rsidRPr="00F62546" w14:paraId="5D1B2FD2"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553AE9C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Myocardial infarction </w:t>
            </w:r>
          </w:p>
          <w:p w14:paraId="502844CC"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years)</w:t>
            </w:r>
          </w:p>
        </w:tc>
        <w:tc>
          <w:tcPr>
            <w:tcW w:w="1242" w:type="dxa"/>
            <w:tcBorders>
              <w:top w:val="single" w:sz="4" w:space="0" w:color="auto"/>
              <w:left w:val="single" w:sz="4" w:space="0" w:color="auto"/>
              <w:bottom w:val="single" w:sz="4" w:space="0" w:color="auto"/>
              <w:right w:val="single" w:sz="4" w:space="0" w:color="auto"/>
            </w:tcBorders>
            <w:vAlign w:val="center"/>
          </w:tcPr>
          <w:p w14:paraId="33E43275"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54707F01"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7AC534A8"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7A82156D"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43/1,639 (2.6%)</w:t>
            </w:r>
          </w:p>
        </w:tc>
        <w:tc>
          <w:tcPr>
            <w:tcW w:w="992" w:type="dxa"/>
            <w:tcBorders>
              <w:top w:val="single" w:sz="4" w:space="0" w:color="auto"/>
              <w:left w:val="single" w:sz="4" w:space="0" w:color="auto"/>
              <w:bottom w:val="single" w:sz="4" w:space="0" w:color="auto"/>
              <w:right w:val="single" w:sz="4" w:space="0" w:color="auto"/>
            </w:tcBorders>
            <w:vAlign w:val="center"/>
          </w:tcPr>
          <w:p w14:paraId="6B7CF54D"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45/1,571 (2.9%)</w:t>
            </w:r>
          </w:p>
        </w:tc>
        <w:tc>
          <w:tcPr>
            <w:tcW w:w="1276" w:type="dxa"/>
            <w:tcBorders>
              <w:top w:val="single" w:sz="4" w:space="0" w:color="auto"/>
              <w:left w:val="single" w:sz="4" w:space="0" w:color="auto"/>
              <w:bottom w:val="single" w:sz="4" w:space="0" w:color="auto"/>
              <w:right w:val="single" w:sz="4" w:space="0" w:color="auto"/>
            </w:tcBorders>
            <w:vAlign w:val="center"/>
          </w:tcPr>
          <w:p w14:paraId="33DB6ACF"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0.94</w:t>
            </w:r>
          </w:p>
          <w:p w14:paraId="039D46F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(0.54, 1.62)</w:t>
            </w:r>
          </w:p>
          <w:p w14:paraId="43B83B4F"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41%]</w:t>
            </w:r>
          </w:p>
        </w:tc>
        <w:tc>
          <w:tcPr>
            <w:tcW w:w="1559" w:type="dxa"/>
            <w:tcBorders>
              <w:top w:val="single" w:sz="4" w:space="0" w:color="auto"/>
              <w:left w:val="single" w:sz="4" w:space="0" w:color="auto"/>
              <w:bottom w:val="single" w:sz="4" w:space="0" w:color="auto"/>
              <w:right w:val="single" w:sz="4" w:space="0" w:color="auto"/>
            </w:tcBorders>
            <w:vAlign w:val="center"/>
          </w:tcPr>
          <w:p w14:paraId="0DC82DC7"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-0.2%</w:t>
            </w:r>
          </w:p>
          <w:p w14:paraId="5390EA3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(-1.7%, 1.4%)</w:t>
            </w:r>
          </w:p>
          <w:p w14:paraId="7976C97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47%]</w:t>
            </w:r>
          </w:p>
        </w:tc>
      </w:tr>
      <w:tr w:rsidR="00EE4D44" w:rsidRPr="00F62546" w14:paraId="4EA5FFF3"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77066C9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Acute kidney injury (Stage 3)</w:t>
            </w:r>
          </w:p>
          <w:p w14:paraId="4C81E7BA"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(2 year) </w:t>
            </w:r>
          </w:p>
        </w:tc>
        <w:tc>
          <w:tcPr>
            <w:tcW w:w="1242" w:type="dxa"/>
            <w:tcBorders>
              <w:top w:val="single" w:sz="4" w:space="0" w:color="auto"/>
              <w:left w:val="single" w:sz="4" w:space="0" w:color="auto"/>
              <w:bottom w:val="single" w:sz="4" w:space="0" w:color="auto"/>
              <w:right w:val="single" w:sz="4" w:space="0" w:color="auto"/>
            </w:tcBorders>
            <w:vAlign w:val="center"/>
          </w:tcPr>
          <w:p w14:paraId="2EA3AE0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58571143"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1F3E1A53"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2C84939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24/1,639 (1.5%)</w:t>
            </w:r>
          </w:p>
        </w:tc>
        <w:tc>
          <w:tcPr>
            <w:tcW w:w="992" w:type="dxa"/>
            <w:tcBorders>
              <w:top w:val="single" w:sz="4" w:space="0" w:color="auto"/>
              <w:left w:val="single" w:sz="4" w:space="0" w:color="auto"/>
              <w:bottom w:val="single" w:sz="4" w:space="0" w:color="auto"/>
              <w:right w:val="single" w:sz="4" w:space="0" w:color="auto"/>
            </w:tcBorders>
            <w:vAlign w:val="center"/>
          </w:tcPr>
          <w:p w14:paraId="751F76A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56/1,571 (3.6%)</w:t>
            </w:r>
          </w:p>
        </w:tc>
        <w:tc>
          <w:tcPr>
            <w:tcW w:w="1276" w:type="dxa"/>
            <w:tcBorders>
              <w:top w:val="single" w:sz="4" w:space="0" w:color="auto"/>
              <w:left w:val="single" w:sz="4" w:space="0" w:color="auto"/>
              <w:bottom w:val="single" w:sz="4" w:space="0" w:color="auto"/>
              <w:right w:val="single" w:sz="4" w:space="0" w:color="auto"/>
            </w:tcBorders>
            <w:vAlign w:val="center"/>
          </w:tcPr>
          <w:p w14:paraId="5317BA3C"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0.42</w:t>
            </w:r>
          </w:p>
          <w:p w14:paraId="50507A6B"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(0.26, 0.68)</w:t>
            </w:r>
          </w:p>
          <w:p w14:paraId="3A7546EB"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napToGrid w:val="0"/>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0%]</w:t>
            </w:r>
          </w:p>
        </w:tc>
        <w:tc>
          <w:tcPr>
            <w:tcW w:w="1559" w:type="dxa"/>
            <w:tcBorders>
              <w:top w:val="single" w:sz="4" w:space="0" w:color="auto"/>
              <w:left w:val="single" w:sz="4" w:space="0" w:color="auto"/>
              <w:bottom w:val="single" w:sz="4" w:space="0" w:color="auto"/>
              <w:right w:val="single" w:sz="4" w:space="0" w:color="auto"/>
            </w:tcBorders>
            <w:vAlign w:val="center"/>
          </w:tcPr>
          <w:p w14:paraId="402E7C5D"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-2.0%</w:t>
            </w:r>
          </w:p>
          <w:p w14:paraId="5265D134"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(-5.3%, 1.4%)</w:t>
            </w:r>
          </w:p>
          <w:p w14:paraId="2717946E"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napToGrid w:val="0"/>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89%]</w:t>
            </w:r>
          </w:p>
        </w:tc>
      </w:tr>
      <w:tr w:rsidR="00EE4D44" w:rsidRPr="00F62546" w14:paraId="605A93F8"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5158EBC3"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Atrial fibrillation</w:t>
            </w:r>
          </w:p>
          <w:p w14:paraId="5B59738D"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w:t>
            </w:r>
          </w:p>
        </w:tc>
        <w:tc>
          <w:tcPr>
            <w:tcW w:w="1242" w:type="dxa"/>
            <w:tcBorders>
              <w:top w:val="single" w:sz="4" w:space="0" w:color="auto"/>
              <w:left w:val="single" w:sz="4" w:space="0" w:color="auto"/>
              <w:bottom w:val="single" w:sz="4" w:space="0" w:color="auto"/>
              <w:right w:val="single" w:sz="4" w:space="0" w:color="auto"/>
            </w:tcBorders>
            <w:vAlign w:val="center"/>
          </w:tcPr>
          <w:p w14:paraId="11B2CEA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13AE9BC3"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2C9A3912"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w:t>
            </w:r>
            <w:r w:rsidRPr="00F62546">
              <w:rPr>
                <w:rFonts w:ascii="Arial Narrow" w:hAnsi="Arial Narrow" w:cs="Cambria Math"/>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338C27F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238/1,639 (14.5%)</w:t>
            </w:r>
          </w:p>
        </w:tc>
        <w:tc>
          <w:tcPr>
            <w:tcW w:w="992" w:type="dxa"/>
            <w:tcBorders>
              <w:top w:val="single" w:sz="4" w:space="0" w:color="auto"/>
              <w:left w:val="single" w:sz="4" w:space="0" w:color="auto"/>
              <w:bottom w:val="single" w:sz="4" w:space="0" w:color="auto"/>
              <w:right w:val="single" w:sz="4" w:space="0" w:color="auto"/>
            </w:tcBorders>
            <w:vAlign w:val="center"/>
          </w:tcPr>
          <w:p w14:paraId="22E683C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580/1,571 (36.9%)</w:t>
            </w:r>
          </w:p>
        </w:tc>
        <w:tc>
          <w:tcPr>
            <w:tcW w:w="1276" w:type="dxa"/>
            <w:tcBorders>
              <w:top w:val="single" w:sz="4" w:space="0" w:color="auto"/>
              <w:left w:val="single" w:sz="4" w:space="0" w:color="auto"/>
              <w:bottom w:val="single" w:sz="4" w:space="0" w:color="auto"/>
              <w:right w:val="single" w:sz="4" w:space="0" w:color="auto"/>
            </w:tcBorders>
            <w:vAlign w:val="center"/>
          </w:tcPr>
          <w:p w14:paraId="0059461A"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0.35</w:t>
            </w:r>
          </w:p>
          <w:p w14:paraId="7BE315C1"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(0.20, 0.61)</w:t>
            </w:r>
          </w:p>
          <w:p w14:paraId="51C683CD"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92%]</w:t>
            </w:r>
          </w:p>
        </w:tc>
        <w:tc>
          <w:tcPr>
            <w:tcW w:w="1559" w:type="dxa"/>
            <w:tcBorders>
              <w:top w:val="single" w:sz="4" w:space="0" w:color="auto"/>
              <w:left w:val="single" w:sz="4" w:space="0" w:color="auto"/>
              <w:bottom w:val="single" w:sz="4" w:space="0" w:color="auto"/>
              <w:right w:val="single" w:sz="4" w:space="0" w:color="auto"/>
            </w:tcBorders>
            <w:vAlign w:val="center"/>
          </w:tcPr>
          <w:p w14:paraId="47BB2CE8" w14:textId="77777777" w:rsidR="00EE4D44" w:rsidRPr="00F62546" w:rsidRDefault="00EE4D44" w:rsidP="001D4246">
            <w:pPr>
              <w:spacing w:before="40" w:after="40"/>
              <w:ind w:left="6" w:right="6"/>
              <w:jc w:val="center"/>
              <w:rPr>
                <w:rFonts w:ascii="Arial Narrow" w:hAnsi="Arial Narrow"/>
                <w:b/>
                <w:sz w:val="20"/>
              </w:rPr>
            </w:pPr>
            <w:r w:rsidRPr="00F62546">
              <w:rPr>
                <w:rFonts w:ascii="Arial Narrow" w:hAnsi="Arial Narrow"/>
                <w:b/>
                <w:sz w:val="20"/>
              </w:rPr>
              <w:t>-22.5%</w:t>
            </w:r>
          </w:p>
          <w:p w14:paraId="72B6AD86" w14:textId="77777777" w:rsidR="00EE4D44" w:rsidRPr="00F62546" w:rsidRDefault="00EE4D44" w:rsidP="001D4246">
            <w:pPr>
              <w:spacing w:before="40" w:after="40"/>
              <w:ind w:left="6" w:right="6"/>
              <w:jc w:val="center"/>
              <w:rPr>
                <w:rFonts w:ascii="Arial Narrow" w:hAnsi="Arial Narrow"/>
                <w:b/>
                <w:sz w:val="20"/>
              </w:rPr>
            </w:pPr>
            <w:r w:rsidRPr="00F62546">
              <w:rPr>
                <w:rFonts w:ascii="Arial Narrow" w:hAnsi="Arial Narrow"/>
                <w:b/>
                <w:sz w:val="20"/>
              </w:rPr>
              <w:t>(-27.6%, -17.4%)</w:t>
            </w:r>
          </w:p>
          <w:p w14:paraId="652BE770"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68%]</w:t>
            </w:r>
          </w:p>
        </w:tc>
      </w:tr>
      <w:tr w:rsidR="00EE4D44" w:rsidRPr="00F62546" w14:paraId="4E087246"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0DEB7A9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lastRenderedPageBreak/>
              <w:t>New permanent pacemakers</w:t>
            </w:r>
          </w:p>
          <w:p w14:paraId="1DCAE978"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years)</w:t>
            </w:r>
          </w:p>
        </w:tc>
        <w:tc>
          <w:tcPr>
            <w:tcW w:w="1242" w:type="dxa"/>
            <w:tcBorders>
              <w:top w:val="single" w:sz="4" w:space="0" w:color="auto"/>
              <w:left w:val="single" w:sz="4" w:space="0" w:color="auto"/>
              <w:bottom w:val="single" w:sz="4" w:space="0" w:color="auto"/>
              <w:right w:val="single" w:sz="4" w:space="0" w:color="auto"/>
            </w:tcBorders>
            <w:vAlign w:val="center"/>
          </w:tcPr>
          <w:p w14:paraId="0C6B68A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0F9B84A6"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5C3C98F0" w14:textId="77777777" w:rsidR="00EE4D44" w:rsidRPr="00F62546" w:rsidRDefault="00EE4D44" w:rsidP="001D4246">
            <w:pPr>
              <w:spacing w:before="40" w:after="40"/>
              <w:ind w:left="6" w:right="6"/>
              <w:jc w:val="center"/>
              <w:rPr>
                <w:rFonts w:ascii="Cambria Math" w:hAnsi="Cambria Math" w:cs="Cambria Math"/>
                <w:i/>
                <w:snapToGrid w:val="0"/>
                <w:sz w:val="20"/>
              </w:rPr>
            </w:pPr>
            <w:r w:rsidRPr="00F62546">
              <w:rPr>
                <w:rFonts w:ascii="Cambria Math" w:hAnsi="Cambria Math" w:cs="Cambria Math"/>
                <w:i/>
                <w:snapToGrid w:val="0"/>
                <w:sz w:val="20"/>
              </w:rPr>
              <w:t xml:space="preserve">⊕⊕ </w:t>
            </w:r>
          </w:p>
          <w:p w14:paraId="1BC417B7"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Arial Narrow" w:hAnsi="Arial Narrow" w:cs="Cambria Math"/>
                <w:i/>
                <w:snapToGrid w:val="0"/>
                <w:sz w:val="20"/>
              </w:rPr>
              <w:t xml:space="preserve">Low </w:t>
            </w:r>
            <w:r w:rsidRPr="00F62546">
              <w:rPr>
                <w:rFonts w:ascii="Arial Narrow" w:hAnsi="Arial Narrow" w:cs="Cambria Math"/>
                <w:i/>
                <w:snapToGrid w:val="0"/>
                <w:sz w:val="20"/>
                <w:vertAlign w:val="superscript"/>
              </w:rPr>
              <w:t>a</w:t>
            </w:r>
          </w:p>
        </w:tc>
        <w:tc>
          <w:tcPr>
            <w:tcW w:w="1134" w:type="dxa"/>
            <w:tcBorders>
              <w:top w:val="single" w:sz="4" w:space="0" w:color="auto"/>
              <w:left w:val="single" w:sz="4" w:space="0" w:color="auto"/>
              <w:bottom w:val="single" w:sz="4" w:space="0" w:color="auto"/>
              <w:right w:val="single" w:sz="4" w:space="0" w:color="auto"/>
            </w:tcBorders>
            <w:vAlign w:val="center"/>
          </w:tcPr>
          <w:p w14:paraId="4CCE89D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344/1,639 (21%)</w:t>
            </w:r>
          </w:p>
        </w:tc>
        <w:tc>
          <w:tcPr>
            <w:tcW w:w="992" w:type="dxa"/>
            <w:tcBorders>
              <w:top w:val="single" w:sz="4" w:space="0" w:color="auto"/>
              <w:left w:val="single" w:sz="4" w:space="0" w:color="auto"/>
              <w:bottom w:val="single" w:sz="4" w:space="0" w:color="auto"/>
              <w:right w:val="single" w:sz="4" w:space="0" w:color="auto"/>
            </w:tcBorders>
            <w:vAlign w:val="center"/>
          </w:tcPr>
          <w:p w14:paraId="2A8BE0F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146/1,571 (9.3%)</w:t>
            </w:r>
          </w:p>
        </w:tc>
        <w:tc>
          <w:tcPr>
            <w:tcW w:w="1276" w:type="dxa"/>
            <w:tcBorders>
              <w:top w:val="single" w:sz="4" w:space="0" w:color="auto"/>
              <w:left w:val="single" w:sz="4" w:space="0" w:color="auto"/>
              <w:bottom w:val="single" w:sz="4" w:space="0" w:color="auto"/>
              <w:right w:val="single" w:sz="4" w:space="0" w:color="auto"/>
            </w:tcBorders>
            <w:vAlign w:val="center"/>
          </w:tcPr>
          <w:p w14:paraId="5341487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1.96</w:t>
            </w:r>
          </w:p>
          <w:p w14:paraId="0A8662BD"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(0.64, 6.02)</w:t>
            </w:r>
          </w:p>
          <w:p w14:paraId="6086AE25"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97%]</w:t>
            </w:r>
          </w:p>
        </w:tc>
        <w:tc>
          <w:tcPr>
            <w:tcW w:w="1559" w:type="dxa"/>
            <w:tcBorders>
              <w:top w:val="single" w:sz="4" w:space="0" w:color="auto"/>
              <w:left w:val="single" w:sz="4" w:space="0" w:color="auto"/>
              <w:bottom w:val="single" w:sz="4" w:space="0" w:color="auto"/>
              <w:right w:val="single" w:sz="4" w:space="0" w:color="auto"/>
            </w:tcBorders>
            <w:vAlign w:val="center"/>
          </w:tcPr>
          <w:p w14:paraId="29D3B834"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11.2%</w:t>
            </w:r>
          </w:p>
          <w:p w14:paraId="3A4E78E9"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(-9.2%, 31.5%)</w:t>
            </w:r>
          </w:p>
          <w:p w14:paraId="6F814A3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99%]</w:t>
            </w:r>
          </w:p>
        </w:tc>
      </w:tr>
      <w:tr w:rsidR="00EE4D44" w:rsidRPr="00F62546" w14:paraId="1B7367C2"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3514C91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Aortic valve reintervention</w:t>
            </w:r>
          </w:p>
          <w:p w14:paraId="7972384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years)</w:t>
            </w:r>
          </w:p>
        </w:tc>
        <w:tc>
          <w:tcPr>
            <w:tcW w:w="1242" w:type="dxa"/>
            <w:tcBorders>
              <w:top w:val="single" w:sz="4" w:space="0" w:color="auto"/>
              <w:left w:val="single" w:sz="4" w:space="0" w:color="auto"/>
              <w:bottom w:val="single" w:sz="4" w:space="0" w:color="auto"/>
              <w:right w:val="single" w:sz="4" w:space="0" w:color="auto"/>
            </w:tcBorders>
            <w:vAlign w:val="center"/>
          </w:tcPr>
          <w:p w14:paraId="2DE641A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75727F1C"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44833947" w14:textId="77777777" w:rsidR="00EE4D44" w:rsidRPr="00F62546" w:rsidRDefault="00EE4D44" w:rsidP="001D4246">
            <w:pPr>
              <w:spacing w:before="40" w:after="40"/>
              <w:ind w:left="6" w:right="6"/>
              <w:jc w:val="center"/>
              <w:rPr>
                <w:rFonts w:ascii="Cambria Math" w:hAnsi="Cambria Math" w:cs="Cambria Math"/>
                <w:i/>
                <w:snapToGrid w:val="0"/>
                <w:sz w:val="20"/>
              </w:rPr>
            </w:pPr>
            <w:r w:rsidRPr="00F62546">
              <w:rPr>
                <w:rFonts w:ascii="Cambria Math" w:hAnsi="Cambria Math" w:cs="Cambria Math"/>
                <w:i/>
                <w:snapToGrid w:val="0"/>
                <w:sz w:val="20"/>
              </w:rPr>
              <w:t xml:space="preserve">⊕⊕ </w:t>
            </w:r>
          </w:p>
          <w:p w14:paraId="7939260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Cambria Math"/>
                <w:i/>
                <w:snapToGrid w:val="0"/>
                <w:sz w:val="20"/>
              </w:rPr>
              <w:t xml:space="preserve">Low </w:t>
            </w:r>
            <w:r w:rsidRPr="00F62546">
              <w:rPr>
                <w:rFonts w:ascii="Arial Narrow" w:hAnsi="Arial Narrow" w:cs="Cambria Math"/>
                <w:i/>
                <w:snapToGrid w:val="0"/>
                <w:sz w:val="20"/>
                <w:vertAlign w:val="superscript"/>
              </w:rPr>
              <w:t>b</w:t>
            </w:r>
          </w:p>
        </w:tc>
        <w:tc>
          <w:tcPr>
            <w:tcW w:w="1134" w:type="dxa"/>
            <w:tcBorders>
              <w:top w:val="single" w:sz="4" w:space="0" w:color="auto"/>
              <w:left w:val="single" w:sz="4" w:space="0" w:color="auto"/>
              <w:bottom w:val="single" w:sz="4" w:space="0" w:color="auto"/>
              <w:right w:val="single" w:sz="4" w:space="0" w:color="auto"/>
            </w:tcBorders>
            <w:vAlign w:val="center"/>
          </w:tcPr>
          <w:p w14:paraId="2075584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29/1,639 (1.8%)</w:t>
            </w:r>
          </w:p>
        </w:tc>
        <w:tc>
          <w:tcPr>
            <w:tcW w:w="992" w:type="dxa"/>
            <w:tcBorders>
              <w:top w:val="single" w:sz="4" w:space="0" w:color="auto"/>
              <w:left w:val="single" w:sz="4" w:space="0" w:color="auto"/>
              <w:bottom w:val="single" w:sz="4" w:space="0" w:color="auto"/>
              <w:right w:val="single" w:sz="4" w:space="0" w:color="auto"/>
            </w:tcBorders>
            <w:vAlign w:val="center"/>
          </w:tcPr>
          <w:p w14:paraId="50C76A9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9/1,571 (0.6%)</w:t>
            </w:r>
          </w:p>
        </w:tc>
        <w:tc>
          <w:tcPr>
            <w:tcW w:w="1276" w:type="dxa"/>
            <w:tcBorders>
              <w:top w:val="single" w:sz="4" w:space="0" w:color="auto"/>
              <w:left w:val="single" w:sz="4" w:space="0" w:color="auto"/>
              <w:bottom w:val="single" w:sz="4" w:space="0" w:color="auto"/>
              <w:right w:val="single" w:sz="4" w:space="0" w:color="auto"/>
            </w:tcBorders>
            <w:vAlign w:val="center"/>
          </w:tcPr>
          <w:p w14:paraId="0D50E672"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2.90</w:t>
            </w:r>
          </w:p>
          <w:p w14:paraId="73A550BE"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(1.15, 7.32)</w:t>
            </w:r>
          </w:p>
          <w:p w14:paraId="2817851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32%]</w:t>
            </w:r>
          </w:p>
        </w:tc>
        <w:tc>
          <w:tcPr>
            <w:tcW w:w="1559" w:type="dxa"/>
            <w:tcBorders>
              <w:top w:val="single" w:sz="4" w:space="0" w:color="auto"/>
              <w:left w:val="single" w:sz="4" w:space="0" w:color="auto"/>
              <w:bottom w:val="single" w:sz="4" w:space="0" w:color="auto"/>
              <w:right w:val="single" w:sz="4" w:space="0" w:color="auto"/>
            </w:tcBorders>
            <w:vAlign w:val="center"/>
          </w:tcPr>
          <w:p w14:paraId="295A2ED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1.1%</w:t>
            </w:r>
          </w:p>
          <w:p w14:paraId="03C45D6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(-0.2%, 2.4%)</w:t>
            </w:r>
          </w:p>
          <w:p w14:paraId="1F40FE95"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w:t>
            </w:r>
            <w:r w:rsidRPr="00F62546">
              <w:rPr>
                <w:rFonts w:ascii="Arial Narrow" w:hAnsi="Arial Narrow" w:cs="Tahoma"/>
                <w:i/>
                <w:snapToGrid w:val="0"/>
                <w:sz w:val="20"/>
              </w:rPr>
              <w:t>I</w:t>
            </w:r>
            <w:r w:rsidRPr="00F62546">
              <w:rPr>
                <w:rFonts w:ascii="Arial Narrow" w:hAnsi="Arial Narrow" w:cs="Tahoma"/>
                <w:i/>
                <w:snapToGrid w:val="0"/>
                <w:sz w:val="20"/>
                <w:vertAlign w:val="superscript"/>
              </w:rPr>
              <w:t>2</w:t>
            </w:r>
            <w:r w:rsidRPr="00F62546">
              <w:rPr>
                <w:rFonts w:ascii="Arial Narrow" w:hAnsi="Arial Narrow" w:cs="Tahoma"/>
                <w:i/>
                <w:snapToGrid w:val="0"/>
                <w:sz w:val="20"/>
              </w:rPr>
              <w:t xml:space="preserve"> </w:t>
            </w:r>
            <w:r w:rsidRPr="00F62546">
              <w:rPr>
                <w:rFonts w:ascii="Arial Narrow" w:hAnsi="Arial Narrow" w:cs="Tahoma"/>
                <w:snapToGrid w:val="0"/>
                <w:sz w:val="20"/>
              </w:rPr>
              <w:t xml:space="preserve"> = 68%]</w:t>
            </w:r>
          </w:p>
        </w:tc>
      </w:tr>
      <w:tr w:rsidR="00EE4D44" w:rsidRPr="00F62546" w14:paraId="0FEB01A4"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356037D9" w14:textId="77777777" w:rsidR="00EE4D44" w:rsidRPr="00F62546" w:rsidRDefault="00EE4D44" w:rsidP="001D4246">
            <w:pPr>
              <w:spacing w:before="40" w:after="40"/>
              <w:ind w:left="6" w:right="6"/>
              <w:rPr>
                <w:rFonts w:ascii="Arial Narrow" w:hAnsi="Arial Narrow" w:cs="Tahoma"/>
                <w:i/>
                <w:sz w:val="20"/>
              </w:rPr>
            </w:pPr>
            <w:r w:rsidRPr="00F62546">
              <w:rPr>
                <w:rFonts w:ascii="Arial Narrow" w:hAnsi="Arial Narrow" w:cs="Tahoma"/>
                <w:i/>
                <w:sz w:val="20"/>
              </w:rPr>
              <w:t>Aortic valve reintervention</w:t>
            </w:r>
          </w:p>
          <w:p w14:paraId="474B466A"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i/>
                <w:sz w:val="20"/>
              </w:rPr>
              <w:t>(5 years)</w:t>
            </w:r>
          </w:p>
        </w:tc>
        <w:tc>
          <w:tcPr>
            <w:tcW w:w="1242" w:type="dxa"/>
            <w:tcBorders>
              <w:top w:val="single" w:sz="4" w:space="0" w:color="auto"/>
              <w:left w:val="single" w:sz="4" w:space="0" w:color="auto"/>
              <w:bottom w:val="single" w:sz="4" w:space="0" w:color="auto"/>
              <w:right w:val="single" w:sz="4" w:space="0" w:color="auto"/>
            </w:tcBorders>
            <w:vAlign w:val="center"/>
          </w:tcPr>
          <w:p w14:paraId="2DD92E65"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1,550</w:t>
            </w:r>
          </w:p>
          <w:p w14:paraId="7FD5A304"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1</w:t>
            </w:r>
          </w:p>
        </w:tc>
        <w:tc>
          <w:tcPr>
            <w:tcW w:w="1026" w:type="dxa"/>
            <w:tcBorders>
              <w:top w:val="single" w:sz="4" w:space="0" w:color="auto"/>
              <w:left w:val="single" w:sz="4" w:space="0" w:color="auto"/>
              <w:bottom w:val="single" w:sz="4" w:space="0" w:color="auto"/>
              <w:right w:val="single" w:sz="4" w:space="0" w:color="auto"/>
            </w:tcBorders>
            <w:vAlign w:val="center"/>
          </w:tcPr>
          <w:p w14:paraId="41DBD7D9" w14:textId="77777777" w:rsidR="00EE4D44" w:rsidRPr="00F62546" w:rsidRDefault="00EE4D44" w:rsidP="001D4246">
            <w:pPr>
              <w:spacing w:before="40" w:after="40"/>
              <w:ind w:left="6" w:right="6"/>
              <w:jc w:val="center"/>
              <w:rPr>
                <w:rFonts w:ascii="Cambria Math" w:hAnsi="Cambria Math" w:cs="Cambria Math"/>
                <w:i/>
                <w:snapToGrid w:val="0"/>
                <w:sz w:val="20"/>
              </w:rPr>
            </w:pPr>
            <w:r w:rsidRPr="00F62546">
              <w:rPr>
                <w:rFonts w:ascii="Cambria Math" w:hAnsi="Cambria Math" w:cs="Cambria Math"/>
                <w:i/>
                <w:snapToGrid w:val="0"/>
                <w:sz w:val="20"/>
              </w:rPr>
              <w:t xml:space="preserve">⊕⊕ </w:t>
            </w:r>
          </w:p>
          <w:p w14:paraId="29F4825D"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Arial Narrow" w:hAnsi="Arial Narrow" w:cs="Cambria Math"/>
                <w:i/>
                <w:snapToGrid w:val="0"/>
                <w:sz w:val="20"/>
              </w:rPr>
              <w:t xml:space="preserve">Low </w:t>
            </w:r>
            <w:r w:rsidRPr="00F62546">
              <w:rPr>
                <w:rFonts w:ascii="Arial Narrow" w:hAnsi="Arial Narrow" w:cs="Cambria Math"/>
                <w:i/>
                <w:snapToGrid w:val="0"/>
                <w:sz w:val="20"/>
                <w:vertAlign w:val="superscript"/>
              </w:rPr>
              <w:t xml:space="preserve">b </w:t>
            </w:r>
          </w:p>
        </w:tc>
        <w:tc>
          <w:tcPr>
            <w:tcW w:w="1134" w:type="dxa"/>
            <w:tcBorders>
              <w:top w:val="single" w:sz="4" w:space="0" w:color="auto"/>
              <w:left w:val="single" w:sz="4" w:space="0" w:color="auto"/>
              <w:bottom w:val="single" w:sz="4" w:space="0" w:color="auto"/>
              <w:right w:val="single" w:sz="4" w:space="0" w:color="auto"/>
            </w:tcBorders>
            <w:vAlign w:val="center"/>
          </w:tcPr>
          <w:p w14:paraId="2439FE2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19/775 (2.5%)</w:t>
            </w:r>
          </w:p>
        </w:tc>
        <w:tc>
          <w:tcPr>
            <w:tcW w:w="992" w:type="dxa"/>
            <w:tcBorders>
              <w:top w:val="single" w:sz="4" w:space="0" w:color="auto"/>
              <w:left w:val="single" w:sz="4" w:space="0" w:color="auto"/>
              <w:bottom w:val="single" w:sz="4" w:space="0" w:color="auto"/>
              <w:right w:val="single" w:sz="4" w:space="0" w:color="auto"/>
            </w:tcBorders>
            <w:vAlign w:val="center"/>
          </w:tcPr>
          <w:p w14:paraId="5FD80C3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5/775 (0.6%)</w:t>
            </w:r>
          </w:p>
        </w:tc>
        <w:tc>
          <w:tcPr>
            <w:tcW w:w="1276" w:type="dxa"/>
            <w:tcBorders>
              <w:top w:val="single" w:sz="4" w:space="0" w:color="auto"/>
              <w:left w:val="single" w:sz="4" w:space="0" w:color="auto"/>
              <w:bottom w:val="single" w:sz="4" w:space="0" w:color="auto"/>
              <w:right w:val="single" w:sz="4" w:space="0" w:color="auto"/>
            </w:tcBorders>
            <w:vAlign w:val="center"/>
          </w:tcPr>
          <w:p w14:paraId="7E5A537A"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3.8</w:t>
            </w:r>
          </w:p>
          <w:p w14:paraId="6A416EEC"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i/>
                <w:sz w:val="20"/>
              </w:rPr>
              <w:t>(1.43, 10.13)</w:t>
            </w:r>
          </w:p>
        </w:tc>
        <w:tc>
          <w:tcPr>
            <w:tcW w:w="1559" w:type="dxa"/>
            <w:tcBorders>
              <w:top w:val="single" w:sz="4" w:space="0" w:color="auto"/>
              <w:left w:val="single" w:sz="4" w:space="0" w:color="auto"/>
              <w:bottom w:val="single" w:sz="4" w:space="0" w:color="auto"/>
              <w:right w:val="single" w:sz="4" w:space="0" w:color="auto"/>
            </w:tcBorders>
            <w:vAlign w:val="center"/>
          </w:tcPr>
          <w:p w14:paraId="6B493A75"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1.9%</w:t>
            </w:r>
          </w:p>
          <w:p w14:paraId="73549BD4"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(0.67, 3.13%)</w:t>
            </w:r>
          </w:p>
        </w:tc>
      </w:tr>
      <w:tr w:rsidR="00EE4D44" w:rsidRPr="00F62546" w14:paraId="37DCCA4A" w14:textId="77777777" w:rsidTr="001D4246">
        <w:trPr>
          <w:cantSplit/>
          <w:trHeight w:val="263"/>
        </w:trPr>
        <w:tc>
          <w:tcPr>
            <w:tcW w:w="1555" w:type="dxa"/>
            <w:tcBorders>
              <w:top w:val="single" w:sz="4" w:space="0" w:color="auto"/>
              <w:left w:val="single" w:sz="4" w:space="0" w:color="auto"/>
              <w:bottom w:val="single" w:sz="4" w:space="0" w:color="auto"/>
              <w:right w:val="single" w:sz="4" w:space="0" w:color="auto"/>
            </w:tcBorders>
            <w:vAlign w:val="center"/>
          </w:tcPr>
          <w:p w14:paraId="45AA9A2A" w14:textId="77777777" w:rsidR="00EE4D44" w:rsidRPr="00F62546" w:rsidRDefault="00EE4D44" w:rsidP="001D4246">
            <w:pPr>
              <w:spacing w:before="40" w:after="40"/>
              <w:ind w:left="6" w:right="6"/>
              <w:rPr>
                <w:rFonts w:ascii="Arial Narrow" w:hAnsi="Arial Narrow" w:cs="Tahoma"/>
                <w:i/>
                <w:sz w:val="20"/>
              </w:rPr>
            </w:pPr>
            <w:proofErr w:type="spellStart"/>
            <w:r w:rsidRPr="00F62546">
              <w:rPr>
                <w:rFonts w:ascii="Arial Narrow" w:hAnsi="Arial Narrow" w:cs="Tahoma"/>
                <w:i/>
                <w:sz w:val="20"/>
              </w:rPr>
              <w:t>Paravalvular</w:t>
            </w:r>
            <w:proofErr w:type="spellEnd"/>
            <w:r w:rsidRPr="00F62546">
              <w:rPr>
                <w:rFonts w:ascii="Arial Narrow" w:hAnsi="Arial Narrow" w:cs="Tahoma"/>
                <w:i/>
                <w:sz w:val="20"/>
              </w:rPr>
              <w:t xml:space="preserve"> regurgitation or leaks</w:t>
            </w:r>
          </w:p>
          <w:p w14:paraId="3CE90FD4" w14:textId="77777777" w:rsidR="00EE4D44" w:rsidRPr="00F62546" w:rsidRDefault="00EE4D44" w:rsidP="001D4246">
            <w:pPr>
              <w:spacing w:before="40" w:after="40"/>
              <w:ind w:left="6" w:right="6"/>
              <w:rPr>
                <w:rFonts w:ascii="Arial Narrow" w:hAnsi="Arial Narrow" w:cs="Tahoma"/>
                <w:i/>
                <w:sz w:val="20"/>
              </w:rPr>
            </w:pPr>
            <w:r w:rsidRPr="00F62546">
              <w:rPr>
                <w:rFonts w:ascii="Arial Narrow" w:hAnsi="Arial Narrow" w:cs="Tahoma"/>
                <w:i/>
                <w:sz w:val="20"/>
              </w:rPr>
              <w:t>(2 years)</w:t>
            </w:r>
          </w:p>
        </w:tc>
        <w:tc>
          <w:tcPr>
            <w:tcW w:w="1242" w:type="dxa"/>
            <w:tcBorders>
              <w:top w:val="single" w:sz="4" w:space="0" w:color="auto"/>
              <w:left w:val="single" w:sz="4" w:space="0" w:color="auto"/>
              <w:bottom w:val="single" w:sz="4" w:space="0" w:color="auto"/>
              <w:right w:val="single" w:sz="4" w:space="0" w:color="auto"/>
            </w:tcBorders>
            <w:vAlign w:val="center"/>
          </w:tcPr>
          <w:p w14:paraId="5411184C" w14:textId="77777777" w:rsidR="00EE4D44" w:rsidRPr="00F62546" w:rsidRDefault="00EE4D44" w:rsidP="001D4246">
            <w:pPr>
              <w:spacing w:before="40" w:after="40"/>
              <w:ind w:left="6" w:right="6"/>
              <w:rPr>
                <w:rFonts w:ascii="Arial Narrow" w:hAnsi="Arial Narrow" w:cs="Tahoma"/>
                <w:i/>
                <w:sz w:val="20"/>
              </w:rPr>
            </w:pPr>
            <w:r w:rsidRPr="00F62546">
              <w:rPr>
                <w:rFonts w:ascii="Arial Narrow" w:hAnsi="Arial Narrow" w:cs="Tahoma"/>
                <w:i/>
                <w:sz w:val="20"/>
              </w:rPr>
              <w:t>N = 2,243</w:t>
            </w:r>
          </w:p>
          <w:p w14:paraId="2EDE051C" w14:textId="77777777" w:rsidR="00EE4D44" w:rsidRPr="00F62546" w:rsidRDefault="00EE4D44" w:rsidP="001D4246">
            <w:pPr>
              <w:spacing w:before="40" w:after="40"/>
              <w:ind w:left="6" w:right="6"/>
              <w:rPr>
                <w:rFonts w:ascii="Arial Narrow" w:hAnsi="Arial Narrow" w:cs="Tahoma"/>
                <w:i/>
                <w:sz w:val="20"/>
              </w:rPr>
            </w:pPr>
            <w:r w:rsidRPr="00F62546">
              <w:rPr>
                <w:rFonts w:ascii="Arial Narrow" w:hAnsi="Arial Narrow" w:cs="Tahoma"/>
                <w:i/>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1676D36C" w14:textId="77777777" w:rsidR="00EE4D44" w:rsidRPr="00F62546" w:rsidRDefault="00EE4D44" w:rsidP="001D4246">
            <w:pPr>
              <w:spacing w:before="40" w:after="40"/>
              <w:ind w:left="6" w:right="6"/>
              <w:jc w:val="center"/>
              <w:rPr>
                <w:rFonts w:ascii="Arial Narrow" w:hAnsi="Arial Narrow" w:cs="Tahoma"/>
                <w:i/>
                <w:sz w:val="20"/>
              </w:rPr>
            </w:pPr>
            <w:r w:rsidRPr="00F62546">
              <w:rPr>
                <w:rFonts w:ascii="Cambria Math" w:hAnsi="Cambria Math" w:cs="Cambria Math"/>
                <w:i/>
                <w:snapToGrid w:val="0"/>
                <w:sz w:val="20"/>
              </w:rPr>
              <w:t>⊕⊕⊕⊕</w:t>
            </w:r>
            <w:r w:rsidRPr="00F62546">
              <w:rPr>
                <w:rFonts w:ascii="Arial Narrow" w:hAnsi="Arial Narrow" w:cs="Cambria Math"/>
                <w:i/>
                <w:snapToGrid w:val="0"/>
                <w:sz w:val="20"/>
              </w:rPr>
              <w:t xml:space="preserve"> High</w:t>
            </w:r>
          </w:p>
        </w:tc>
        <w:tc>
          <w:tcPr>
            <w:tcW w:w="1134" w:type="dxa"/>
            <w:tcBorders>
              <w:top w:val="single" w:sz="4" w:space="0" w:color="auto"/>
              <w:left w:val="single" w:sz="4" w:space="0" w:color="auto"/>
              <w:bottom w:val="single" w:sz="4" w:space="0" w:color="auto"/>
              <w:right w:val="single" w:sz="4" w:space="0" w:color="auto"/>
            </w:tcBorders>
            <w:vAlign w:val="center"/>
          </w:tcPr>
          <w:p w14:paraId="67999E50" w14:textId="77777777" w:rsidR="00EE4D44" w:rsidRPr="00F62546" w:rsidRDefault="00EE4D44" w:rsidP="001D4246">
            <w:pPr>
              <w:spacing w:before="40" w:after="40"/>
              <w:ind w:left="6" w:right="6"/>
              <w:jc w:val="center"/>
              <w:rPr>
                <w:rFonts w:ascii="Arial Narrow" w:hAnsi="Arial Narrow" w:cs="Tahoma"/>
                <w:i/>
                <w:sz w:val="20"/>
              </w:rPr>
            </w:pPr>
            <w:r w:rsidRPr="00F62546">
              <w:rPr>
                <w:rFonts w:ascii="Arial Narrow" w:hAnsi="Arial Narrow" w:cs="Tahoma"/>
                <w:i/>
                <w:sz w:val="20"/>
              </w:rPr>
              <w:t>72/1,226 (5.9%)</w:t>
            </w:r>
          </w:p>
        </w:tc>
        <w:tc>
          <w:tcPr>
            <w:tcW w:w="992" w:type="dxa"/>
            <w:tcBorders>
              <w:top w:val="single" w:sz="4" w:space="0" w:color="auto"/>
              <w:left w:val="single" w:sz="4" w:space="0" w:color="auto"/>
              <w:bottom w:val="single" w:sz="4" w:space="0" w:color="auto"/>
              <w:right w:val="single" w:sz="4" w:space="0" w:color="auto"/>
            </w:tcBorders>
            <w:vAlign w:val="center"/>
          </w:tcPr>
          <w:p w14:paraId="0B5B593A" w14:textId="77777777" w:rsidR="00EE4D44" w:rsidRPr="00F62546" w:rsidRDefault="00EE4D44" w:rsidP="001D4246">
            <w:pPr>
              <w:spacing w:before="40" w:after="40"/>
              <w:ind w:left="6" w:right="6"/>
              <w:jc w:val="center"/>
              <w:rPr>
                <w:rFonts w:ascii="Arial Narrow" w:hAnsi="Arial Narrow" w:cs="Tahoma"/>
                <w:i/>
                <w:sz w:val="20"/>
              </w:rPr>
            </w:pPr>
            <w:r w:rsidRPr="00F62546">
              <w:rPr>
                <w:rFonts w:ascii="Arial Narrow" w:hAnsi="Arial Narrow" w:cs="Tahoma"/>
                <w:i/>
                <w:sz w:val="20"/>
              </w:rPr>
              <w:t>4/1,017 (0.4%)</w:t>
            </w:r>
          </w:p>
        </w:tc>
        <w:tc>
          <w:tcPr>
            <w:tcW w:w="1276" w:type="dxa"/>
            <w:tcBorders>
              <w:top w:val="single" w:sz="4" w:space="0" w:color="auto"/>
              <w:left w:val="single" w:sz="4" w:space="0" w:color="auto"/>
              <w:bottom w:val="single" w:sz="4" w:space="0" w:color="auto"/>
              <w:right w:val="single" w:sz="4" w:space="0" w:color="auto"/>
            </w:tcBorders>
            <w:vAlign w:val="center"/>
          </w:tcPr>
          <w:p w14:paraId="4A7ACAB4"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14.94</w:t>
            </w:r>
          </w:p>
          <w:p w14:paraId="63BF43EA"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(5.54, 40.75)</w:t>
            </w:r>
          </w:p>
          <w:p w14:paraId="3B9D50C2" w14:textId="77777777" w:rsidR="00EE4D44" w:rsidRPr="00F62546" w:rsidRDefault="00EE4D44" w:rsidP="001D4246">
            <w:pPr>
              <w:spacing w:before="40" w:after="40"/>
              <w:ind w:left="6" w:right="6"/>
              <w:jc w:val="center"/>
              <w:rPr>
                <w:rFonts w:ascii="Arial Narrow" w:hAnsi="Arial Narrow" w:cs="Tahoma"/>
                <w:i/>
                <w:sz w:val="20"/>
              </w:rPr>
            </w:pPr>
            <w:r w:rsidRPr="00F62546">
              <w:rPr>
                <w:rFonts w:ascii="Arial Narrow" w:hAnsi="Arial Narrow" w:cs="Tahoma"/>
                <w:i/>
                <w:sz w:val="20"/>
              </w:rPr>
              <w:t>[</w:t>
            </w: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 0%]</w:t>
            </w:r>
          </w:p>
        </w:tc>
        <w:tc>
          <w:tcPr>
            <w:tcW w:w="1559" w:type="dxa"/>
            <w:tcBorders>
              <w:top w:val="single" w:sz="4" w:space="0" w:color="auto"/>
              <w:left w:val="single" w:sz="4" w:space="0" w:color="auto"/>
              <w:bottom w:val="single" w:sz="4" w:space="0" w:color="auto"/>
              <w:right w:val="single" w:sz="4" w:space="0" w:color="auto"/>
            </w:tcBorders>
            <w:vAlign w:val="center"/>
          </w:tcPr>
          <w:p w14:paraId="1D2FF9C5"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5%</w:t>
            </w:r>
          </w:p>
          <w:p w14:paraId="548DC57E" w14:textId="77777777" w:rsidR="00EE4D44" w:rsidRPr="00F62546" w:rsidRDefault="00EE4D44" w:rsidP="001D4246">
            <w:pPr>
              <w:spacing w:before="40" w:after="40"/>
              <w:ind w:left="6" w:right="6"/>
              <w:jc w:val="center"/>
              <w:rPr>
                <w:rFonts w:ascii="Arial Narrow" w:hAnsi="Arial Narrow" w:cs="Tahoma"/>
                <w:b/>
                <w:i/>
                <w:sz w:val="20"/>
              </w:rPr>
            </w:pPr>
            <w:r w:rsidRPr="00F62546">
              <w:rPr>
                <w:rFonts w:ascii="Arial Narrow" w:hAnsi="Arial Narrow" w:cs="Tahoma"/>
                <w:b/>
                <w:i/>
                <w:sz w:val="20"/>
              </w:rPr>
              <w:t>(1%, 9%)</w:t>
            </w:r>
          </w:p>
          <w:p w14:paraId="5DDE6530" w14:textId="77777777" w:rsidR="00EE4D44" w:rsidRPr="00F62546" w:rsidRDefault="00EE4D44" w:rsidP="001D4246">
            <w:pPr>
              <w:spacing w:before="40" w:after="40"/>
              <w:ind w:left="6" w:right="6"/>
              <w:jc w:val="center"/>
              <w:rPr>
                <w:rFonts w:ascii="Arial Narrow" w:hAnsi="Arial Narrow" w:cs="Tahoma"/>
                <w:i/>
                <w:sz w:val="20"/>
              </w:rPr>
            </w:pPr>
            <w:r w:rsidRPr="00F62546">
              <w:rPr>
                <w:rFonts w:ascii="Arial Narrow" w:hAnsi="Arial Narrow" w:cs="Tahoma"/>
                <w:i/>
                <w:sz w:val="20"/>
              </w:rPr>
              <w:t>[I</w:t>
            </w:r>
            <w:r w:rsidRPr="00F62546">
              <w:rPr>
                <w:rFonts w:ascii="Arial Narrow" w:hAnsi="Arial Narrow" w:cs="Tahoma"/>
                <w:i/>
                <w:sz w:val="20"/>
                <w:vertAlign w:val="superscript"/>
              </w:rPr>
              <w:t>2</w:t>
            </w:r>
            <w:r w:rsidRPr="00F62546">
              <w:rPr>
                <w:rFonts w:ascii="Arial Narrow" w:hAnsi="Arial Narrow" w:cs="Tahoma"/>
                <w:i/>
                <w:sz w:val="20"/>
              </w:rPr>
              <w:t xml:space="preserve">  = 88%]</w:t>
            </w:r>
          </w:p>
        </w:tc>
      </w:tr>
    </w:tbl>
    <w:p w14:paraId="2C494948" w14:textId="77777777" w:rsidR="00EE4D44" w:rsidRPr="00F62546" w:rsidRDefault="00EE4D44" w:rsidP="00EE4D44">
      <w:pPr>
        <w:widowControl w:val="0"/>
        <w:contextualSpacing/>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Source: Table 33-38 and 41-47 pp77-94 of the ADAR; </w:t>
      </w:r>
      <w:r w:rsidRPr="00F62546">
        <w:rPr>
          <w:rFonts w:ascii="Arial Narrow" w:hAnsi="Arial Narrow" w:cs="Arial"/>
          <w:i/>
          <w:snapToGrid w:val="0"/>
          <w:sz w:val="18"/>
          <w:lang w:eastAsia="en-US"/>
        </w:rPr>
        <w:t xml:space="preserve">Table S8, pp43 of Leon (2016) Supplementary Appendix; Table S11, pp44-45 of </w:t>
      </w:r>
      <w:proofErr w:type="spellStart"/>
      <w:r w:rsidRPr="00F62546">
        <w:rPr>
          <w:rFonts w:ascii="Arial Narrow" w:hAnsi="Arial Narrow" w:cs="Arial"/>
          <w:i/>
          <w:snapToGrid w:val="0"/>
          <w:sz w:val="18"/>
          <w:lang w:eastAsia="en-US"/>
        </w:rPr>
        <w:t>Makkar</w:t>
      </w:r>
      <w:proofErr w:type="spellEnd"/>
      <w:r w:rsidRPr="00F62546">
        <w:rPr>
          <w:rFonts w:ascii="Arial Narrow" w:hAnsi="Arial Narrow" w:cs="Arial"/>
          <w:i/>
          <w:snapToGrid w:val="0"/>
          <w:sz w:val="18"/>
          <w:lang w:eastAsia="en-US"/>
        </w:rPr>
        <w:t xml:space="preserve"> (2020) Supplementary Appendix; Table 40, pp143-149 of the SURTAVI CSR;</w:t>
      </w:r>
      <w:r w:rsidRPr="00F62546">
        <w:rPr>
          <w:rFonts w:ascii="Arial Narrow" w:hAnsi="Arial Narrow" w:cs="Arial"/>
          <w:snapToGrid w:val="0"/>
          <w:sz w:val="18"/>
          <w:lang w:eastAsia="en-US"/>
        </w:rPr>
        <w:t xml:space="preserve"> </w:t>
      </w:r>
      <w:r w:rsidRPr="00F62546">
        <w:rPr>
          <w:rFonts w:ascii="Arial Narrow" w:hAnsi="Arial Narrow" w:cs="Arial"/>
          <w:i/>
          <w:snapToGrid w:val="0"/>
          <w:sz w:val="18"/>
          <w:lang w:eastAsia="en-US"/>
        </w:rPr>
        <w:t>and calculated during the evaluation</w:t>
      </w:r>
      <w:r w:rsidRPr="00F62546">
        <w:rPr>
          <w:rFonts w:ascii="Arial Narrow" w:hAnsi="Arial Narrow" w:cs="Arial"/>
          <w:snapToGrid w:val="0"/>
          <w:sz w:val="18"/>
          <w:lang w:eastAsia="en-US"/>
        </w:rPr>
        <w:t xml:space="preserve">; </w:t>
      </w:r>
      <w:r w:rsidRPr="00F62546">
        <w:rPr>
          <w:rFonts w:ascii="Arial Narrow" w:hAnsi="Arial Narrow" w:cs="Arial"/>
          <w:b/>
          <w:snapToGrid w:val="0"/>
          <w:sz w:val="18"/>
          <w:lang w:eastAsia="en-US"/>
        </w:rPr>
        <w:t>bold</w:t>
      </w:r>
      <w:r w:rsidRPr="00F62546">
        <w:rPr>
          <w:rFonts w:ascii="Arial Narrow" w:hAnsi="Arial Narrow" w:cs="Arial"/>
          <w:snapToGrid w:val="0"/>
          <w:sz w:val="18"/>
          <w:lang w:eastAsia="en-US"/>
        </w:rPr>
        <w:t xml:space="preserve"> = statistically significant  </w:t>
      </w:r>
    </w:p>
    <w:p w14:paraId="128D252D" w14:textId="77777777" w:rsidR="00EE4D44" w:rsidRPr="00F62546" w:rsidRDefault="00EE4D44" w:rsidP="00EE4D44">
      <w:pPr>
        <w:widowControl w:val="0"/>
        <w:contextualSpacing/>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ADAR = Applicant Developed Assessment Report; CI = confidence interval; RCT = randomised controlled trial; SAVR = surgical aortic valve replacement; TAVI = </w:t>
      </w:r>
      <w:proofErr w:type="spellStart"/>
      <w:r w:rsidRPr="00F62546">
        <w:rPr>
          <w:rFonts w:ascii="Arial Narrow" w:hAnsi="Arial Narrow" w:cs="Arial"/>
          <w:snapToGrid w:val="0"/>
          <w:sz w:val="18"/>
          <w:lang w:eastAsia="en-US"/>
        </w:rPr>
        <w:t>transcatheter</w:t>
      </w:r>
      <w:proofErr w:type="spellEnd"/>
      <w:r w:rsidRPr="00F62546">
        <w:rPr>
          <w:rFonts w:ascii="Arial Narrow" w:hAnsi="Arial Narrow" w:cs="Arial"/>
          <w:snapToGrid w:val="0"/>
          <w:sz w:val="18"/>
          <w:lang w:eastAsia="en-US"/>
        </w:rPr>
        <w:t xml:space="preserve"> aortic valve implantation </w:t>
      </w:r>
    </w:p>
    <w:p w14:paraId="4BD7F6E7" w14:textId="77777777" w:rsidR="00EE4D44" w:rsidRPr="00F62546" w:rsidRDefault="00EE4D44" w:rsidP="00EE4D44">
      <w:pPr>
        <w:widowControl w:val="0"/>
        <w:contextualSpacing/>
        <w:jc w:val="both"/>
        <w:rPr>
          <w:rFonts w:ascii="Arial Narrow" w:hAnsi="Arial Narrow" w:cs="Arial"/>
          <w:snapToGrid w:val="0"/>
          <w:sz w:val="18"/>
          <w:lang w:eastAsia="en-US"/>
        </w:rPr>
      </w:pPr>
      <w:proofErr w:type="gramStart"/>
      <w:r w:rsidRPr="00F62546">
        <w:rPr>
          <w:rFonts w:ascii="Arial Narrow" w:hAnsi="Arial Narrow" w:cs="Arial"/>
          <w:snapToGrid w:val="0"/>
          <w:sz w:val="18"/>
          <w:vertAlign w:val="superscript"/>
          <w:lang w:eastAsia="en-US"/>
        </w:rPr>
        <w:t>a</w:t>
      </w:r>
      <w:proofErr w:type="gramEnd"/>
      <w:r w:rsidRPr="00F62546">
        <w:rPr>
          <w:rFonts w:ascii="Arial Narrow" w:hAnsi="Arial Narrow" w:cs="Arial"/>
          <w:snapToGrid w:val="0"/>
          <w:sz w:val="18"/>
          <w:lang w:eastAsia="en-US"/>
        </w:rPr>
        <w:t xml:space="preserve"> New permanent pacemaker implantation meta-analysis reassessed as having serious limitations (-1) due to inconsistency and low quality of evidence. Quality of RCT evidence not upgraded. The Pre-ESC response agreed with the reassessment. </w:t>
      </w:r>
    </w:p>
    <w:p w14:paraId="3727E7AA" w14:textId="77777777" w:rsidR="00EE4D44" w:rsidRPr="00F62546" w:rsidRDefault="00EE4D44" w:rsidP="00EE4D44">
      <w:pPr>
        <w:widowControl w:val="0"/>
        <w:contextualSpacing/>
        <w:jc w:val="both"/>
        <w:rPr>
          <w:rFonts w:ascii="Arial Narrow" w:hAnsi="Arial Narrow" w:cs="Arial"/>
          <w:snapToGrid w:val="0"/>
          <w:sz w:val="18"/>
          <w:lang w:eastAsia="en-US"/>
        </w:rPr>
      </w:pPr>
      <w:proofErr w:type="gramStart"/>
      <w:r w:rsidRPr="00F62546">
        <w:rPr>
          <w:rFonts w:ascii="Arial Narrow" w:hAnsi="Arial Narrow" w:cs="Arial"/>
          <w:snapToGrid w:val="0"/>
          <w:sz w:val="18"/>
          <w:vertAlign w:val="superscript"/>
          <w:lang w:eastAsia="en-US"/>
        </w:rPr>
        <w:t>b</w:t>
      </w:r>
      <w:proofErr w:type="gramEnd"/>
      <w:r w:rsidRPr="00F62546">
        <w:rPr>
          <w:rFonts w:ascii="Arial Narrow" w:hAnsi="Arial Narrow" w:cs="Arial"/>
          <w:snapToGrid w:val="0"/>
          <w:sz w:val="18"/>
          <w:vertAlign w:val="superscript"/>
          <w:lang w:eastAsia="en-US"/>
        </w:rPr>
        <w:t xml:space="preserve"> </w:t>
      </w:r>
      <w:r w:rsidRPr="00F62546">
        <w:rPr>
          <w:rFonts w:ascii="Arial Narrow" w:hAnsi="Arial Narrow" w:cs="Arial"/>
          <w:snapToGrid w:val="0"/>
          <w:sz w:val="18"/>
          <w:lang w:eastAsia="en-US"/>
        </w:rPr>
        <w:t xml:space="preserve">Reassessed as having serious limitations (-2) in imprecision as the PARTNER 2A trial not powered to evaluate the </w:t>
      </w:r>
      <w:proofErr w:type="spellStart"/>
      <w:r w:rsidRPr="00F62546">
        <w:rPr>
          <w:rFonts w:ascii="Arial Narrow" w:hAnsi="Arial Narrow" w:cs="Arial"/>
          <w:snapToGrid w:val="0"/>
          <w:sz w:val="18"/>
          <w:lang w:eastAsia="en-US"/>
        </w:rPr>
        <w:t>transfemoral</w:t>
      </w:r>
      <w:proofErr w:type="spellEnd"/>
      <w:r w:rsidRPr="00F62546">
        <w:rPr>
          <w:rFonts w:ascii="Arial Narrow" w:hAnsi="Arial Narrow" w:cs="Arial"/>
          <w:snapToGrid w:val="0"/>
          <w:sz w:val="18"/>
          <w:lang w:eastAsia="en-US"/>
        </w:rPr>
        <w:t>-access cohort separately and low number of events affecting the robustness of the results.  Overall quality of evidence was reassessed as low.</w:t>
      </w:r>
    </w:p>
    <w:p w14:paraId="10EF463E" w14:textId="77777777" w:rsidR="00BC1364" w:rsidRPr="00F715D1" w:rsidRDefault="00BC1364" w:rsidP="00F715D1">
      <w:pPr>
        <w:pStyle w:val="Heading1"/>
      </w:pPr>
      <w:r w:rsidRPr="00F715D1">
        <w:t>Comparative effectiveness</w:t>
      </w:r>
    </w:p>
    <w:p w14:paraId="46667810" w14:textId="5F8DEF40" w:rsidR="00EE4D44" w:rsidRPr="00F62546" w:rsidRDefault="00EE4D44" w:rsidP="00EE4D44">
      <w:r w:rsidRPr="00F62546">
        <w:t>The meta-analysis of the primary composite outcome (all-cause mortality or disabling stroke) showed no statistically significant difference between TAVI and SAVR reported at 1 year or beyond (</w:t>
      </w:r>
      <w:r w:rsidRPr="00F62546">
        <w:fldChar w:fldCharType="begin"/>
      </w:r>
      <w:r w:rsidRPr="00F62546">
        <w:instrText xml:space="preserve"> REF _Ref56059681 \h  \* MERGEFORMAT </w:instrText>
      </w:r>
      <w:r w:rsidRPr="00F62546">
        <w:fldChar w:fldCharType="separate"/>
      </w:r>
      <w:r w:rsidR="00C24855" w:rsidRPr="00F62546">
        <w:t xml:space="preserve">Table </w:t>
      </w:r>
      <w:r w:rsidR="00C24855">
        <w:t>9</w:t>
      </w:r>
      <w:r w:rsidRPr="00F62546">
        <w:fldChar w:fldCharType="end"/>
      </w:r>
      <w:r w:rsidRPr="00F62546">
        <w:t xml:space="preserve">). Non-inferiority of TAVI </w:t>
      </w:r>
      <w:r w:rsidRPr="00904CF2">
        <w:rPr>
          <w:i/>
        </w:rPr>
        <w:t>vs.</w:t>
      </w:r>
      <w:r w:rsidRPr="00F62546">
        <w:t xml:space="preserve"> SAVR was met in individual trials and meta-analysis of the primary end point at 2 years. The Commentary highlighted that the Kaplan-Meier plots for the primary outcome show the convergence around 3.5 years in PARTNER 2A (</w:t>
      </w:r>
      <w:r w:rsidRPr="00F62546">
        <w:fldChar w:fldCharType="begin"/>
      </w:r>
      <w:r w:rsidRPr="00F62546">
        <w:instrText xml:space="preserve"> REF _Ref56059879 \h  \* MERGEFORMAT </w:instrText>
      </w:r>
      <w:r w:rsidRPr="00F62546">
        <w:fldChar w:fldCharType="separate"/>
      </w:r>
      <w:r w:rsidR="00C24855" w:rsidRPr="00F62546">
        <w:t xml:space="preserve">Figure </w:t>
      </w:r>
      <w:r w:rsidR="00C24855">
        <w:rPr>
          <w:noProof/>
        </w:rPr>
        <w:t>3</w:t>
      </w:r>
      <w:r w:rsidRPr="00F62546">
        <w:fldChar w:fldCharType="end"/>
      </w:r>
      <w:r w:rsidRPr="00F62546">
        <w:t>) and 1.25 years for SURTAVI (</w:t>
      </w:r>
      <w:r w:rsidRPr="00F62546">
        <w:fldChar w:fldCharType="begin"/>
      </w:r>
      <w:r w:rsidRPr="00F62546">
        <w:instrText xml:space="preserve"> REF _Ref56059885 \h  \* MERGEFORMAT </w:instrText>
      </w:r>
      <w:r w:rsidRPr="00F62546">
        <w:fldChar w:fldCharType="separate"/>
      </w:r>
      <w:r w:rsidR="00C24855" w:rsidRPr="00F62546">
        <w:t xml:space="preserve">Figure </w:t>
      </w:r>
      <w:r w:rsidR="00C24855">
        <w:rPr>
          <w:noProof/>
        </w:rPr>
        <w:t>4</w:t>
      </w:r>
      <w:r w:rsidRPr="00F62546">
        <w:fldChar w:fldCharType="end"/>
      </w:r>
      <w:r w:rsidRPr="00F62546">
        <w:t>).</w:t>
      </w:r>
    </w:p>
    <w:p w14:paraId="518BC83F" w14:textId="01562D4C" w:rsidR="00EE4D44" w:rsidRPr="00F62546" w:rsidRDefault="00EE4D44" w:rsidP="005B05CF">
      <w:pPr>
        <w:spacing w:before="240" w:after="240"/>
      </w:pPr>
      <w:r w:rsidRPr="00F62546">
        <w:t xml:space="preserve">TAVI had lower rates of disabling stroke than SAVR at 30 days and at 2 years. There was no difference in mortality between TAVI and SAVR. The Commentary noted that the trials were not powered to detect differences in mortality, rather the composite of disabling stroke and mortality. PARTNER 2A consistently had higher mortality for the SAVR arms. The Commentary considered that this may be due to patients in PARTNER 2A having a slightly higher STS-PROM score (5.7-5.8 in PARTNER 2A </w:t>
      </w:r>
      <w:r w:rsidRPr="00904CF2">
        <w:rPr>
          <w:i/>
        </w:rPr>
        <w:t>vs.</w:t>
      </w:r>
      <w:r w:rsidRPr="00F62546">
        <w:t xml:space="preserve"> 4.4-4.5 in SURTAVI). The 30-day mortality rate with SAVR in the PARTNER 2A trial was consistent with the STS-PROM estimate of 4-8% mortality at 30 days. </w:t>
      </w:r>
      <w:r w:rsidR="00283028">
        <w:t xml:space="preserve">The </w:t>
      </w:r>
      <w:r w:rsidR="00347AC9" w:rsidRPr="00347AC9">
        <w:t xml:space="preserve">transthoracic-access cohort </w:t>
      </w:r>
      <w:r w:rsidR="00347AC9">
        <w:t xml:space="preserve">in the PARTNER 2A trial had a higher </w:t>
      </w:r>
      <w:r w:rsidR="00347AC9" w:rsidRPr="00347AC9">
        <w:t xml:space="preserve">incidence of death or disabling stroke </w:t>
      </w:r>
      <w:r w:rsidR="00347AC9">
        <w:t>than SAVR.</w:t>
      </w:r>
      <w:r w:rsidR="00347AC9" w:rsidRPr="00347AC9">
        <w:t xml:space="preserve"> </w:t>
      </w:r>
      <w:r w:rsidRPr="00F62546">
        <w:t>The SAVR arm of SURTAVI had lower 30-day mortality than would be expected of an intermediate risk population. However, the Commentary considered these differences might be due to difficulty predicting patients’ surgical mortality risk.</w:t>
      </w:r>
    </w:p>
    <w:p w14:paraId="7A8DED1A" w14:textId="2BA17FB4" w:rsidR="00EE4D44" w:rsidRPr="00F62546" w:rsidRDefault="00EE4D44" w:rsidP="00D824CD">
      <w:pPr>
        <w:pStyle w:val="Caption"/>
      </w:pPr>
      <w:bookmarkStart w:id="16" w:name="_Ref56059681"/>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9</w:t>
      </w:r>
      <w:r w:rsidR="002F70F5">
        <w:rPr>
          <w:noProof/>
        </w:rPr>
        <w:fldChar w:fldCharType="end"/>
      </w:r>
      <w:bookmarkEnd w:id="16"/>
      <w:r>
        <w:tab/>
      </w:r>
      <w:r w:rsidRPr="00F62546">
        <w:t>Summary of effectiveness outcomes</w:t>
      </w:r>
    </w:p>
    <w:tbl>
      <w:tblPr>
        <w:tblW w:w="0" w:type="auto"/>
        <w:tblLayout w:type="fixed"/>
        <w:tblLook w:val="04A0" w:firstRow="1" w:lastRow="0" w:firstColumn="1" w:lastColumn="0" w:noHBand="0" w:noVBand="1"/>
        <w:tblDescription w:val="Summary of findings table"/>
      </w:tblPr>
      <w:tblGrid>
        <w:gridCol w:w="1642"/>
        <w:gridCol w:w="1155"/>
        <w:gridCol w:w="1026"/>
        <w:gridCol w:w="1134"/>
        <w:gridCol w:w="992"/>
        <w:gridCol w:w="1417"/>
        <w:gridCol w:w="1418"/>
      </w:tblGrid>
      <w:tr w:rsidR="00EE4D44" w:rsidRPr="00F62546" w14:paraId="1240DBDD" w14:textId="77777777" w:rsidTr="001D4246">
        <w:trPr>
          <w:cantSplit/>
          <w:tblHeader/>
        </w:trPr>
        <w:tc>
          <w:tcPr>
            <w:tcW w:w="1642" w:type="dxa"/>
            <w:tcBorders>
              <w:top w:val="single" w:sz="4" w:space="0" w:color="auto"/>
              <w:left w:val="single" w:sz="4" w:space="0" w:color="auto"/>
              <w:bottom w:val="single" w:sz="4" w:space="0" w:color="auto"/>
              <w:right w:val="single" w:sz="4" w:space="0" w:color="auto"/>
            </w:tcBorders>
            <w:vAlign w:val="center"/>
          </w:tcPr>
          <w:p w14:paraId="31CE04F1"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Outcomes (units)</w:t>
            </w:r>
          </w:p>
          <w:p w14:paraId="47A06D30" w14:textId="77777777" w:rsidR="00EE4D44" w:rsidRPr="00F62546" w:rsidRDefault="00EE4D44" w:rsidP="001D4246">
            <w:pPr>
              <w:keepNext/>
              <w:spacing w:before="40" w:after="40"/>
              <w:rPr>
                <w:rFonts w:ascii="Arial Narrow" w:hAnsi="Arial Narrow" w:cs="Tahoma"/>
                <w:b/>
                <w:sz w:val="20"/>
              </w:rPr>
            </w:pPr>
            <w:r w:rsidRPr="00F62546">
              <w:rPr>
                <w:rFonts w:ascii="Arial Narrow" w:hAnsi="Arial Narrow" w:cs="Tahoma"/>
                <w:b/>
                <w:sz w:val="20"/>
              </w:rPr>
              <w:t>Follow-up</w:t>
            </w:r>
          </w:p>
        </w:tc>
        <w:tc>
          <w:tcPr>
            <w:tcW w:w="1155" w:type="dxa"/>
            <w:tcBorders>
              <w:top w:val="single" w:sz="4" w:space="0" w:color="auto"/>
              <w:left w:val="single" w:sz="4" w:space="0" w:color="auto"/>
              <w:bottom w:val="single" w:sz="4" w:space="0" w:color="auto"/>
              <w:right w:val="single" w:sz="4" w:space="0" w:color="auto"/>
            </w:tcBorders>
            <w:vAlign w:val="center"/>
          </w:tcPr>
          <w:p w14:paraId="7089A9E5"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Participants (studies)</w:t>
            </w:r>
          </w:p>
          <w:p w14:paraId="6C479FC3" w14:textId="77777777" w:rsidR="00EE4D44" w:rsidRPr="00F62546" w:rsidRDefault="00EE4D44" w:rsidP="001D4246">
            <w:pPr>
              <w:keepNext/>
              <w:spacing w:before="40" w:after="40"/>
              <w:jc w:val="center"/>
              <w:rPr>
                <w:rFonts w:ascii="Arial Narrow" w:hAnsi="Arial Narrow" w:cs="Tahoma"/>
                <w:b/>
                <w:sz w:val="20"/>
              </w:rPr>
            </w:pPr>
          </w:p>
        </w:tc>
        <w:tc>
          <w:tcPr>
            <w:tcW w:w="1026" w:type="dxa"/>
            <w:tcBorders>
              <w:top w:val="single" w:sz="4" w:space="0" w:color="auto"/>
              <w:left w:val="single" w:sz="4" w:space="0" w:color="auto"/>
              <w:bottom w:val="single" w:sz="4" w:space="0" w:color="auto"/>
              <w:right w:val="single" w:sz="4" w:space="0" w:color="auto"/>
            </w:tcBorders>
            <w:vAlign w:val="center"/>
          </w:tcPr>
          <w:p w14:paraId="12C8F97F"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Quality of evidence (GRADE)</w:t>
            </w:r>
          </w:p>
        </w:tc>
        <w:tc>
          <w:tcPr>
            <w:tcW w:w="1134" w:type="dxa"/>
            <w:tcBorders>
              <w:top w:val="single" w:sz="4" w:space="0" w:color="auto"/>
              <w:left w:val="single" w:sz="4" w:space="0" w:color="auto"/>
              <w:bottom w:val="single" w:sz="4" w:space="0" w:color="auto"/>
              <w:right w:val="single" w:sz="4" w:space="0" w:color="auto"/>
            </w:tcBorders>
            <w:vAlign w:val="center"/>
          </w:tcPr>
          <w:p w14:paraId="43184824"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TAVI</w:t>
            </w:r>
          </w:p>
          <w:p w14:paraId="1594601A"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83782CF"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with SAVR</w:t>
            </w:r>
          </w:p>
          <w:p w14:paraId="04A23657" w14:textId="77777777" w:rsidR="00EE4D44" w:rsidRPr="00F62546" w:rsidRDefault="00EE4D44" w:rsidP="001D4246">
            <w:pPr>
              <w:keepNext/>
              <w:spacing w:before="40" w:after="40"/>
              <w:jc w:val="center"/>
              <w:rPr>
                <w:rFonts w:ascii="Arial Narrow" w:hAnsi="Arial Narrow" w:cs="Tahoma"/>
                <w:b/>
                <w:sz w:val="20"/>
              </w:rPr>
            </w:pPr>
            <w:proofErr w:type="gramStart"/>
            <w:r w:rsidRPr="00F62546">
              <w:rPr>
                <w:rFonts w:ascii="Arial Narrow" w:hAnsi="Arial Narrow" w:cs="Tahoma"/>
                <w:b/>
                <w:sz w:val="20"/>
              </w:rPr>
              <w:t>n/N</w:t>
            </w:r>
            <w:proofErr w:type="gramEnd"/>
            <w:r w:rsidRPr="00F62546">
              <w:rPr>
                <w:rFonts w:ascii="Arial Narrow" w:hAnsi="Arial Narrow" w:cs="Tahoma"/>
                <w:b/>
                <w:sz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5E0B53E3"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Relative risk (95% CI)</w:t>
            </w:r>
          </w:p>
        </w:tc>
        <w:tc>
          <w:tcPr>
            <w:tcW w:w="1418" w:type="dxa"/>
            <w:tcBorders>
              <w:top w:val="single" w:sz="4" w:space="0" w:color="auto"/>
              <w:left w:val="single" w:sz="4" w:space="0" w:color="auto"/>
              <w:bottom w:val="single" w:sz="4" w:space="0" w:color="auto"/>
              <w:right w:val="single" w:sz="4" w:space="0" w:color="auto"/>
            </w:tcBorders>
            <w:vAlign w:val="center"/>
          </w:tcPr>
          <w:p w14:paraId="739E12B7" w14:textId="77777777" w:rsidR="00EE4D44" w:rsidRPr="00F62546" w:rsidRDefault="00EE4D44" w:rsidP="001D4246">
            <w:pPr>
              <w:keepNext/>
              <w:spacing w:before="40" w:after="40"/>
              <w:jc w:val="center"/>
              <w:rPr>
                <w:rFonts w:ascii="Arial Narrow" w:hAnsi="Arial Narrow" w:cs="Tahoma"/>
                <w:b/>
                <w:sz w:val="20"/>
              </w:rPr>
            </w:pPr>
            <w:r w:rsidRPr="00F62546">
              <w:rPr>
                <w:rFonts w:ascii="Arial Narrow" w:hAnsi="Arial Narrow" w:cs="Tahoma"/>
                <w:b/>
                <w:sz w:val="20"/>
              </w:rPr>
              <w:t>Risk difference (95% CI)</w:t>
            </w:r>
          </w:p>
        </w:tc>
      </w:tr>
      <w:tr w:rsidR="00EE4D44" w:rsidRPr="00F62546" w14:paraId="6F870E27" w14:textId="77777777" w:rsidTr="001D4246">
        <w:trPr>
          <w:cantSplit/>
          <w:trHeight w:val="263"/>
        </w:trPr>
        <w:tc>
          <w:tcPr>
            <w:tcW w:w="1642" w:type="dxa"/>
            <w:tcBorders>
              <w:top w:val="single" w:sz="4" w:space="0" w:color="auto"/>
              <w:left w:val="single" w:sz="4" w:space="0" w:color="auto"/>
              <w:bottom w:val="single" w:sz="4" w:space="0" w:color="auto"/>
              <w:right w:val="single" w:sz="4" w:space="0" w:color="auto"/>
            </w:tcBorders>
            <w:vAlign w:val="center"/>
          </w:tcPr>
          <w:p w14:paraId="5D3F579E"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Primary composite: all-cause mortality or disabling stroke</w:t>
            </w:r>
          </w:p>
          <w:p w14:paraId="62113A4A"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155" w:type="dxa"/>
            <w:tcBorders>
              <w:top w:val="single" w:sz="4" w:space="0" w:color="auto"/>
              <w:left w:val="single" w:sz="4" w:space="0" w:color="auto"/>
              <w:bottom w:val="single" w:sz="4" w:space="0" w:color="auto"/>
              <w:right w:val="single" w:sz="4" w:space="0" w:color="auto"/>
            </w:tcBorders>
            <w:vAlign w:val="center"/>
          </w:tcPr>
          <w:p w14:paraId="49F60651"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7E5D3EAB"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5A3A1FE1" w14:textId="77777777" w:rsidR="00EE4D44" w:rsidRPr="00F62546" w:rsidRDefault="00EE4D44" w:rsidP="001D4246">
            <w:pPr>
              <w:spacing w:before="40" w:after="40"/>
              <w:ind w:left="6" w:right="6"/>
              <w:jc w:val="center"/>
              <w:rPr>
                <w:rFonts w:ascii="Cambria Math" w:hAnsi="Cambria Math" w:cs="Cambria Math"/>
                <w:snapToGrid w:val="0"/>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02E5DB0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62/1,639 (3.8%)</w:t>
            </w:r>
          </w:p>
        </w:tc>
        <w:tc>
          <w:tcPr>
            <w:tcW w:w="992" w:type="dxa"/>
            <w:tcBorders>
              <w:top w:val="single" w:sz="4" w:space="0" w:color="auto"/>
              <w:left w:val="single" w:sz="4" w:space="0" w:color="auto"/>
              <w:bottom w:val="single" w:sz="4" w:space="0" w:color="auto"/>
              <w:right w:val="single" w:sz="4" w:space="0" w:color="auto"/>
            </w:tcBorders>
            <w:vAlign w:val="center"/>
          </w:tcPr>
          <w:p w14:paraId="4710385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89/1,571 (5.7%)</w:t>
            </w:r>
          </w:p>
        </w:tc>
        <w:tc>
          <w:tcPr>
            <w:tcW w:w="1417" w:type="dxa"/>
            <w:tcBorders>
              <w:top w:val="single" w:sz="4" w:space="0" w:color="auto"/>
              <w:left w:val="single" w:sz="4" w:space="0" w:color="auto"/>
              <w:bottom w:val="single" w:sz="4" w:space="0" w:color="auto"/>
              <w:right w:val="single" w:sz="4" w:space="0" w:color="auto"/>
            </w:tcBorders>
            <w:vAlign w:val="center"/>
          </w:tcPr>
          <w:p w14:paraId="544D4BA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 xml:space="preserve">0.68 </w:t>
            </w:r>
          </w:p>
          <w:p w14:paraId="345D0AEF"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(0.49, 0.93)</w:t>
            </w:r>
          </w:p>
          <w:p w14:paraId="7079398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0%</w:t>
            </w:r>
          </w:p>
        </w:tc>
        <w:tc>
          <w:tcPr>
            <w:tcW w:w="1418" w:type="dxa"/>
            <w:tcBorders>
              <w:top w:val="single" w:sz="4" w:space="0" w:color="auto"/>
              <w:left w:val="single" w:sz="4" w:space="0" w:color="auto"/>
              <w:bottom w:val="single" w:sz="4" w:space="0" w:color="auto"/>
              <w:right w:val="single" w:sz="4" w:space="0" w:color="auto"/>
            </w:tcBorders>
            <w:vAlign w:val="center"/>
          </w:tcPr>
          <w:p w14:paraId="75A1E86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 xml:space="preserve">-1.7% </w:t>
            </w:r>
          </w:p>
          <w:p w14:paraId="5F5DC64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(-3.4%, 7.3%)</w:t>
            </w:r>
          </w:p>
          <w:p w14:paraId="2B8D872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30%</w:t>
            </w:r>
          </w:p>
        </w:tc>
      </w:tr>
      <w:tr w:rsidR="00EE4D44" w:rsidRPr="00F62546" w14:paraId="608E1E8B" w14:textId="77777777" w:rsidTr="001D4246">
        <w:trPr>
          <w:cantSplit/>
          <w:trHeight w:val="263"/>
        </w:trPr>
        <w:tc>
          <w:tcPr>
            <w:tcW w:w="1642" w:type="dxa"/>
            <w:tcBorders>
              <w:top w:val="single" w:sz="4" w:space="0" w:color="auto"/>
              <w:left w:val="single" w:sz="4" w:space="0" w:color="auto"/>
              <w:bottom w:val="single" w:sz="4" w:space="0" w:color="auto"/>
              <w:right w:val="single" w:sz="4" w:space="0" w:color="auto"/>
            </w:tcBorders>
            <w:vAlign w:val="center"/>
          </w:tcPr>
          <w:p w14:paraId="2B36DB5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Primary composite: all-cause mortality or disabling stroke</w:t>
            </w:r>
          </w:p>
          <w:p w14:paraId="7289651B"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years)</w:t>
            </w:r>
          </w:p>
        </w:tc>
        <w:tc>
          <w:tcPr>
            <w:tcW w:w="1155" w:type="dxa"/>
            <w:tcBorders>
              <w:top w:val="single" w:sz="4" w:space="0" w:color="auto"/>
              <w:left w:val="single" w:sz="4" w:space="0" w:color="auto"/>
              <w:bottom w:val="single" w:sz="4" w:space="0" w:color="auto"/>
              <w:right w:val="single" w:sz="4" w:space="0" w:color="auto"/>
            </w:tcBorders>
            <w:vAlign w:val="center"/>
          </w:tcPr>
          <w:p w14:paraId="1BF8A81C"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2D55F1D8"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552BC3BC"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0B00DC17"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236/1,639 (14.4%)</w:t>
            </w:r>
          </w:p>
        </w:tc>
        <w:tc>
          <w:tcPr>
            <w:tcW w:w="992" w:type="dxa"/>
            <w:tcBorders>
              <w:top w:val="single" w:sz="4" w:space="0" w:color="auto"/>
              <w:left w:val="single" w:sz="4" w:space="0" w:color="auto"/>
              <w:bottom w:val="single" w:sz="4" w:space="0" w:color="auto"/>
              <w:right w:val="single" w:sz="4" w:space="0" w:color="auto"/>
            </w:tcBorders>
            <w:vAlign w:val="center"/>
          </w:tcPr>
          <w:p w14:paraId="3B081B3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246/1,571 (15.7%)</w:t>
            </w:r>
          </w:p>
        </w:tc>
        <w:tc>
          <w:tcPr>
            <w:tcW w:w="1417" w:type="dxa"/>
            <w:tcBorders>
              <w:top w:val="single" w:sz="4" w:space="0" w:color="auto"/>
              <w:left w:val="single" w:sz="4" w:space="0" w:color="auto"/>
              <w:bottom w:val="single" w:sz="4" w:space="0" w:color="auto"/>
              <w:right w:val="single" w:sz="4" w:space="0" w:color="auto"/>
            </w:tcBorders>
            <w:vAlign w:val="center"/>
          </w:tcPr>
          <w:p w14:paraId="410839E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0.93</w:t>
            </w:r>
          </w:p>
          <w:p w14:paraId="73A18271"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(0.78, 1.10)</w:t>
            </w:r>
          </w:p>
          <w:p w14:paraId="1616261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8%</w:t>
            </w:r>
          </w:p>
        </w:tc>
        <w:tc>
          <w:tcPr>
            <w:tcW w:w="1418" w:type="dxa"/>
            <w:tcBorders>
              <w:top w:val="single" w:sz="4" w:space="0" w:color="auto"/>
              <w:left w:val="single" w:sz="4" w:space="0" w:color="auto"/>
              <w:bottom w:val="single" w:sz="4" w:space="0" w:color="auto"/>
              <w:right w:val="single" w:sz="4" w:space="0" w:color="auto"/>
            </w:tcBorders>
            <w:vAlign w:val="center"/>
          </w:tcPr>
          <w:p w14:paraId="6AC0B9C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-1.0%</w:t>
            </w:r>
          </w:p>
          <w:p w14:paraId="7EA46E5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(-4.0%, 2.0%)</w:t>
            </w:r>
          </w:p>
          <w:p w14:paraId="052B1340"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32%</w:t>
            </w:r>
          </w:p>
        </w:tc>
      </w:tr>
      <w:tr w:rsidR="00EE4D44" w:rsidRPr="00F62546" w14:paraId="7807D24D" w14:textId="77777777" w:rsidTr="001D4246">
        <w:trPr>
          <w:cantSplit/>
          <w:trHeight w:val="25"/>
        </w:trPr>
        <w:tc>
          <w:tcPr>
            <w:tcW w:w="1642" w:type="dxa"/>
            <w:tcBorders>
              <w:top w:val="single" w:sz="4" w:space="0" w:color="auto"/>
              <w:left w:val="single" w:sz="4" w:space="0" w:color="auto"/>
              <w:bottom w:val="single" w:sz="4" w:space="0" w:color="auto"/>
              <w:right w:val="single" w:sz="4" w:space="0" w:color="auto"/>
            </w:tcBorders>
            <w:vAlign w:val="center"/>
          </w:tcPr>
          <w:p w14:paraId="47369F5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All-cause mortality </w:t>
            </w:r>
          </w:p>
          <w:p w14:paraId="158C05E8"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155" w:type="dxa"/>
            <w:tcBorders>
              <w:top w:val="single" w:sz="4" w:space="0" w:color="auto"/>
              <w:left w:val="single" w:sz="4" w:space="0" w:color="auto"/>
              <w:bottom w:val="single" w:sz="4" w:space="0" w:color="auto"/>
              <w:right w:val="single" w:sz="4" w:space="0" w:color="auto"/>
            </w:tcBorders>
            <w:vAlign w:val="center"/>
          </w:tcPr>
          <w:p w14:paraId="37CB5053"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0DD55F1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4DADAE27"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1AFEDBDF"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41/1,639 (2.5%)</w:t>
            </w:r>
          </w:p>
        </w:tc>
        <w:tc>
          <w:tcPr>
            <w:tcW w:w="992" w:type="dxa"/>
            <w:tcBorders>
              <w:top w:val="single" w:sz="4" w:space="0" w:color="auto"/>
              <w:left w:val="single" w:sz="4" w:space="0" w:color="auto"/>
              <w:bottom w:val="single" w:sz="4" w:space="0" w:color="auto"/>
              <w:right w:val="single" w:sz="4" w:space="0" w:color="auto"/>
            </w:tcBorders>
            <w:vAlign w:val="center"/>
          </w:tcPr>
          <w:p w14:paraId="3E45BB5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44/1,571 (2.8%)</w:t>
            </w:r>
          </w:p>
        </w:tc>
        <w:tc>
          <w:tcPr>
            <w:tcW w:w="1417" w:type="dxa"/>
            <w:tcBorders>
              <w:top w:val="single" w:sz="4" w:space="0" w:color="auto"/>
              <w:left w:val="single" w:sz="4" w:space="0" w:color="auto"/>
              <w:bottom w:val="single" w:sz="4" w:space="0" w:color="auto"/>
              <w:right w:val="single" w:sz="4" w:space="0" w:color="auto"/>
            </w:tcBorders>
            <w:vAlign w:val="center"/>
          </w:tcPr>
          <w:p w14:paraId="14312E29"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0.92</w:t>
            </w:r>
          </w:p>
          <w:p w14:paraId="3DC492C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(0.55, 1.55)</w:t>
            </w:r>
          </w:p>
          <w:p w14:paraId="39403C8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31%</w:t>
            </w:r>
          </w:p>
        </w:tc>
        <w:tc>
          <w:tcPr>
            <w:tcW w:w="1418" w:type="dxa"/>
            <w:tcBorders>
              <w:top w:val="single" w:sz="4" w:space="0" w:color="auto"/>
              <w:left w:val="single" w:sz="4" w:space="0" w:color="auto"/>
              <w:bottom w:val="single" w:sz="4" w:space="0" w:color="auto"/>
              <w:right w:val="single" w:sz="4" w:space="0" w:color="auto"/>
            </w:tcBorders>
            <w:vAlign w:val="center"/>
          </w:tcPr>
          <w:p w14:paraId="705FE00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0.2%</w:t>
            </w:r>
          </w:p>
          <w:p w14:paraId="2921B76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(-1.7%, 1.3%)</w:t>
            </w:r>
          </w:p>
          <w:p w14:paraId="0D86661B"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46%</w:t>
            </w:r>
          </w:p>
        </w:tc>
      </w:tr>
      <w:tr w:rsidR="00EE4D44" w:rsidRPr="00F62546" w14:paraId="029C0BFB" w14:textId="77777777" w:rsidTr="001D4246">
        <w:trPr>
          <w:cantSplit/>
        </w:trPr>
        <w:tc>
          <w:tcPr>
            <w:tcW w:w="1642" w:type="dxa"/>
            <w:tcBorders>
              <w:top w:val="single" w:sz="4" w:space="0" w:color="auto"/>
              <w:left w:val="single" w:sz="4" w:space="0" w:color="auto"/>
              <w:bottom w:val="single" w:sz="4" w:space="0" w:color="auto"/>
              <w:right w:val="single" w:sz="4" w:space="0" w:color="auto"/>
            </w:tcBorders>
            <w:vAlign w:val="center"/>
          </w:tcPr>
          <w:p w14:paraId="5F1BD286"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 xml:space="preserve">All-cause mortality </w:t>
            </w:r>
          </w:p>
          <w:p w14:paraId="496856F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years)</w:t>
            </w:r>
          </w:p>
        </w:tc>
        <w:tc>
          <w:tcPr>
            <w:tcW w:w="1155" w:type="dxa"/>
            <w:tcBorders>
              <w:top w:val="single" w:sz="4" w:space="0" w:color="auto"/>
              <w:left w:val="single" w:sz="4" w:space="0" w:color="auto"/>
              <w:bottom w:val="single" w:sz="4" w:space="0" w:color="auto"/>
              <w:right w:val="single" w:sz="4" w:space="0" w:color="auto"/>
            </w:tcBorders>
            <w:vAlign w:val="center"/>
          </w:tcPr>
          <w:p w14:paraId="42DC237B"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124A0DE9"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3E047085"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4B5D8617"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206/1,639 (12.6%)</w:t>
            </w:r>
          </w:p>
        </w:tc>
        <w:tc>
          <w:tcPr>
            <w:tcW w:w="992" w:type="dxa"/>
            <w:tcBorders>
              <w:top w:val="single" w:sz="4" w:space="0" w:color="auto"/>
              <w:left w:val="single" w:sz="4" w:space="0" w:color="auto"/>
              <w:bottom w:val="single" w:sz="4" w:space="0" w:color="auto"/>
              <w:right w:val="single" w:sz="4" w:space="0" w:color="auto"/>
            </w:tcBorders>
            <w:vAlign w:val="center"/>
          </w:tcPr>
          <w:p w14:paraId="5DEE1026"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204/1,571 (13.0%)</w:t>
            </w:r>
          </w:p>
        </w:tc>
        <w:tc>
          <w:tcPr>
            <w:tcW w:w="1417" w:type="dxa"/>
            <w:tcBorders>
              <w:top w:val="single" w:sz="4" w:space="0" w:color="auto"/>
              <w:left w:val="single" w:sz="4" w:space="0" w:color="auto"/>
              <w:bottom w:val="single" w:sz="4" w:space="0" w:color="auto"/>
              <w:right w:val="single" w:sz="4" w:space="0" w:color="auto"/>
            </w:tcBorders>
            <w:vAlign w:val="center"/>
          </w:tcPr>
          <w:p w14:paraId="10EE5BF2"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0.98</w:t>
            </w:r>
          </w:p>
          <w:p w14:paraId="234A1A19"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(0.76, 1.26)</w:t>
            </w:r>
          </w:p>
          <w:p w14:paraId="6CD7F9FC"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48%</w:t>
            </w:r>
          </w:p>
        </w:tc>
        <w:tc>
          <w:tcPr>
            <w:tcW w:w="1418" w:type="dxa"/>
            <w:tcBorders>
              <w:top w:val="single" w:sz="4" w:space="0" w:color="auto"/>
              <w:left w:val="single" w:sz="4" w:space="0" w:color="auto"/>
              <w:bottom w:val="single" w:sz="4" w:space="0" w:color="auto"/>
              <w:right w:val="single" w:sz="4" w:space="0" w:color="auto"/>
            </w:tcBorders>
            <w:vAlign w:val="center"/>
          </w:tcPr>
          <w:p w14:paraId="349E2EA3"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-0.2%</w:t>
            </w:r>
          </w:p>
          <w:p w14:paraId="336FE0E2"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(-3.6%, 3.1%)</w:t>
            </w:r>
          </w:p>
          <w:p w14:paraId="66130462"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51%</w:t>
            </w:r>
          </w:p>
        </w:tc>
      </w:tr>
      <w:tr w:rsidR="00EE4D44" w:rsidRPr="00F62546" w14:paraId="1E712784" w14:textId="77777777" w:rsidTr="001D4246">
        <w:trPr>
          <w:cantSplit/>
        </w:trPr>
        <w:tc>
          <w:tcPr>
            <w:tcW w:w="1642" w:type="dxa"/>
            <w:tcBorders>
              <w:top w:val="single" w:sz="4" w:space="0" w:color="auto"/>
              <w:left w:val="single" w:sz="4" w:space="0" w:color="auto"/>
              <w:bottom w:val="single" w:sz="4" w:space="0" w:color="auto"/>
              <w:right w:val="single" w:sz="4" w:space="0" w:color="auto"/>
            </w:tcBorders>
            <w:vAlign w:val="center"/>
          </w:tcPr>
          <w:p w14:paraId="378450A2"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Disabling stroke</w:t>
            </w:r>
          </w:p>
          <w:p w14:paraId="6A163663"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(30 days)</w:t>
            </w:r>
          </w:p>
        </w:tc>
        <w:tc>
          <w:tcPr>
            <w:tcW w:w="1155" w:type="dxa"/>
            <w:tcBorders>
              <w:top w:val="single" w:sz="4" w:space="0" w:color="auto"/>
              <w:left w:val="single" w:sz="4" w:space="0" w:color="auto"/>
              <w:bottom w:val="single" w:sz="4" w:space="0" w:color="auto"/>
              <w:right w:val="single" w:sz="4" w:space="0" w:color="auto"/>
            </w:tcBorders>
            <w:vAlign w:val="center"/>
          </w:tcPr>
          <w:p w14:paraId="71315525"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0C9C5CD6"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65A242E6"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single" w:sz="4" w:space="0" w:color="auto"/>
              <w:bottom w:val="single" w:sz="4" w:space="0" w:color="auto"/>
              <w:right w:val="single" w:sz="4" w:space="0" w:color="auto"/>
            </w:tcBorders>
            <w:vAlign w:val="center"/>
          </w:tcPr>
          <w:p w14:paraId="1CED647F"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28/1,639 (1.7%)</w:t>
            </w:r>
          </w:p>
        </w:tc>
        <w:tc>
          <w:tcPr>
            <w:tcW w:w="992" w:type="dxa"/>
            <w:tcBorders>
              <w:top w:val="single" w:sz="4" w:space="0" w:color="auto"/>
              <w:left w:val="single" w:sz="4" w:space="0" w:color="auto"/>
              <w:bottom w:val="single" w:sz="4" w:space="0" w:color="auto"/>
              <w:right w:val="single" w:sz="4" w:space="0" w:color="auto"/>
            </w:tcBorders>
            <w:vAlign w:val="center"/>
          </w:tcPr>
          <w:p w14:paraId="5A35280A"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51/1,571 (3.2%)</w:t>
            </w:r>
          </w:p>
        </w:tc>
        <w:tc>
          <w:tcPr>
            <w:tcW w:w="1417" w:type="dxa"/>
            <w:tcBorders>
              <w:top w:val="single" w:sz="4" w:space="0" w:color="auto"/>
              <w:left w:val="single" w:sz="4" w:space="0" w:color="auto"/>
              <w:bottom w:val="single" w:sz="4" w:space="0" w:color="auto"/>
              <w:right w:val="single" w:sz="4" w:space="0" w:color="auto"/>
            </w:tcBorders>
            <w:vAlign w:val="center"/>
          </w:tcPr>
          <w:p w14:paraId="444DE18C"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0.53</w:t>
            </w:r>
          </w:p>
          <w:p w14:paraId="7AD2907F"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(0.34, 0.84)</w:t>
            </w:r>
          </w:p>
          <w:p w14:paraId="7AFE53C4"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0%</w:t>
            </w:r>
          </w:p>
        </w:tc>
        <w:tc>
          <w:tcPr>
            <w:tcW w:w="1418" w:type="dxa"/>
            <w:tcBorders>
              <w:top w:val="single" w:sz="4" w:space="0" w:color="auto"/>
              <w:left w:val="single" w:sz="4" w:space="0" w:color="auto"/>
              <w:bottom w:val="single" w:sz="4" w:space="0" w:color="auto"/>
              <w:right w:val="single" w:sz="4" w:space="0" w:color="auto"/>
            </w:tcBorders>
            <w:vAlign w:val="center"/>
          </w:tcPr>
          <w:p w14:paraId="09E07B52"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-1.4%</w:t>
            </w:r>
          </w:p>
          <w:p w14:paraId="03E7A8AC"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(-2.4%, -.4%)</w:t>
            </w:r>
          </w:p>
          <w:p w14:paraId="693E8495"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0%</w:t>
            </w:r>
          </w:p>
        </w:tc>
      </w:tr>
      <w:tr w:rsidR="00EE4D44" w:rsidRPr="00F62546" w14:paraId="31B8959C" w14:textId="77777777" w:rsidTr="001D4246">
        <w:trPr>
          <w:cantSplit/>
        </w:trPr>
        <w:tc>
          <w:tcPr>
            <w:tcW w:w="1642" w:type="dxa"/>
            <w:tcBorders>
              <w:top w:val="single" w:sz="4" w:space="0" w:color="auto"/>
              <w:left w:val="single" w:sz="4" w:space="0" w:color="auto"/>
              <w:bottom w:val="single" w:sz="4" w:space="0" w:color="auto"/>
              <w:right w:val="single" w:sz="4" w:space="0" w:color="auto"/>
            </w:tcBorders>
            <w:vAlign w:val="center"/>
          </w:tcPr>
          <w:p w14:paraId="7605AF31"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Disabling stroke</w:t>
            </w:r>
          </w:p>
          <w:p w14:paraId="531EEC80"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(2 year)</w:t>
            </w:r>
          </w:p>
        </w:tc>
        <w:tc>
          <w:tcPr>
            <w:tcW w:w="1155" w:type="dxa"/>
            <w:tcBorders>
              <w:top w:val="single" w:sz="4" w:space="0" w:color="auto"/>
              <w:left w:val="single" w:sz="4" w:space="0" w:color="auto"/>
              <w:bottom w:val="single" w:sz="4" w:space="0" w:color="auto"/>
              <w:right w:val="single" w:sz="4" w:space="0" w:color="auto"/>
            </w:tcBorders>
            <w:vAlign w:val="center"/>
          </w:tcPr>
          <w:p w14:paraId="6463D486"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N = 3,210</w:t>
            </w:r>
          </w:p>
          <w:p w14:paraId="64DCF357" w14:textId="77777777" w:rsidR="00EE4D44" w:rsidRPr="00F62546" w:rsidRDefault="00EE4D44" w:rsidP="001D4246">
            <w:pPr>
              <w:spacing w:before="40" w:after="40"/>
              <w:ind w:left="6" w:right="6"/>
              <w:rPr>
                <w:rFonts w:ascii="Arial Narrow" w:hAnsi="Arial Narrow" w:cs="Tahoma"/>
                <w:sz w:val="20"/>
              </w:rPr>
            </w:pPr>
            <w:r w:rsidRPr="00F62546">
              <w:rPr>
                <w:rFonts w:ascii="Arial Narrow" w:hAnsi="Arial Narrow" w:cs="Tahoma"/>
                <w:sz w:val="20"/>
              </w:rPr>
              <w:t>K = 2</w:t>
            </w:r>
          </w:p>
        </w:tc>
        <w:tc>
          <w:tcPr>
            <w:tcW w:w="1026" w:type="dxa"/>
            <w:tcBorders>
              <w:top w:val="single" w:sz="4" w:space="0" w:color="auto"/>
              <w:left w:val="single" w:sz="4" w:space="0" w:color="auto"/>
              <w:bottom w:val="single" w:sz="4" w:space="0" w:color="auto"/>
              <w:right w:val="single" w:sz="4" w:space="0" w:color="auto"/>
            </w:tcBorders>
            <w:vAlign w:val="center"/>
          </w:tcPr>
          <w:p w14:paraId="0B704892" w14:textId="77777777" w:rsidR="00EE4D44" w:rsidRPr="00F62546" w:rsidRDefault="00EE4D44" w:rsidP="001D4246">
            <w:pPr>
              <w:spacing w:before="40" w:after="40"/>
              <w:ind w:left="6" w:right="6"/>
              <w:jc w:val="center"/>
              <w:rPr>
                <w:rFonts w:ascii="Arial Narrow" w:hAnsi="Arial Narrow" w:cs="Tahoma"/>
                <w:sz w:val="20"/>
              </w:rPr>
            </w:pPr>
            <w:r w:rsidRPr="00F62546">
              <w:rPr>
                <w:rFonts w:ascii="Cambria Math" w:hAnsi="Cambria Math" w:cs="Cambria Math"/>
                <w:snapToGrid w:val="0"/>
                <w:sz w:val="20"/>
              </w:rPr>
              <w:t xml:space="preserve">⊕⊕⊕ </w:t>
            </w:r>
            <w:r w:rsidRPr="00F62546">
              <w:rPr>
                <w:rFonts w:ascii="Arial Narrow" w:hAnsi="Arial Narrow" w:cs="Cambria Math"/>
                <w:snapToGrid w:val="0"/>
                <w:sz w:val="20"/>
              </w:rPr>
              <w:t>Moderate</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9CB518"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58/1,639 (3.5%)</w:t>
            </w:r>
          </w:p>
        </w:tc>
        <w:tc>
          <w:tcPr>
            <w:tcW w:w="992" w:type="dxa"/>
            <w:tcBorders>
              <w:top w:val="single" w:sz="4" w:space="0" w:color="auto"/>
              <w:left w:val="single" w:sz="4" w:space="0" w:color="auto"/>
              <w:bottom w:val="single" w:sz="4" w:space="0" w:color="auto"/>
              <w:right w:val="nil"/>
            </w:tcBorders>
            <w:shd w:val="clear" w:color="auto" w:fill="auto"/>
            <w:vAlign w:val="center"/>
          </w:tcPr>
          <w:p w14:paraId="2FDC526E" w14:textId="77777777" w:rsidR="00EE4D44" w:rsidRPr="00F62546" w:rsidRDefault="00EE4D44" w:rsidP="001D4246">
            <w:pPr>
              <w:spacing w:before="40" w:after="40"/>
              <w:ind w:left="6" w:right="6"/>
              <w:jc w:val="center"/>
              <w:rPr>
                <w:rFonts w:ascii="Arial Narrow" w:hAnsi="Arial Narrow" w:cs="Tahoma"/>
                <w:sz w:val="20"/>
              </w:rPr>
            </w:pPr>
            <w:r w:rsidRPr="00F62546">
              <w:rPr>
                <w:rFonts w:ascii="Arial Narrow" w:hAnsi="Arial Narrow" w:cs="Tahoma"/>
                <w:sz w:val="20"/>
              </w:rPr>
              <w:t>78/1,571 (5%)</w:t>
            </w:r>
          </w:p>
        </w:tc>
        <w:tc>
          <w:tcPr>
            <w:tcW w:w="1417" w:type="dxa"/>
            <w:tcBorders>
              <w:top w:val="single" w:sz="4" w:space="0" w:color="auto"/>
              <w:left w:val="single" w:sz="4" w:space="0" w:color="auto"/>
              <w:bottom w:val="single" w:sz="4" w:space="0" w:color="auto"/>
              <w:right w:val="single" w:sz="4" w:space="0" w:color="auto"/>
            </w:tcBorders>
            <w:vAlign w:val="center"/>
          </w:tcPr>
          <w:p w14:paraId="3253116A"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0.67</w:t>
            </w:r>
          </w:p>
          <w:p w14:paraId="37CFE5FA"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(0.47, 0.95)</w:t>
            </w:r>
          </w:p>
          <w:p w14:paraId="3DB672D3"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0%</w:t>
            </w:r>
          </w:p>
        </w:tc>
        <w:tc>
          <w:tcPr>
            <w:tcW w:w="1418" w:type="dxa"/>
            <w:tcBorders>
              <w:top w:val="single" w:sz="4" w:space="0" w:color="auto"/>
              <w:left w:val="single" w:sz="4" w:space="0" w:color="auto"/>
              <w:bottom w:val="single" w:sz="4" w:space="0" w:color="auto"/>
              <w:right w:val="single" w:sz="4" w:space="0" w:color="auto"/>
            </w:tcBorders>
            <w:vAlign w:val="center"/>
          </w:tcPr>
          <w:p w14:paraId="1B5FDBAD"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-1.6%</w:t>
            </w:r>
          </w:p>
          <w:p w14:paraId="477B3937"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b/>
                <w:sz w:val="20"/>
              </w:rPr>
              <w:t>(-2.9%, -0.3%)</w:t>
            </w:r>
          </w:p>
          <w:p w14:paraId="5D4EC3C0" w14:textId="77777777" w:rsidR="00EE4D44" w:rsidRPr="00F62546" w:rsidRDefault="00EE4D44" w:rsidP="001D4246">
            <w:pPr>
              <w:spacing w:before="40" w:after="40"/>
              <w:ind w:left="6" w:right="6"/>
              <w:jc w:val="center"/>
              <w:rPr>
                <w:rFonts w:ascii="Arial Narrow" w:hAnsi="Arial Narrow" w:cs="Tahoma"/>
                <w:b/>
                <w:sz w:val="20"/>
              </w:rPr>
            </w:pPr>
            <w:r w:rsidRPr="00F62546">
              <w:rPr>
                <w:rFonts w:ascii="Arial Narrow" w:hAnsi="Arial Narrow" w:cs="Tahoma"/>
                <w:i/>
                <w:snapToGrid w:val="0"/>
                <w:sz w:val="20"/>
                <w:szCs w:val="22"/>
                <w:lang w:eastAsia="en-US"/>
              </w:rPr>
              <w:t>I</w:t>
            </w:r>
            <w:r w:rsidRPr="00F62546">
              <w:rPr>
                <w:rFonts w:ascii="Arial Narrow" w:hAnsi="Arial Narrow" w:cs="Tahoma"/>
                <w:i/>
                <w:snapToGrid w:val="0"/>
                <w:sz w:val="20"/>
                <w:szCs w:val="22"/>
                <w:vertAlign w:val="superscript"/>
                <w:lang w:eastAsia="en-US"/>
              </w:rPr>
              <w:t>2</w:t>
            </w:r>
            <w:r w:rsidRPr="00F62546">
              <w:rPr>
                <w:rFonts w:ascii="Arial Narrow" w:hAnsi="Arial Narrow" w:cs="Tahoma"/>
                <w:i/>
                <w:snapToGrid w:val="0"/>
                <w:sz w:val="20"/>
                <w:szCs w:val="22"/>
                <w:lang w:eastAsia="en-US"/>
              </w:rPr>
              <w:t xml:space="preserve"> </w:t>
            </w:r>
            <w:r w:rsidRPr="00F62546">
              <w:rPr>
                <w:rFonts w:ascii="Arial Narrow" w:hAnsi="Arial Narrow" w:cs="Tahoma"/>
                <w:snapToGrid w:val="0"/>
                <w:sz w:val="20"/>
                <w:szCs w:val="22"/>
                <w:lang w:eastAsia="en-US"/>
              </w:rPr>
              <w:t xml:space="preserve"> = 0%</w:t>
            </w:r>
          </w:p>
        </w:tc>
      </w:tr>
    </w:tbl>
    <w:p w14:paraId="11505AFD" w14:textId="77777777" w:rsidR="00EE4D44" w:rsidRPr="00F62546" w:rsidRDefault="00EE4D44" w:rsidP="00EE4D44">
      <w:pPr>
        <w:widowControl w:val="0"/>
        <w:spacing w:after="120"/>
        <w:contextualSpacing/>
        <w:jc w:val="both"/>
        <w:rPr>
          <w:rFonts w:ascii="Arial Narrow" w:hAnsi="Arial Narrow" w:cs="Arial"/>
          <w:snapToGrid w:val="0"/>
          <w:sz w:val="18"/>
          <w:lang w:eastAsia="en-US"/>
        </w:rPr>
      </w:pPr>
      <w:r w:rsidRPr="00F62546">
        <w:rPr>
          <w:rFonts w:ascii="Arial Narrow" w:hAnsi="Arial Narrow" w:cs="Arial"/>
          <w:snapToGrid w:val="0"/>
          <w:sz w:val="18"/>
          <w:lang w:eastAsia="en-US"/>
        </w:rPr>
        <w:t xml:space="preserve">Source: Table 49-54, pp97-102 of the ADAR </w:t>
      </w:r>
    </w:p>
    <w:p w14:paraId="52BF632B" w14:textId="77777777" w:rsidR="00EE4D44" w:rsidRPr="00F62546" w:rsidRDefault="00EE4D44" w:rsidP="00EE4D44">
      <w:pPr>
        <w:keepNext/>
        <w:keepLines/>
        <w:spacing w:after="360"/>
        <w:rPr>
          <w:rFonts w:ascii="Arial Narrow" w:hAnsi="Arial Narrow"/>
          <w:color w:val="000000"/>
          <w:sz w:val="18"/>
          <w:szCs w:val="18"/>
        </w:rPr>
      </w:pPr>
      <w:r w:rsidRPr="00F62546">
        <w:rPr>
          <w:rFonts w:ascii="Arial Narrow" w:hAnsi="Arial Narrow"/>
          <w:color w:val="000000"/>
          <w:sz w:val="18"/>
          <w:szCs w:val="18"/>
        </w:rPr>
        <w:t xml:space="preserve">ADAR = Applicant Developed Assessment Report; CI = confidence interval; SAVR = surgical aortic valve replacement; TAVI = </w:t>
      </w:r>
      <w:proofErr w:type="spellStart"/>
      <w:r w:rsidRPr="00F62546">
        <w:rPr>
          <w:rFonts w:ascii="Arial Narrow" w:hAnsi="Arial Narrow"/>
          <w:color w:val="000000"/>
          <w:sz w:val="18"/>
          <w:szCs w:val="18"/>
        </w:rPr>
        <w:t>transcatheter</w:t>
      </w:r>
      <w:proofErr w:type="spellEnd"/>
      <w:r w:rsidRPr="00F62546">
        <w:rPr>
          <w:rFonts w:ascii="Arial Narrow" w:hAnsi="Arial Narrow"/>
          <w:color w:val="000000"/>
          <w:sz w:val="18"/>
          <w:szCs w:val="18"/>
        </w:rPr>
        <w:t xml:space="preserve"> aortic valve implantation </w:t>
      </w:r>
    </w:p>
    <w:p w14:paraId="134C387F" w14:textId="77777777" w:rsidR="00EE4D44" w:rsidRPr="00F62546" w:rsidRDefault="00EE4D44" w:rsidP="00EE4D44">
      <w:pPr>
        <w:keepNext/>
        <w:spacing w:after="240" w:line="312" w:lineRule="auto"/>
        <w:rPr>
          <w:rFonts w:ascii="Calibri" w:hAnsi="Calibri" w:cs="Tahoma"/>
          <w:sz w:val="22"/>
          <w:szCs w:val="22"/>
        </w:rPr>
      </w:pPr>
      <w:r w:rsidRPr="00F62546">
        <w:rPr>
          <w:rFonts w:ascii="Calibri" w:hAnsi="Calibri" w:cs="Tahoma"/>
          <w:noProof/>
          <w:sz w:val="22"/>
          <w:szCs w:val="22"/>
        </w:rPr>
        <w:drawing>
          <wp:inline distT="0" distB="0" distL="0" distR="0" wp14:anchorId="08B4F50E" wp14:editId="2129C41F">
            <wp:extent cx="4467828" cy="2763286"/>
            <wp:effectExtent l="0" t="0" r="0" b="0"/>
            <wp:docPr id="7" name="Picture 7"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2992" t="12177" b="2797"/>
                    <a:stretch/>
                  </pic:blipFill>
                  <pic:spPr bwMode="auto">
                    <a:xfrm>
                      <a:off x="0" y="0"/>
                      <a:ext cx="4502956" cy="2785012"/>
                    </a:xfrm>
                    <a:prstGeom prst="rect">
                      <a:avLst/>
                    </a:prstGeom>
                    <a:ln>
                      <a:noFill/>
                    </a:ln>
                    <a:extLst>
                      <a:ext uri="{53640926-AAD7-44D8-BBD7-CCE9431645EC}">
                        <a14:shadowObscured xmlns:a14="http://schemas.microsoft.com/office/drawing/2010/main"/>
                      </a:ext>
                    </a:extLst>
                  </pic:spPr>
                </pic:pic>
              </a:graphicData>
            </a:graphic>
          </wp:inline>
        </w:drawing>
      </w:r>
    </w:p>
    <w:p w14:paraId="6E202BBD" w14:textId="5DEA7E3A" w:rsidR="00EE4D44" w:rsidRPr="00F62546" w:rsidRDefault="00EE4D44" w:rsidP="00D824CD">
      <w:pPr>
        <w:pStyle w:val="Caption"/>
      </w:pPr>
      <w:bookmarkStart w:id="17" w:name="_Ref56059879"/>
      <w:r w:rsidRPr="00F62546">
        <w:t xml:space="preserve">Figure </w:t>
      </w:r>
      <w:r w:rsidR="002F70F5">
        <w:fldChar w:fldCharType="begin"/>
      </w:r>
      <w:r w:rsidR="002F70F5">
        <w:instrText xml:space="preserve"> SEQ Figure \* ARABIC </w:instrText>
      </w:r>
      <w:r w:rsidR="002F70F5">
        <w:fldChar w:fldCharType="separate"/>
      </w:r>
      <w:r w:rsidR="00C24855">
        <w:rPr>
          <w:noProof/>
        </w:rPr>
        <w:t>3</w:t>
      </w:r>
      <w:r w:rsidR="002F70F5">
        <w:rPr>
          <w:noProof/>
        </w:rPr>
        <w:fldChar w:fldCharType="end"/>
      </w:r>
      <w:bookmarkEnd w:id="17"/>
      <w:r>
        <w:tab/>
      </w:r>
      <w:r w:rsidRPr="00F62546">
        <w:t>Kaplan Meier plot for primary outcome death or disabling stroke in PARTNER 2A (</w:t>
      </w:r>
      <w:proofErr w:type="spellStart"/>
      <w:r w:rsidRPr="00F62546">
        <w:t>transfemoral</w:t>
      </w:r>
      <w:proofErr w:type="spellEnd"/>
      <w:r w:rsidRPr="00F62546">
        <w:t xml:space="preserve"> access cohort)</w:t>
      </w:r>
    </w:p>
    <w:p w14:paraId="633AD610" w14:textId="39883001" w:rsidR="00EE4D44" w:rsidRPr="00F62546" w:rsidRDefault="00EE4D44" w:rsidP="00EE4D44">
      <w:pPr>
        <w:rPr>
          <w:rFonts w:ascii="Arial Narrow" w:hAnsi="Arial Narrow"/>
          <w:color w:val="000000"/>
          <w:sz w:val="18"/>
          <w:szCs w:val="18"/>
        </w:rPr>
      </w:pPr>
      <w:r w:rsidRPr="00F62546">
        <w:rPr>
          <w:rFonts w:ascii="Arial Narrow" w:hAnsi="Arial Narrow"/>
          <w:color w:val="000000"/>
          <w:sz w:val="18"/>
          <w:szCs w:val="18"/>
        </w:rPr>
        <w:t xml:space="preserve">Source: </w:t>
      </w:r>
      <w:r w:rsidR="00A61E38">
        <w:rPr>
          <w:rFonts w:ascii="Arial Narrow" w:hAnsi="Arial Narrow"/>
          <w:color w:val="000000"/>
          <w:sz w:val="18"/>
          <w:szCs w:val="18"/>
        </w:rPr>
        <w:t>Figure</w:t>
      </w:r>
      <w:r w:rsidR="00A61E38" w:rsidRPr="00F62546">
        <w:rPr>
          <w:rFonts w:ascii="Arial Narrow" w:hAnsi="Arial Narrow"/>
          <w:color w:val="000000"/>
          <w:sz w:val="18"/>
          <w:szCs w:val="18"/>
        </w:rPr>
        <w:t xml:space="preserve"> </w:t>
      </w:r>
      <w:r w:rsidRPr="00F62546">
        <w:rPr>
          <w:rFonts w:ascii="Arial Narrow" w:hAnsi="Arial Narrow"/>
          <w:color w:val="000000"/>
          <w:sz w:val="18"/>
          <w:szCs w:val="18"/>
        </w:rPr>
        <w:t xml:space="preserve">41, p100 of the ADAR </w:t>
      </w:r>
    </w:p>
    <w:p w14:paraId="63330CEF" w14:textId="77777777" w:rsidR="00EE4D44" w:rsidRPr="00F62546" w:rsidRDefault="00EE4D44" w:rsidP="00EE4D44">
      <w:pPr>
        <w:spacing w:after="360"/>
        <w:rPr>
          <w:rFonts w:ascii="Arial Narrow" w:hAnsi="Arial Narrow"/>
          <w:color w:val="000000"/>
          <w:sz w:val="18"/>
          <w:szCs w:val="18"/>
        </w:rPr>
      </w:pPr>
      <w:r w:rsidRPr="00F62546">
        <w:rPr>
          <w:rFonts w:ascii="Arial Narrow" w:hAnsi="Arial Narrow"/>
          <w:color w:val="000000"/>
          <w:sz w:val="18"/>
          <w:szCs w:val="18"/>
        </w:rPr>
        <w:t xml:space="preserve">ADAR = Applicant Developed Assessment Report; CI = confidence interval; TAVR = </w:t>
      </w:r>
      <w:proofErr w:type="spellStart"/>
      <w:r w:rsidRPr="00F62546">
        <w:rPr>
          <w:rFonts w:ascii="Arial Narrow" w:hAnsi="Arial Narrow"/>
          <w:color w:val="000000"/>
          <w:sz w:val="18"/>
          <w:szCs w:val="18"/>
        </w:rPr>
        <w:t>transcatheter</w:t>
      </w:r>
      <w:proofErr w:type="spellEnd"/>
      <w:r w:rsidRPr="00F62546">
        <w:rPr>
          <w:rFonts w:ascii="Arial Narrow" w:hAnsi="Arial Narrow"/>
          <w:color w:val="000000"/>
          <w:sz w:val="18"/>
          <w:szCs w:val="18"/>
        </w:rPr>
        <w:t xml:space="preserve"> aortic valve replacement</w:t>
      </w:r>
    </w:p>
    <w:p w14:paraId="40D761B1" w14:textId="2EB9720A" w:rsidR="00EE4D44" w:rsidRPr="005B05CF" w:rsidRDefault="00EE4D44" w:rsidP="005B05CF">
      <w:pPr>
        <w:rPr>
          <w:rFonts w:ascii="Arial Narrow" w:hAnsi="Arial Narrow" w:cs="Tahoma"/>
          <w:b/>
          <w:bCs/>
          <w:sz w:val="20"/>
        </w:rPr>
      </w:pPr>
      <w:r w:rsidRPr="00F62546">
        <w:rPr>
          <w:rFonts w:ascii="Arial Narrow" w:hAnsi="Arial Narrow" w:cs="Tahoma"/>
          <w:b/>
          <w:bCs/>
          <w:noProof/>
          <w:sz w:val="20"/>
          <w:szCs w:val="22"/>
        </w:rPr>
        <w:lastRenderedPageBreak/>
        <w:drawing>
          <wp:inline distT="0" distB="0" distL="0" distR="0" wp14:anchorId="5A55AF47" wp14:editId="243224B7">
            <wp:extent cx="4600937" cy="2897887"/>
            <wp:effectExtent l="0" t="0" r="0" b="0"/>
            <wp:docPr id="1" name="Picture 1"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t="15441" b="13194"/>
                    <a:stretch/>
                  </pic:blipFill>
                  <pic:spPr bwMode="auto">
                    <a:xfrm>
                      <a:off x="0" y="0"/>
                      <a:ext cx="4619560" cy="2909617"/>
                    </a:xfrm>
                    <a:prstGeom prst="rect">
                      <a:avLst/>
                    </a:prstGeom>
                    <a:ln>
                      <a:noFill/>
                    </a:ln>
                    <a:extLst>
                      <a:ext uri="{53640926-AAD7-44D8-BBD7-CCE9431645EC}">
                        <a14:shadowObscured xmlns:a14="http://schemas.microsoft.com/office/drawing/2010/main"/>
                      </a:ext>
                    </a:extLst>
                  </pic:spPr>
                </pic:pic>
              </a:graphicData>
            </a:graphic>
          </wp:inline>
        </w:drawing>
      </w:r>
      <w:r w:rsidRPr="00F62546">
        <w:rPr>
          <w:rFonts w:ascii="Arial Narrow" w:hAnsi="Arial Narrow" w:cs="Tahoma"/>
          <w:b/>
          <w:bCs/>
          <w:sz w:val="20"/>
          <w:szCs w:val="22"/>
        </w:rPr>
        <w:br/>
      </w:r>
      <w:bookmarkStart w:id="18" w:name="_Ref56059885"/>
      <w:r w:rsidRPr="005B05CF">
        <w:rPr>
          <w:rFonts w:ascii="Arial Narrow" w:hAnsi="Arial Narrow"/>
          <w:b/>
          <w:sz w:val="20"/>
        </w:rPr>
        <w:t xml:space="preserve">Figure </w:t>
      </w:r>
      <w:r w:rsidR="0031605C" w:rsidRPr="005B05CF">
        <w:rPr>
          <w:rFonts w:ascii="Arial Narrow" w:hAnsi="Arial Narrow"/>
          <w:b/>
          <w:sz w:val="20"/>
        </w:rPr>
        <w:fldChar w:fldCharType="begin"/>
      </w:r>
      <w:r w:rsidR="0031605C" w:rsidRPr="005B05CF">
        <w:rPr>
          <w:rFonts w:ascii="Arial Narrow" w:hAnsi="Arial Narrow"/>
          <w:b/>
          <w:sz w:val="20"/>
        </w:rPr>
        <w:instrText xml:space="preserve"> SEQ Figure \* ARABIC </w:instrText>
      </w:r>
      <w:r w:rsidR="0031605C" w:rsidRPr="005B05CF">
        <w:rPr>
          <w:rFonts w:ascii="Arial Narrow" w:hAnsi="Arial Narrow"/>
          <w:b/>
          <w:sz w:val="20"/>
        </w:rPr>
        <w:fldChar w:fldCharType="separate"/>
      </w:r>
      <w:r w:rsidR="00C24855" w:rsidRPr="005B05CF">
        <w:rPr>
          <w:rFonts w:ascii="Arial Narrow" w:hAnsi="Arial Narrow"/>
          <w:b/>
          <w:noProof/>
          <w:sz w:val="20"/>
        </w:rPr>
        <w:t>4</w:t>
      </w:r>
      <w:r w:rsidR="0031605C" w:rsidRPr="005B05CF">
        <w:rPr>
          <w:rFonts w:ascii="Arial Narrow" w:hAnsi="Arial Narrow"/>
          <w:b/>
          <w:noProof/>
          <w:sz w:val="20"/>
        </w:rPr>
        <w:fldChar w:fldCharType="end"/>
      </w:r>
      <w:bookmarkEnd w:id="18"/>
      <w:r w:rsidRPr="005B05CF">
        <w:rPr>
          <w:rFonts w:ascii="Arial Narrow" w:hAnsi="Arial Narrow"/>
          <w:b/>
          <w:sz w:val="20"/>
        </w:rPr>
        <w:tab/>
        <w:t xml:space="preserve">Kaplan Meier event rate for primary outcome death or disabling stroke in SURTAVI </w:t>
      </w:r>
    </w:p>
    <w:p w14:paraId="21CB913A" w14:textId="2F58E91A" w:rsidR="00EE4D44" w:rsidRPr="00F62546" w:rsidRDefault="00EE4D44" w:rsidP="00EE4D44">
      <w:pPr>
        <w:keepNext/>
        <w:keepLines/>
        <w:rPr>
          <w:rFonts w:ascii="Arial Narrow" w:hAnsi="Arial Narrow"/>
          <w:color w:val="000000"/>
          <w:sz w:val="18"/>
          <w:szCs w:val="18"/>
        </w:rPr>
      </w:pPr>
      <w:r w:rsidRPr="00F62546">
        <w:rPr>
          <w:rFonts w:ascii="Arial Narrow" w:hAnsi="Arial Narrow"/>
          <w:color w:val="000000"/>
          <w:sz w:val="18"/>
          <w:szCs w:val="18"/>
        </w:rPr>
        <w:t xml:space="preserve">Source: </w:t>
      </w:r>
      <w:r w:rsidR="00A61E38">
        <w:rPr>
          <w:rFonts w:ascii="Arial Narrow" w:hAnsi="Arial Narrow"/>
          <w:color w:val="000000"/>
          <w:sz w:val="18"/>
          <w:szCs w:val="18"/>
        </w:rPr>
        <w:t>Figure</w:t>
      </w:r>
      <w:r w:rsidR="00A61E38" w:rsidRPr="00F62546">
        <w:rPr>
          <w:rFonts w:ascii="Arial Narrow" w:hAnsi="Arial Narrow"/>
          <w:color w:val="000000"/>
          <w:sz w:val="18"/>
          <w:szCs w:val="18"/>
        </w:rPr>
        <w:t xml:space="preserve"> </w:t>
      </w:r>
      <w:r w:rsidRPr="00F62546">
        <w:rPr>
          <w:rFonts w:ascii="Arial Narrow" w:hAnsi="Arial Narrow"/>
          <w:color w:val="000000"/>
          <w:sz w:val="18"/>
          <w:szCs w:val="18"/>
        </w:rPr>
        <w:t xml:space="preserve">42, p100 of the ADAR </w:t>
      </w:r>
    </w:p>
    <w:p w14:paraId="198F3451" w14:textId="77777777" w:rsidR="00EE4D44" w:rsidRPr="00F62546" w:rsidRDefault="00EE4D44" w:rsidP="004D485A">
      <w:pPr>
        <w:keepNext/>
        <w:keepLines/>
        <w:spacing w:after="240"/>
        <w:rPr>
          <w:rFonts w:ascii="Arial Narrow" w:hAnsi="Arial Narrow"/>
          <w:color w:val="000000"/>
          <w:sz w:val="18"/>
          <w:szCs w:val="18"/>
        </w:rPr>
      </w:pPr>
      <w:r w:rsidRPr="00F62546">
        <w:rPr>
          <w:rFonts w:ascii="Arial Narrow" w:hAnsi="Arial Narrow"/>
          <w:color w:val="000000"/>
          <w:sz w:val="18"/>
          <w:szCs w:val="18"/>
        </w:rPr>
        <w:t xml:space="preserve">ADAR = Applicant Developed Assessment Report; SAVR = surgical aortic valve replacement; TAVR = </w:t>
      </w:r>
      <w:proofErr w:type="spellStart"/>
      <w:r w:rsidRPr="00F62546">
        <w:rPr>
          <w:rFonts w:ascii="Arial Narrow" w:hAnsi="Arial Narrow"/>
          <w:color w:val="000000"/>
          <w:sz w:val="18"/>
          <w:szCs w:val="18"/>
        </w:rPr>
        <w:t>transcatheter</w:t>
      </w:r>
      <w:proofErr w:type="spellEnd"/>
      <w:r w:rsidRPr="00F62546">
        <w:rPr>
          <w:rFonts w:ascii="Arial Narrow" w:hAnsi="Arial Narrow"/>
          <w:color w:val="000000"/>
          <w:sz w:val="18"/>
          <w:szCs w:val="18"/>
        </w:rPr>
        <w:t xml:space="preserve"> aortic valve replacement</w:t>
      </w:r>
    </w:p>
    <w:p w14:paraId="25D6BD87" w14:textId="77777777" w:rsidR="00EE4D44" w:rsidRPr="00F62546" w:rsidRDefault="00EE4D44" w:rsidP="00EE4D44">
      <w:r w:rsidRPr="00F62546">
        <w:t>The ADAR presented changes in health-related quality of life (</w:t>
      </w:r>
      <w:proofErr w:type="spellStart"/>
      <w:r w:rsidRPr="00F62546">
        <w:t>HRQoL</w:t>
      </w:r>
      <w:proofErr w:type="spellEnd"/>
      <w:r w:rsidRPr="00F62546">
        <w:t xml:space="preserve">), Kansas City Cardiomyopathy Questionnaire (KCCQ), </w:t>
      </w:r>
      <w:proofErr w:type="spellStart"/>
      <w:r w:rsidRPr="00F62546">
        <w:t>EuroQoL</w:t>
      </w:r>
      <w:proofErr w:type="spellEnd"/>
      <w:r w:rsidRPr="00F62546">
        <w:t xml:space="preserve"> 5-dimension 3-level (EQ-5D-3L) and 36-Item Short Form Health Survey (SF-36), noting that there was a greater improvement with TAVI at 30 days compared with SAVR. The ADAR reasonably attributed this difference was due to the differences in invasiveness and recovery between TAVI and SAVR. The ADAR considered that this was an important difference to patients at an intermediate risk as they may be younger and lead an active life. The Commentary noted that </w:t>
      </w:r>
      <w:proofErr w:type="spellStart"/>
      <w:r w:rsidRPr="00F62546">
        <w:t>HRQoL</w:t>
      </w:r>
      <w:proofErr w:type="spellEnd"/>
      <w:r w:rsidRPr="00F62546">
        <w:t xml:space="preserve"> was not different between TAVI and SAVR at 1 year or 2 years post-procedure, suggesting the incremental b</w:t>
      </w:r>
      <w:r w:rsidR="00D824CD">
        <w:t xml:space="preserve">enefit in </w:t>
      </w:r>
      <w:proofErr w:type="spellStart"/>
      <w:r w:rsidR="00D824CD">
        <w:t>HRQoL</w:t>
      </w:r>
      <w:proofErr w:type="spellEnd"/>
      <w:r w:rsidR="00D824CD">
        <w:t xml:space="preserve"> was short-term.</w:t>
      </w:r>
    </w:p>
    <w:p w14:paraId="3A319D10" w14:textId="77777777" w:rsidR="00EE4D44" w:rsidRPr="00F62546" w:rsidRDefault="00EE4D44" w:rsidP="00EE4D44">
      <w:pPr>
        <w:pStyle w:val="Heading2"/>
      </w:pPr>
      <w:r w:rsidRPr="00F62546">
        <w:t xml:space="preserve">Indirect comparison with newer generation TAVI devices, via the common comparator SAVR </w:t>
      </w:r>
    </w:p>
    <w:p w14:paraId="1C63516C" w14:textId="77777777" w:rsidR="00EE4D44" w:rsidRPr="00F62546" w:rsidRDefault="00EE4D44" w:rsidP="00EE4D44">
      <w:r w:rsidRPr="00F62546">
        <w:t xml:space="preserve">The ADAR’s evidence base for TAVI relied on older generation valves which are not used in current Australian practice. Two meta-analyses that compared the SAPIEN-XT valve with the SAPIEN 3 valve using observational studies were identified during the evaluation: </w:t>
      </w:r>
      <w:proofErr w:type="spellStart"/>
      <w:r w:rsidRPr="00F62546">
        <w:t>Tummala</w:t>
      </w:r>
      <w:proofErr w:type="spellEnd"/>
      <w:r w:rsidRPr="00F62546">
        <w:t xml:space="preserve"> (2017)</w:t>
      </w:r>
      <w:r w:rsidRPr="00F62546">
        <w:rPr>
          <w:rStyle w:val="FootnoteReference"/>
        </w:rPr>
        <w:footnoteReference w:id="12"/>
      </w:r>
      <w:r w:rsidRPr="00F62546">
        <w:t xml:space="preserve"> and Ando (2016)</w:t>
      </w:r>
      <w:r w:rsidRPr="00F62546">
        <w:rPr>
          <w:rStyle w:val="FootnoteReference"/>
        </w:rPr>
        <w:footnoteReference w:id="13"/>
      </w:r>
      <w:r w:rsidRPr="00F62546">
        <w:t xml:space="preserve">. Both meta-analyses concluded that the SAPIEN 3 valve resulted in lower rates of moderate to severe </w:t>
      </w:r>
      <w:proofErr w:type="spellStart"/>
      <w:r w:rsidRPr="00F62546">
        <w:t>paravalvular</w:t>
      </w:r>
      <w:proofErr w:type="spellEnd"/>
      <w:r w:rsidRPr="00F62546">
        <w:t xml:space="preserve"> regurgitation, major vascular complications, stroke (all cerebrovascular events in Ando 2016) and serious bleeding and higher rates of permanent pacemaker implantation.</w:t>
      </w:r>
    </w:p>
    <w:p w14:paraId="4A334834" w14:textId="3A7DB4DB" w:rsidR="00EE4D44" w:rsidRPr="00F62546" w:rsidRDefault="00EE4D44" w:rsidP="005B05CF">
      <w:pPr>
        <w:spacing w:before="240"/>
      </w:pPr>
      <w:r w:rsidRPr="00F62546">
        <w:t>Additionally, two indirect comparisons were compiled during the evaluation to examine the applicability of results from older generation to newer generation TAVI valves in the intermediate risk population:</w:t>
      </w:r>
    </w:p>
    <w:p w14:paraId="2C65C696" w14:textId="77777777" w:rsidR="00EE4D44" w:rsidRPr="00F62546" w:rsidRDefault="00EE4D44" w:rsidP="00EE4D44">
      <w:pPr>
        <w:pStyle w:val="ListParagraph"/>
        <w:numPr>
          <w:ilvl w:val="0"/>
          <w:numId w:val="33"/>
        </w:numPr>
      </w:pPr>
      <w:r w:rsidRPr="00F62546">
        <w:t xml:space="preserve">SEV indirect comparison:  </w:t>
      </w:r>
      <w:proofErr w:type="spellStart"/>
      <w:r w:rsidRPr="00F62546">
        <w:t>Evolut</w:t>
      </w:r>
      <w:proofErr w:type="spellEnd"/>
      <w:r w:rsidRPr="00F62546">
        <w:t xml:space="preserve"> R   </w:t>
      </w:r>
      <w:r w:rsidRPr="00904CF2">
        <w:rPr>
          <w:i/>
        </w:rPr>
        <w:t>vs.</w:t>
      </w:r>
      <w:r w:rsidRPr="00F62546">
        <w:t xml:space="preserve"> </w:t>
      </w:r>
      <w:proofErr w:type="spellStart"/>
      <w:r w:rsidRPr="00F62546">
        <w:t>CoreValve</w:t>
      </w:r>
      <w:proofErr w:type="spellEnd"/>
      <w:r w:rsidRPr="00F62546">
        <w:t xml:space="preserve"> by comparing SURTAVI Continued Access Study (CASS, </w:t>
      </w:r>
      <w:proofErr w:type="spellStart"/>
      <w:r w:rsidRPr="00F62546">
        <w:t>Yarkubov</w:t>
      </w:r>
      <w:proofErr w:type="spellEnd"/>
      <w:r w:rsidRPr="00F62546">
        <w:t xml:space="preserve"> 2020) with the SURTAVI trial; and </w:t>
      </w:r>
    </w:p>
    <w:p w14:paraId="57803E36" w14:textId="77777777" w:rsidR="00EE4D44" w:rsidRPr="00F62546" w:rsidRDefault="00EE4D44" w:rsidP="00EE4D44">
      <w:pPr>
        <w:pStyle w:val="ListParagraph"/>
        <w:numPr>
          <w:ilvl w:val="0"/>
          <w:numId w:val="33"/>
        </w:numPr>
      </w:pPr>
      <w:r w:rsidRPr="00F62546">
        <w:t xml:space="preserve">BEV indirect comparison: SAPIEN 3 </w:t>
      </w:r>
      <w:r w:rsidRPr="00904CF2">
        <w:rPr>
          <w:i/>
        </w:rPr>
        <w:t>vs.</w:t>
      </w:r>
      <w:r w:rsidRPr="00F62546">
        <w:t xml:space="preserve"> SAPIEN-XT by comparing the PARTNER 3Si study with the PARTNER 2A trial.</w:t>
      </w:r>
    </w:p>
    <w:p w14:paraId="2FCBA2A1" w14:textId="7CF59E24" w:rsidR="00EE4D44" w:rsidRPr="00F62546" w:rsidRDefault="00EE4D44" w:rsidP="00EE4D44">
      <w:r w:rsidRPr="00F62546">
        <w:lastRenderedPageBreak/>
        <w:t xml:space="preserve">Overall, the </w:t>
      </w:r>
      <w:proofErr w:type="spellStart"/>
      <w:r w:rsidRPr="00F62546">
        <w:t>Evolut</w:t>
      </w:r>
      <w:proofErr w:type="spellEnd"/>
      <w:r w:rsidRPr="00F62546">
        <w:t xml:space="preserve"> R and SAPIEN 3 appeared similar to the older generation valves used in the trials. However, the Commentary considered that the indirect comparison should be interpreted with caution. The Commentary highlighted that the comparisons were not statistically independent as there was overlap of patients in the SAVR arms, affecting the estimated variance and 95% confidence intervals of the estimated relative risks. Additionally, the indirect comparison compared an observational study with a randomised trial.</w:t>
      </w:r>
    </w:p>
    <w:p w14:paraId="2B52238A" w14:textId="539B7C23" w:rsidR="00EE4D44" w:rsidRDefault="00EE4D44" w:rsidP="005B05CF">
      <w:pPr>
        <w:spacing w:before="240"/>
      </w:pPr>
      <w:r w:rsidRPr="00F62546">
        <w:t xml:space="preserve">The Commentary noted that no comparable studies were identified during the evaluation that reported clinical outcomes in intermediate risk patients using the </w:t>
      </w:r>
      <w:proofErr w:type="spellStart"/>
      <w:r w:rsidRPr="00F62546">
        <w:t>Evolut</w:t>
      </w:r>
      <w:proofErr w:type="spellEnd"/>
      <w:r w:rsidRPr="00F62546">
        <w:t xml:space="preserve"> PRO. Therefore the applicability of the SURTAVI results to the </w:t>
      </w:r>
      <w:proofErr w:type="spellStart"/>
      <w:r w:rsidRPr="00F62546">
        <w:t>Evolut</w:t>
      </w:r>
      <w:proofErr w:type="spellEnd"/>
      <w:r w:rsidRPr="00F62546">
        <w:t xml:space="preserve"> PRO was unclear.</w:t>
      </w:r>
    </w:p>
    <w:p w14:paraId="348AEA75" w14:textId="61305FE2" w:rsidR="00F37B9C" w:rsidRPr="005B05CF" w:rsidRDefault="00C06B0B" w:rsidP="005B05CF">
      <w:pPr>
        <w:spacing w:before="240" w:after="120"/>
      </w:pPr>
      <w:r>
        <w:rPr>
          <w:b/>
          <w:szCs w:val="24"/>
        </w:rPr>
        <w:t>Clinical c</w:t>
      </w:r>
      <w:r w:rsidR="00F37B9C" w:rsidRPr="00F37B9C">
        <w:rPr>
          <w:b/>
          <w:szCs w:val="24"/>
        </w:rPr>
        <w:t>laim</w:t>
      </w:r>
    </w:p>
    <w:p w14:paraId="50516158" w14:textId="77777777" w:rsidR="00EE4D44" w:rsidRPr="00EE4D44" w:rsidRDefault="00EE4D44" w:rsidP="00EE4D44">
      <w:r w:rsidRPr="00EE4D44">
        <w:t xml:space="preserve">On the basis of the benefits and harms reported in the evidence base, the ADAR proposed that, relative to SAVR, TAVI has non-inferior safety and non-inferior effectiveness. The Commentary considered that the clinical claim was supported over the 2-5 year time duration. The Commentary highlighted that the long-term effectiveness and safety of TAVI, particularly valve durability and </w:t>
      </w:r>
      <w:proofErr w:type="spellStart"/>
      <w:r w:rsidRPr="00EE4D44">
        <w:t>paravalvular</w:t>
      </w:r>
      <w:proofErr w:type="spellEnd"/>
      <w:r w:rsidRPr="00EE4D44">
        <w:t xml:space="preserve"> leakage, in the intermediate risk population is unknown. The Commentary considered that this may be more relevant in the intermediate risk population as they would be expected to have a longer life expectancy than higher risk and inoperable populations. The Commentary highlighted that the Kaplan-Meier plots of the composite outcome of all-cause mortality and disabling stroke and the point estimates for all-cause mortality shifted towards favouring SAVR but this was not statistically significant.</w:t>
      </w:r>
    </w:p>
    <w:p w14:paraId="5778C257" w14:textId="2ABE48B0" w:rsidR="00EE4D44" w:rsidRPr="00EE4D44" w:rsidRDefault="00EE4D44" w:rsidP="005B05CF">
      <w:pPr>
        <w:spacing w:before="240"/>
      </w:pPr>
      <w:r w:rsidRPr="00EE4D44">
        <w:t xml:space="preserve">The Commentary considered the clinical claim was supported in the short term for the older generation TAVI devices used in the RCTs (SAPIEN-XT and </w:t>
      </w:r>
      <w:proofErr w:type="spellStart"/>
      <w:r w:rsidRPr="00EE4D44">
        <w:t>CoreValve</w:t>
      </w:r>
      <w:proofErr w:type="spellEnd"/>
      <w:r w:rsidRPr="00EE4D44">
        <w:t xml:space="preserve">). Based on the indirect comparison conducted during the evaluation, the SAPIEN 3 and </w:t>
      </w:r>
      <w:proofErr w:type="spellStart"/>
      <w:r w:rsidRPr="00EE4D44">
        <w:t>Evolut</w:t>
      </w:r>
      <w:proofErr w:type="spellEnd"/>
      <w:r w:rsidRPr="00EE4D44">
        <w:t xml:space="preserve"> R appeared to have broadly similar outcomes at 1 year to SAPIEN-XT and </w:t>
      </w:r>
      <w:proofErr w:type="spellStart"/>
      <w:r w:rsidRPr="00EE4D44">
        <w:t>CoreValve</w:t>
      </w:r>
      <w:proofErr w:type="spellEnd"/>
      <w:r w:rsidRPr="00EE4D44">
        <w:t xml:space="preserve">, respectively. Although the SAPIEN 3 and SAPIENT XT valves appeared broadly similar, the Commentary noted that the estimated incidence of some outcomes such as stroke, </w:t>
      </w:r>
      <w:proofErr w:type="spellStart"/>
      <w:r w:rsidRPr="00EE4D44">
        <w:t>paravalvular</w:t>
      </w:r>
      <w:proofErr w:type="spellEnd"/>
      <w:r w:rsidRPr="00EE4D44">
        <w:t xml:space="preserve"> regurgitation, permanent pacemaker implantation and major vascular complications, might be lower with SAPIEN 3. No comparable evidence was identified for the </w:t>
      </w:r>
      <w:proofErr w:type="spellStart"/>
      <w:r w:rsidRPr="00EE4D44">
        <w:t>Evolut</w:t>
      </w:r>
      <w:proofErr w:type="spellEnd"/>
      <w:r w:rsidRPr="00EE4D44">
        <w:t xml:space="preserve"> PRO.</w:t>
      </w:r>
    </w:p>
    <w:p w14:paraId="4EC46935" w14:textId="77777777" w:rsidR="00BC1364" w:rsidRPr="00F715D1" w:rsidRDefault="00BC1364" w:rsidP="00F715D1">
      <w:pPr>
        <w:pStyle w:val="Heading1"/>
      </w:pPr>
      <w:r w:rsidRPr="00F715D1">
        <w:t>Economic evaluation</w:t>
      </w:r>
    </w:p>
    <w:p w14:paraId="6004FBC8" w14:textId="1B64C929" w:rsidR="00EE4D44" w:rsidRPr="00F62546" w:rsidRDefault="00EE4D44" w:rsidP="00EE4D44">
      <w:bookmarkStart w:id="19" w:name="_Ref379404328"/>
      <w:r w:rsidRPr="00F62546">
        <w:t>The ADAR presented a cost-minimisation analysis assessing the index procedure costs of TAVI and SAVR (</w:t>
      </w:r>
      <w:r w:rsidRPr="00F62546">
        <w:fldChar w:fldCharType="begin"/>
      </w:r>
      <w:r w:rsidRPr="00F62546">
        <w:instrText xml:space="preserve"> REF _Ref57805636 \h  \* MERGEFORMAT </w:instrText>
      </w:r>
      <w:r w:rsidRPr="00F62546">
        <w:fldChar w:fldCharType="separate"/>
      </w:r>
      <w:r w:rsidR="00C24855" w:rsidRPr="00F62546">
        <w:t xml:space="preserve">Table </w:t>
      </w:r>
      <w:r w:rsidR="00C24855">
        <w:rPr>
          <w:noProof/>
        </w:rPr>
        <w:t>10</w:t>
      </w:r>
      <w:r w:rsidRPr="00F62546">
        <w:fldChar w:fldCharType="end"/>
      </w:r>
      <w:r w:rsidRPr="00F62546">
        <w:t>). This was consistent with the clinical claim of non-inferiority and consistent with the cost-minimisation basis MSAC recommended for the high risk population at its March 2016 meeting. MSAC noted that this approach still favoured TAVI because this calculation assumes that the cost of hospitalisation will be evenly distributed across the length of the hospital stay, whereas it is known that the reductions in hospital stay are typically for the cheaper days (e.g. those which do not incur the costs of the procedure) (</w:t>
      </w:r>
      <w:hyperlink r:id="rId27" w:history="1">
        <w:r w:rsidRPr="00F62546">
          <w:rPr>
            <w:rStyle w:val="Hyperlink"/>
          </w:rPr>
          <w:t>Application 1361.2 MSAC PSD</w:t>
        </w:r>
      </w:hyperlink>
      <w:r w:rsidRPr="00F62546">
        <w:t>, p3).</w:t>
      </w:r>
    </w:p>
    <w:p w14:paraId="2BC74EAA" w14:textId="3642B72A" w:rsidR="00EE4D44" w:rsidRPr="00F62546" w:rsidRDefault="00EE4D44" w:rsidP="005B05CF">
      <w:pPr>
        <w:spacing w:before="240"/>
      </w:pPr>
      <w:r w:rsidRPr="00F62546">
        <w:t>The cost-minimisation analysis estimated a cost of $53,164 with TAVI and $58,100 with SAVR, resulting in a net saving to the health system of -$4,936 per patient.  The Commentary noted that increasing the TAVI length of hospital stay from 6.0 days to 7.1 days would result in TAVI being cost-neutral to the health system. The Commentary considered that there is potential for TAVI hospital costs to be greater than expected and increase costs to the health system. Lee (2019)</w:t>
      </w:r>
      <w:r w:rsidRPr="00F62546">
        <w:rPr>
          <w:rStyle w:val="FootnoteReference"/>
        </w:rPr>
        <w:footnoteReference w:id="14"/>
      </w:r>
      <w:r w:rsidRPr="00F62546">
        <w:t xml:space="preserve"> reported a length of stay of 7.4 ± 6.2 days in the second year of the study, a length of stay that would increase costs to the health system.</w:t>
      </w:r>
    </w:p>
    <w:p w14:paraId="59F937DB" w14:textId="6F9F1F14" w:rsidR="00EE4D44" w:rsidRPr="00F62546" w:rsidRDefault="00EE4D44" w:rsidP="00D824CD">
      <w:pPr>
        <w:pStyle w:val="Caption"/>
      </w:pPr>
      <w:bookmarkStart w:id="20" w:name="_Ref57805636"/>
      <w:r w:rsidRPr="00F62546">
        <w:lastRenderedPageBreak/>
        <w:t xml:space="preserve">Table </w:t>
      </w:r>
      <w:r w:rsidR="002F70F5">
        <w:fldChar w:fldCharType="begin"/>
      </w:r>
      <w:r w:rsidR="002F70F5">
        <w:instrText xml:space="preserve"> SEQ Table \* ARABIC </w:instrText>
      </w:r>
      <w:r w:rsidR="002F70F5">
        <w:fldChar w:fldCharType="separate"/>
      </w:r>
      <w:r w:rsidR="00C24855">
        <w:rPr>
          <w:noProof/>
        </w:rPr>
        <w:t>10</w:t>
      </w:r>
      <w:r w:rsidR="002F70F5">
        <w:rPr>
          <w:noProof/>
        </w:rPr>
        <w:fldChar w:fldCharType="end"/>
      </w:r>
      <w:bookmarkEnd w:id="20"/>
      <w:r w:rsidR="00D824CD">
        <w:tab/>
      </w:r>
      <w:r w:rsidRPr="00F62546">
        <w:t xml:space="preserve">Cost-minimisation analysis </w:t>
      </w:r>
    </w:p>
    <w:tbl>
      <w:tblPr>
        <w:tblStyle w:val="CMATableTemplate3"/>
        <w:tblW w:w="0" w:type="auto"/>
        <w:tblLook w:val="04A0" w:firstRow="1" w:lastRow="0" w:firstColumn="1" w:lastColumn="0" w:noHBand="0" w:noVBand="1"/>
        <w:tblCaption w:val="&quot;&quot;"/>
      </w:tblPr>
      <w:tblGrid>
        <w:gridCol w:w="1980"/>
        <w:gridCol w:w="992"/>
        <w:gridCol w:w="1134"/>
        <w:gridCol w:w="1418"/>
        <w:gridCol w:w="3492"/>
      </w:tblGrid>
      <w:tr w:rsidR="00EE4D44" w:rsidRPr="00EE4D44" w14:paraId="06B65C51" w14:textId="77777777" w:rsidTr="001D4246">
        <w:trPr>
          <w:tblHeader/>
        </w:trPr>
        <w:tc>
          <w:tcPr>
            <w:tcW w:w="1980" w:type="dxa"/>
            <w:tcBorders>
              <w:top w:val="single" w:sz="4" w:space="0" w:color="auto"/>
              <w:left w:val="single" w:sz="4" w:space="0" w:color="auto"/>
              <w:bottom w:val="single" w:sz="4" w:space="0" w:color="auto"/>
              <w:right w:val="single" w:sz="4" w:space="0" w:color="auto"/>
            </w:tcBorders>
            <w:vAlign w:val="center"/>
            <w:hideMark/>
          </w:tcPr>
          <w:p w14:paraId="48E0A0A1" w14:textId="77777777" w:rsidR="00EE4D44" w:rsidRPr="00EE4D44" w:rsidRDefault="00EE4D44" w:rsidP="00D824CD">
            <w:pPr>
              <w:widowControl w:val="0"/>
              <w:spacing w:before="40" w:after="40"/>
              <w:ind w:left="0"/>
              <w:rPr>
                <w:rFonts w:ascii="Arial Narrow" w:hAnsi="Arial Narrow" w:cs="Tahoma"/>
                <w:b/>
                <w:sz w:val="20"/>
              </w:rPr>
            </w:pPr>
            <w:r w:rsidRPr="00EE4D44">
              <w:rPr>
                <w:rFonts w:ascii="Arial Narrow" w:hAnsi="Arial Narrow" w:cs="Tahoma"/>
                <w:b/>
                <w:sz w:val="20"/>
              </w:rPr>
              <w:t>Cost 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7F12AF" w14:textId="77777777" w:rsidR="00EE4D44" w:rsidRPr="00EE4D44" w:rsidRDefault="00EE4D44" w:rsidP="00D824CD">
            <w:pPr>
              <w:widowControl w:val="0"/>
              <w:spacing w:before="40" w:after="40"/>
              <w:ind w:left="0" w:hanging="3"/>
              <w:jc w:val="center"/>
              <w:rPr>
                <w:rFonts w:ascii="Arial Narrow" w:hAnsi="Arial Narrow" w:cs="Tahoma"/>
                <w:b/>
                <w:sz w:val="20"/>
              </w:rPr>
            </w:pPr>
            <w:r w:rsidRPr="00EE4D44">
              <w:rPr>
                <w:rFonts w:ascii="Arial Narrow" w:hAnsi="Arial Narrow" w:cs="Tahoma"/>
                <w:b/>
                <w:sz w:val="20"/>
              </w:rPr>
              <w:t xml:space="preserve">TAVI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FCA761" w14:textId="77777777" w:rsidR="00EE4D44" w:rsidRPr="00EE4D44" w:rsidRDefault="00EE4D44" w:rsidP="00D824CD">
            <w:pPr>
              <w:widowControl w:val="0"/>
              <w:spacing w:before="40" w:after="40"/>
              <w:ind w:left="0" w:hanging="15"/>
              <w:jc w:val="center"/>
              <w:rPr>
                <w:rFonts w:ascii="Arial Narrow" w:hAnsi="Arial Narrow" w:cs="Tahoma"/>
                <w:b/>
                <w:sz w:val="20"/>
              </w:rPr>
            </w:pPr>
            <w:r w:rsidRPr="00EE4D44">
              <w:rPr>
                <w:rFonts w:ascii="Arial Narrow" w:hAnsi="Arial Narrow" w:cs="Tahoma"/>
                <w:b/>
                <w:sz w:val="20"/>
              </w:rPr>
              <w:t>SAVR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E0BFB" w14:textId="77777777" w:rsidR="00EE4D44" w:rsidRPr="00EE4D44" w:rsidRDefault="00EE4D44" w:rsidP="00D824CD">
            <w:pPr>
              <w:widowControl w:val="0"/>
              <w:spacing w:before="40" w:after="40"/>
              <w:ind w:left="0"/>
              <w:jc w:val="center"/>
              <w:rPr>
                <w:rFonts w:ascii="Arial Narrow" w:hAnsi="Arial Narrow" w:cs="Tahoma"/>
                <w:b/>
                <w:sz w:val="20"/>
              </w:rPr>
            </w:pPr>
            <w:r w:rsidRPr="00EE4D44">
              <w:rPr>
                <w:rFonts w:ascii="Arial Narrow" w:hAnsi="Arial Narrow" w:cs="Tahoma"/>
                <w:b/>
                <w:sz w:val="20"/>
              </w:rPr>
              <w:t>Difference</w:t>
            </w:r>
          </w:p>
          <w:p w14:paraId="140E6A90" w14:textId="77777777" w:rsidR="00EE4D44" w:rsidRPr="00EE4D44" w:rsidRDefault="00EE4D44" w:rsidP="00D824CD">
            <w:pPr>
              <w:widowControl w:val="0"/>
              <w:spacing w:before="40" w:after="40"/>
              <w:ind w:left="0"/>
              <w:jc w:val="center"/>
              <w:rPr>
                <w:rFonts w:ascii="Arial Narrow" w:hAnsi="Arial Narrow" w:cs="Tahoma"/>
                <w:b/>
                <w:sz w:val="20"/>
              </w:rPr>
            </w:pPr>
            <w:r w:rsidRPr="00EE4D44">
              <w:rPr>
                <w:rFonts w:ascii="Arial Narrow" w:hAnsi="Arial Narrow" w:cs="Tahoma"/>
                <w:b/>
                <w:sz w:val="20"/>
              </w:rPr>
              <w:t>(TAVI – SAVR)</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81AC9A4" w14:textId="77777777" w:rsidR="00EE4D44" w:rsidRPr="00EE4D44" w:rsidRDefault="00EE4D44" w:rsidP="00D824CD">
            <w:pPr>
              <w:widowControl w:val="0"/>
              <w:spacing w:before="40" w:after="40"/>
              <w:ind w:left="0"/>
              <w:rPr>
                <w:rFonts w:ascii="Arial Narrow" w:hAnsi="Arial Narrow" w:cs="Tahoma"/>
                <w:b/>
                <w:sz w:val="20"/>
              </w:rPr>
            </w:pPr>
            <w:r w:rsidRPr="00EE4D44">
              <w:rPr>
                <w:rFonts w:ascii="Arial Narrow" w:hAnsi="Arial Narrow" w:cs="Tahoma"/>
                <w:b/>
                <w:sz w:val="20"/>
              </w:rPr>
              <w:t>Source</w:t>
            </w:r>
          </w:p>
        </w:tc>
      </w:tr>
      <w:tr w:rsidR="00EE4D44" w:rsidRPr="00EE4D44" w14:paraId="7148B734"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1D004AB2"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TAVI Case Conference (coordination)</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3E5C24" w14:textId="77777777" w:rsidR="00EE4D44" w:rsidRPr="00EE4D44" w:rsidRDefault="00EE4D44" w:rsidP="00D824CD">
            <w:pPr>
              <w:widowControl w:val="0"/>
              <w:spacing w:before="40" w:after="40"/>
              <w:ind w:left="0" w:hanging="3"/>
              <w:jc w:val="center"/>
              <w:rPr>
                <w:rFonts w:ascii="Arial Narrow" w:hAnsi="Arial Narrow" w:cs="Tahoma"/>
                <w:i/>
                <w:sz w:val="20"/>
              </w:rPr>
            </w:pPr>
            <w:r w:rsidRPr="00EE4D44">
              <w:rPr>
                <w:rFonts w:ascii="Arial Narrow" w:hAnsi="Arial Narrow" w:cs="Tahoma"/>
                <w:i/>
                <w:sz w:val="20"/>
              </w:rPr>
              <w:t>$52.50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61A3E1" w14:textId="77777777" w:rsidR="00EE4D44" w:rsidRPr="00EE4D44" w:rsidRDefault="00EE4D44" w:rsidP="00D824CD">
            <w:pPr>
              <w:widowControl w:val="0"/>
              <w:spacing w:before="40" w:after="40"/>
              <w:ind w:left="0" w:hanging="15"/>
              <w:jc w:val="center"/>
              <w:rPr>
                <w:rFonts w:ascii="Arial Narrow" w:hAnsi="Arial Narrow" w:cs="Tahoma"/>
                <w:sz w:val="20"/>
              </w:rPr>
            </w:pPr>
            <w:r w:rsidRPr="00EE4D44">
              <w:rPr>
                <w:rFonts w:ascii="Arial Narrow" w:hAnsi="Arial Narrow" w:cs="Tahoma"/>
                <w:sz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D89733" w14:textId="77777777" w:rsidR="00EE4D44" w:rsidRPr="00EE4D44" w:rsidRDefault="00EE4D44" w:rsidP="00D824CD">
            <w:pPr>
              <w:widowControl w:val="0"/>
              <w:spacing w:before="40" w:after="40"/>
              <w:ind w:left="0"/>
              <w:jc w:val="center"/>
              <w:rPr>
                <w:rFonts w:ascii="Arial Narrow" w:hAnsi="Arial Narrow" w:cs="Tahoma"/>
                <w:i/>
                <w:sz w:val="20"/>
              </w:rPr>
            </w:pPr>
            <w:r w:rsidRPr="00EE4D44">
              <w:rPr>
                <w:rFonts w:ascii="Arial Narrow" w:hAnsi="Arial Narrow" w:cs="Tahoma"/>
                <w:i/>
                <w:sz w:val="20"/>
              </w:rPr>
              <w:t>$52.50</w:t>
            </w:r>
          </w:p>
        </w:tc>
        <w:tc>
          <w:tcPr>
            <w:tcW w:w="3492" w:type="dxa"/>
            <w:tcBorders>
              <w:top w:val="single" w:sz="4" w:space="0" w:color="auto"/>
              <w:left w:val="single" w:sz="4" w:space="0" w:color="auto"/>
              <w:bottom w:val="single" w:sz="4" w:space="0" w:color="auto"/>
              <w:right w:val="single" w:sz="4" w:space="0" w:color="auto"/>
            </w:tcBorders>
            <w:vAlign w:val="center"/>
            <w:hideMark/>
          </w:tcPr>
          <w:p w14:paraId="122D5CAB"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MBS item 6080</w:t>
            </w:r>
          </w:p>
        </w:tc>
      </w:tr>
      <w:tr w:rsidR="00EE4D44" w:rsidRPr="00EE4D44" w14:paraId="1F78FA62"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0DA930BE"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 xml:space="preserve">TAVI Case Conference </w:t>
            </w:r>
          </w:p>
          <w:p w14:paraId="2EBF9D66"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(attendance × 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062AA0" w14:textId="77777777" w:rsidR="00EE4D44" w:rsidRPr="00EE4D44" w:rsidRDefault="00EE4D44" w:rsidP="00D824CD">
            <w:pPr>
              <w:widowControl w:val="0"/>
              <w:spacing w:before="40" w:after="40"/>
              <w:ind w:left="0" w:hanging="3"/>
              <w:jc w:val="center"/>
              <w:rPr>
                <w:rFonts w:ascii="Arial Narrow" w:hAnsi="Arial Narrow" w:cs="Tahoma"/>
                <w:i/>
                <w:sz w:val="20"/>
              </w:rPr>
            </w:pPr>
            <w:r w:rsidRPr="00EE4D44">
              <w:rPr>
                <w:rFonts w:ascii="Arial Narrow" w:hAnsi="Arial Narrow" w:cs="Tahoma"/>
                <w:i/>
                <w:sz w:val="20"/>
              </w:rPr>
              <w:t>$117.45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DE40F" w14:textId="77777777" w:rsidR="00EE4D44" w:rsidRPr="00EE4D44" w:rsidRDefault="00EE4D44" w:rsidP="00D824CD">
            <w:pPr>
              <w:widowControl w:val="0"/>
              <w:spacing w:before="40" w:after="40"/>
              <w:ind w:left="0" w:hanging="15"/>
              <w:jc w:val="center"/>
              <w:rPr>
                <w:rFonts w:ascii="Arial Narrow" w:hAnsi="Arial Narrow" w:cs="Tahoma"/>
                <w:sz w:val="20"/>
              </w:rPr>
            </w:pPr>
            <w:r w:rsidRPr="00EE4D44">
              <w:rPr>
                <w:rFonts w:ascii="Arial Narrow" w:hAnsi="Arial Narrow" w:cs="Tahoma"/>
                <w:sz w:val="20"/>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430C89"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i/>
                <w:sz w:val="20"/>
              </w:rPr>
              <w:t>$117.45</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244ABA1"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 xml:space="preserve">Total fee for MBS item 6081 </w:t>
            </w:r>
            <w:r w:rsidRPr="00EE4D44">
              <w:rPr>
                <w:rFonts w:ascii="Arial Narrow" w:hAnsi="Arial Narrow" w:cstheme="minorHAnsi"/>
                <w:sz w:val="20"/>
              </w:rPr>
              <w:t>×</w:t>
            </w:r>
            <w:r w:rsidRPr="00EE4D44">
              <w:rPr>
                <w:rFonts w:ascii="Arial Narrow" w:hAnsi="Arial Narrow" w:cs="Tahoma"/>
                <w:sz w:val="20"/>
              </w:rPr>
              <w:t xml:space="preserve"> 3 attendees</w:t>
            </w:r>
          </w:p>
        </w:tc>
      </w:tr>
      <w:tr w:rsidR="00EE4D44" w:rsidRPr="00EE4D44" w14:paraId="2CA947B4"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7F2A5299"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Prosthesis</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AFB5FD" w14:textId="77777777" w:rsidR="00EE4D44" w:rsidRPr="00EE4D44" w:rsidRDefault="00EE4D44" w:rsidP="00D824CD">
            <w:pPr>
              <w:widowControl w:val="0"/>
              <w:spacing w:before="40" w:after="40"/>
              <w:ind w:left="0" w:hanging="3"/>
              <w:jc w:val="center"/>
              <w:rPr>
                <w:rFonts w:ascii="Arial Narrow" w:hAnsi="Arial Narrow" w:cs="Tahoma"/>
                <w:sz w:val="20"/>
              </w:rPr>
            </w:pPr>
            <w:r w:rsidRPr="00EE4D44">
              <w:rPr>
                <w:rFonts w:ascii="Arial Narrow" w:hAnsi="Arial Narrow" w:cs="Tahoma"/>
                <w:sz w:val="20"/>
              </w:rPr>
              <w:t>$22,932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E56EE0" w14:textId="77777777" w:rsidR="00EE4D44" w:rsidRPr="00EE4D44" w:rsidRDefault="00EE4D44" w:rsidP="00D824CD">
            <w:pPr>
              <w:widowControl w:val="0"/>
              <w:spacing w:before="40" w:after="40"/>
              <w:ind w:left="0" w:hanging="15"/>
              <w:jc w:val="center"/>
              <w:rPr>
                <w:rFonts w:ascii="Arial Narrow" w:hAnsi="Arial Narrow" w:cs="Tahoma"/>
                <w:sz w:val="20"/>
              </w:rPr>
            </w:pPr>
            <w:r w:rsidRPr="00EE4D44">
              <w:rPr>
                <w:rFonts w:ascii="Arial Narrow" w:hAnsi="Arial Narrow" w:cs="Tahoma"/>
                <w:sz w:val="20"/>
              </w:rPr>
              <w:t>$7,099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CDB312F"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$15,833</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FFABF8E"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 xml:space="preserve">TAVI: Prosthesis List benefit </w:t>
            </w:r>
          </w:p>
          <w:p w14:paraId="21935825"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SAVR: average prostheses cost for cardiac valve procedure DRGs</w:t>
            </w:r>
          </w:p>
        </w:tc>
      </w:tr>
      <w:tr w:rsidR="00EE4D44" w:rsidRPr="00EE4D44" w14:paraId="089C59D5"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75308A12"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Procedure</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DD1E4" w14:textId="77777777" w:rsidR="00EE4D44" w:rsidRPr="00EE4D44" w:rsidRDefault="00EE4D44" w:rsidP="00D824CD">
            <w:pPr>
              <w:widowControl w:val="0"/>
              <w:spacing w:before="40" w:after="40"/>
              <w:ind w:left="0" w:hanging="3"/>
              <w:jc w:val="center"/>
              <w:rPr>
                <w:rFonts w:ascii="Arial Narrow" w:hAnsi="Arial Narrow" w:cs="Tahoma"/>
                <w:i/>
                <w:sz w:val="20"/>
              </w:rPr>
            </w:pPr>
            <w:r w:rsidRPr="00EE4D44">
              <w:rPr>
                <w:rFonts w:ascii="Arial Narrow" w:hAnsi="Arial Narrow" w:cs="Tahoma"/>
                <w:i/>
                <w:sz w:val="20"/>
              </w:rPr>
              <w:t>$1,476.95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DA13B0" w14:textId="77777777" w:rsidR="00EE4D44" w:rsidRPr="00EE4D44" w:rsidRDefault="00EE4D44" w:rsidP="00D824CD">
            <w:pPr>
              <w:widowControl w:val="0"/>
              <w:spacing w:before="40" w:after="40"/>
              <w:ind w:left="0" w:hanging="15"/>
              <w:jc w:val="center"/>
              <w:rPr>
                <w:rFonts w:ascii="Arial Narrow" w:hAnsi="Arial Narrow" w:cs="Tahoma"/>
                <w:i/>
                <w:sz w:val="20"/>
              </w:rPr>
            </w:pPr>
            <w:r w:rsidRPr="00EE4D44">
              <w:rPr>
                <w:rFonts w:ascii="Arial Narrow" w:hAnsi="Arial Narrow" w:cs="Tahoma"/>
                <w:i/>
                <w:sz w:val="20"/>
              </w:rPr>
              <w:t>$1,969.25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20414"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-$485</w:t>
            </w:r>
          </w:p>
        </w:tc>
        <w:tc>
          <w:tcPr>
            <w:tcW w:w="3492" w:type="dxa"/>
            <w:tcBorders>
              <w:top w:val="single" w:sz="4" w:space="0" w:color="auto"/>
              <w:left w:val="single" w:sz="4" w:space="0" w:color="auto"/>
              <w:bottom w:val="single" w:sz="4" w:space="0" w:color="auto"/>
              <w:right w:val="single" w:sz="4" w:space="0" w:color="auto"/>
            </w:tcBorders>
            <w:vAlign w:val="center"/>
            <w:hideMark/>
          </w:tcPr>
          <w:p w14:paraId="40D3557F"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TAVI: MBS item 38495</w:t>
            </w:r>
          </w:p>
          <w:p w14:paraId="0683C800"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SAVR: MBS item 38488</w:t>
            </w:r>
          </w:p>
        </w:tc>
      </w:tr>
      <w:tr w:rsidR="00EE4D44" w:rsidRPr="00EE4D44" w14:paraId="3B56A3B5"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712EEBD6"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Assistant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1A5812" w14:textId="77777777" w:rsidR="00EE4D44" w:rsidRPr="00EE4D44" w:rsidRDefault="00EE4D44" w:rsidP="00D824CD">
            <w:pPr>
              <w:widowControl w:val="0"/>
              <w:spacing w:before="40" w:after="40"/>
              <w:ind w:left="0" w:hanging="3"/>
              <w:jc w:val="center"/>
              <w:rPr>
                <w:rFonts w:ascii="Arial Narrow" w:hAnsi="Arial Narrow" w:cs="Tahoma"/>
                <w:i/>
                <w:sz w:val="20"/>
              </w:rPr>
            </w:pPr>
            <w:r w:rsidRPr="00EE4D44">
              <w:rPr>
                <w:rFonts w:ascii="Arial Narrow" w:hAnsi="Arial Narrow" w:cs="Tahoma"/>
                <w:i/>
                <w:sz w:val="20"/>
              </w:rPr>
              <w:t>$295.39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17098" w14:textId="77777777" w:rsidR="00EE4D44" w:rsidRPr="00EE4D44" w:rsidRDefault="00EE4D44" w:rsidP="00D824CD">
            <w:pPr>
              <w:widowControl w:val="0"/>
              <w:spacing w:before="40" w:after="40"/>
              <w:ind w:left="0" w:hanging="15"/>
              <w:jc w:val="center"/>
              <w:rPr>
                <w:rFonts w:ascii="Arial Narrow" w:hAnsi="Arial Narrow" w:cs="Tahoma"/>
                <w:i/>
                <w:sz w:val="20"/>
              </w:rPr>
            </w:pPr>
            <w:r w:rsidRPr="00EE4D44">
              <w:rPr>
                <w:rFonts w:ascii="Arial Narrow" w:hAnsi="Arial Narrow" w:cs="Tahoma"/>
                <w:i/>
                <w:sz w:val="20"/>
              </w:rPr>
              <w:t>$393.85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39710E" w14:textId="77777777" w:rsidR="00EE4D44" w:rsidRPr="00EE4D44" w:rsidRDefault="00EE4D44" w:rsidP="00D824CD">
            <w:pPr>
              <w:widowControl w:val="0"/>
              <w:spacing w:before="40" w:after="40"/>
              <w:ind w:left="0"/>
              <w:jc w:val="center"/>
              <w:rPr>
                <w:rFonts w:ascii="Arial Narrow" w:hAnsi="Arial Narrow" w:cs="Tahoma"/>
                <w:i/>
                <w:sz w:val="20"/>
              </w:rPr>
            </w:pPr>
            <w:r w:rsidRPr="00EE4D44">
              <w:rPr>
                <w:rFonts w:ascii="Arial Narrow" w:hAnsi="Arial Narrow" w:cs="Tahoma"/>
                <w:i/>
                <w:sz w:val="20"/>
              </w:rPr>
              <w:t>-$98.46</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5B2E70D" w14:textId="77777777" w:rsidR="00EE4D44" w:rsidRPr="00EE4D44" w:rsidRDefault="00D824CD" w:rsidP="00D824CD">
            <w:pPr>
              <w:widowControl w:val="0"/>
              <w:spacing w:before="40" w:after="40"/>
              <w:ind w:left="0"/>
              <w:rPr>
                <w:rFonts w:ascii="Arial Narrow" w:hAnsi="Arial Narrow" w:cs="Tahoma"/>
                <w:sz w:val="20"/>
              </w:rPr>
            </w:pPr>
            <w:r>
              <w:rPr>
                <w:rFonts w:ascii="Arial Narrow" w:hAnsi="Arial Narrow" w:cs="Tahoma"/>
                <w:sz w:val="20"/>
              </w:rPr>
              <w:t xml:space="preserve">MBS item 51303 </w:t>
            </w:r>
            <w:r w:rsidR="00EE4D44" w:rsidRPr="00EE4D44">
              <w:rPr>
                <w:rFonts w:ascii="Arial Narrow" w:hAnsi="Arial Narrow" w:cs="Tahoma"/>
                <w:sz w:val="20"/>
              </w:rPr>
              <w:t>(20% of procedure fee)</w:t>
            </w:r>
          </w:p>
        </w:tc>
      </w:tr>
      <w:tr w:rsidR="00EE4D44" w:rsidRPr="00EE4D44" w14:paraId="1F78AB99"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05D32342"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Anaesthesia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FC5FEA" w14:textId="77777777" w:rsidR="00EE4D44" w:rsidRPr="00EE4D44" w:rsidRDefault="00EE4D44" w:rsidP="00D824CD">
            <w:pPr>
              <w:widowControl w:val="0"/>
              <w:spacing w:before="40" w:after="40"/>
              <w:ind w:left="0" w:hanging="3"/>
              <w:jc w:val="center"/>
              <w:rPr>
                <w:rFonts w:ascii="Arial Narrow" w:hAnsi="Arial Narrow" w:cs="Tahoma"/>
                <w:i/>
                <w:sz w:val="20"/>
              </w:rPr>
            </w:pPr>
            <w:r w:rsidRPr="00EE4D44">
              <w:rPr>
                <w:rFonts w:ascii="Arial Narrow" w:hAnsi="Arial Narrow" w:cs="Tahoma"/>
                <w:i/>
                <w:sz w:val="20"/>
              </w:rPr>
              <w:t>$121.40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F84BAE" w14:textId="77777777" w:rsidR="00EE4D44" w:rsidRPr="00EE4D44" w:rsidRDefault="00EE4D44" w:rsidP="00D824CD">
            <w:pPr>
              <w:widowControl w:val="0"/>
              <w:spacing w:before="40" w:after="40"/>
              <w:ind w:left="0" w:hanging="15"/>
              <w:jc w:val="center"/>
              <w:rPr>
                <w:rFonts w:ascii="Arial Narrow" w:hAnsi="Arial Narrow" w:cs="Tahoma"/>
                <w:i/>
                <w:sz w:val="20"/>
              </w:rPr>
            </w:pPr>
            <w:r w:rsidRPr="00EE4D44">
              <w:rPr>
                <w:rFonts w:ascii="Arial Narrow" w:hAnsi="Arial Narrow" w:cs="Tahoma"/>
                <w:i/>
                <w:sz w:val="20"/>
              </w:rPr>
              <w:t>$387.60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7C2A7A" w14:textId="77777777" w:rsidR="00EE4D44" w:rsidRPr="00EE4D44" w:rsidRDefault="00EE4D44" w:rsidP="00D824CD">
            <w:pPr>
              <w:widowControl w:val="0"/>
              <w:spacing w:before="40" w:after="40"/>
              <w:ind w:left="0"/>
              <w:jc w:val="center"/>
              <w:rPr>
                <w:rFonts w:ascii="Arial Narrow" w:hAnsi="Arial Narrow" w:cs="Tahoma"/>
                <w:i/>
                <w:sz w:val="20"/>
              </w:rPr>
            </w:pPr>
            <w:r w:rsidRPr="00EE4D44">
              <w:rPr>
                <w:rFonts w:ascii="Arial Narrow" w:hAnsi="Arial Narrow" w:cs="Tahoma"/>
                <w:i/>
                <w:sz w:val="20"/>
              </w:rPr>
              <w:t>-$267.20</w:t>
            </w:r>
          </w:p>
        </w:tc>
        <w:tc>
          <w:tcPr>
            <w:tcW w:w="3492" w:type="dxa"/>
            <w:tcBorders>
              <w:top w:val="single" w:sz="4" w:space="0" w:color="auto"/>
              <w:left w:val="single" w:sz="4" w:space="0" w:color="auto"/>
              <w:bottom w:val="single" w:sz="4" w:space="0" w:color="auto"/>
              <w:right w:val="single" w:sz="4" w:space="0" w:color="auto"/>
            </w:tcBorders>
            <w:vAlign w:val="center"/>
            <w:hideMark/>
          </w:tcPr>
          <w:p w14:paraId="5D76631C"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TAVI: MBS item 23065</w:t>
            </w:r>
          </w:p>
          <w:p w14:paraId="21C50C61"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SAVR: MBS item 23119</w:t>
            </w:r>
          </w:p>
        </w:tc>
      </w:tr>
      <w:tr w:rsidR="00EE4D44" w:rsidRPr="00EE4D44" w14:paraId="117B1952"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735BD58F" w14:textId="77777777" w:rsidR="00EE4D44" w:rsidRPr="00EE4D44" w:rsidRDefault="00EE4D44" w:rsidP="00D824CD">
            <w:pPr>
              <w:widowControl w:val="0"/>
              <w:spacing w:before="40" w:after="40"/>
              <w:ind w:left="0"/>
              <w:rPr>
                <w:rFonts w:ascii="Arial Narrow" w:hAnsi="Arial Narrow" w:cs="Tahoma"/>
                <w:sz w:val="20"/>
              </w:rPr>
            </w:pPr>
            <w:proofErr w:type="spellStart"/>
            <w:r w:rsidRPr="00EE4D44">
              <w:rPr>
                <w:rFonts w:ascii="Arial Narrow" w:hAnsi="Arial Narrow" w:cs="Tahoma"/>
                <w:sz w:val="20"/>
              </w:rPr>
              <w:t>Perfusionist</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51CCC02" w14:textId="77777777" w:rsidR="00EE4D44" w:rsidRPr="00EE4D44" w:rsidRDefault="00EE4D44" w:rsidP="00D824CD">
            <w:pPr>
              <w:widowControl w:val="0"/>
              <w:spacing w:before="40" w:after="40"/>
              <w:ind w:left="0" w:hanging="3"/>
              <w:jc w:val="center"/>
              <w:rPr>
                <w:rFonts w:ascii="Arial Narrow" w:hAnsi="Arial Narrow" w:cs="Tahoma"/>
                <w:sz w:val="20"/>
              </w:rPr>
            </w:pPr>
            <w:r w:rsidRPr="00EE4D44">
              <w:rPr>
                <w:rFonts w:ascii="Arial Narrow" w:hAnsi="Arial Narrow" w:cs="Tahoma"/>
                <w:sz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B2258" w14:textId="77777777" w:rsidR="00EE4D44" w:rsidRPr="00EE4D44" w:rsidRDefault="00EE4D44" w:rsidP="00D824CD">
            <w:pPr>
              <w:widowControl w:val="0"/>
              <w:spacing w:before="40" w:after="40"/>
              <w:ind w:left="0" w:hanging="15"/>
              <w:jc w:val="center"/>
              <w:rPr>
                <w:rFonts w:ascii="Arial Narrow" w:hAnsi="Arial Narrow" w:cs="Tahoma"/>
                <w:sz w:val="20"/>
              </w:rPr>
            </w:pPr>
            <w:r w:rsidRPr="00EE4D44">
              <w:rPr>
                <w:rFonts w:ascii="Arial Narrow" w:hAnsi="Arial Narrow" w:cs="Tahoma"/>
                <w:sz w:val="20"/>
              </w:rPr>
              <w:t>$408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17DF4"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-$408</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67A00BD"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MBS item 22060</w:t>
            </w:r>
          </w:p>
        </w:tc>
      </w:tr>
      <w:tr w:rsidR="00EE4D44" w:rsidRPr="00EE4D44" w14:paraId="7EC23933"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3A871D48"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 xml:space="preserve">Hospitalisation </w:t>
            </w:r>
          </w:p>
          <w:p w14:paraId="6C7B195D"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(per day)</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14:paraId="4988E631"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$4,660</w:t>
            </w:r>
          </w:p>
        </w:tc>
        <w:tc>
          <w:tcPr>
            <w:tcW w:w="3492" w:type="dxa"/>
            <w:tcBorders>
              <w:top w:val="single" w:sz="4" w:space="0" w:color="auto"/>
              <w:left w:val="single" w:sz="4" w:space="0" w:color="auto"/>
              <w:bottom w:val="single" w:sz="4" w:space="0" w:color="auto"/>
              <w:right w:val="single" w:sz="4" w:space="0" w:color="auto"/>
            </w:tcBorders>
            <w:vAlign w:val="center"/>
            <w:hideMark/>
          </w:tcPr>
          <w:p w14:paraId="23F3C4BD"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Average daily cost for cardiac valve procedure excluding prostheses</w:t>
            </w:r>
          </w:p>
          <w:p w14:paraId="59CF3F74"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(DRG codes: F04A, F04B and F04C)</w:t>
            </w:r>
          </w:p>
        </w:tc>
      </w:tr>
      <w:tr w:rsidR="00EE4D44" w:rsidRPr="00EE4D44" w14:paraId="1A4C6EEA"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7C196797"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Mean length of stay (days)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A7F4AD" w14:textId="77777777" w:rsidR="00EE4D44" w:rsidRPr="00EE4D44" w:rsidRDefault="00EE4D44" w:rsidP="00D824CD">
            <w:pPr>
              <w:widowControl w:val="0"/>
              <w:spacing w:before="40" w:after="40"/>
              <w:ind w:left="0" w:hanging="52"/>
              <w:jc w:val="center"/>
              <w:rPr>
                <w:rFonts w:ascii="Arial Narrow" w:hAnsi="Arial Narrow" w:cs="Tahoma"/>
                <w:sz w:val="20"/>
              </w:rPr>
            </w:pPr>
            <w:r w:rsidRPr="00EE4D44">
              <w:rPr>
                <w:rFonts w:ascii="Arial Narrow" w:hAnsi="Arial Narrow" w:cs="Tahoma"/>
                <w:sz w:val="20"/>
              </w:rPr>
              <w:t>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2958C"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10.3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0FE9B6" w14:textId="77777777" w:rsidR="00EE4D44" w:rsidRPr="00EE4D44" w:rsidRDefault="00EE4D44" w:rsidP="00D824CD">
            <w:pPr>
              <w:widowControl w:val="0"/>
              <w:spacing w:before="40" w:after="40"/>
              <w:ind w:left="0"/>
              <w:jc w:val="center"/>
              <w:rPr>
                <w:rFonts w:ascii="Arial Narrow" w:hAnsi="Arial Narrow" w:cs="Tahoma"/>
                <w:sz w:val="20"/>
                <w:vertAlign w:val="superscript"/>
              </w:rPr>
            </w:pPr>
            <w:r w:rsidRPr="00EE4D44">
              <w:rPr>
                <w:rFonts w:ascii="Arial Narrow" w:hAnsi="Arial Narrow" w:cs="Tahoma"/>
                <w:sz w:val="20"/>
              </w:rPr>
              <w:t>-4.2</w:t>
            </w:r>
            <w:r w:rsidRPr="00EE4D44">
              <w:rPr>
                <w:rFonts w:ascii="Arial Narrow" w:hAnsi="Arial Narrow" w:cs="Tahoma"/>
                <w:sz w:val="20"/>
                <w:vertAlign w:val="superscript"/>
              </w:rPr>
              <w:t>a</w:t>
            </w:r>
          </w:p>
        </w:tc>
        <w:tc>
          <w:tcPr>
            <w:tcW w:w="3492" w:type="dxa"/>
            <w:tcBorders>
              <w:top w:val="single" w:sz="4" w:space="0" w:color="auto"/>
              <w:left w:val="single" w:sz="4" w:space="0" w:color="auto"/>
              <w:bottom w:val="single" w:sz="4" w:space="0" w:color="auto"/>
              <w:right w:val="single" w:sz="4" w:space="0" w:color="auto"/>
            </w:tcBorders>
            <w:vAlign w:val="center"/>
            <w:hideMark/>
          </w:tcPr>
          <w:p w14:paraId="7985BA63"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PARTNER 2A and SURTAVI studies (see Section B.6.2 of this ADAR)</w:t>
            </w:r>
          </w:p>
        </w:tc>
      </w:tr>
      <w:tr w:rsidR="00EE4D44" w:rsidRPr="00EE4D44" w14:paraId="2A0A49FD"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0147BFBC"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Hospital stay</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932FAB" w14:textId="77777777" w:rsidR="00EE4D44" w:rsidRPr="00EE4D44" w:rsidRDefault="00EE4D44" w:rsidP="00D824CD">
            <w:pPr>
              <w:widowControl w:val="0"/>
              <w:spacing w:before="40" w:after="40"/>
              <w:ind w:left="0" w:hanging="52"/>
              <w:jc w:val="center"/>
              <w:rPr>
                <w:rFonts w:ascii="Arial Narrow" w:hAnsi="Arial Narrow" w:cs="Tahoma"/>
                <w:sz w:val="20"/>
              </w:rPr>
            </w:pPr>
            <w:r w:rsidRPr="00EE4D44">
              <w:rPr>
                <w:rFonts w:ascii="Arial Narrow" w:hAnsi="Arial Narrow" w:cs="Tahoma"/>
                <w:sz w:val="20"/>
              </w:rPr>
              <w:t>$28,170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987896"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$47,843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56B9AE" w14:textId="77777777" w:rsidR="00EE4D44" w:rsidRPr="00EE4D44" w:rsidRDefault="00EE4D44" w:rsidP="00D824CD">
            <w:pPr>
              <w:widowControl w:val="0"/>
              <w:spacing w:before="40" w:after="40"/>
              <w:ind w:left="0"/>
              <w:jc w:val="center"/>
              <w:rPr>
                <w:rFonts w:ascii="Arial Narrow" w:hAnsi="Arial Narrow" w:cs="Tahoma"/>
                <w:sz w:val="20"/>
              </w:rPr>
            </w:pPr>
            <w:r w:rsidRPr="00EE4D44">
              <w:rPr>
                <w:rFonts w:ascii="Arial Narrow" w:hAnsi="Arial Narrow" w:cs="Tahoma"/>
                <w:sz w:val="20"/>
              </w:rPr>
              <w:t>-$19,673</w:t>
            </w:r>
          </w:p>
        </w:tc>
        <w:tc>
          <w:tcPr>
            <w:tcW w:w="3492" w:type="dxa"/>
            <w:tcBorders>
              <w:top w:val="single" w:sz="4" w:space="0" w:color="auto"/>
              <w:left w:val="single" w:sz="4" w:space="0" w:color="auto"/>
              <w:bottom w:val="single" w:sz="4" w:space="0" w:color="auto"/>
              <w:right w:val="single" w:sz="4" w:space="0" w:color="auto"/>
            </w:tcBorders>
            <w:vAlign w:val="center"/>
            <w:hideMark/>
          </w:tcPr>
          <w:p w14:paraId="071E21FB" w14:textId="77777777" w:rsidR="00EE4D44" w:rsidRPr="00EE4D44" w:rsidRDefault="00EE4D44" w:rsidP="00D824CD">
            <w:pPr>
              <w:widowControl w:val="0"/>
              <w:spacing w:before="40" w:after="40"/>
              <w:ind w:left="0"/>
              <w:rPr>
                <w:rFonts w:ascii="Arial Narrow" w:hAnsi="Arial Narrow" w:cs="Tahoma"/>
                <w:sz w:val="20"/>
              </w:rPr>
            </w:pPr>
            <w:r w:rsidRPr="00EE4D44">
              <w:rPr>
                <w:rFonts w:ascii="Arial Narrow" w:hAnsi="Arial Narrow" w:cs="Tahoma"/>
                <w:sz w:val="20"/>
              </w:rPr>
              <w:t>Cost per day × length of stay</w:t>
            </w:r>
          </w:p>
        </w:tc>
      </w:tr>
      <w:tr w:rsidR="00EE4D44" w:rsidRPr="00EE4D44" w14:paraId="1BC23D30" w14:textId="77777777" w:rsidTr="001D4246">
        <w:tc>
          <w:tcPr>
            <w:tcW w:w="1980" w:type="dxa"/>
            <w:tcBorders>
              <w:top w:val="single" w:sz="4" w:space="0" w:color="auto"/>
              <w:left w:val="single" w:sz="4" w:space="0" w:color="auto"/>
              <w:bottom w:val="single" w:sz="4" w:space="0" w:color="auto"/>
              <w:right w:val="single" w:sz="4" w:space="0" w:color="auto"/>
            </w:tcBorders>
            <w:vAlign w:val="center"/>
            <w:hideMark/>
          </w:tcPr>
          <w:p w14:paraId="67C54467" w14:textId="77777777" w:rsidR="00EE4D44" w:rsidRPr="00EE4D44" w:rsidRDefault="00EE4D44" w:rsidP="00D824CD">
            <w:pPr>
              <w:widowControl w:val="0"/>
              <w:spacing w:before="40" w:after="40"/>
              <w:ind w:left="0"/>
              <w:rPr>
                <w:rFonts w:ascii="Arial Narrow" w:hAnsi="Arial Narrow" w:cs="Tahoma"/>
                <w:b/>
                <w:i/>
                <w:sz w:val="20"/>
              </w:rPr>
            </w:pPr>
            <w:r w:rsidRPr="00EE4D44">
              <w:rPr>
                <w:rFonts w:ascii="Arial Narrow" w:hAnsi="Arial Narrow" w:cs="Tahoma"/>
                <w:b/>
                <w:i/>
                <w:sz w:val="20"/>
              </w:rPr>
              <w:t>Total cost (revised)</w:t>
            </w:r>
          </w:p>
        </w:tc>
        <w:tc>
          <w:tcPr>
            <w:tcW w:w="992" w:type="dxa"/>
            <w:tcBorders>
              <w:top w:val="single" w:sz="4" w:space="0" w:color="auto"/>
              <w:left w:val="single" w:sz="4" w:space="0" w:color="auto"/>
              <w:bottom w:val="single" w:sz="4" w:space="0" w:color="auto"/>
              <w:right w:val="single" w:sz="4" w:space="0" w:color="auto"/>
            </w:tcBorders>
            <w:vAlign w:val="bottom"/>
            <w:hideMark/>
          </w:tcPr>
          <w:p w14:paraId="15DE06ED" w14:textId="77777777" w:rsidR="00EE4D44" w:rsidRPr="00EE4D44" w:rsidRDefault="00EE4D44" w:rsidP="00D824CD">
            <w:pPr>
              <w:widowControl w:val="0"/>
              <w:spacing w:before="40" w:after="40"/>
              <w:ind w:left="0" w:hanging="52"/>
              <w:jc w:val="center"/>
              <w:rPr>
                <w:rFonts w:ascii="Arial Narrow" w:hAnsi="Arial Narrow" w:cs="Tahoma"/>
                <w:b/>
                <w:i/>
                <w:sz w:val="20"/>
              </w:rPr>
            </w:pPr>
            <w:r w:rsidRPr="00EE4D44">
              <w:rPr>
                <w:rFonts w:ascii="Arial Narrow" w:hAnsi="Arial Narrow" w:cs="Tahoma"/>
                <w:b/>
                <w:i/>
                <w:sz w:val="20"/>
              </w:rPr>
              <w:t>$53,164</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1BC6DF8" w14:textId="77777777" w:rsidR="00EE4D44" w:rsidRPr="00EE4D44" w:rsidRDefault="00EE4D44" w:rsidP="00D824CD">
            <w:pPr>
              <w:widowControl w:val="0"/>
              <w:spacing w:before="40" w:after="40"/>
              <w:ind w:left="0"/>
              <w:jc w:val="center"/>
              <w:rPr>
                <w:rFonts w:ascii="Arial Narrow" w:hAnsi="Arial Narrow" w:cs="Tahoma"/>
                <w:b/>
                <w:i/>
                <w:sz w:val="20"/>
              </w:rPr>
            </w:pPr>
            <w:r w:rsidRPr="00EE4D44">
              <w:rPr>
                <w:rFonts w:ascii="Arial Narrow" w:hAnsi="Arial Narrow" w:cs="Tahoma"/>
                <w:b/>
                <w:i/>
                <w:sz w:val="20"/>
              </w:rPr>
              <w:t>$58,100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4D37B97" w14:textId="77777777" w:rsidR="00EE4D44" w:rsidRPr="00EE4D44" w:rsidRDefault="00EE4D44" w:rsidP="00D824CD">
            <w:pPr>
              <w:widowControl w:val="0"/>
              <w:spacing w:before="40" w:after="40"/>
              <w:ind w:left="0"/>
              <w:jc w:val="center"/>
              <w:rPr>
                <w:rFonts w:ascii="Arial Narrow" w:hAnsi="Arial Narrow" w:cs="Tahoma"/>
                <w:b/>
                <w:i/>
                <w:sz w:val="20"/>
              </w:rPr>
            </w:pPr>
          </w:p>
        </w:tc>
        <w:tc>
          <w:tcPr>
            <w:tcW w:w="3492" w:type="dxa"/>
            <w:tcBorders>
              <w:top w:val="single" w:sz="4" w:space="0" w:color="auto"/>
              <w:left w:val="single" w:sz="4" w:space="0" w:color="auto"/>
              <w:bottom w:val="single" w:sz="4" w:space="0" w:color="auto"/>
              <w:right w:val="single" w:sz="4" w:space="0" w:color="auto"/>
            </w:tcBorders>
            <w:vAlign w:val="center"/>
            <w:hideMark/>
          </w:tcPr>
          <w:p w14:paraId="3039280D" w14:textId="77777777" w:rsidR="00EE4D44" w:rsidRPr="00EE4D44" w:rsidRDefault="00EE4D44" w:rsidP="00D824CD">
            <w:pPr>
              <w:widowControl w:val="0"/>
              <w:spacing w:before="40" w:after="40"/>
              <w:ind w:left="0"/>
              <w:rPr>
                <w:rFonts w:ascii="Arial Narrow" w:hAnsi="Arial Narrow" w:cs="Tahoma"/>
                <w:b/>
                <w:i/>
                <w:sz w:val="20"/>
              </w:rPr>
            </w:pPr>
            <w:r w:rsidRPr="00EE4D44">
              <w:rPr>
                <w:rFonts w:ascii="Arial Narrow" w:hAnsi="Arial Narrow" w:cs="Tahoma"/>
                <w:b/>
                <w:i/>
                <w:sz w:val="20"/>
              </w:rPr>
              <w:t>Calculated during the evaluation</w:t>
            </w:r>
          </w:p>
        </w:tc>
      </w:tr>
      <w:tr w:rsidR="00EE4D44" w:rsidRPr="00EE4D44" w14:paraId="74081A1D" w14:textId="77777777" w:rsidTr="001D4246">
        <w:tc>
          <w:tcPr>
            <w:tcW w:w="1980" w:type="dxa"/>
            <w:tcBorders>
              <w:top w:val="single" w:sz="4" w:space="0" w:color="auto"/>
              <w:left w:val="single" w:sz="4" w:space="0" w:color="auto"/>
              <w:bottom w:val="single" w:sz="4" w:space="0" w:color="auto"/>
              <w:right w:val="single" w:sz="4" w:space="0" w:color="auto"/>
            </w:tcBorders>
            <w:vAlign w:val="center"/>
          </w:tcPr>
          <w:p w14:paraId="05B21257" w14:textId="77777777" w:rsidR="00EE4D44" w:rsidRPr="00EE4D44" w:rsidRDefault="00EE4D44" w:rsidP="00D824CD">
            <w:pPr>
              <w:widowControl w:val="0"/>
              <w:spacing w:before="40" w:after="40"/>
              <w:ind w:left="0"/>
              <w:rPr>
                <w:rFonts w:ascii="Arial Narrow" w:hAnsi="Arial Narrow" w:cs="Tahoma"/>
                <w:b/>
                <w:sz w:val="20"/>
              </w:rPr>
            </w:pPr>
            <w:r w:rsidRPr="00EE4D44">
              <w:rPr>
                <w:rFonts w:ascii="Arial Narrow" w:hAnsi="Arial Narrow" w:cs="Tahoma"/>
                <w:b/>
                <w:sz w:val="20"/>
              </w:rPr>
              <w:t>Total cost (ADAR)</w:t>
            </w:r>
          </w:p>
        </w:tc>
        <w:tc>
          <w:tcPr>
            <w:tcW w:w="992" w:type="dxa"/>
            <w:tcBorders>
              <w:top w:val="single" w:sz="4" w:space="0" w:color="auto"/>
              <w:left w:val="single" w:sz="4" w:space="0" w:color="auto"/>
              <w:bottom w:val="single" w:sz="4" w:space="0" w:color="auto"/>
              <w:right w:val="single" w:sz="4" w:space="0" w:color="auto"/>
            </w:tcBorders>
          </w:tcPr>
          <w:p w14:paraId="1B76340D" w14:textId="77777777" w:rsidR="00EE4D44" w:rsidRPr="00EE4D44" w:rsidRDefault="00EE4D44" w:rsidP="00D824CD">
            <w:pPr>
              <w:widowControl w:val="0"/>
              <w:spacing w:before="40" w:after="40"/>
              <w:ind w:left="0" w:hanging="52"/>
              <w:jc w:val="center"/>
              <w:rPr>
                <w:rFonts w:ascii="Arial Narrow" w:hAnsi="Arial Narrow" w:cs="Tahoma"/>
                <w:b/>
                <w:sz w:val="20"/>
              </w:rPr>
            </w:pPr>
            <w:r w:rsidRPr="00EE4D44">
              <w:rPr>
                <w:rFonts w:ascii="Arial Narrow" w:hAnsi="Arial Narrow" w:cs="Tahoma"/>
                <w:b/>
                <w:sz w:val="20"/>
              </w:rPr>
              <w:t>$53,136</w:t>
            </w:r>
          </w:p>
        </w:tc>
        <w:tc>
          <w:tcPr>
            <w:tcW w:w="1134" w:type="dxa"/>
            <w:tcBorders>
              <w:top w:val="single" w:sz="4" w:space="0" w:color="auto"/>
              <w:left w:val="single" w:sz="4" w:space="0" w:color="auto"/>
              <w:bottom w:val="single" w:sz="4" w:space="0" w:color="auto"/>
              <w:right w:val="single" w:sz="4" w:space="0" w:color="auto"/>
            </w:tcBorders>
          </w:tcPr>
          <w:p w14:paraId="20B7A327" w14:textId="77777777" w:rsidR="00EE4D44" w:rsidRPr="00EE4D44" w:rsidRDefault="00EE4D44" w:rsidP="00D824CD">
            <w:pPr>
              <w:widowControl w:val="0"/>
              <w:spacing w:before="40" w:after="40"/>
              <w:ind w:left="0"/>
              <w:jc w:val="center"/>
              <w:rPr>
                <w:rFonts w:ascii="Arial Narrow" w:hAnsi="Arial Narrow" w:cs="Tahoma"/>
                <w:b/>
                <w:sz w:val="20"/>
              </w:rPr>
            </w:pPr>
            <w:r w:rsidRPr="00EE4D44">
              <w:rPr>
                <w:rFonts w:ascii="Arial Narrow" w:hAnsi="Arial Narrow" w:cs="Tahoma"/>
                <w:b/>
                <w:sz w:val="20"/>
              </w:rPr>
              <w:t>$58,059</w:t>
            </w:r>
          </w:p>
        </w:tc>
        <w:tc>
          <w:tcPr>
            <w:tcW w:w="1418" w:type="dxa"/>
            <w:tcBorders>
              <w:top w:val="single" w:sz="4" w:space="0" w:color="auto"/>
              <w:left w:val="single" w:sz="4" w:space="0" w:color="auto"/>
              <w:bottom w:val="single" w:sz="4" w:space="0" w:color="auto"/>
              <w:right w:val="single" w:sz="4" w:space="0" w:color="auto"/>
            </w:tcBorders>
          </w:tcPr>
          <w:p w14:paraId="3FFACD22" w14:textId="77777777" w:rsidR="00EE4D44" w:rsidRPr="00EE4D44" w:rsidRDefault="00EE4D44" w:rsidP="00D824CD">
            <w:pPr>
              <w:widowControl w:val="0"/>
              <w:spacing w:before="40" w:after="40"/>
              <w:ind w:left="0"/>
              <w:jc w:val="center"/>
              <w:rPr>
                <w:rFonts w:ascii="Arial Narrow" w:hAnsi="Arial Narrow" w:cs="Tahoma"/>
                <w:b/>
                <w:sz w:val="20"/>
              </w:rPr>
            </w:pPr>
            <w:r w:rsidRPr="00EE4D44">
              <w:rPr>
                <w:rFonts w:ascii="Arial Narrow" w:hAnsi="Arial Narrow" w:cs="Tahoma"/>
                <w:b/>
                <w:sz w:val="20"/>
              </w:rPr>
              <w:t>-$4,924</w:t>
            </w:r>
          </w:p>
        </w:tc>
        <w:tc>
          <w:tcPr>
            <w:tcW w:w="3492" w:type="dxa"/>
            <w:tcBorders>
              <w:top w:val="single" w:sz="4" w:space="0" w:color="auto"/>
              <w:left w:val="single" w:sz="4" w:space="0" w:color="auto"/>
              <w:bottom w:val="single" w:sz="4" w:space="0" w:color="auto"/>
              <w:right w:val="single" w:sz="4" w:space="0" w:color="auto"/>
            </w:tcBorders>
            <w:vAlign w:val="center"/>
          </w:tcPr>
          <w:p w14:paraId="139C7383" w14:textId="77777777" w:rsidR="00EE4D44" w:rsidRPr="00EE4D44" w:rsidRDefault="00EE4D44" w:rsidP="00D824CD">
            <w:pPr>
              <w:widowControl w:val="0"/>
              <w:spacing w:before="40" w:after="40"/>
              <w:ind w:left="0"/>
              <w:rPr>
                <w:rFonts w:ascii="Arial Narrow" w:hAnsi="Arial Narrow" w:cs="Tahoma"/>
                <w:b/>
                <w:sz w:val="20"/>
              </w:rPr>
            </w:pPr>
            <w:r w:rsidRPr="00EE4D44">
              <w:rPr>
                <w:rFonts w:ascii="Arial Narrow" w:hAnsi="Arial Narrow" w:cs="Tahoma"/>
                <w:b/>
                <w:sz w:val="20"/>
              </w:rPr>
              <w:t>Calculated by the ADAR</w:t>
            </w:r>
          </w:p>
        </w:tc>
      </w:tr>
    </w:tbl>
    <w:p w14:paraId="75DECD35" w14:textId="77777777" w:rsidR="00EE4D44" w:rsidRPr="00F62546" w:rsidRDefault="00EE4D44" w:rsidP="00EE4D44">
      <w:pPr>
        <w:keepNext/>
        <w:keepLines/>
        <w:rPr>
          <w:rFonts w:ascii="Arial Narrow" w:hAnsi="Arial Narrow"/>
          <w:i/>
          <w:color w:val="000000"/>
          <w:sz w:val="18"/>
          <w:szCs w:val="18"/>
        </w:rPr>
      </w:pPr>
      <w:r w:rsidRPr="00F62546">
        <w:rPr>
          <w:rFonts w:ascii="Arial Narrow" w:hAnsi="Arial Narrow"/>
          <w:color w:val="000000"/>
          <w:sz w:val="18"/>
          <w:szCs w:val="18"/>
        </w:rPr>
        <w:t xml:space="preserve">Source: Table 42, p75 of the ADAR </w:t>
      </w:r>
      <w:r w:rsidRPr="00F62546">
        <w:rPr>
          <w:rFonts w:ascii="Arial Narrow" w:hAnsi="Arial Narrow"/>
          <w:i/>
          <w:color w:val="000000"/>
          <w:sz w:val="18"/>
          <w:szCs w:val="18"/>
        </w:rPr>
        <w:t>and revised during the evaluation to reflect updated MBS costs</w:t>
      </w:r>
    </w:p>
    <w:p w14:paraId="7F736210" w14:textId="77777777" w:rsidR="00EE4D44" w:rsidRPr="00F62546" w:rsidRDefault="00EE4D44" w:rsidP="00EE4D44">
      <w:pPr>
        <w:keepNext/>
        <w:keepLines/>
        <w:rPr>
          <w:rFonts w:ascii="Arial Narrow" w:hAnsi="Arial Narrow" w:cs="Arial"/>
          <w:color w:val="000000"/>
          <w:sz w:val="18"/>
        </w:rPr>
      </w:pPr>
      <w:r w:rsidRPr="00F62546">
        <w:rPr>
          <w:rFonts w:ascii="Arial Narrow" w:hAnsi="Arial Narrow"/>
          <w:color w:val="000000"/>
          <w:sz w:val="18"/>
          <w:szCs w:val="18"/>
        </w:rPr>
        <w:t xml:space="preserve">ADAR = applicant-developed assessment report; DRG = diagnosis-related group; MBS = Medicare Benefits Schedule; SAVR = surgical aortic valve implantation; TAVI = </w:t>
      </w:r>
      <w:proofErr w:type="spellStart"/>
      <w:r w:rsidRPr="00F62546">
        <w:rPr>
          <w:rFonts w:ascii="Arial Narrow" w:hAnsi="Arial Narrow"/>
          <w:color w:val="000000"/>
          <w:sz w:val="18"/>
          <w:szCs w:val="18"/>
        </w:rPr>
        <w:t>transcatheter</w:t>
      </w:r>
      <w:proofErr w:type="spellEnd"/>
      <w:r w:rsidRPr="00F62546">
        <w:rPr>
          <w:rFonts w:ascii="Arial Narrow" w:hAnsi="Arial Narrow"/>
          <w:color w:val="000000"/>
          <w:sz w:val="18"/>
          <w:szCs w:val="18"/>
        </w:rPr>
        <w:t xml:space="preserve"> aortic valve implantation</w:t>
      </w:r>
    </w:p>
    <w:p w14:paraId="0885EABD" w14:textId="77777777" w:rsidR="00BC1364" w:rsidRPr="00EE4D44" w:rsidRDefault="00EE4D44" w:rsidP="00EE4D44">
      <w:pPr>
        <w:keepNext/>
        <w:keepLines/>
        <w:rPr>
          <w:rFonts w:ascii="Arial Narrow" w:hAnsi="Arial Narrow"/>
          <w:color w:val="000000"/>
          <w:sz w:val="18"/>
          <w:szCs w:val="18"/>
        </w:rPr>
      </w:pPr>
      <w:r w:rsidRPr="00F62546">
        <w:rPr>
          <w:rFonts w:ascii="Arial Narrow" w:hAnsi="Arial Narrow"/>
          <w:color w:val="000000"/>
          <w:sz w:val="18"/>
          <w:szCs w:val="18"/>
        </w:rPr>
        <w:t>Note: All costs are reported in 2020 Australian dollars.</w:t>
      </w:r>
      <w:bookmarkEnd w:id="19"/>
      <w:r w:rsidR="00DB5833" w:rsidRPr="005A4362">
        <w:rPr>
          <w:i/>
          <w:szCs w:val="24"/>
        </w:rPr>
        <w:t xml:space="preserve"> </w:t>
      </w:r>
    </w:p>
    <w:p w14:paraId="148B0FEE" w14:textId="77777777" w:rsidR="00BC1364" w:rsidRPr="00F715D1" w:rsidRDefault="00BC1364" w:rsidP="00F715D1">
      <w:pPr>
        <w:pStyle w:val="Heading1"/>
      </w:pPr>
      <w:r w:rsidRPr="00F715D1">
        <w:t>Financial/budgetary impacts</w:t>
      </w:r>
    </w:p>
    <w:p w14:paraId="453FA347" w14:textId="77777777" w:rsidR="00C24855" w:rsidRDefault="00EE4D44" w:rsidP="00D824CD">
      <w:r w:rsidRPr="00F62546">
        <w:t>The ADAR used a market-share approach to estimate the financial implications of the introduction of TAVI for the intermediate risk population. The ADAR estimated TAVI would capture market share from the proportion of SAVR use on the MBS estimated to be for the intermediate-risk population. The ADAR also estimated the size of the population with symptomatic severe AS with an intermediate surgical risk.</w:t>
      </w:r>
      <w:r w:rsidRPr="00F62546">
        <w:rPr>
          <w:rFonts w:ascii="Calibri" w:hAnsi="Calibri" w:cs="Tahoma"/>
          <w:sz w:val="22"/>
          <w:szCs w:val="22"/>
        </w:rPr>
        <w:t xml:space="preserve"> </w:t>
      </w:r>
      <w:r w:rsidRPr="00F62546">
        <w:t>The Commentary considered that this may have been overestimated as the prevalence estimate included both moderate and severe AS. The pre-ESC response presented revised epidemiological estimates that corrected for the inclusion of moderate AS and uptake of private health insurance</w:t>
      </w:r>
      <w:r>
        <w:t>. This did not affect the financial implications which were developed using a market-share approach</w:t>
      </w:r>
      <w:r w:rsidRPr="00F62546">
        <w:t xml:space="preserve">. The financial implications are summarised </w:t>
      </w:r>
      <w:r w:rsidRPr="00D824CD">
        <w:t xml:space="preserve">in </w:t>
      </w:r>
      <w:r w:rsidRPr="00D824CD">
        <w:rPr>
          <w:highlight w:val="cyan"/>
        </w:rPr>
        <w:fldChar w:fldCharType="begin"/>
      </w:r>
      <w:r w:rsidRPr="00D824CD">
        <w:instrText xml:space="preserve"> REF _Ref404372077 \h </w:instrText>
      </w:r>
      <w:r w:rsidRPr="00D824CD">
        <w:rPr>
          <w:highlight w:val="cyan"/>
        </w:rPr>
        <w:instrText xml:space="preserve"> \* MERGEFORMAT </w:instrText>
      </w:r>
      <w:r w:rsidRPr="00D824CD">
        <w:rPr>
          <w:highlight w:val="cyan"/>
        </w:rPr>
      </w:r>
      <w:r w:rsidRPr="00D824CD">
        <w:rPr>
          <w:highlight w:val="cyan"/>
        </w:rPr>
        <w:fldChar w:fldCharType="separate"/>
      </w:r>
    </w:p>
    <w:p w14:paraId="35EEEAF0" w14:textId="6461955A" w:rsidR="00EE4D44" w:rsidRPr="00D824CD" w:rsidRDefault="00C24855" w:rsidP="00EE4D44">
      <w:pPr>
        <w:rPr>
          <w:bCs/>
          <w:szCs w:val="24"/>
        </w:rPr>
      </w:pPr>
      <w:r w:rsidRPr="00F62546">
        <w:t xml:space="preserve">Table </w:t>
      </w:r>
      <w:r>
        <w:rPr>
          <w:noProof/>
        </w:rPr>
        <w:t>11</w:t>
      </w:r>
      <w:r w:rsidR="00EE4D44" w:rsidRPr="00D824CD">
        <w:rPr>
          <w:highlight w:val="cyan"/>
        </w:rPr>
        <w:fldChar w:fldCharType="end"/>
      </w:r>
      <w:r w:rsidR="00EE4D44" w:rsidRPr="00D824CD">
        <w:t>.</w:t>
      </w:r>
    </w:p>
    <w:p w14:paraId="0B195160" w14:textId="014E3976" w:rsidR="00EE4D44" w:rsidRDefault="00EE4D44" w:rsidP="005B05CF">
      <w:pPr>
        <w:spacing w:before="240"/>
      </w:pPr>
      <w:r w:rsidRPr="00F62546">
        <w:t xml:space="preserve">The ADAR estimated TAVI would be cost-saving to the MBS. The Commentary considered that this would be reasonable if TAVI does not increase the total number of aortic valve replacement procedures (TAVI and SAVR) performed on the MBS for the intermediate risk population. The Commentary estimated that if TAVI increased the number of aortic valve replacements performed on the MBS by 39% (i.e. additional TAVI procedures not replacing SAVR on the MBS), this would result in net costs to the MBS. The Commentary considered that there is potential for market growth as the estimated prevalent population eligible for TAVI, including the subset aged 75 years and older, was substantially larger than the number </w:t>
      </w:r>
      <w:r w:rsidRPr="00F62546">
        <w:lastRenderedPageBreak/>
        <w:t>of SAVR procedures performed on the MBS.</w:t>
      </w:r>
      <w:r w:rsidR="009A1CC6">
        <w:t xml:space="preserve"> The pre-MSAC response reiterated that the projected cost savings were appropriate. </w:t>
      </w:r>
    </w:p>
    <w:p w14:paraId="65D33A17" w14:textId="220A2EAA" w:rsidR="009A1CC6" w:rsidRPr="00F62546" w:rsidRDefault="009A1CC6" w:rsidP="005B05CF">
      <w:pPr>
        <w:spacing w:before="240"/>
      </w:pPr>
      <w:r>
        <w:t xml:space="preserve">The pre-MSAC response considered that it was unlikely there would be leakage into the low surgical risk population as patients surgical risk would be appropriately assessed by a Heart Team. The pre-MSAC response agreed that leakage to low risk populations would be less relevant </w:t>
      </w:r>
      <w:r w:rsidR="001121F9">
        <w:t xml:space="preserve">if MSAC supports TAVI for the low risk population. </w:t>
      </w:r>
    </w:p>
    <w:p w14:paraId="50615FAD" w14:textId="439B9BAD" w:rsidR="00EE4D44" w:rsidRPr="00F62546" w:rsidRDefault="00EE4D44" w:rsidP="005B05CF">
      <w:pPr>
        <w:spacing w:before="240"/>
      </w:pPr>
      <w:r w:rsidRPr="00F62546">
        <w:t xml:space="preserve">The Commentary considered that the ADAR’s estimated reduction in hospital costs were likely overestimated as it double counted hospitalisation costs and operating theatre costs. Thus, the cost of operating theatre costs was not included in the Commentary’s estimates. Additionally, during the MSAC’s March 2016 consideration of TAVI in the high risk and operable populations, MSAC noted that that the reductions in hospital stay are typically for the cheaper days (e.g. those which do not incur the costs of the procedure, </w:t>
      </w:r>
      <w:hyperlink r:id="rId28" w:history="1">
        <w:r w:rsidRPr="00F62546">
          <w:t>Application 1361.2 MSAC PSD</w:t>
        </w:r>
      </w:hyperlink>
      <w:r w:rsidRPr="00F62546">
        <w:t>, p3).</w:t>
      </w:r>
    </w:p>
    <w:p w14:paraId="1BB8E548" w14:textId="2D483063" w:rsidR="00EE4D44" w:rsidRPr="00F62546" w:rsidRDefault="00EE4D44" w:rsidP="005B05CF">
      <w:pPr>
        <w:spacing w:before="240"/>
      </w:pPr>
      <w:r w:rsidRPr="00F62546">
        <w:t>The ADAR did not calculate the net cost of prosthesis. TAVI was estimated to cost an additional $3.9 million in Year 1, increasing to $4.2 million in Year 5.</w:t>
      </w:r>
    </w:p>
    <w:p w14:paraId="12E22736" w14:textId="513DC7C7" w:rsidR="00EE4D44" w:rsidRPr="00F62546" w:rsidRDefault="00EE4D44" w:rsidP="005B05CF">
      <w:pPr>
        <w:pStyle w:val="Caption"/>
        <w:spacing w:before="240"/>
      </w:pPr>
      <w:bookmarkStart w:id="21" w:name="_Ref404372077"/>
      <w:bookmarkStart w:id="22" w:name="_Toc393197779"/>
      <w:bookmarkStart w:id="23" w:name="_Toc393378192"/>
      <w:bookmarkStart w:id="24" w:name="_Toc399251128"/>
      <w:r w:rsidRPr="00F62546">
        <w:t xml:space="preserve">Table </w:t>
      </w:r>
      <w:r w:rsidR="002F70F5">
        <w:fldChar w:fldCharType="begin"/>
      </w:r>
      <w:r w:rsidR="002F70F5">
        <w:instrText xml:space="preserve"> SEQ Table \* ARABIC </w:instrText>
      </w:r>
      <w:r w:rsidR="002F70F5">
        <w:fldChar w:fldCharType="separate"/>
      </w:r>
      <w:r w:rsidR="00C24855">
        <w:rPr>
          <w:noProof/>
        </w:rPr>
        <w:t>11</w:t>
      </w:r>
      <w:r w:rsidR="002F70F5">
        <w:rPr>
          <w:noProof/>
        </w:rPr>
        <w:fldChar w:fldCharType="end"/>
      </w:r>
      <w:bookmarkEnd w:id="21"/>
      <w:r>
        <w:tab/>
      </w:r>
      <w:r w:rsidRPr="00F62546">
        <w:t xml:space="preserve">Total costs to the MBS associated with </w:t>
      </w:r>
      <w:bookmarkEnd w:id="22"/>
      <w:bookmarkEnd w:id="23"/>
      <w:bookmarkEnd w:id="24"/>
      <w:r w:rsidRPr="00F62546">
        <w:t xml:space="preserve">TAVI - </w:t>
      </w:r>
      <w:r w:rsidRPr="00F62546">
        <w:rPr>
          <w:i/>
        </w:rPr>
        <w:t>Commentary’s estimates</w:t>
      </w:r>
      <w:r w:rsidRPr="00F62546">
        <w:t xml:space="preserve"> </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3251"/>
        <w:gridCol w:w="1100"/>
        <w:gridCol w:w="1099"/>
        <w:gridCol w:w="1103"/>
        <w:gridCol w:w="1101"/>
        <w:gridCol w:w="1140"/>
      </w:tblGrid>
      <w:tr w:rsidR="00EE4D44" w:rsidRPr="00F62546" w14:paraId="6F007B0C" w14:textId="77777777" w:rsidTr="001D4246">
        <w:trPr>
          <w:trHeight w:val="300"/>
          <w:tblHeader/>
        </w:trPr>
        <w:tc>
          <w:tcPr>
            <w:tcW w:w="1848" w:type="pct"/>
            <w:tcBorders>
              <w:bottom w:val="single" w:sz="4" w:space="0" w:color="auto"/>
            </w:tcBorders>
            <w:shd w:val="clear" w:color="auto" w:fill="auto"/>
            <w:vAlign w:val="center"/>
          </w:tcPr>
          <w:p w14:paraId="090702D6" w14:textId="77777777" w:rsidR="00EE4D44" w:rsidRPr="00F62546" w:rsidRDefault="00EE4D44" w:rsidP="001D4246">
            <w:pPr>
              <w:keepNext/>
              <w:tabs>
                <w:tab w:val="left" w:pos="851"/>
              </w:tabs>
              <w:spacing w:before="40" w:after="40"/>
              <w:ind w:left="851" w:hanging="851"/>
              <w:rPr>
                <w:rFonts w:ascii="Arial Narrow" w:hAnsi="Arial Narrow" w:cs="Tahoma"/>
                <w:b/>
                <w:sz w:val="20"/>
              </w:rPr>
            </w:pPr>
            <w:r w:rsidRPr="00F62546">
              <w:rPr>
                <w:rFonts w:ascii="Arial Narrow" w:hAnsi="Arial Narrow" w:cs="Tahoma"/>
                <w:b/>
                <w:sz w:val="20"/>
              </w:rPr>
              <w:t>Parameter</w:t>
            </w:r>
          </w:p>
        </w:tc>
        <w:tc>
          <w:tcPr>
            <w:tcW w:w="625" w:type="pct"/>
            <w:tcBorders>
              <w:bottom w:val="single" w:sz="4" w:space="0" w:color="auto"/>
            </w:tcBorders>
            <w:vAlign w:val="center"/>
          </w:tcPr>
          <w:p w14:paraId="6D047267" w14:textId="77777777" w:rsidR="00EE4D44" w:rsidRPr="00F62546" w:rsidRDefault="00EE4D44" w:rsidP="001D4246">
            <w:pPr>
              <w:keepNext/>
              <w:jc w:val="center"/>
              <w:rPr>
                <w:rFonts w:ascii="Arial Narrow" w:hAnsi="Arial Narrow" w:cs="Arial"/>
                <w:b/>
                <w:sz w:val="20"/>
                <w:lang w:eastAsia="en-US"/>
              </w:rPr>
            </w:pPr>
            <w:r w:rsidRPr="00F62546">
              <w:rPr>
                <w:rFonts w:ascii="Arial Narrow" w:hAnsi="Arial Narrow" w:cs="Arial"/>
                <w:b/>
                <w:sz w:val="20"/>
                <w:lang w:eastAsia="en-US"/>
              </w:rPr>
              <w:t>Year 1 (2021)</w:t>
            </w:r>
          </w:p>
        </w:tc>
        <w:tc>
          <w:tcPr>
            <w:tcW w:w="625" w:type="pct"/>
            <w:tcBorders>
              <w:bottom w:val="single" w:sz="4" w:space="0" w:color="auto"/>
            </w:tcBorders>
            <w:shd w:val="clear" w:color="auto" w:fill="auto"/>
            <w:vAlign w:val="center"/>
          </w:tcPr>
          <w:p w14:paraId="5EA5CF21" w14:textId="77777777" w:rsidR="00EE4D44" w:rsidRPr="00F62546" w:rsidRDefault="00EE4D44" w:rsidP="001D4246">
            <w:pPr>
              <w:keepNext/>
              <w:jc w:val="center"/>
              <w:rPr>
                <w:rFonts w:ascii="Arial Narrow" w:hAnsi="Arial Narrow" w:cs="Arial"/>
                <w:b/>
                <w:sz w:val="20"/>
                <w:lang w:eastAsia="en-US"/>
              </w:rPr>
            </w:pPr>
            <w:r w:rsidRPr="00F62546">
              <w:rPr>
                <w:rFonts w:ascii="Arial Narrow" w:hAnsi="Arial Narrow" w:cs="Arial"/>
                <w:b/>
                <w:sz w:val="20"/>
                <w:lang w:eastAsia="en-US"/>
              </w:rPr>
              <w:t>Year 2 (2022)</w:t>
            </w:r>
          </w:p>
        </w:tc>
        <w:tc>
          <w:tcPr>
            <w:tcW w:w="627" w:type="pct"/>
            <w:tcBorders>
              <w:bottom w:val="single" w:sz="4" w:space="0" w:color="auto"/>
            </w:tcBorders>
            <w:shd w:val="clear" w:color="auto" w:fill="auto"/>
            <w:vAlign w:val="center"/>
          </w:tcPr>
          <w:p w14:paraId="1A080C9E" w14:textId="77777777" w:rsidR="00EE4D44" w:rsidRPr="00F62546" w:rsidRDefault="00EE4D44" w:rsidP="001D4246">
            <w:pPr>
              <w:keepNext/>
              <w:jc w:val="center"/>
              <w:rPr>
                <w:rFonts w:ascii="Arial Narrow" w:hAnsi="Arial Narrow" w:cs="Arial"/>
                <w:b/>
                <w:sz w:val="20"/>
                <w:lang w:eastAsia="en-US"/>
              </w:rPr>
            </w:pPr>
            <w:r w:rsidRPr="00F62546">
              <w:rPr>
                <w:rFonts w:ascii="Arial Narrow" w:hAnsi="Arial Narrow" w:cs="Arial"/>
                <w:b/>
                <w:sz w:val="20"/>
                <w:lang w:eastAsia="en-US"/>
              </w:rPr>
              <w:t>Year 3 (2023)</w:t>
            </w:r>
          </w:p>
        </w:tc>
        <w:tc>
          <w:tcPr>
            <w:tcW w:w="626" w:type="pct"/>
            <w:tcBorders>
              <w:bottom w:val="single" w:sz="4" w:space="0" w:color="auto"/>
            </w:tcBorders>
            <w:shd w:val="clear" w:color="auto" w:fill="auto"/>
            <w:vAlign w:val="center"/>
          </w:tcPr>
          <w:p w14:paraId="41D8C4E4" w14:textId="77777777" w:rsidR="00EE4D44" w:rsidRPr="00F62546" w:rsidRDefault="00EE4D44" w:rsidP="001D4246">
            <w:pPr>
              <w:keepNext/>
              <w:jc w:val="center"/>
              <w:rPr>
                <w:rFonts w:ascii="Arial Narrow" w:hAnsi="Arial Narrow" w:cs="Arial"/>
                <w:b/>
                <w:sz w:val="20"/>
                <w:lang w:eastAsia="en-US"/>
              </w:rPr>
            </w:pPr>
            <w:r w:rsidRPr="00F62546">
              <w:rPr>
                <w:rFonts w:ascii="Arial Narrow" w:hAnsi="Arial Narrow" w:cs="Arial"/>
                <w:b/>
                <w:sz w:val="20"/>
                <w:lang w:eastAsia="en-US"/>
              </w:rPr>
              <w:t>Year 4 (2024)</w:t>
            </w:r>
          </w:p>
        </w:tc>
        <w:tc>
          <w:tcPr>
            <w:tcW w:w="648" w:type="pct"/>
            <w:tcBorders>
              <w:bottom w:val="single" w:sz="4" w:space="0" w:color="auto"/>
            </w:tcBorders>
            <w:shd w:val="clear" w:color="auto" w:fill="auto"/>
            <w:vAlign w:val="center"/>
          </w:tcPr>
          <w:p w14:paraId="34064136" w14:textId="77777777" w:rsidR="00EE4D44" w:rsidRPr="00F62546" w:rsidRDefault="00EE4D44" w:rsidP="001D4246">
            <w:pPr>
              <w:keepNext/>
              <w:jc w:val="center"/>
              <w:rPr>
                <w:rFonts w:ascii="Arial Narrow" w:hAnsi="Arial Narrow" w:cs="Arial"/>
                <w:b/>
                <w:sz w:val="20"/>
                <w:lang w:eastAsia="en-US"/>
              </w:rPr>
            </w:pPr>
            <w:r w:rsidRPr="00F62546">
              <w:rPr>
                <w:rFonts w:ascii="Arial Narrow" w:hAnsi="Arial Narrow" w:cs="Arial"/>
                <w:b/>
                <w:sz w:val="20"/>
                <w:lang w:eastAsia="en-US"/>
              </w:rPr>
              <w:t>Year 5 (2025)</w:t>
            </w:r>
          </w:p>
        </w:tc>
      </w:tr>
      <w:tr w:rsidR="00EE4D44" w:rsidRPr="00F62546" w14:paraId="6A5172F5" w14:textId="77777777" w:rsidTr="001D4246">
        <w:trPr>
          <w:trHeight w:val="300"/>
        </w:trPr>
        <w:tc>
          <w:tcPr>
            <w:tcW w:w="1848" w:type="pct"/>
            <w:shd w:val="clear" w:color="auto" w:fill="auto"/>
          </w:tcPr>
          <w:p w14:paraId="007D71AD" w14:textId="77777777" w:rsidR="00EE4D44" w:rsidRPr="00F62546" w:rsidRDefault="00EE4D44" w:rsidP="001D4246">
            <w:pPr>
              <w:spacing w:before="40" w:after="40"/>
              <w:rPr>
                <w:rFonts w:ascii="Arial Narrow" w:hAnsi="Arial Narrow" w:cs="Tahoma"/>
                <w:sz w:val="20"/>
                <w:vertAlign w:val="superscript"/>
              </w:rPr>
            </w:pPr>
            <w:r w:rsidRPr="00F62546">
              <w:rPr>
                <w:rFonts w:ascii="Arial Narrow" w:hAnsi="Arial Narrow" w:cs="Tahoma"/>
                <w:sz w:val="20"/>
              </w:rPr>
              <w:t xml:space="preserve">Severe symptomatic AS with intermediate surgical risk with private health insurance (pre-ESC response) </w:t>
            </w:r>
            <w:r w:rsidRPr="00F62546">
              <w:rPr>
                <w:rFonts w:ascii="Arial Narrow" w:hAnsi="Arial Narrow" w:cs="Tahoma"/>
                <w:sz w:val="20"/>
                <w:vertAlign w:val="superscript"/>
              </w:rPr>
              <w:t xml:space="preserve">a </w:t>
            </w:r>
          </w:p>
        </w:tc>
        <w:tc>
          <w:tcPr>
            <w:tcW w:w="625" w:type="pct"/>
            <w:vAlign w:val="center"/>
          </w:tcPr>
          <w:p w14:paraId="677EA621" w14:textId="77777777" w:rsidR="00EE4D44" w:rsidRPr="00F62546" w:rsidRDefault="00EE4D44" w:rsidP="001D4246">
            <w:pPr>
              <w:pStyle w:val="Tabletextcentred"/>
              <w:rPr>
                <w:rFonts w:cs="Tahoma"/>
              </w:rPr>
            </w:pPr>
            <w:r w:rsidRPr="00F62546">
              <w:t>3,336</w:t>
            </w:r>
          </w:p>
        </w:tc>
        <w:tc>
          <w:tcPr>
            <w:tcW w:w="625" w:type="pct"/>
            <w:shd w:val="clear" w:color="auto" w:fill="auto"/>
            <w:vAlign w:val="center"/>
          </w:tcPr>
          <w:p w14:paraId="00B8273F" w14:textId="77777777" w:rsidR="00EE4D44" w:rsidRPr="00F62546" w:rsidRDefault="00EE4D44" w:rsidP="001D4246">
            <w:pPr>
              <w:pStyle w:val="Tabletextcentred"/>
              <w:rPr>
                <w:rFonts w:cs="Tahoma"/>
              </w:rPr>
            </w:pPr>
            <w:r w:rsidRPr="00F62546">
              <w:t>3,455</w:t>
            </w:r>
          </w:p>
        </w:tc>
        <w:tc>
          <w:tcPr>
            <w:tcW w:w="627" w:type="pct"/>
            <w:shd w:val="clear" w:color="auto" w:fill="auto"/>
            <w:vAlign w:val="center"/>
          </w:tcPr>
          <w:p w14:paraId="33C64001" w14:textId="77777777" w:rsidR="00EE4D44" w:rsidRPr="00F62546" w:rsidRDefault="00EE4D44" w:rsidP="001D4246">
            <w:pPr>
              <w:pStyle w:val="Tabletextcentred"/>
              <w:rPr>
                <w:rFonts w:cs="Tahoma"/>
              </w:rPr>
            </w:pPr>
            <w:r w:rsidRPr="00F62546">
              <w:t>3,569</w:t>
            </w:r>
          </w:p>
        </w:tc>
        <w:tc>
          <w:tcPr>
            <w:tcW w:w="626" w:type="pct"/>
            <w:shd w:val="clear" w:color="auto" w:fill="auto"/>
            <w:vAlign w:val="center"/>
          </w:tcPr>
          <w:p w14:paraId="57922EF8" w14:textId="77777777" w:rsidR="00EE4D44" w:rsidRPr="00F62546" w:rsidRDefault="00EE4D44" w:rsidP="001D4246">
            <w:pPr>
              <w:pStyle w:val="Tabletextcentred"/>
              <w:rPr>
                <w:rFonts w:cs="Tahoma"/>
              </w:rPr>
            </w:pPr>
            <w:r w:rsidRPr="00F62546">
              <w:t>3,682</w:t>
            </w:r>
          </w:p>
        </w:tc>
        <w:tc>
          <w:tcPr>
            <w:tcW w:w="648" w:type="pct"/>
            <w:shd w:val="clear" w:color="auto" w:fill="auto"/>
            <w:vAlign w:val="center"/>
          </w:tcPr>
          <w:p w14:paraId="1E20C5D0" w14:textId="77777777" w:rsidR="00EE4D44" w:rsidRPr="00F62546" w:rsidRDefault="00EE4D44" w:rsidP="001D4246">
            <w:pPr>
              <w:pStyle w:val="Tabletextcentred"/>
              <w:rPr>
                <w:rFonts w:cs="Tahoma"/>
              </w:rPr>
            </w:pPr>
            <w:r w:rsidRPr="00F62546">
              <w:t>3,798</w:t>
            </w:r>
          </w:p>
        </w:tc>
      </w:tr>
      <w:tr w:rsidR="00EE4D44" w:rsidRPr="00F62546" w14:paraId="4294CC3A" w14:textId="77777777" w:rsidTr="001D4246">
        <w:trPr>
          <w:trHeight w:val="300"/>
        </w:trPr>
        <w:tc>
          <w:tcPr>
            <w:tcW w:w="1848" w:type="pct"/>
            <w:shd w:val="clear" w:color="auto" w:fill="auto"/>
          </w:tcPr>
          <w:p w14:paraId="51B41C43" w14:textId="77777777" w:rsidR="00EE4D44" w:rsidRPr="00F62546" w:rsidRDefault="00EE4D44" w:rsidP="001D4246">
            <w:pPr>
              <w:spacing w:before="40" w:after="40"/>
              <w:ind w:left="254"/>
              <w:rPr>
                <w:rFonts w:ascii="Arial Narrow" w:hAnsi="Arial Narrow" w:cs="Tahoma"/>
                <w:sz w:val="20"/>
              </w:rPr>
            </w:pPr>
            <w:r w:rsidRPr="00F62546">
              <w:rPr>
                <w:rFonts w:ascii="Arial Narrow" w:hAnsi="Arial Narrow" w:cs="Tahoma"/>
                <w:sz w:val="20"/>
              </w:rPr>
              <w:t xml:space="preserve">≥ 75 years </w:t>
            </w:r>
            <w:r w:rsidRPr="00F62546">
              <w:rPr>
                <w:rFonts w:ascii="Arial Narrow" w:hAnsi="Arial Narrow" w:cs="Tahoma"/>
                <w:sz w:val="20"/>
                <w:vertAlign w:val="superscript"/>
              </w:rPr>
              <w:t>b</w:t>
            </w:r>
          </w:p>
        </w:tc>
        <w:tc>
          <w:tcPr>
            <w:tcW w:w="625" w:type="pct"/>
          </w:tcPr>
          <w:p w14:paraId="05AD0877" w14:textId="77777777" w:rsidR="00EE4D44" w:rsidRPr="00F62546" w:rsidRDefault="00EE4D44" w:rsidP="001D4246">
            <w:pPr>
              <w:pStyle w:val="Tabletextcentred"/>
            </w:pPr>
            <w:r w:rsidRPr="00F62546">
              <w:t xml:space="preserve"> 1,857 </w:t>
            </w:r>
          </w:p>
        </w:tc>
        <w:tc>
          <w:tcPr>
            <w:tcW w:w="625" w:type="pct"/>
            <w:shd w:val="clear" w:color="auto" w:fill="auto"/>
          </w:tcPr>
          <w:p w14:paraId="5A2A73B4" w14:textId="77777777" w:rsidR="00EE4D44" w:rsidRPr="00F62546" w:rsidRDefault="00EE4D44" w:rsidP="001D4246">
            <w:pPr>
              <w:pStyle w:val="Tabletextcentred"/>
            </w:pPr>
            <w:r w:rsidRPr="00F62546">
              <w:t xml:space="preserve"> 1,958 </w:t>
            </w:r>
          </w:p>
        </w:tc>
        <w:tc>
          <w:tcPr>
            <w:tcW w:w="627" w:type="pct"/>
            <w:shd w:val="clear" w:color="auto" w:fill="auto"/>
          </w:tcPr>
          <w:p w14:paraId="29A59C41" w14:textId="77777777" w:rsidR="00EE4D44" w:rsidRPr="00F62546" w:rsidRDefault="00EE4D44" w:rsidP="001D4246">
            <w:pPr>
              <w:pStyle w:val="Tabletextcentred"/>
            </w:pPr>
            <w:r w:rsidRPr="00F62546">
              <w:t xml:space="preserve"> 2,047 </w:t>
            </w:r>
          </w:p>
        </w:tc>
        <w:tc>
          <w:tcPr>
            <w:tcW w:w="626" w:type="pct"/>
            <w:shd w:val="clear" w:color="auto" w:fill="auto"/>
          </w:tcPr>
          <w:p w14:paraId="5168379D" w14:textId="77777777" w:rsidR="00EE4D44" w:rsidRPr="00F62546" w:rsidRDefault="00EE4D44" w:rsidP="001D4246">
            <w:pPr>
              <w:pStyle w:val="Tabletextcentred"/>
            </w:pPr>
            <w:r w:rsidRPr="00F62546">
              <w:t xml:space="preserve"> 2,131 </w:t>
            </w:r>
          </w:p>
        </w:tc>
        <w:tc>
          <w:tcPr>
            <w:tcW w:w="648" w:type="pct"/>
            <w:shd w:val="clear" w:color="auto" w:fill="auto"/>
          </w:tcPr>
          <w:p w14:paraId="262A5F3F" w14:textId="77777777" w:rsidR="00EE4D44" w:rsidRPr="00F62546" w:rsidRDefault="00EE4D44" w:rsidP="001D4246">
            <w:pPr>
              <w:pStyle w:val="Tabletextcentred"/>
            </w:pPr>
            <w:r w:rsidRPr="00F62546">
              <w:t xml:space="preserve"> 2,218 </w:t>
            </w:r>
          </w:p>
        </w:tc>
      </w:tr>
      <w:tr w:rsidR="00EE4D44" w:rsidRPr="00F62546" w14:paraId="0567F135" w14:textId="77777777" w:rsidTr="001D4246">
        <w:trPr>
          <w:trHeight w:val="300"/>
        </w:trPr>
        <w:tc>
          <w:tcPr>
            <w:tcW w:w="1848" w:type="pct"/>
            <w:tcBorders>
              <w:bottom w:val="single" w:sz="4" w:space="0" w:color="auto"/>
              <w:right w:val="nil"/>
            </w:tcBorders>
            <w:shd w:val="clear" w:color="auto" w:fill="auto"/>
          </w:tcPr>
          <w:p w14:paraId="616BACD4"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Market share estimates</w:t>
            </w:r>
          </w:p>
        </w:tc>
        <w:tc>
          <w:tcPr>
            <w:tcW w:w="625" w:type="pct"/>
            <w:tcBorders>
              <w:left w:val="nil"/>
              <w:bottom w:val="single" w:sz="4" w:space="0" w:color="auto"/>
              <w:right w:val="nil"/>
            </w:tcBorders>
            <w:vAlign w:val="center"/>
          </w:tcPr>
          <w:p w14:paraId="7AD22019" w14:textId="77777777" w:rsidR="00EE4D44" w:rsidRPr="00F62546" w:rsidRDefault="00EE4D44" w:rsidP="001D4246">
            <w:pPr>
              <w:spacing w:before="40" w:after="40"/>
              <w:ind w:left="176"/>
              <w:jc w:val="center"/>
              <w:rPr>
                <w:rFonts w:ascii="Arial Narrow" w:hAnsi="Arial Narrow" w:cs="Tahoma"/>
                <w:sz w:val="20"/>
              </w:rPr>
            </w:pPr>
          </w:p>
        </w:tc>
        <w:tc>
          <w:tcPr>
            <w:tcW w:w="625" w:type="pct"/>
            <w:tcBorders>
              <w:left w:val="nil"/>
              <w:bottom w:val="single" w:sz="4" w:space="0" w:color="auto"/>
              <w:right w:val="nil"/>
            </w:tcBorders>
            <w:shd w:val="clear" w:color="auto" w:fill="auto"/>
            <w:vAlign w:val="center"/>
          </w:tcPr>
          <w:p w14:paraId="6A264C2D" w14:textId="77777777" w:rsidR="00EE4D44" w:rsidRPr="00F62546" w:rsidRDefault="00EE4D44" w:rsidP="001D4246">
            <w:pPr>
              <w:spacing w:before="40" w:after="40"/>
              <w:ind w:left="176"/>
              <w:jc w:val="center"/>
              <w:rPr>
                <w:rFonts w:ascii="Arial Narrow" w:hAnsi="Arial Narrow" w:cs="Tahoma"/>
                <w:sz w:val="20"/>
              </w:rPr>
            </w:pPr>
          </w:p>
        </w:tc>
        <w:tc>
          <w:tcPr>
            <w:tcW w:w="627" w:type="pct"/>
            <w:tcBorders>
              <w:left w:val="nil"/>
              <w:bottom w:val="single" w:sz="4" w:space="0" w:color="auto"/>
              <w:right w:val="nil"/>
            </w:tcBorders>
            <w:shd w:val="clear" w:color="auto" w:fill="auto"/>
            <w:vAlign w:val="center"/>
          </w:tcPr>
          <w:p w14:paraId="5A45462B" w14:textId="77777777" w:rsidR="00EE4D44" w:rsidRPr="00F62546" w:rsidRDefault="00EE4D44" w:rsidP="001D4246">
            <w:pPr>
              <w:spacing w:before="40" w:after="40"/>
              <w:ind w:left="176"/>
              <w:jc w:val="center"/>
              <w:rPr>
                <w:rFonts w:ascii="Arial Narrow" w:hAnsi="Arial Narrow" w:cs="Tahoma"/>
                <w:sz w:val="20"/>
              </w:rPr>
            </w:pPr>
          </w:p>
        </w:tc>
        <w:tc>
          <w:tcPr>
            <w:tcW w:w="626" w:type="pct"/>
            <w:tcBorders>
              <w:left w:val="nil"/>
              <w:bottom w:val="single" w:sz="4" w:space="0" w:color="auto"/>
              <w:right w:val="nil"/>
            </w:tcBorders>
            <w:shd w:val="clear" w:color="auto" w:fill="auto"/>
            <w:vAlign w:val="center"/>
          </w:tcPr>
          <w:p w14:paraId="2EA1C813" w14:textId="77777777" w:rsidR="00EE4D44" w:rsidRPr="00F62546" w:rsidRDefault="00EE4D44" w:rsidP="001D4246">
            <w:pPr>
              <w:spacing w:before="40" w:after="40"/>
              <w:ind w:left="176"/>
              <w:jc w:val="center"/>
              <w:rPr>
                <w:rFonts w:ascii="Arial Narrow" w:hAnsi="Arial Narrow" w:cs="Tahoma"/>
                <w:sz w:val="20"/>
              </w:rPr>
            </w:pPr>
          </w:p>
        </w:tc>
        <w:tc>
          <w:tcPr>
            <w:tcW w:w="648" w:type="pct"/>
            <w:tcBorders>
              <w:left w:val="nil"/>
              <w:bottom w:val="single" w:sz="4" w:space="0" w:color="auto"/>
            </w:tcBorders>
            <w:shd w:val="clear" w:color="auto" w:fill="auto"/>
            <w:vAlign w:val="center"/>
          </w:tcPr>
          <w:p w14:paraId="0F853C53" w14:textId="77777777" w:rsidR="00EE4D44" w:rsidRPr="00F62546" w:rsidRDefault="00EE4D44" w:rsidP="001D4246">
            <w:pPr>
              <w:spacing w:before="40" w:after="40"/>
              <w:ind w:left="176"/>
              <w:jc w:val="center"/>
              <w:rPr>
                <w:rFonts w:ascii="Arial Narrow" w:hAnsi="Arial Narrow" w:cs="Tahoma"/>
                <w:sz w:val="20"/>
              </w:rPr>
            </w:pPr>
          </w:p>
        </w:tc>
      </w:tr>
      <w:tr w:rsidR="00EE4D44" w:rsidRPr="00F62546" w14:paraId="0A013685" w14:textId="77777777" w:rsidTr="001D4246">
        <w:trPr>
          <w:trHeight w:val="300"/>
        </w:trPr>
        <w:tc>
          <w:tcPr>
            <w:tcW w:w="1848" w:type="pct"/>
            <w:tcBorders>
              <w:right w:val="single" w:sz="4" w:space="0" w:color="auto"/>
            </w:tcBorders>
            <w:shd w:val="clear" w:color="auto" w:fill="auto"/>
          </w:tcPr>
          <w:p w14:paraId="7F9D2271"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SAVR services (total)</w:t>
            </w:r>
          </w:p>
        </w:tc>
        <w:tc>
          <w:tcPr>
            <w:tcW w:w="625" w:type="pct"/>
            <w:tcBorders>
              <w:left w:val="single" w:sz="4" w:space="0" w:color="auto"/>
              <w:right w:val="single" w:sz="4" w:space="0" w:color="auto"/>
            </w:tcBorders>
            <w:vAlign w:val="center"/>
          </w:tcPr>
          <w:p w14:paraId="4A3F3EF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2,648</w:t>
            </w:r>
          </w:p>
        </w:tc>
        <w:tc>
          <w:tcPr>
            <w:tcW w:w="625" w:type="pct"/>
            <w:tcBorders>
              <w:left w:val="single" w:sz="4" w:space="0" w:color="auto"/>
              <w:right w:val="single" w:sz="4" w:space="0" w:color="auto"/>
            </w:tcBorders>
            <w:shd w:val="clear" w:color="auto" w:fill="auto"/>
            <w:vAlign w:val="center"/>
          </w:tcPr>
          <w:p w14:paraId="77604626"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2,693</w:t>
            </w:r>
          </w:p>
        </w:tc>
        <w:tc>
          <w:tcPr>
            <w:tcW w:w="627" w:type="pct"/>
            <w:tcBorders>
              <w:left w:val="single" w:sz="4" w:space="0" w:color="auto"/>
              <w:right w:val="single" w:sz="4" w:space="0" w:color="auto"/>
            </w:tcBorders>
            <w:shd w:val="clear" w:color="auto" w:fill="auto"/>
            <w:vAlign w:val="center"/>
          </w:tcPr>
          <w:p w14:paraId="437022A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2,738</w:t>
            </w:r>
          </w:p>
        </w:tc>
        <w:tc>
          <w:tcPr>
            <w:tcW w:w="626" w:type="pct"/>
            <w:tcBorders>
              <w:left w:val="single" w:sz="4" w:space="0" w:color="auto"/>
              <w:right w:val="single" w:sz="4" w:space="0" w:color="auto"/>
            </w:tcBorders>
            <w:shd w:val="clear" w:color="auto" w:fill="auto"/>
            <w:vAlign w:val="center"/>
          </w:tcPr>
          <w:p w14:paraId="3FED5A06"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2,784</w:t>
            </w:r>
          </w:p>
        </w:tc>
        <w:tc>
          <w:tcPr>
            <w:tcW w:w="648" w:type="pct"/>
            <w:tcBorders>
              <w:left w:val="single" w:sz="4" w:space="0" w:color="auto"/>
            </w:tcBorders>
            <w:shd w:val="clear" w:color="auto" w:fill="auto"/>
            <w:vAlign w:val="center"/>
          </w:tcPr>
          <w:p w14:paraId="0FA3625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2,831</w:t>
            </w:r>
          </w:p>
        </w:tc>
      </w:tr>
      <w:tr w:rsidR="00EE4D44" w:rsidRPr="00F62546" w14:paraId="6A1CC0F9" w14:textId="77777777" w:rsidTr="001D4246">
        <w:trPr>
          <w:trHeight w:val="300"/>
        </w:trPr>
        <w:tc>
          <w:tcPr>
            <w:tcW w:w="1848" w:type="pct"/>
            <w:tcBorders>
              <w:right w:val="single" w:sz="4" w:space="0" w:color="auto"/>
            </w:tcBorders>
            <w:shd w:val="clear" w:color="auto" w:fill="auto"/>
          </w:tcPr>
          <w:p w14:paraId="6B9550A6"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 xml:space="preserve">SAVR services- intermediate risk (15.8%) </w:t>
            </w:r>
          </w:p>
        </w:tc>
        <w:tc>
          <w:tcPr>
            <w:tcW w:w="625" w:type="pct"/>
            <w:tcBorders>
              <w:left w:val="single" w:sz="4" w:space="0" w:color="auto"/>
              <w:right w:val="single" w:sz="4" w:space="0" w:color="auto"/>
            </w:tcBorders>
            <w:vAlign w:val="center"/>
          </w:tcPr>
          <w:p w14:paraId="5A43E35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411</w:t>
            </w:r>
          </w:p>
        </w:tc>
        <w:tc>
          <w:tcPr>
            <w:tcW w:w="625" w:type="pct"/>
            <w:tcBorders>
              <w:left w:val="single" w:sz="4" w:space="0" w:color="auto"/>
              <w:right w:val="single" w:sz="4" w:space="0" w:color="auto"/>
            </w:tcBorders>
            <w:shd w:val="clear" w:color="auto" w:fill="auto"/>
            <w:vAlign w:val="center"/>
          </w:tcPr>
          <w:p w14:paraId="797493BB"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418</w:t>
            </w:r>
          </w:p>
        </w:tc>
        <w:tc>
          <w:tcPr>
            <w:tcW w:w="627" w:type="pct"/>
            <w:tcBorders>
              <w:left w:val="single" w:sz="4" w:space="0" w:color="auto"/>
              <w:right w:val="single" w:sz="4" w:space="0" w:color="auto"/>
            </w:tcBorders>
            <w:shd w:val="clear" w:color="auto" w:fill="auto"/>
            <w:vAlign w:val="center"/>
          </w:tcPr>
          <w:p w14:paraId="08547010"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425</w:t>
            </w:r>
          </w:p>
        </w:tc>
        <w:tc>
          <w:tcPr>
            <w:tcW w:w="626" w:type="pct"/>
            <w:tcBorders>
              <w:left w:val="single" w:sz="4" w:space="0" w:color="auto"/>
              <w:right w:val="single" w:sz="4" w:space="0" w:color="auto"/>
            </w:tcBorders>
            <w:shd w:val="clear" w:color="auto" w:fill="auto"/>
            <w:vAlign w:val="center"/>
          </w:tcPr>
          <w:p w14:paraId="2A5BC47F"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433</w:t>
            </w:r>
          </w:p>
        </w:tc>
        <w:tc>
          <w:tcPr>
            <w:tcW w:w="648" w:type="pct"/>
            <w:tcBorders>
              <w:left w:val="single" w:sz="4" w:space="0" w:color="auto"/>
            </w:tcBorders>
            <w:shd w:val="clear" w:color="auto" w:fill="auto"/>
            <w:vAlign w:val="center"/>
          </w:tcPr>
          <w:p w14:paraId="1D8DF5D5"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440</w:t>
            </w:r>
          </w:p>
        </w:tc>
      </w:tr>
      <w:tr w:rsidR="00EE4D44" w:rsidRPr="00F62546" w14:paraId="605C1A88" w14:textId="77777777" w:rsidTr="001D4246">
        <w:trPr>
          <w:trHeight w:val="300"/>
        </w:trPr>
        <w:tc>
          <w:tcPr>
            <w:tcW w:w="1848" w:type="pct"/>
            <w:shd w:val="clear" w:color="auto" w:fill="auto"/>
          </w:tcPr>
          <w:p w14:paraId="6C23ED11"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TAVI services (70% uptake)</w:t>
            </w:r>
          </w:p>
        </w:tc>
        <w:tc>
          <w:tcPr>
            <w:tcW w:w="625" w:type="pct"/>
            <w:vAlign w:val="center"/>
          </w:tcPr>
          <w:p w14:paraId="394A927F"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293</w:t>
            </w:r>
          </w:p>
        </w:tc>
        <w:tc>
          <w:tcPr>
            <w:tcW w:w="625" w:type="pct"/>
            <w:shd w:val="clear" w:color="auto" w:fill="auto"/>
            <w:vAlign w:val="center"/>
          </w:tcPr>
          <w:p w14:paraId="7CE2EC92"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298</w:t>
            </w:r>
          </w:p>
        </w:tc>
        <w:tc>
          <w:tcPr>
            <w:tcW w:w="627" w:type="pct"/>
            <w:shd w:val="clear" w:color="auto" w:fill="auto"/>
            <w:vAlign w:val="center"/>
          </w:tcPr>
          <w:p w14:paraId="289AA676"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303</w:t>
            </w:r>
          </w:p>
        </w:tc>
        <w:tc>
          <w:tcPr>
            <w:tcW w:w="626" w:type="pct"/>
            <w:shd w:val="clear" w:color="auto" w:fill="auto"/>
            <w:vAlign w:val="center"/>
          </w:tcPr>
          <w:p w14:paraId="4FF0B570"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308</w:t>
            </w:r>
          </w:p>
        </w:tc>
        <w:tc>
          <w:tcPr>
            <w:tcW w:w="648" w:type="pct"/>
            <w:shd w:val="clear" w:color="auto" w:fill="auto"/>
            <w:vAlign w:val="center"/>
          </w:tcPr>
          <w:p w14:paraId="606D68D8"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313</w:t>
            </w:r>
          </w:p>
        </w:tc>
      </w:tr>
      <w:tr w:rsidR="00EE4D44" w:rsidRPr="00F62546" w14:paraId="1A21601F" w14:textId="77777777" w:rsidTr="001D4246">
        <w:trPr>
          <w:trHeight w:val="315"/>
        </w:trPr>
        <w:tc>
          <w:tcPr>
            <w:tcW w:w="1848" w:type="pct"/>
            <w:tcBorders>
              <w:bottom w:val="single" w:sz="4" w:space="0" w:color="auto"/>
            </w:tcBorders>
            <w:shd w:val="clear" w:color="auto" w:fill="auto"/>
          </w:tcPr>
          <w:p w14:paraId="4872BB1B" w14:textId="77777777" w:rsidR="00EE4D44" w:rsidRPr="00F62546" w:rsidRDefault="00EE4D44" w:rsidP="001D4246">
            <w:pPr>
              <w:spacing w:before="40" w:after="40"/>
              <w:rPr>
                <w:rFonts w:ascii="Arial Narrow" w:hAnsi="Arial Narrow" w:cs="Tahoma"/>
                <w:sz w:val="20"/>
              </w:rPr>
            </w:pPr>
            <w:r w:rsidRPr="00F62546">
              <w:rPr>
                <w:rFonts w:ascii="Arial Narrow" w:hAnsi="Arial Narrow" w:cs="Tahoma"/>
                <w:sz w:val="20"/>
              </w:rPr>
              <w:t>Sub-total cost</w:t>
            </w:r>
          </w:p>
        </w:tc>
        <w:tc>
          <w:tcPr>
            <w:tcW w:w="625" w:type="pct"/>
            <w:tcBorders>
              <w:bottom w:val="single" w:sz="4" w:space="0" w:color="auto"/>
            </w:tcBorders>
            <w:vAlign w:val="center"/>
          </w:tcPr>
          <w:p w14:paraId="7480E3A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$324,380</w:t>
            </w:r>
          </w:p>
        </w:tc>
        <w:tc>
          <w:tcPr>
            <w:tcW w:w="625" w:type="pct"/>
            <w:tcBorders>
              <w:bottom w:val="single" w:sz="4" w:space="0" w:color="auto"/>
            </w:tcBorders>
            <w:shd w:val="clear" w:color="auto" w:fill="auto"/>
            <w:vAlign w:val="center"/>
          </w:tcPr>
          <w:p w14:paraId="0FA99C1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$329,897</w:t>
            </w:r>
          </w:p>
        </w:tc>
        <w:tc>
          <w:tcPr>
            <w:tcW w:w="627" w:type="pct"/>
            <w:tcBorders>
              <w:bottom w:val="single" w:sz="4" w:space="0" w:color="auto"/>
            </w:tcBorders>
            <w:shd w:val="clear" w:color="auto" w:fill="auto"/>
            <w:vAlign w:val="center"/>
          </w:tcPr>
          <w:p w14:paraId="78D6CB7D"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$335,443</w:t>
            </w:r>
          </w:p>
        </w:tc>
        <w:tc>
          <w:tcPr>
            <w:tcW w:w="626" w:type="pct"/>
            <w:tcBorders>
              <w:bottom w:val="single" w:sz="4" w:space="0" w:color="auto"/>
            </w:tcBorders>
            <w:shd w:val="clear" w:color="auto" w:fill="auto"/>
            <w:vAlign w:val="center"/>
          </w:tcPr>
          <w:p w14:paraId="63497B23"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$341,057</w:t>
            </w:r>
          </w:p>
        </w:tc>
        <w:tc>
          <w:tcPr>
            <w:tcW w:w="648" w:type="pct"/>
            <w:tcBorders>
              <w:bottom w:val="single" w:sz="4" w:space="0" w:color="auto"/>
            </w:tcBorders>
            <w:shd w:val="clear" w:color="auto" w:fill="auto"/>
            <w:vAlign w:val="center"/>
          </w:tcPr>
          <w:p w14:paraId="1505C9F4"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$346,803</w:t>
            </w:r>
          </w:p>
        </w:tc>
      </w:tr>
      <w:tr w:rsidR="00EE4D44" w:rsidRPr="00F62546" w14:paraId="0194A20C" w14:textId="77777777" w:rsidTr="001D4246">
        <w:trPr>
          <w:trHeight w:val="271"/>
        </w:trPr>
        <w:tc>
          <w:tcPr>
            <w:tcW w:w="1848" w:type="pct"/>
            <w:tcBorders>
              <w:right w:val="nil"/>
            </w:tcBorders>
            <w:shd w:val="clear" w:color="auto" w:fill="auto"/>
          </w:tcPr>
          <w:p w14:paraId="0D714DDF" w14:textId="77777777" w:rsidR="00EE4D44" w:rsidRPr="00F62546" w:rsidRDefault="00EE4D44" w:rsidP="001D4246">
            <w:pPr>
              <w:spacing w:before="40" w:after="40"/>
              <w:rPr>
                <w:rFonts w:ascii="Arial Narrow" w:hAnsi="Arial Narrow" w:cs="Tahoma"/>
                <w:sz w:val="20"/>
                <w:vertAlign w:val="superscript"/>
              </w:rPr>
            </w:pPr>
            <w:r w:rsidRPr="00F62546">
              <w:rPr>
                <w:rFonts w:ascii="Arial Narrow" w:hAnsi="Arial Narrow" w:cs="Tahoma"/>
                <w:sz w:val="20"/>
              </w:rPr>
              <w:t xml:space="preserve">Co-administered MBS services </w:t>
            </w:r>
            <w:r w:rsidRPr="00F62546">
              <w:rPr>
                <w:rFonts w:ascii="Arial Narrow" w:hAnsi="Arial Narrow" w:cs="Tahoma"/>
                <w:sz w:val="20"/>
                <w:vertAlign w:val="superscript"/>
              </w:rPr>
              <w:t>c</w:t>
            </w:r>
          </w:p>
        </w:tc>
        <w:tc>
          <w:tcPr>
            <w:tcW w:w="625" w:type="pct"/>
            <w:tcBorders>
              <w:left w:val="nil"/>
              <w:right w:val="nil"/>
            </w:tcBorders>
          </w:tcPr>
          <w:p w14:paraId="4EC517DD" w14:textId="77777777" w:rsidR="00EE4D44" w:rsidRPr="00F62546" w:rsidRDefault="00EE4D44" w:rsidP="001D4246">
            <w:pPr>
              <w:spacing w:before="40" w:after="40"/>
              <w:ind w:left="176"/>
              <w:rPr>
                <w:rFonts w:ascii="Arial Narrow" w:hAnsi="Arial Narrow" w:cs="Tahoma"/>
                <w:b/>
                <w:color w:val="FFFFFF" w:themeColor="background1"/>
                <w:sz w:val="20"/>
              </w:rPr>
            </w:pPr>
            <w:r w:rsidRPr="00F62546">
              <w:rPr>
                <w:rFonts w:ascii="Arial Narrow" w:hAnsi="Arial Narrow" w:cs="Tahoma"/>
                <w:b/>
                <w:color w:val="FFFFFF" w:themeColor="background1"/>
                <w:sz w:val="20"/>
              </w:rPr>
              <w:t>-</w:t>
            </w:r>
          </w:p>
        </w:tc>
        <w:tc>
          <w:tcPr>
            <w:tcW w:w="625" w:type="pct"/>
            <w:tcBorders>
              <w:left w:val="nil"/>
              <w:right w:val="nil"/>
            </w:tcBorders>
            <w:shd w:val="clear" w:color="auto" w:fill="auto"/>
          </w:tcPr>
          <w:p w14:paraId="7A31476F" w14:textId="77777777" w:rsidR="00EE4D44" w:rsidRPr="00F62546" w:rsidRDefault="00EE4D44" w:rsidP="001D4246">
            <w:pPr>
              <w:spacing w:before="40" w:after="40"/>
              <w:ind w:left="176"/>
              <w:rPr>
                <w:rFonts w:ascii="Arial Narrow" w:hAnsi="Arial Narrow" w:cs="Tahoma"/>
                <w:b/>
                <w:color w:val="FFFFFF" w:themeColor="background1"/>
                <w:sz w:val="20"/>
              </w:rPr>
            </w:pPr>
            <w:r w:rsidRPr="00F62546">
              <w:rPr>
                <w:rFonts w:ascii="Arial Narrow" w:hAnsi="Arial Narrow" w:cs="Tahoma"/>
                <w:b/>
                <w:color w:val="FFFFFF" w:themeColor="background1"/>
                <w:sz w:val="20"/>
              </w:rPr>
              <w:t>-</w:t>
            </w:r>
          </w:p>
        </w:tc>
        <w:tc>
          <w:tcPr>
            <w:tcW w:w="627" w:type="pct"/>
            <w:tcBorders>
              <w:left w:val="nil"/>
              <w:right w:val="nil"/>
            </w:tcBorders>
            <w:shd w:val="clear" w:color="auto" w:fill="auto"/>
          </w:tcPr>
          <w:p w14:paraId="4F8E5879" w14:textId="77777777" w:rsidR="00EE4D44" w:rsidRPr="00F62546" w:rsidRDefault="00EE4D44" w:rsidP="001D4246">
            <w:pPr>
              <w:spacing w:before="40" w:after="40"/>
              <w:ind w:left="176"/>
              <w:rPr>
                <w:rFonts w:ascii="Arial Narrow" w:hAnsi="Arial Narrow" w:cs="Tahoma"/>
                <w:b/>
                <w:color w:val="FFFFFF" w:themeColor="background1"/>
                <w:sz w:val="20"/>
              </w:rPr>
            </w:pPr>
            <w:r w:rsidRPr="00F62546">
              <w:rPr>
                <w:rFonts w:ascii="Arial Narrow" w:hAnsi="Arial Narrow" w:cs="Tahoma"/>
                <w:b/>
                <w:color w:val="FFFFFF" w:themeColor="background1"/>
                <w:sz w:val="20"/>
              </w:rPr>
              <w:t>-</w:t>
            </w:r>
          </w:p>
        </w:tc>
        <w:tc>
          <w:tcPr>
            <w:tcW w:w="626" w:type="pct"/>
            <w:tcBorders>
              <w:left w:val="nil"/>
              <w:right w:val="nil"/>
            </w:tcBorders>
            <w:shd w:val="clear" w:color="auto" w:fill="auto"/>
          </w:tcPr>
          <w:p w14:paraId="22E4EA35" w14:textId="77777777" w:rsidR="00EE4D44" w:rsidRPr="00F62546" w:rsidRDefault="00EE4D44" w:rsidP="001D4246">
            <w:pPr>
              <w:spacing w:before="40" w:after="40"/>
              <w:ind w:left="176"/>
              <w:rPr>
                <w:rFonts w:ascii="Arial Narrow" w:hAnsi="Arial Narrow" w:cs="Tahoma"/>
                <w:b/>
                <w:color w:val="FFFFFF" w:themeColor="background1"/>
                <w:sz w:val="20"/>
              </w:rPr>
            </w:pPr>
            <w:r w:rsidRPr="00F62546">
              <w:rPr>
                <w:rFonts w:ascii="Arial Narrow" w:hAnsi="Arial Narrow" w:cs="Tahoma"/>
                <w:b/>
                <w:color w:val="FFFFFF" w:themeColor="background1"/>
                <w:sz w:val="20"/>
              </w:rPr>
              <w:t>-</w:t>
            </w:r>
          </w:p>
        </w:tc>
        <w:tc>
          <w:tcPr>
            <w:tcW w:w="648" w:type="pct"/>
            <w:tcBorders>
              <w:left w:val="nil"/>
              <w:right w:val="nil"/>
            </w:tcBorders>
            <w:shd w:val="clear" w:color="auto" w:fill="auto"/>
          </w:tcPr>
          <w:p w14:paraId="42F9BB56" w14:textId="77777777" w:rsidR="00EE4D44" w:rsidRPr="00F62546" w:rsidRDefault="00EE4D44" w:rsidP="001D4246">
            <w:pPr>
              <w:spacing w:before="40" w:after="40"/>
              <w:ind w:left="176"/>
              <w:rPr>
                <w:rFonts w:ascii="Arial Narrow" w:hAnsi="Arial Narrow" w:cs="Tahoma"/>
                <w:b/>
                <w:color w:val="FFFFFF" w:themeColor="background1"/>
                <w:sz w:val="20"/>
              </w:rPr>
            </w:pPr>
            <w:r w:rsidRPr="00F62546">
              <w:rPr>
                <w:rFonts w:ascii="Arial Narrow" w:hAnsi="Arial Narrow" w:cs="Tahoma"/>
                <w:b/>
                <w:color w:val="FFFFFF" w:themeColor="background1"/>
                <w:sz w:val="20"/>
              </w:rPr>
              <w:t>-</w:t>
            </w:r>
          </w:p>
        </w:tc>
      </w:tr>
      <w:tr w:rsidR="00EE4D44" w:rsidRPr="00F62546" w14:paraId="6FA8F9E3" w14:textId="77777777" w:rsidTr="001D4246">
        <w:trPr>
          <w:trHeight w:val="300"/>
        </w:trPr>
        <w:tc>
          <w:tcPr>
            <w:tcW w:w="1848" w:type="pct"/>
            <w:shd w:val="clear" w:color="auto" w:fill="auto"/>
          </w:tcPr>
          <w:p w14:paraId="3E1944A1"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 xml:space="preserve">Number of services </w:t>
            </w:r>
          </w:p>
        </w:tc>
        <w:tc>
          <w:tcPr>
            <w:tcW w:w="625" w:type="pct"/>
            <w:vAlign w:val="center"/>
          </w:tcPr>
          <w:p w14:paraId="6A6ABD03"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3,221</w:t>
            </w:r>
          </w:p>
        </w:tc>
        <w:tc>
          <w:tcPr>
            <w:tcW w:w="625" w:type="pct"/>
            <w:shd w:val="clear" w:color="auto" w:fill="auto"/>
            <w:vAlign w:val="center"/>
          </w:tcPr>
          <w:p w14:paraId="1BE2104E"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3,276</w:t>
            </w:r>
          </w:p>
        </w:tc>
        <w:tc>
          <w:tcPr>
            <w:tcW w:w="627" w:type="pct"/>
            <w:shd w:val="clear" w:color="auto" w:fill="auto"/>
            <w:vAlign w:val="center"/>
          </w:tcPr>
          <w:p w14:paraId="4A984F9C"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3,331</w:t>
            </w:r>
          </w:p>
        </w:tc>
        <w:tc>
          <w:tcPr>
            <w:tcW w:w="626" w:type="pct"/>
            <w:shd w:val="clear" w:color="auto" w:fill="auto"/>
            <w:vAlign w:val="center"/>
          </w:tcPr>
          <w:p w14:paraId="5032F441"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3,387</w:t>
            </w:r>
          </w:p>
        </w:tc>
        <w:tc>
          <w:tcPr>
            <w:tcW w:w="648" w:type="pct"/>
            <w:shd w:val="clear" w:color="auto" w:fill="auto"/>
            <w:vAlign w:val="center"/>
          </w:tcPr>
          <w:p w14:paraId="4DD1409F"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3,444</w:t>
            </w:r>
          </w:p>
        </w:tc>
      </w:tr>
      <w:tr w:rsidR="00EE4D44" w:rsidRPr="00F62546" w14:paraId="41F57E3E" w14:textId="77777777" w:rsidTr="001D4246">
        <w:trPr>
          <w:trHeight w:val="300"/>
        </w:trPr>
        <w:tc>
          <w:tcPr>
            <w:tcW w:w="1848" w:type="pct"/>
            <w:tcBorders>
              <w:bottom w:val="single" w:sz="4" w:space="0" w:color="auto"/>
            </w:tcBorders>
            <w:shd w:val="clear" w:color="auto" w:fill="auto"/>
          </w:tcPr>
          <w:p w14:paraId="40876968" w14:textId="77777777" w:rsidR="00EE4D44" w:rsidRPr="00F62546" w:rsidRDefault="00EE4D44" w:rsidP="001D4246">
            <w:pPr>
              <w:spacing w:before="40" w:after="40"/>
              <w:ind w:left="176"/>
              <w:rPr>
                <w:rFonts w:ascii="Arial Narrow" w:hAnsi="Arial Narrow" w:cs="Tahoma"/>
                <w:sz w:val="20"/>
              </w:rPr>
            </w:pPr>
            <w:r w:rsidRPr="00F62546">
              <w:rPr>
                <w:rFonts w:ascii="Arial Narrow" w:hAnsi="Arial Narrow" w:cs="Tahoma"/>
                <w:sz w:val="20"/>
              </w:rPr>
              <w:t>Sub-total cost</w:t>
            </w:r>
          </w:p>
        </w:tc>
        <w:tc>
          <w:tcPr>
            <w:tcW w:w="625" w:type="pct"/>
            <w:tcBorders>
              <w:bottom w:val="single" w:sz="4" w:space="0" w:color="auto"/>
            </w:tcBorders>
            <w:vAlign w:val="center"/>
          </w:tcPr>
          <w:p w14:paraId="25E3A302"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$293,911</w:t>
            </w:r>
          </w:p>
        </w:tc>
        <w:tc>
          <w:tcPr>
            <w:tcW w:w="625" w:type="pct"/>
            <w:tcBorders>
              <w:bottom w:val="single" w:sz="4" w:space="0" w:color="auto"/>
            </w:tcBorders>
            <w:shd w:val="clear" w:color="auto" w:fill="auto"/>
            <w:vAlign w:val="center"/>
          </w:tcPr>
          <w:p w14:paraId="28F1509B"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$298,910</w:t>
            </w:r>
          </w:p>
        </w:tc>
        <w:tc>
          <w:tcPr>
            <w:tcW w:w="627" w:type="pct"/>
            <w:tcBorders>
              <w:bottom w:val="single" w:sz="4" w:space="0" w:color="auto"/>
            </w:tcBorders>
            <w:shd w:val="clear" w:color="auto" w:fill="auto"/>
            <w:vAlign w:val="center"/>
          </w:tcPr>
          <w:p w14:paraId="4CAE0BB8"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$303,935</w:t>
            </w:r>
          </w:p>
        </w:tc>
        <w:tc>
          <w:tcPr>
            <w:tcW w:w="626" w:type="pct"/>
            <w:tcBorders>
              <w:bottom w:val="single" w:sz="4" w:space="0" w:color="auto"/>
            </w:tcBorders>
            <w:shd w:val="clear" w:color="auto" w:fill="auto"/>
            <w:vAlign w:val="center"/>
          </w:tcPr>
          <w:p w14:paraId="4C0481A3"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$309,022</w:t>
            </w:r>
          </w:p>
        </w:tc>
        <w:tc>
          <w:tcPr>
            <w:tcW w:w="648" w:type="pct"/>
            <w:tcBorders>
              <w:bottom w:val="single" w:sz="4" w:space="0" w:color="auto"/>
            </w:tcBorders>
            <w:shd w:val="clear" w:color="auto" w:fill="auto"/>
            <w:vAlign w:val="center"/>
          </w:tcPr>
          <w:p w14:paraId="63EE245A" w14:textId="77777777" w:rsidR="00EE4D44" w:rsidRPr="00F62546" w:rsidRDefault="00EE4D44" w:rsidP="001D4246">
            <w:pPr>
              <w:spacing w:before="40" w:after="40"/>
              <w:jc w:val="center"/>
              <w:rPr>
                <w:rFonts w:ascii="Arial Narrow" w:hAnsi="Arial Narrow" w:cs="Tahoma"/>
                <w:sz w:val="20"/>
              </w:rPr>
            </w:pPr>
            <w:r w:rsidRPr="00F62546">
              <w:rPr>
                <w:rFonts w:ascii="Arial Narrow" w:hAnsi="Arial Narrow" w:cs="Tahoma"/>
                <w:sz w:val="20"/>
              </w:rPr>
              <w:t>$314,228</w:t>
            </w:r>
          </w:p>
        </w:tc>
      </w:tr>
      <w:tr w:rsidR="00EE4D44" w:rsidRPr="00F62546" w14:paraId="345A506F" w14:textId="77777777" w:rsidTr="001D4246">
        <w:trPr>
          <w:trHeight w:val="300"/>
        </w:trPr>
        <w:tc>
          <w:tcPr>
            <w:tcW w:w="1848" w:type="pct"/>
            <w:tcBorders>
              <w:bottom w:val="single" w:sz="4" w:space="0" w:color="auto"/>
            </w:tcBorders>
            <w:shd w:val="clear" w:color="auto" w:fill="auto"/>
          </w:tcPr>
          <w:p w14:paraId="01F8D96F" w14:textId="77777777" w:rsidR="00EE4D44" w:rsidRPr="00F62546" w:rsidRDefault="00EE4D44" w:rsidP="001D4246">
            <w:pPr>
              <w:spacing w:before="40" w:after="40"/>
              <w:rPr>
                <w:rFonts w:ascii="Arial Narrow" w:hAnsi="Arial Narrow" w:cs="Tahoma"/>
                <w:b/>
                <w:sz w:val="20"/>
              </w:rPr>
            </w:pPr>
            <w:r w:rsidRPr="00F62546">
              <w:rPr>
                <w:rFonts w:ascii="Arial Narrow" w:hAnsi="Arial Narrow" w:cs="Tahoma"/>
                <w:b/>
                <w:sz w:val="20"/>
              </w:rPr>
              <w:t>Total cost of TAVI</w:t>
            </w:r>
          </w:p>
        </w:tc>
        <w:tc>
          <w:tcPr>
            <w:tcW w:w="625" w:type="pct"/>
            <w:tcBorders>
              <w:bottom w:val="single" w:sz="4" w:space="0" w:color="auto"/>
            </w:tcBorders>
            <w:vAlign w:val="center"/>
          </w:tcPr>
          <w:p w14:paraId="42BA20AF"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$618,290</w:t>
            </w:r>
          </w:p>
        </w:tc>
        <w:tc>
          <w:tcPr>
            <w:tcW w:w="625" w:type="pct"/>
            <w:tcBorders>
              <w:bottom w:val="single" w:sz="4" w:space="0" w:color="auto"/>
            </w:tcBorders>
            <w:shd w:val="clear" w:color="auto" w:fill="auto"/>
            <w:vAlign w:val="center"/>
          </w:tcPr>
          <w:p w14:paraId="7984BD9A"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$628,806</w:t>
            </w:r>
          </w:p>
        </w:tc>
        <w:tc>
          <w:tcPr>
            <w:tcW w:w="627" w:type="pct"/>
            <w:tcBorders>
              <w:bottom w:val="single" w:sz="4" w:space="0" w:color="auto"/>
            </w:tcBorders>
            <w:shd w:val="clear" w:color="auto" w:fill="auto"/>
            <w:vAlign w:val="center"/>
          </w:tcPr>
          <w:p w14:paraId="746AC097"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$639,378</w:t>
            </w:r>
          </w:p>
        </w:tc>
        <w:tc>
          <w:tcPr>
            <w:tcW w:w="626" w:type="pct"/>
            <w:tcBorders>
              <w:bottom w:val="single" w:sz="4" w:space="0" w:color="auto"/>
            </w:tcBorders>
            <w:shd w:val="clear" w:color="auto" w:fill="auto"/>
            <w:vAlign w:val="center"/>
          </w:tcPr>
          <w:p w14:paraId="3E6B669A"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$650,079</w:t>
            </w:r>
          </w:p>
        </w:tc>
        <w:tc>
          <w:tcPr>
            <w:tcW w:w="648" w:type="pct"/>
            <w:tcBorders>
              <w:bottom w:val="single" w:sz="4" w:space="0" w:color="auto"/>
            </w:tcBorders>
            <w:shd w:val="clear" w:color="auto" w:fill="auto"/>
            <w:vAlign w:val="center"/>
          </w:tcPr>
          <w:p w14:paraId="394C04A0"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$661,030</w:t>
            </w:r>
          </w:p>
        </w:tc>
      </w:tr>
      <w:tr w:rsidR="00EE4D44" w:rsidRPr="00F62546" w14:paraId="2DF8A1FB" w14:textId="77777777" w:rsidTr="001D4246">
        <w:trPr>
          <w:trHeight w:val="300"/>
        </w:trPr>
        <w:tc>
          <w:tcPr>
            <w:tcW w:w="1848" w:type="pct"/>
            <w:tcBorders>
              <w:bottom w:val="single" w:sz="4" w:space="0" w:color="auto"/>
            </w:tcBorders>
            <w:shd w:val="clear" w:color="auto" w:fill="auto"/>
          </w:tcPr>
          <w:p w14:paraId="07CC71CB" w14:textId="77777777" w:rsidR="00EE4D44" w:rsidRPr="00F62546" w:rsidRDefault="00EE4D44" w:rsidP="001D4246">
            <w:pPr>
              <w:spacing w:before="40" w:after="40"/>
              <w:rPr>
                <w:rFonts w:ascii="Arial Narrow" w:hAnsi="Arial Narrow" w:cs="Tahoma"/>
                <w:b/>
                <w:sz w:val="20"/>
                <w:vertAlign w:val="superscript"/>
              </w:rPr>
            </w:pPr>
            <w:r w:rsidRPr="00F62546">
              <w:rPr>
                <w:rFonts w:ascii="Arial Narrow" w:hAnsi="Arial Narrow" w:cs="Tahoma"/>
                <w:b/>
                <w:sz w:val="20"/>
              </w:rPr>
              <w:t xml:space="preserve">Reduction in SAVR costs </w:t>
            </w:r>
            <w:r w:rsidRPr="00F62546">
              <w:rPr>
                <w:rFonts w:ascii="Arial Narrow" w:hAnsi="Arial Narrow" w:cs="Tahoma"/>
                <w:b/>
                <w:sz w:val="20"/>
                <w:vertAlign w:val="superscript"/>
              </w:rPr>
              <w:t>d</w:t>
            </w:r>
          </w:p>
        </w:tc>
        <w:tc>
          <w:tcPr>
            <w:tcW w:w="625" w:type="pct"/>
            <w:tcBorders>
              <w:bottom w:val="single" w:sz="4" w:space="0" w:color="auto"/>
            </w:tcBorders>
            <w:vAlign w:val="center"/>
          </w:tcPr>
          <w:p w14:paraId="49362674"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-$856,725</w:t>
            </w:r>
          </w:p>
        </w:tc>
        <w:tc>
          <w:tcPr>
            <w:tcW w:w="625" w:type="pct"/>
            <w:tcBorders>
              <w:bottom w:val="single" w:sz="4" w:space="0" w:color="auto"/>
            </w:tcBorders>
            <w:shd w:val="clear" w:color="auto" w:fill="auto"/>
            <w:vAlign w:val="center"/>
          </w:tcPr>
          <w:p w14:paraId="3D6E0256"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-$871,297</w:t>
            </w:r>
          </w:p>
        </w:tc>
        <w:tc>
          <w:tcPr>
            <w:tcW w:w="627" w:type="pct"/>
            <w:tcBorders>
              <w:bottom w:val="single" w:sz="4" w:space="0" w:color="auto"/>
            </w:tcBorders>
            <w:shd w:val="clear" w:color="auto" w:fill="auto"/>
            <w:vAlign w:val="center"/>
          </w:tcPr>
          <w:p w14:paraId="405C810C"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-$885,945</w:t>
            </w:r>
          </w:p>
        </w:tc>
        <w:tc>
          <w:tcPr>
            <w:tcW w:w="626" w:type="pct"/>
            <w:tcBorders>
              <w:bottom w:val="single" w:sz="4" w:space="0" w:color="auto"/>
            </w:tcBorders>
            <w:shd w:val="clear" w:color="auto" w:fill="auto"/>
            <w:vAlign w:val="center"/>
          </w:tcPr>
          <w:p w14:paraId="37CF811A"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-$900,773</w:t>
            </w:r>
          </w:p>
        </w:tc>
        <w:tc>
          <w:tcPr>
            <w:tcW w:w="648" w:type="pct"/>
            <w:tcBorders>
              <w:bottom w:val="single" w:sz="4" w:space="0" w:color="auto"/>
            </w:tcBorders>
            <w:shd w:val="clear" w:color="auto" w:fill="auto"/>
            <w:vAlign w:val="center"/>
          </w:tcPr>
          <w:p w14:paraId="2E9890D2"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-$915,947</w:t>
            </w:r>
          </w:p>
        </w:tc>
      </w:tr>
      <w:tr w:rsidR="00EE4D44" w:rsidRPr="00F62546" w14:paraId="1CBE4F45" w14:textId="77777777" w:rsidTr="001D4246">
        <w:trPr>
          <w:trHeight w:val="300"/>
        </w:trPr>
        <w:tc>
          <w:tcPr>
            <w:tcW w:w="1848" w:type="pct"/>
            <w:tcBorders>
              <w:bottom w:val="single" w:sz="4" w:space="0" w:color="auto"/>
            </w:tcBorders>
            <w:shd w:val="clear" w:color="auto" w:fill="auto"/>
          </w:tcPr>
          <w:p w14:paraId="366ADDEB" w14:textId="77777777" w:rsidR="00EE4D44" w:rsidRPr="00F62546" w:rsidRDefault="00EE4D44" w:rsidP="001D4246">
            <w:pPr>
              <w:spacing w:before="40" w:after="40"/>
              <w:rPr>
                <w:rFonts w:ascii="Arial Narrow" w:hAnsi="Arial Narrow" w:cs="Tahoma"/>
                <w:b/>
                <w:sz w:val="20"/>
              </w:rPr>
            </w:pPr>
            <w:r w:rsidRPr="00F62546">
              <w:rPr>
                <w:rFonts w:ascii="Arial Narrow" w:hAnsi="Arial Narrow" w:cs="Tahoma"/>
                <w:b/>
                <w:sz w:val="20"/>
              </w:rPr>
              <w:t>Net cost to MBS</w:t>
            </w:r>
          </w:p>
        </w:tc>
        <w:tc>
          <w:tcPr>
            <w:tcW w:w="625" w:type="pct"/>
            <w:tcBorders>
              <w:bottom w:val="single" w:sz="4" w:space="0" w:color="auto"/>
            </w:tcBorders>
            <w:vAlign w:val="center"/>
          </w:tcPr>
          <w:p w14:paraId="3CD06201"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-$238,435</w:t>
            </w:r>
          </w:p>
        </w:tc>
        <w:tc>
          <w:tcPr>
            <w:tcW w:w="625" w:type="pct"/>
            <w:tcBorders>
              <w:bottom w:val="single" w:sz="4" w:space="0" w:color="auto"/>
            </w:tcBorders>
            <w:shd w:val="clear" w:color="auto" w:fill="auto"/>
            <w:vAlign w:val="center"/>
          </w:tcPr>
          <w:p w14:paraId="214C8DD7"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-$242,490</w:t>
            </w:r>
          </w:p>
        </w:tc>
        <w:tc>
          <w:tcPr>
            <w:tcW w:w="627" w:type="pct"/>
            <w:tcBorders>
              <w:bottom w:val="single" w:sz="4" w:space="0" w:color="auto"/>
            </w:tcBorders>
            <w:shd w:val="clear" w:color="auto" w:fill="auto"/>
            <w:vAlign w:val="center"/>
          </w:tcPr>
          <w:p w14:paraId="10EA43E8"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-$246,567</w:t>
            </w:r>
          </w:p>
        </w:tc>
        <w:tc>
          <w:tcPr>
            <w:tcW w:w="626" w:type="pct"/>
            <w:tcBorders>
              <w:bottom w:val="single" w:sz="4" w:space="0" w:color="auto"/>
            </w:tcBorders>
            <w:shd w:val="clear" w:color="auto" w:fill="auto"/>
            <w:vAlign w:val="center"/>
          </w:tcPr>
          <w:p w14:paraId="063BC3BF"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-$250,694</w:t>
            </w:r>
          </w:p>
        </w:tc>
        <w:tc>
          <w:tcPr>
            <w:tcW w:w="648" w:type="pct"/>
            <w:tcBorders>
              <w:bottom w:val="single" w:sz="4" w:space="0" w:color="auto"/>
            </w:tcBorders>
            <w:shd w:val="clear" w:color="auto" w:fill="auto"/>
            <w:vAlign w:val="center"/>
          </w:tcPr>
          <w:p w14:paraId="3DD12D29"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-$254,917</w:t>
            </w:r>
          </w:p>
        </w:tc>
      </w:tr>
      <w:tr w:rsidR="00EE4D44" w:rsidRPr="00F62546" w14:paraId="4AB50F84" w14:textId="77777777" w:rsidTr="001D4246">
        <w:trPr>
          <w:trHeight w:val="300"/>
        </w:trPr>
        <w:tc>
          <w:tcPr>
            <w:tcW w:w="1848" w:type="pct"/>
            <w:tcBorders>
              <w:bottom w:val="single" w:sz="4" w:space="0" w:color="auto"/>
            </w:tcBorders>
            <w:shd w:val="clear" w:color="auto" w:fill="auto"/>
          </w:tcPr>
          <w:p w14:paraId="4BF3C795" w14:textId="77777777" w:rsidR="00EE4D44" w:rsidRPr="00F62546" w:rsidRDefault="00EE4D44" w:rsidP="001D4246">
            <w:pPr>
              <w:spacing w:before="40" w:after="40"/>
              <w:rPr>
                <w:rFonts w:ascii="Arial Narrow" w:hAnsi="Arial Narrow" w:cs="Tahoma"/>
                <w:b/>
                <w:sz w:val="20"/>
              </w:rPr>
            </w:pPr>
            <w:r w:rsidRPr="00F62546">
              <w:rPr>
                <w:rFonts w:ascii="Arial Narrow" w:hAnsi="Arial Narrow" w:cs="Tahoma"/>
                <w:b/>
                <w:sz w:val="20"/>
              </w:rPr>
              <w:t>Net cost to Australian Government</w:t>
            </w:r>
          </w:p>
        </w:tc>
        <w:tc>
          <w:tcPr>
            <w:tcW w:w="625" w:type="pct"/>
            <w:tcBorders>
              <w:bottom w:val="single" w:sz="4" w:space="0" w:color="auto"/>
            </w:tcBorders>
            <w:vAlign w:val="center"/>
          </w:tcPr>
          <w:p w14:paraId="623C7DD6"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-$238,435</w:t>
            </w:r>
          </w:p>
        </w:tc>
        <w:tc>
          <w:tcPr>
            <w:tcW w:w="625" w:type="pct"/>
            <w:tcBorders>
              <w:bottom w:val="single" w:sz="4" w:space="0" w:color="auto"/>
            </w:tcBorders>
            <w:shd w:val="clear" w:color="auto" w:fill="auto"/>
            <w:vAlign w:val="center"/>
          </w:tcPr>
          <w:p w14:paraId="45B46B5C"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-$242,490</w:t>
            </w:r>
          </w:p>
        </w:tc>
        <w:tc>
          <w:tcPr>
            <w:tcW w:w="627" w:type="pct"/>
            <w:tcBorders>
              <w:bottom w:val="single" w:sz="4" w:space="0" w:color="auto"/>
            </w:tcBorders>
            <w:shd w:val="clear" w:color="auto" w:fill="auto"/>
            <w:vAlign w:val="center"/>
          </w:tcPr>
          <w:p w14:paraId="3587827D"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-$246,567</w:t>
            </w:r>
          </w:p>
        </w:tc>
        <w:tc>
          <w:tcPr>
            <w:tcW w:w="626" w:type="pct"/>
            <w:tcBorders>
              <w:bottom w:val="single" w:sz="4" w:space="0" w:color="auto"/>
            </w:tcBorders>
            <w:shd w:val="clear" w:color="auto" w:fill="auto"/>
            <w:vAlign w:val="center"/>
          </w:tcPr>
          <w:p w14:paraId="2AA5B5A0"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-$250,694</w:t>
            </w:r>
          </w:p>
        </w:tc>
        <w:tc>
          <w:tcPr>
            <w:tcW w:w="648" w:type="pct"/>
            <w:tcBorders>
              <w:bottom w:val="single" w:sz="4" w:space="0" w:color="auto"/>
            </w:tcBorders>
            <w:shd w:val="clear" w:color="auto" w:fill="auto"/>
            <w:vAlign w:val="center"/>
          </w:tcPr>
          <w:p w14:paraId="32358827" w14:textId="77777777" w:rsidR="00EE4D44" w:rsidRPr="00F62546" w:rsidRDefault="00EE4D44" w:rsidP="001D4246">
            <w:pPr>
              <w:spacing w:before="40" w:after="40"/>
              <w:jc w:val="center"/>
              <w:rPr>
                <w:rFonts w:ascii="Arial Narrow" w:hAnsi="Arial Narrow" w:cs="Tahoma"/>
                <w:b/>
                <w:sz w:val="20"/>
              </w:rPr>
            </w:pPr>
            <w:r w:rsidRPr="00F62546">
              <w:rPr>
                <w:rFonts w:ascii="Arial Narrow" w:hAnsi="Arial Narrow" w:cs="Tahoma"/>
                <w:b/>
                <w:sz w:val="20"/>
              </w:rPr>
              <w:t>-$254,917</w:t>
            </w:r>
          </w:p>
        </w:tc>
      </w:tr>
      <w:tr w:rsidR="00EE4D44" w:rsidRPr="00F62546" w14:paraId="27B1D4A2" w14:textId="77777777" w:rsidTr="001D4246">
        <w:trPr>
          <w:trHeight w:val="315"/>
        </w:trPr>
        <w:tc>
          <w:tcPr>
            <w:tcW w:w="1848" w:type="pct"/>
            <w:shd w:val="clear" w:color="auto" w:fill="auto"/>
          </w:tcPr>
          <w:p w14:paraId="1F212282" w14:textId="77777777" w:rsidR="00EE4D44" w:rsidRPr="00F62546" w:rsidRDefault="00EE4D44" w:rsidP="001D4246">
            <w:pPr>
              <w:spacing w:before="40" w:after="40"/>
              <w:rPr>
                <w:rFonts w:ascii="Arial Narrow" w:hAnsi="Arial Narrow" w:cs="Tahoma"/>
                <w:b/>
                <w:i/>
                <w:sz w:val="20"/>
              </w:rPr>
            </w:pPr>
            <w:r w:rsidRPr="00F62546">
              <w:rPr>
                <w:rFonts w:ascii="Arial Narrow" w:hAnsi="Arial Narrow" w:cs="Tahoma"/>
                <w:b/>
                <w:i/>
                <w:sz w:val="20"/>
              </w:rPr>
              <w:t xml:space="preserve">Net reduction in hospital costs </w:t>
            </w:r>
            <w:r w:rsidRPr="00F62546">
              <w:rPr>
                <w:rFonts w:ascii="Arial Narrow" w:hAnsi="Arial Narrow" w:cs="Tahoma"/>
                <w:b/>
                <w:i/>
                <w:sz w:val="20"/>
              </w:rPr>
              <w:br/>
              <w:t>(MBS patients</w:t>
            </w:r>
            <w:r w:rsidRPr="00F62546">
              <w:rPr>
                <w:rFonts w:ascii="Arial Narrow" w:hAnsi="Arial Narrow" w:cs="Tahoma"/>
                <w:i/>
                <w:sz w:val="20"/>
              </w:rPr>
              <w:t xml:space="preserve"> </w:t>
            </w:r>
            <w:r w:rsidRPr="00F62546">
              <w:rPr>
                <w:rFonts w:ascii="Arial Narrow" w:hAnsi="Arial Narrow" w:cs="Tahoma"/>
                <w:b/>
                <w:i/>
                <w:sz w:val="20"/>
              </w:rPr>
              <w:t xml:space="preserve">excluding theatre cost </w:t>
            </w:r>
            <w:r w:rsidRPr="00F62546">
              <w:rPr>
                <w:rFonts w:ascii="Arial Narrow" w:hAnsi="Arial Narrow" w:cs="Tahoma"/>
                <w:b/>
                <w:i/>
                <w:sz w:val="20"/>
                <w:vertAlign w:val="superscript"/>
              </w:rPr>
              <w:t>e</w:t>
            </w:r>
            <w:r w:rsidRPr="00F62546">
              <w:rPr>
                <w:rFonts w:ascii="Arial Narrow" w:hAnsi="Arial Narrow" w:cs="Tahoma"/>
                <w:b/>
                <w:i/>
                <w:sz w:val="20"/>
              </w:rPr>
              <w:t>)</w:t>
            </w:r>
          </w:p>
        </w:tc>
        <w:tc>
          <w:tcPr>
            <w:tcW w:w="625" w:type="pct"/>
            <w:vAlign w:val="center"/>
          </w:tcPr>
          <w:p w14:paraId="553589C0"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-$5,786,343</w:t>
            </w:r>
          </w:p>
        </w:tc>
        <w:tc>
          <w:tcPr>
            <w:tcW w:w="625" w:type="pct"/>
            <w:shd w:val="clear" w:color="auto" w:fill="auto"/>
            <w:vAlign w:val="center"/>
          </w:tcPr>
          <w:p w14:paraId="01F27142"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-$5,884,756</w:t>
            </w:r>
          </w:p>
        </w:tc>
        <w:tc>
          <w:tcPr>
            <w:tcW w:w="627" w:type="pct"/>
            <w:shd w:val="clear" w:color="auto" w:fill="auto"/>
            <w:vAlign w:val="center"/>
          </w:tcPr>
          <w:p w14:paraId="4CEF90AC"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-$5,983,689</w:t>
            </w:r>
          </w:p>
        </w:tc>
        <w:tc>
          <w:tcPr>
            <w:tcW w:w="626" w:type="pct"/>
            <w:shd w:val="clear" w:color="auto" w:fill="auto"/>
            <w:vAlign w:val="center"/>
          </w:tcPr>
          <w:p w14:paraId="1D8DE9F6"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-$6,083,842</w:t>
            </w:r>
          </w:p>
        </w:tc>
        <w:tc>
          <w:tcPr>
            <w:tcW w:w="648" w:type="pct"/>
            <w:shd w:val="clear" w:color="auto" w:fill="auto"/>
            <w:vAlign w:val="center"/>
          </w:tcPr>
          <w:p w14:paraId="685533D1"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-$6,186,328</w:t>
            </w:r>
          </w:p>
        </w:tc>
      </w:tr>
      <w:tr w:rsidR="00EE4D44" w:rsidRPr="00F62546" w14:paraId="45FC7C18" w14:textId="77777777" w:rsidTr="001D4246">
        <w:trPr>
          <w:trHeight w:val="315"/>
        </w:trPr>
        <w:tc>
          <w:tcPr>
            <w:tcW w:w="1848" w:type="pct"/>
            <w:tcBorders>
              <w:bottom w:val="single" w:sz="4" w:space="0" w:color="auto"/>
            </w:tcBorders>
            <w:shd w:val="clear" w:color="auto" w:fill="auto"/>
          </w:tcPr>
          <w:p w14:paraId="6C37206B" w14:textId="77777777" w:rsidR="00EE4D44" w:rsidRPr="00F62546" w:rsidRDefault="00EE4D44" w:rsidP="001D4246">
            <w:pPr>
              <w:spacing w:before="40" w:after="40"/>
              <w:rPr>
                <w:rFonts w:ascii="Arial Narrow" w:hAnsi="Arial Narrow" w:cs="Tahoma"/>
                <w:b/>
                <w:i/>
                <w:sz w:val="20"/>
                <w:vertAlign w:val="superscript"/>
              </w:rPr>
            </w:pPr>
            <w:r w:rsidRPr="00F62546">
              <w:rPr>
                <w:rFonts w:ascii="Arial Narrow" w:hAnsi="Arial Narrow" w:cs="Tahoma"/>
                <w:b/>
                <w:i/>
                <w:sz w:val="20"/>
              </w:rPr>
              <w:t xml:space="preserve">Net change in prosthesis costs for private health insurance </w:t>
            </w:r>
            <w:r w:rsidRPr="00F62546">
              <w:rPr>
                <w:rFonts w:ascii="Arial Narrow" w:hAnsi="Arial Narrow" w:cs="Tahoma"/>
                <w:b/>
                <w:i/>
                <w:sz w:val="20"/>
                <w:vertAlign w:val="superscript"/>
              </w:rPr>
              <w:t>f</w:t>
            </w:r>
          </w:p>
        </w:tc>
        <w:tc>
          <w:tcPr>
            <w:tcW w:w="625" w:type="pct"/>
            <w:tcBorders>
              <w:bottom w:val="single" w:sz="4" w:space="0" w:color="auto"/>
            </w:tcBorders>
          </w:tcPr>
          <w:p w14:paraId="19E39359"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$3,936,144</w:t>
            </w:r>
          </w:p>
        </w:tc>
        <w:tc>
          <w:tcPr>
            <w:tcW w:w="625" w:type="pct"/>
            <w:tcBorders>
              <w:bottom w:val="single" w:sz="4" w:space="0" w:color="auto"/>
            </w:tcBorders>
            <w:shd w:val="clear" w:color="auto" w:fill="auto"/>
          </w:tcPr>
          <w:p w14:paraId="4A987527"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$4,003,090</w:t>
            </w:r>
          </w:p>
        </w:tc>
        <w:tc>
          <w:tcPr>
            <w:tcW w:w="627" w:type="pct"/>
            <w:tcBorders>
              <w:bottom w:val="single" w:sz="4" w:space="0" w:color="auto"/>
            </w:tcBorders>
            <w:shd w:val="clear" w:color="auto" w:fill="auto"/>
          </w:tcPr>
          <w:p w14:paraId="55D33F5F"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$4,070,389</w:t>
            </w:r>
          </w:p>
        </w:tc>
        <w:tc>
          <w:tcPr>
            <w:tcW w:w="626" w:type="pct"/>
            <w:tcBorders>
              <w:bottom w:val="single" w:sz="4" w:space="0" w:color="auto"/>
            </w:tcBorders>
            <w:shd w:val="clear" w:color="auto" w:fill="auto"/>
          </w:tcPr>
          <w:p w14:paraId="2432F010"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$4,138,517</w:t>
            </w:r>
          </w:p>
        </w:tc>
        <w:tc>
          <w:tcPr>
            <w:tcW w:w="648" w:type="pct"/>
            <w:tcBorders>
              <w:bottom w:val="single" w:sz="4" w:space="0" w:color="auto"/>
            </w:tcBorders>
            <w:shd w:val="clear" w:color="auto" w:fill="auto"/>
          </w:tcPr>
          <w:p w14:paraId="51305367" w14:textId="77777777" w:rsidR="00EE4D44" w:rsidRPr="00F62546" w:rsidRDefault="00EE4D44" w:rsidP="001D4246">
            <w:pPr>
              <w:spacing w:before="40" w:after="40"/>
              <w:jc w:val="center"/>
              <w:rPr>
                <w:rFonts w:ascii="Arial Narrow" w:hAnsi="Arial Narrow" w:cs="Tahoma"/>
                <w:b/>
                <w:i/>
                <w:sz w:val="20"/>
              </w:rPr>
            </w:pPr>
            <w:r w:rsidRPr="00F62546">
              <w:rPr>
                <w:rFonts w:ascii="Arial Narrow" w:hAnsi="Arial Narrow" w:cs="Tahoma"/>
                <w:b/>
                <w:i/>
                <w:sz w:val="20"/>
              </w:rPr>
              <w:t>$4,208,233</w:t>
            </w:r>
          </w:p>
        </w:tc>
      </w:tr>
    </w:tbl>
    <w:p w14:paraId="02319138" w14:textId="77777777" w:rsidR="00EE4D44" w:rsidRPr="00F62546" w:rsidRDefault="00EE4D44" w:rsidP="00EE4D44">
      <w:pPr>
        <w:keepNext/>
        <w:keepLines/>
        <w:rPr>
          <w:rFonts w:ascii="Arial Narrow" w:hAnsi="Arial Narrow"/>
          <w:color w:val="000000"/>
          <w:sz w:val="18"/>
          <w:szCs w:val="18"/>
          <w:lang w:eastAsia="en-US"/>
        </w:rPr>
      </w:pPr>
      <w:r w:rsidRPr="00F62546">
        <w:rPr>
          <w:rFonts w:ascii="Arial Narrow" w:hAnsi="Arial Narrow"/>
          <w:color w:val="000000"/>
          <w:sz w:val="18"/>
          <w:szCs w:val="18"/>
          <w:lang w:eastAsia="en-US"/>
        </w:rPr>
        <w:t xml:space="preserve">Source: Table 76-77, p137 of the ADAR </w:t>
      </w:r>
      <w:r w:rsidRPr="00F62546">
        <w:rPr>
          <w:rFonts w:ascii="Arial Narrow" w:hAnsi="Arial Narrow"/>
          <w:i/>
          <w:color w:val="000000"/>
          <w:sz w:val="18"/>
          <w:szCs w:val="18"/>
          <w:lang w:eastAsia="en-US"/>
        </w:rPr>
        <w:t>and extracted from the Section E spreadsheet</w:t>
      </w:r>
    </w:p>
    <w:p w14:paraId="429CC56B" w14:textId="77777777" w:rsidR="00EE4D44" w:rsidRPr="00F62546" w:rsidRDefault="00EE4D44" w:rsidP="00EE4D44">
      <w:pPr>
        <w:keepNext/>
        <w:keepLines/>
        <w:rPr>
          <w:rFonts w:ascii="Arial Narrow" w:hAnsi="Arial Narrow"/>
          <w:color w:val="000000"/>
          <w:sz w:val="18"/>
          <w:szCs w:val="18"/>
          <w:lang w:eastAsia="en-US"/>
        </w:rPr>
      </w:pPr>
      <w:r w:rsidRPr="00F62546">
        <w:rPr>
          <w:rFonts w:ascii="Arial Narrow" w:hAnsi="Arial Narrow"/>
          <w:color w:val="000000"/>
          <w:sz w:val="18"/>
          <w:szCs w:val="18"/>
          <w:lang w:eastAsia="en-US"/>
        </w:rPr>
        <w:t xml:space="preserve">ADAR = Applicant Developed Assessment Report; AS = aortic stenosis; ICU = intensive care unit; MBS = Medicare Benefits Scheme; SAVR = surgical aortic valve replacement; TAVI = </w:t>
      </w:r>
      <w:proofErr w:type="spellStart"/>
      <w:r w:rsidRPr="00F62546">
        <w:rPr>
          <w:rFonts w:ascii="Arial Narrow" w:hAnsi="Arial Narrow"/>
          <w:color w:val="000000"/>
          <w:sz w:val="18"/>
          <w:szCs w:val="18"/>
          <w:lang w:eastAsia="en-US"/>
        </w:rPr>
        <w:t>transcatheter</w:t>
      </w:r>
      <w:proofErr w:type="spellEnd"/>
      <w:r w:rsidRPr="00F62546">
        <w:rPr>
          <w:rFonts w:ascii="Arial Narrow" w:hAnsi="Arial Narrow"/>
          <w:color w:val="000000"/>
          <w:sz w:val="18"/>
          <w:szCs w:val="18"/>
          <w:lang w:eastAsia="en-US"/>
        </w:rPr>
        <w:t xml:space="preserve"> aortic valve implantation</w:t>
      </w:r>
    </w:p>
    <w:p w14:paraId="134E7CEF" w14:textId="77777777" w:rsidR="00EE4D44" w:rsidRPr="00F62546" w:rsidRDefault="00EE4D44" w:rsidP="00EE4D44">
      <w:pPr>
        <w:keepNext/>
        <w:keepLines/>
        <w:rPr>
          <w:rFonts w:ascii="Arial Narrow" w:hAnsi="Arial Narrow"/>
          <w:color w:val="000000"/>
          <w:sz w:val="18"/>
          <w:szCs w:val="18"/>
          <w:lang w:eastAsia="en-US"/>
        </w:rPr>
      </w:pPr>
      <w:proofErr w:type="gramStart"/>
      <w:r w:rsidRPr="00F62546">
        <w:rPr>
          <w:rFonts w:ascii="Arial Narrow" w:hAnsi="Arial Narrow"/>
          <w:color w:val="000000"/>
          <w:sz w:val="18"/>
          <w:szCs w:val="18"/>
          <w:vertAlign w:val="superscript"/>
          <w:lang w:eastAsia="en-US"/>
        </w:rPr>
        <w:t>a</w:t>
      </w:r>
      <w:proofErr w:type="gramEnd"/>
      <w:r w:rsidRPr="00F62546">
        <w:rPr>
          <w:rFonts w:ascii="Arial Narrow" w:hAnsi="Arial Narrow"/>
          <w:color w:val="000000"/>
          <w:sz w:val="18"/>
          <w:szCs w:val="18"/>
          <w:lang w:eastAsia="en-US"/>
        </w:rPr>
        <w:t xml:space="preserve"> Calculated from age-specific prevalence of AS multiplied by proportion that is severe (75.6%) and proportion with intermediate surgical risk (15.8%). The Pre-ESC response revised the ADAR’s estimate to account for 66% of moderate to severe AS was severe AS and 44% of Australians have private health insurance. </w:t>
      </w:r>
    </w:p>
    <w:p w14:paraId="451B85E3" w14:textId="77777777" w:rsidR="00EE4D44" w:rsidRPr="00F62546" w:rsidRDefault="00EE4D44" w:rsidP="00EE4D44">
      <w:pPr>
        <w:keepNext/>
        <w:keepLines/>
        <w:rPr>
          <w:rFonts w:ascii="Arial Narrow" w:hAnsi="Arial Narrow"/>
          <w:color w:val="000000"/>
          <w:sz w:val="18"/>
          <w:szCs w:val="18"/>
          <w:lang w:eastAsia="en-US"/>
        </w:rPr>
      </w:pPr>
      <w:proofErr w:type="gramStart"/>
      <w:r w:rsidRPr="00F62546">
        <w:rPr>
          <w:rFonts w:ascii="Arial Narrow" w:hAnsi="Arial Narrow"/>
          <w:color w:val="000000"/>
          <w:sz w:val="18"/>
          <w:szCs w:val="18"/>
          <w:vertAlign w:val="superscript"/>
          <w:lang w:eastAsia="en-US"/>
        </w:rPr>
        <w:t>b</w:t>
      </w:r>
      <w:proofErr w:type="gramEnd"/>
      <w:r w:rsidRPr="00F62546">
        <w:rPr>
          <w:rFonts w:ascii="Arial Narrow" w:hAnsi="Arial Narrow"/>
          <w:color w:val="000000"/>
          <w:sz w:val="18"/>
          <w:szCs w:val="18"/>
          <w:vertAlign w:val="superscript"/>
          <w:lang w:eastAsia="en-US"/>
        </w:rPr>
        <w:t xml:space="preserve"> </w:t>
      </w:r>
      <w:r w:rsidRPr="00F62546">
        <w:rPr>
          <w:rFonts w:ascii="Arial Narrow" w:hAnsi="Arial Narrow"/>
          <w:color w:val="000000"/>
          <w:sz w:val="18"/>
          <w:szCs w:val="18"/>
          <w:lang w:eastAsia="en-US"/>
        </w:rPr>
        <w:t xml:space="preserve">The Pre-ESC response estimated the number of patients aged 75 years and older were 93 in Year 1, increasing to 106 in Year 5. This could not be verified. </w:t>
      </w:r>
    </w:p>
    <w:p w14:paraId="4BEC1D9F" w14:textId="77777777" w:rsidR="00EE4D44" w:rsidRPr="00F62546" w:rsidRDefault="00EE4D44" w:rsidP="00EE4D44">
      <w:pPr>
        <w:keepNext/>
        <w:keepLines/>
        <w:rPr>
          <w:rFonts w:ascii="Arial Narrow" w:hAnsi="Arial Narrow"/>
          <w:color w:val="000000"/>
          <w:sz w:val="18"/>
          <w:szCs w:val="18"/>
          <w:lang w:eastAsia="en-US"/>
        </w:rPr>
      </w:pPr>
      <w:proofErr w:type="gramStart"/>
      <w:r w:rsidRPr="00F62546">
        <w:rPr>
          <w:rFonts w:ascii="Arial Narrow" w:hAnsi="Arial Narrow"/>
          <w:color w:val="000000"/>
          <w:sz w:val="18"/>
          <w:szCs w:val="18"/>
          <w:vertAlign w:val="superscript"/>
          <w:lang w:eastAsia="en-US"/>
        </w:rPr>
        <w:t>c</w:t>
      </w:r>
      <w:proofErr w:type="gramEnd"/>
      <w:r w:rsidRPr="00F62546">
        <w:rPr>
          <w:rFonts w:ascii="Arial Narrow" w:hAnsi="Arial Narrow"/>
          <w:color w:val="000000"/>
          <w:sz w:val="18"/>
          <w:szCs w:val="18"/>
          <w:vertAlign w:val="superscript"/>
          <w:lang w:eastAsia="en-US"/>
        </w:rPr>
        <w:t xml:space="preserve"> </w:t>
      </w:r>
      <w:r w:rsidRPr="00F62546">
        <w:rPr>
          <w:rFonts w:ascii="Arial Narrow" w:hAnsi="Arial Narrow"/>
          <w:color w:val="000000"/>
          <w:sz w:val="18"/>
          <w:szCs w:val="18"/>
          <w:lang w:eastAsia="en-US"/>
        </w:rPr>
        <w:t>TAVI</w:t>
      </w:r>
      <w:r w:rsidRPr="00F62546">
        <w:rPr>
          <w:rFonts w:ascii="Arial Narrow" w:hAnsi="Arial Narrow"/>
          <w:color w:val="000000"/>
          <w:sz w:val="18"/>
          <w:szCs w:val="18"/>
          <w:vertAlign w:val="superscript"/>
          <w:lang w:eastAsia="en-US"/>
        </w:rPr>
        <w:t xml:space="preserve"> </w:t>
      </w:r>
      <w:r w:rsidRPr="00F62546">
        <w:rPr>
          <w:rFonts w:ascii="Arial Narrow" w:hAnsi="Arial Narrow"/>
          <w:color w:val="000000"/>
          <w:sz w:val="18"/>
          <w:szCs w:val="18"/>
          <w:lang w:eastAsia="en-US"/>
        </w:rPr>
        <w:t>case conference, surgical assistance, anaesthesia, ICU attendance, transthoracic echocardiography</w:t>
      </w:r>
    </w:p>
    <w:p w14:paraId="3C393387" w14:textId="77777777" w:rsidR="00EE4D44" w:rsidRPr="00F62546" w:rsidRDefault="00EE4D44" w:rsidP="00EE4D44">
      <w:pPr>
        <w:keepNext/>
        <w:keepLines/>
        <w:rPr>
          <w:rFonts w:ascii="Arial Narrow" w:hAnsi="Arial Narrow"/>
          <w:color w:val="000000"/>
          <w:sz w:val="18"/>
          <w:szCs w:val="18"/>
          <w:lang w:eastAsia="en-US"/>
        </w:rPr>
      </w:pPr>
      <w:proofErr w:type="gramStart"/>
      <w:r w:rsidRPr="00F62546">
        <w:rPr>
          <w:rFonts w:ascii="Arial Narrow" w:hAnsi="Arial Narrow"/>
          <w:color w:val="000000"/>
          <w:sz w:val="18"/>
          <w:szCs w:val="18"/>
          <w:vertAlign w:val="superscript"/>
          <w:lang w:eastAsia="en-US"/>
        </w:rPr>
        <w:t>d</w:t>
      </w:r>
      <w:proofErr w:type="gramEnd"/>
      <w:r w:rsidRPr="00F62546">
        <w:rPr>
          <w:rFonts w:ascii="Arial Narrow" w:hAnsi="Arial Narrow"/>
          <w:color w:val="000000"/>
          <w:sz w:val="18"/>
          <w:szCs w:val="18"/>
          <w:lang w:eastAsia="en-US"/>
        </w:rPr>
        <w:t xml:space="preserve"> As per TAVI excluding TAVI case conference items and inclusion of perfusion (cardiac bypass) item (Item 22060)</w:t>
      </w:r>
    </w:p>
    <w:p w14:paraId="797AA8EB" w14:textId="77777777" w:rsidR="00EE4D44" w:rsidRPr="00F62546" w:rsidRDefault="00EE4D44" w:rsidP="00EE4D44">
      <w:pPr>
        <w:keepNext/>
        <w:keepLines/>
        <w:rPr>
          <w:rFonts w:ascii="Arial Narrow" w:hAnsi="Arial Narrow"/>
          <w:i/>
          <w:color w:val="000000"/>
          <w:sz w:val="18"/>
          <w:szCs w:val="18"/>
          <w:lang w:eastAsia="en-US"/>
        </w:rPr>
      </w:pPr>
      <w:proofErr w:type="gramStart"/>
      <w:r w:rsidRPr="00F62546">
        <w:rPr>
          <w:rFonts w:ascii="Arial Narrow" w:hAnsi="Arial Narrow"/>
          <w:color w:val="000000"/>
          <w:sz w:val="18"/>
          <w:szCs w:val="18"/>
          <w:vertAlign w:val="superscript"/>
          <w:lang w:eastAsia="en-US"/>
        </w:rPr>
        <w:t>e</w:t>
      </w:r>
      <w:proofErr w:type="gramEnd"/>
      <w:r w:rsidRPr="00F62546">
        <w:rPr>
          <w:rFonts w:ascii="Arial Narrow" w:hAnsi="Arial Narrow"/>
          <w:color w:val="000000"/>
          <w:sz w:val="18"/>
          <w:szCs w:val="18"/>
          <w:vertAlign w:val="superscript"/>
          <w:lang w:eastAsia="en-US"/>
        </w:rPr>
        <w:t xml:space="preserve"> </w:t>
      </w:r>
      <w:r w:rsidRPr="00F62546">
        <w:rPr>
          <w:rFonts w:ascii="Arial Narrow" w:hAnsi="Arial Narrow"/>
          <w:color w:val="000000"/>
          <w:sz w:val="18"/>
          <w:szCs w:val="18"/>
          <w:lang w:eastAsia="en-US"/>
        </w:rPr>
        <w:t xml:space="preserve">For reduction in 4.2 days length of stay costed at $4,660 per day. The ADAR also estimated operating theatre costs at $635.17 per hour from New South Wales Health Operating Theatre Cost Template </w:t>
      </w:r>
      <w:r w:rsidRPr="00F62546">
        <w:rPr>
          <w:rFonts w:ascii="Arial Narrow" w:hAnsi="Arial Narrow"/>
          <w:i/>
          <w:color w:val="000000"/>
          <w:sz w:val="18"/>
          <w:szCs w:val="18"/>
          <w:lang w:eastAsia="en-US"/>
        </w:rPr>
        <w:t xml:space="preserve">which would be captured in the total hospitalisation cost for SAVR. </w:t>
      </w:r>
    </w:p>
    <w:p w14:paraId="71AF2845" w14:textId="77777777" w:rsidR="00BC1364" w:rsidRPr="00EE4D44" w:rsidRDefault="00EE4D44" w:rsidP="00EE4D44">
      <w:pPr>
        <w:pStyle w:val="Tablenotes"/>
        <w:rPr>
          <w:color w:val="0066FF"/>
          <w:szCs w:val="24"/>
        </w:rPr>
      </w:pPr>
      <w:proofErr w:type="gramStart"/>
      <w:r w:rsidRPr="00F62546">
        <w:rPr>
          <w:vertAlign w:val="superscript"/>
        </w:rPr>
        <w:t>f</w:t>
      </w:r>
      <w:proofErr w:type="gramEnd"/>
      <w:r w:rsidRPr="00F62546">
        <w:rPr>
          <w:vertAlign w:val="superscript"/>
        </w:rPr>
        <w:t xml:space="preserve"> </w:t>
      </w:r>
      <w:r w:rsidRPr="00F62546">
        <w:t>Calculated during the evaluation using SAVR prosthesis costs of $8,630.14 from AR-DRG (Round 22, 2017-18) inflated to 2020 costs</w:t>
      </w:r>
      <w:r>
        <w:t>.</w:t>
      </w:r>
    </w:p>
    <w:p w14:paraId="67A8C44B" w14:textId="77777777" w:rsidR="006A0D97" w:rsidRPr="00F715D1" w:rsidRDefault="006A0D97" w:rsidP="00F715D1">
      <w:pPr>
        <w:pStyle w:val="Heading1"/>
      </w:pPr>
      <w:r w:rsidRPr="00F715D1">
        <w:lastRenderedPageBreak/>
        <w:t>Key issues from ESC for MSAC</w:t>
      </w:r>
    </w:p>
    <w:tbl>
      <w:tblPr>
        <w:tblStyle w:val="TableGrid3"/>
        <w:tblW w:w="0" w:type="auto"/>
        <w:tblLook w:val="04A0" w:firstRow="1" w:lastRow="0" w:firstColumn="1" w:lastColumn="0" w:noHBand="0" w:noVBand="1"/>
        <w:tblDescription w:val="Key issues from ESC for MSAC consideration"/>
      </w:tblPr>
      <w:tblGrid>
        <w:gridCol w:w="2830"/>
        <w:gridCol w:w="6186"/>
      </w:tblGrid>
      <w:tr w:rsidR="006435D1" w:rsidRPr="006435D1" w14:paraId="57BC20D7" w14:textId="77777777" w:rsidTr="00A123CD">
        <w:trPr>
          <w:cantSplit/>
          <w:tblHeader/>
        </w:trPr>
        <w:tc>
          <w:tcPr>
            <w:tcW w:w="2830" w:type="dxa"/>
          </w:tcPr>
          <w:p w14:paraId="507F5A5F" w14:textId="77777777" w:rsidR="006435D1" w:rsidRPr="006435D1" w:rsidRDefault="006435D1" w:rsidP="006435D1">
            <w:pPr>
              <w:spacing w:before="60" w:after="60"/>
              <w:rPr>
                <w:b/>
                <w:bCs/>
                <w:color w:val="000000"/>
                <w:sz w:val="21"/>
                <w:szCs w:val="21"/>
              </w:rPr>
            </w:pPr>
            <w:r w:rsidRPr="006435D1">
              <w:rPr>
                <w:b/>
                <w:bCs/>
                <w:color w:val="000000"/>
                <w:sz w:val="21"/>
                <w:szCs w:val="21"/>
              </w:rPr>
              <w:t>ESC key issue</w:t>
            </w:r>
          </w:p>
        </w:tc>
        <w:tc>
          <w:tcPr>
            <w:tcW w:w="6186" w:type="dxa"/>
          </w:tcPr>
          <w:p w14:paraId="40BAC248" w14:textId="77777777" w:rsidR="006435D1" w:rsidRPr="006435D1" w:rsidRDefault="006435D1" w:rsidP="006435D1">
            <w:pPr>
              <w:spacing w:before="60" w:after="60"/>
              <w:rPr>
                <w:b/>
                <w:bCs/>
                <w:color w:val="000000"/>
                <w:sz w:val="21"/>
                <w:szCs w:val="21"/>
              </w:rPr>
            </w:pPr>
            <w:r w:rsidRPr="006435D1">
              <w:rPr>
                <w:b/>
                <w:bCs/>
                <w:color w:val="000000"/>
                <w:sz w:val="21"/>
                <w:szCs w:val="21"/>
              </w:rPr>
              <w:t>ESC advice to MSAC</w:t>
            </w:r>
          </w:p>
        </w:tc>
      </w:tr>
      <w:tr w:rsidR="006435D1" w:rsidRPr="006435D1" w14:paraId="2EC9F149" w14:textId="77777777" w:rsidTr="005F024E">
        <w:trPr>
          <w:cantSplit/>
        </w:trPr>
        <w:tc>
          <w:tcPr>
            <w:tcW w:w="2830" w:type="dxa"/>
          </w:tcPr>
          <w:p w14:paraId="6744CC64" w14:textId="77777777" w:rsidR="006435D1" w:rsidRPr="006435D1" w:rsidRDefault="006435D1" w:rsidP="006435D1">
            <w:pPr>
              <w:spacing w:before="60" w:after="60"/>
              <w:rPr>
                <w:color w:val="000000"/>
                <w:sz w:val="21"/>
                <w:szCs w:val="21"/>
              </w:rPr>
            </w:pPr>
            <w:r w:rsidRPr="006435D1">
              <w:rPr>
                <w:color w:val="000000"/>
                <w:sz w:val="21"/>
                <w:szCs w:val="21"/>
              </w:rPr>
              <w:t>Comparative safety</w:t>
            </w:r>
          </w:p>
        </w:tc>
        <w:tc>
          <w:tcPr>
            <w:tcW w:w="6186" w:type="dxa"/>
          </w:tcPr>
          <w:p w14:paraId="556214EF" w14:textId="77777777" w:rsidR="006435D1" w:rsidRPr="006435D1" w:rsidRDefault="006435D1" w:rsidP="006435D1">
            <w:pPr>
              <w:spacing w:before="60" w:after="60"/>
              <w:rPr>
                <w:color w:val="000000"/>
                <w:sz w:val="21"/>
                <w:szCs w:val="21"/>
              </w:rPr>
            </w:pPr>
            <w:r w:rsidRPr="006435D1">
              <w:rPr>
                <w:color w:val="000000"/>
                <w:sz w:val="21"/>
                <w:szCs w:val="21"/>
              </w:rPr>
              <w:t xml:space="preserve">Non-inferior safety was supported in the 2–5-year duration of the key trials. However, there is uncertainty in the longer-term safety outcomes, particularly valve durability and </w:t>
            </w:r>
            <w:proofErr w:type="spellStart"/>
            <w:r w:rsidRPr="006435D1">
              <w:rPr>
                <w:color w:val="000000"/>
                <w:sz w:val="21"/>
                <w:szCs w:val="21"/>
              </w:rPr>
              <w:t>paravalvular</w:t>
            </w:r>
            <w:proofErr w:type="spellEnd"/>
            <w:r w:rsidRPr="006435D1">
              <w:rPr>
                <w:color w:val="000000"/>
                <w:sz w:val="21"/>
                <w:szCs w:val="21"/>
              </w:rPr>
              <w:t xml:space="preserve"> leakage. This may be relevant in the intermediate surgical risk population because this group may, on average, have a longer life expectancy than higher risk and inoperable populations.</w:t>
            </w:r>
          </w:p>
        </w:tc>
      </w:tr>
      <w:tr w:rsidR="006435D1" w:rsidRPr="006435D1" w14:paraId="2420AC05" w14:textId="77777777" w:rsidTr="005F024E">
        <w:trPr>
          <w:cantSplit/>
        </w:trPr>
        <w:tc>
          <w:tcPr>
            <w:tcW w:w="2830" w:type="dxa"/>
          </w:tcPr>
          <w:p w14:paraId="143A5CE8" w14:textId="77777777" w:rsidR="006435D1" w:rsidRPr="006435D1" w:rsidRDefault="006435D1" w:rsidP="006435D1">
            <w:pPr>
              <w:spacing w:before="60" w:after="60"/>
              <w:rPr>
                <w:color w:val="000000"/>
                <w:sz w:val="21"/>
                <w:szCs w:val="21"/>
              </w:rPr>
            </w:pPr>
            <w:r w:rsidRPr="006435D1">
              <w:rPr>
                <w:color w:val="000000"/>
                <w:sz w:val="21"/>
                <w:szCs w:val="21"/>
              </w:rPr>
              <w:t>Comparative effectiveness</w:t>
            </w:r>
          </w:p>
        </w:tc>
        <w:tc>
          <w:tcPr>
            <w:tcW w:w="6186" w:type="dxa"/>
          </w:tcPr>
          <w:p w14:paraId="1E0AEC87" w14:textId="77777777" w:rsidR="006435D1" w:rsidRPr="006435D1" w:rsidRDefault="006435D1" w:rsidP="006435D1">
            <w:pPr>
              <w:spacing w:before="60" w:after="60"/>
              <w:rPr>
                <w:color w:val="000000"/>
                <w:sz w:val="21"/>
                <w:szCs w:val="21"/>
              </w:rPr>
            </w:pPr>
            <w:r w:rsidRPr="006435D1">
              <w:rPr>
                <w:color w:val="000000"/>
                <w:sz w:val="21"/>
                <w:szCs w:val="21"/>
              </w:rPr>
              <w:t>The clinical claim of non-inferiority was supported over the 2–5-year duration of the comparative clinical evidence. However, the long-term effectiveness and safety of TAVI in the intermediate risk population is unknown.</w:t>
            </w:r>
          </w:p>
        </w:tc>
      </w:tr>
      <w:tr w:rsidR="006435D1" w:rsidRPr="006435D1" w14:paraId="199DBC41" w14:textId="77777777" w:rsidTr="005F024E">
        <w:trPr>
          <w:cantSplit/>
        </w:trPr>
        <w:tc>
          <w:tcPr>
            <w:tcW w:w="2830" w:type="dxa"/>
          </w:tcPr>
          <w:p w14:paraId="1473FF68" w14:textId="534465EF" w:rsidR="006435D1" w:rsidRPr="006435D1" w:rsidRDefault="006435D1" w:rsidP="006435D1">
            <w:pPr>
              <w:spacing w:before="60" w:after="60"/>
              <w:rPr>
                <w:color w:val="000000"/>
                <w:sz w:val="21"/>
                <w:szCs w:val="21"/>
              </w:rPr>
            </w:pPr>
            <w:r w:rsidRPr="006435D1">
              <w:rPr>
                <w:color w:val="000000"/>
                <w:sz w:val="21"/>
                <w:szCs w:val="21"/>
              </w:rPr>
              <w:t xml:space="preserve">Newer </w:t>
            </w:r>
            <w:r w:rsidRPr="00904CF2">
              <w:rPr>
                <w:i/>
                <w:color w:val="000000"/>
                <w:sz w:val="21"/>
                <w:szCs w:val="21"/>
              </w:rPr>
              <w:t>vs</w:t>
            </w:r>
            <w:r w:rsidR="00904CF2" w:rsidRPr="00904CF2">
              <w:rPr>
                <w:i/>
                <w:color w:val="000000"/>
                <w:sz w:val="21"/>
                <w:szCs w:val="21"/>
              </w:rPr>
              <w:t>.</w:t>
            </w:r>
            <w:r w:rsidRPr="006435D1">
              <w:rPr>
                <w:color w:val="000000"/>
                <w:sz w:val="21"/>
                <w:szCs w:val="21"/>
              </w:rPr>
              <w:t xml:space="preserve"> older generation devices</w:t>
            </w:r>
          </w:p>
        </w:tc>
        <w:tc>
          <w:tcPr>
            <w:tcW w:w="6186" w:type="dxa"/>
          </w:tcPr>
          <w:p w14:paraId="4119E61D" w14:textId="77777777" w:rsidR="006435D1" w:rsidRPr="006435D1" w:rsidRDefault="006435D1" w:rsidP="006435D1">
            <w:pPr>
              <w:spacing w:before="60" w:after="60"/>
              <w:rPr>
                <w:color w:val="000000"/>
                <w:sz w:val="21"/>
                <w:szCs w:val="21"/>
              </w:rPr>
            </w:pPr>
            <w:r w:rsidRPr="006435D1">
              <w:rPr>
                <w:color w:val="000000"/>
                <w:sz w:val="21"/>
                <w:szCs w:val="21"/>
              </w:rPr>
              <w:t>Comparative safety and effectiveness of newer devices are dynamic issues. There are limited data on whether outcomes are improving with newer generation TAVI devices.</w:t>
            </w:r>
          </w:p>
        </w:tc>
      </w:tr>
      <w:tr w:rsidR="006435D1" w:rsidRPr="006435D1" w14:paraId="6E47C252" w14:textId="77777777" w:rsidTr="005F024E">
        <w:trPr>
          <w:cantSplit/>
        </w:trPr>
        <w:tc>
          <w:tcPr>
            <w:tcW w:w="2830" w:type="dxa"/>
          </w:tcPr>
          <w:p w14:paraId="534BDBA9" w14:textId="77777777" w:rsidR="006435D1" w:rsidRPr="006435D1" w:rsidRDefault="006435D1" w:rsidP="006435D1">
            <w:pPr>
              <w:spacing w:before="60" w:after="60"/>
              <w:rPr>
                <w:color w:val="000000"/>
                <w:sz w:val="21"/>
                <w:szCs w:val="21"/>
              </w:rPr>
            </w:pPr>
            <w:r w:rsidRPr="006435D1">
              <w:rPr>
                <w:color w:val="000000"/>
                <w:sz w:val="21"/>
                <w:szCs w:val="21"/>
              </w:rPr>
              <w:t>Clinical practice guidelines</w:t>
            </w:r>
          </w:p>
        </w:tc>
        <w:tc>
          <w:tcPr>
            <w:tcW w:w="6186" w:type="dxa"/>
          </w:tcPr>
          <w:p w14:paraId="2036B844" w14:textId="77777777" w:rsidR="006435D1" w:rsidRPr="006435D1" w:rsidRDefault="006435D1" w:rsidP="006435D1">
            <w:pPr>
              <w:spacing w:before="60" w:after="60"/>
              <w:rPr>
                <w:color w:val="000000"/>
                <w:sz w:val="21"/>
                <w:szCs w:val="21"/>
              </w:rPr>
            </w:pPr>
            <w:r w:rsidRPr="006435D1">
              <w:rPr>
                <w:color w:val="000000"/>
                <w:sz w:val="21"/>
                <w:szCs w:val="21"/>
              </w:rPr>
              <w:t>The European Society of Cardiology and the European Association for Cardio-Thoracic Surgery Guidelines for Valvular Heart Disease considered that SAVR is generally preferred in patients under 75 years old. This is because the long-term durability of TAVI devices is unknown, with only preliminary data showing TAVI devices may last at least 5 years without any signs of early degeneration.</w:t>
            </w:r>
          </w:p>
        </w:tc>
      </w:tr>
      <w:tr w:rsidR="006435D1" w:rsidRPr="006435D1" w14:paraId="58F38920" w14:textId="77777777" w:rsidTr="005F024E">
        <w:trPr>
          <w:cantSplit/>
        </w:trPr>
        <w:tc>
          <w:tcPr>
            <w:tcW w:w="2830" w:type="dxa"/>
          </w:tcPr>
          <w:p w14:paraId="51F6B7C7" w14:textId="77777777" w:rsidR="006435D1" w:rsidRPr="006435D1" w:rsidRDefault="006435D1" w:rsidP="006435D1">
            <w:pPr>
              <w:spacing w:before="60" w:after="60"/>
              <w:rPr>
                <w:color w:val="000000"/>
                <w:sz w:val="21"/>
                <w:szCs w:val="21"/>
              </w:rPr>
            </w:pPr>
            <w:r w:rsidRPr="006435D1">
              <w:rPr>
                <w:color w:val="000000"/>
                <w:sz w:val="21"/>
                <w:szCs w:val="21"/>
              </w:rPr>
              <w:t>Utilisation and financial estimates</w:t>
            </w:r>
          </w:p>
        </w:tc>
        <w:tc>
          <w:tcPr>
            <w:tcW w:w="6186" w:type="dxa"/>
          </w:tcPr>
          <w:p w14:paraId="00F52E08" w14:textId="77777777" w:rsidR="006435D1" w:rsidRPr="006435D1" w:rsidRDefault="006435D1" w:rsidP="006435D1">
            <w:pPr>
              <w:spacing w:before="60" w:after="60"/>
              <w:rPr>
                <w:color w:val="000000"/>
                <w:sz w:val="21"/>
                <w:szCs w:val="21"/>
              </w:rPr>
            </w:pPr>
            <w:r w:rsidRPr="006435D1">
              <w:rPr>
                <w:color w:val="000000"/>
                <w:sz w:val="21"/>
                <w:szCs w:val="21"/>
              </w:rPr>
              <w:t>The projected cost savings are appropriate. Concerns that may impact the financial estimates are clinical implementation (volume of procedures) utilisation rates (substitution of SAVR and leakage to low-risk patients, which may be less relevant if TAVI is funded on the MBS for the low surgical risk population).</w:t>
            </w:r>
          </w:p>
        </w:tc>
      </w:tr>
    </w:tbl>
    <w:p w14:paraId="11E06E84" w14:textId="77777777" w:rsidR="006A0D97" w:rsidRDefault="006435D1" w:rsidP="00F715D1">
      <w:pPr>
        <w:spacing w:after="240"/>
        <w:rPr>
          <w:b/>
        </w:rPr>
      </w:pPr>
      <w:r>
        <w:rPr>
          <w:i/>
        </w:rPr>
        <w:br/>
      </w:r>
      <w:r w:rsidR="00F56D7F" w:rsidRPr="00F56D7F">
        <w:rPr>
          <w:b/>
        </w:rPr>
        <w:t>ESC discussion</w:t>
      </w:r>
    </w:p>
    <w:p w14:paraId="69FC6D61" w14:textId="77777777" w:rsidR="006435D1" w:rsidRPr="006435D1" w:rsidRDefault="006435D1" w:rsidP="005B05CF">
      <w:pPr>
        <w:keepNext/>
        <w:spacing w:before="240" w:after="240"/>
      </w:pPr>
      <w:r w:rsidRPr="006435D1">
        <w:t xml:space="preserve">ESC noted that </w:t>
      </w:r>
      <w:proofErr w:type="spellStart"/>
      <w:r w:rsidRPr="006435D1">
        <w:rPr>
          <w:szCs w:val="24"/>
        </w:rPr>
        <w:t>transcatheter</w:t>
      </w:r>
      <w:proofErr w:type="spellEnd"/>
      <w:r w:rsidRPr="006435D1">
        <w:rPr>
          <w:szCs w:val="24"/>
        </w:rPr>
        <w:t xml:space="preserve"> aortic valve implantation (</w:t>
      </w:r>
      <w:r w:rsidRPr="006435D1">
        <w:t>TAVI) is currently Medicare Benefits Schedule– (MBS) listed as a TAVI device agnostic item (either balloon expandable valve [BEV] or self-expandable valve [SEV] for high-risk/inoperable surgical patients with symptomatic severe aortic stenosis (AS) under item 38495. ESC noted that in the recent assessment of TAVI-BEV for intermediate risk for surgery (MSAC application 1603), “consistent with the current MBS item for TAVI (item 38495), MSAC supported an MBS item agnostic of the type of TAVI device, noting that this advice would be re-assessed at the March 2021 MSAC meeting consideration of the TAVI device agnostic application in intermediate risk for surgery (MSAC Applicatio</w:t>
      </w:r>
      <w:r w:rsidR="00D824CD">
        <w:t>n 1652 [current application])”.</w:t>
      </w:r>
    </w:p>
    <w:p w14:paraId="13FD219F" w14:textId="77777777" w:rsidR="006435D1" w:rsidRPr="006435D1" w:rsidRDefault="006435D1" w:rsidP="005B05CF">
      <w:pPr>
        <w:spacing w:before="240" w:after="240"/>
        <w:rPr>
          <w:color w:val="000000"/>
        </w:rPr>
      </w:pPr>
      <w:r w:rsidRPr="006435D1">
        <w:rPr>
          <w:color w:val="000000"/>
        </w:rPr>
        <w:t xml:space="preserve">ESC noted the consultation feedback, particularly from Hearts4Heart, which emphasised the benefit of patients being able to leave hospital earlier after TAVI, compared with the longer hospital stay and longer physical recovery following surgical aortic valve replacement (SAVR). The consultation feedback from Hearts4Heart also discussed the value and safety of TAVI for younger patients, particularly given the current barriers under which only sicker patients can access TAVI, when there are no such barriers for SAVR. ESC noted feedback from a </w:t>
      </w:r>
      <w:r w:rsidRPr="006435D1">
        <w:t xml:space="preserve">medical device manufacturer </w:t>
      </w:r>
      <w:r w:rsidRPr="006435D1">
        <w:rPr>
          <w:color w:val="000000"/>
        </w:rPr>
        <w:t>claiming that TAVI-BEV devices were superior to TAVI-SEV devices. ESC also noted policy advice that the TAVI Accreditation Committee had indicated their support for device-agnostic MBS items if this service is recommended by MSAC.</w:t>
      </w:r>
    </w:p>
    <w:p w14:paraId="70FF7C24" w14:textId="77777777" w:rsidR="006435D1" w:rsidRPr="006435D1" w:rsidRDefault="006435D1" w:rsidP="006435D1">
      <w:pPr>
        <w:spacing w:after="240"/>
        <w:rPr>
          <w:color w:val="000000"/>
        </w:rPr>
      </w:pPr>
      <w:r w:rsidRPr="006435D1">
        <w:rPr>
          <w:color w:val="000000"/>
        </w:rPr>
        <w:t xml:space="preserve">ESC noted the application developed assessment report’s (ADAR’s) claim that TAVI is non-inferior to SAVR in terms of safety and effectiveness for patients with symptomatic severe </w:t>
      </w:r>
      <w:r w:rsidRPr="006435D1">
        <w:rPr>
          <w:color w:val="000000"/>
        </w:rPr>
        <w:lastRenderedPageBreak/>
        <w:t>AS at intermediate risk of surgery. The two randomised controlled trials (PARTNER 2A, SURTAVI) presented in the application compared TAVI and SAVR using older-generation TAVI devices that are no longer marketed in Australia. Two observational studies were used in indirect comparisons performed by the commentary comparing the older-generation devices and the corresponding newer-generation devices (via the common comparator SAVR). ESC noted that evidence for newer-generation devices that are listed on the Australian Register of Therapeutic Goods (ARTG) is not as strong as the evidence fo</w:t>
      </w:r>
      <w:r w:rsidR="00D824CD">
        <w:rPr>
          <w:color w:val="000000"/>
        </w:rPr>
        <w:t>r the older generation devices.</w:t>
      </w:r>
    </w:p>
    <w:p w14:paraId="144A77CD" w14:textId="77777777" w:rsidR="006435D1" w:rsidRPr="006435D1" w:rsidRDefault="006435D1" w:rsidP="006435D1">
      <w:pPr>
        <w:spacing w:after="240"/>
        <w:rPr>
          <w:color w:val="000000"/>
        </w:rPr>
      </w:pPr>
      <w:r w:rsidRPr="006435D1">
        <w:rPr>
          <w:color w:val="000000"/>
        </w:rPr>
        <w:t>In terms of comparative safety, ESC noted the significantly higher bleeding rates post</w:t>
      </w:r>
      <w:r w:rsidRPr="006435D1">
        <w:rPr>
          <w:color w:val="000000"/>
        </w:rPr>
        <w:noBreakHyphen/>
        <w:t>procedure for SAVR compared with TAVI, as well as higher rates of acute kidney injury that were maintained at 1 year and 2 years post-procedure. Vascular complications were higher following TAVI than SAVR, and new atrial fibrillation was lower following TAVI than SAVR. ESC noted the SURTAVI trial reported a higher risk of new permanent pacemaker than t</w:t>
      </w:r>
      <w:r w:rsidR="00D824CD">
        <w:rPr>
          <w:color w:val="000000"/>
        </w:rPr>
        <w:t>he PARTNER 2A trial.</w:t>
      </w:r>
    </w:p>
    <w:p w14:paraId="07E2BDBB" w14:textId="77777777" w:rsidR="006435D1" w:rsidRPr="006435D1" w:rsidRDefault="006435D1" w:rsidP="006435D1">
      <w:pPr>
        <w:spacing w:after="240"/>
        <w:rPr>
          <w:color w:val="000000"/>
        </w:rPr>
      </w:pPr>
      <w:r w:rsidRPr="006435D1">
        <w:rPr>
          <w:color w:val="000000"/>
        </w:rPr>
        <w:t>In terms of comparative effectiveness, all-cause death or disabling stroke (primary composite outcome) was lower following TAVI than SAVR at 30 days post</w:t>
      </w:r>
      <w:r w:rsidRPr="006435D1">
        <w:rPr>
          <w:color w:val="000000"/>
        </w:rPr>
        <w:noBreakHyphen/>
        <w:t>procedure, but the difference in all-cause death was not maintained at 1 year or</w:t>
      </w:r>
      <w:r w:rsidR="00D824CD">
        <w:rPr>
          <w:color w:val="000000"/>
        </w:rPr>
        <w:t xml:space="preserve"> 2 years post-procedure.</w:t>
      </w:r>
    </w:p>
    <w:p w14:paraId="209562A3" w14:textId="77777777" w:rsidR="006435D1" w:rsidRPr="006435D1" w:rsidRDefault="006435D1" w:rsidP="006435D1">
      <w:pPr>
        <w:spacing w:after="240"/>
        <w:rPr>
          <w:color w:val="000000"/>
        </w:rPr>
      </w:pPr>
      <w:r w:rsidRPr="006435D1">
        <w:rPr>
          <w:color w:val="000000"/>
        </w:rPr>
        <w:t xml:space="preserve">ESC noted that comparative safety and effectiveness of newer TAVI devices are dynamic issues given the changes in device technology and the relative differences in evidence base between older </w:t>
      </w:r>
      <w:r w:rsidRPr="00904CF2">
        <w:rPr>
          <w:i/>
          <w:color w:val="000000"/>
        </w:rPr>
        <w:t>vs.</w:t>
      </w:r>
      <w:r w:rsidRPr="006435D1">
        <w:rPr>
          <w:color w:val="000000"/>
        </w:rPr>
        <w:t xml:space="preserve"> newer devices. The commentary’s indirect comparisons suggested that outcomes were likely similar between the older generation TAVI devices in the trials and the newer devices. ESC also noted that the indirect comparisons should be interpreted with caution as the comparisons were not statistically independent (overlap of patients in the SAVR arms of both comparisons) and compared randomised trials with observational studies. ESC considered the pre-ESC response which claimed that newer generation devices all show similar or superior efficacy and safety outcomes with the older generation devices. ESC noted:</w:t>
      </w:r>
    </w:p>
    <w:p w14:paraId="1DF5C76E" w14:textId="77777777" w:rsidR="006435D1" w:rsidRPr="006435D1" w:rsidRDefault="006435D1" w:rsidP="006435D1">
      <w:pPr>
        <w:numPr>
          <w:ilvl w:val="0"/>
          <w:numId w:val="26"/>
        </w:numPr>
        <w:spacing w:after="240"/>
        <w:contextualSpacing/>
        <w:rPr>
          <w:color w:val="000000"/>
        </w:rPr>
      </w:pPr>
      <w:r w:rsidRPr="006435D1">
        <w:rPr>
          <w:color w:val="000000"/>
        </w:rPr>
        <w:t xml:space="preserve">the SAPIEN XT and newer SAPIEN 3 BEV device </w:t>
      </w:r>
      <w:r w:rsidRPr="006435D1">
        <w:t>were compared in two meta</w:t>
      </w:r>
      <w:r w:rsidRPr="006435D1">
        <w:noBreakHyphen/>
        <w:t>analyses of observational studies (Ando 2016</w:t>
      </w:r>
      <w:r w:rsidRPr="006435D1">
        <w:rPr>
          <w:vertAlign w:val="superscript"/>
        </w:rPr>
        <w:footnoteReference w:id="15"/>
      </w:r>
      <w:r w:rsidRPr="006435D1">
        <w:t xml:space="preserve">, </w:t>
      </w:r>
      <w:proofErr w:type="spellStart"/>
      <w:r w:rsidRPr="006435D1">
        <w:t>Tummala</w:t>
      </w:r>
      <w:proofErr w:type="spellEnd"/>
      <w:r w:rsidRPr="006435D1">
        <w:t xml:space="preserve"> 2018</w:t>
      </w:r>
      <w:r w:rsidRPr="006435D1">
        <w:rPr>
          <w:vertAlign w:val="superscript"/>
        </w:rPr>
        <w:footnoteReference w:id="16"/>
      </w:r>
      <w:r w:rsidRPr="006435D1">
        <w:t>)</w:t>
      </w:r>
    </w:p>
    <w:p w14:paraId="78F093FC" w14:textId="77777777" w:rsidR="006435D1" w:rsidRPr="006435D1" w:rsidRDefault="006435D1" w:rsidP="006435D1">
      <w:pPr>
        <w:numPr>
          <w:ilvl w:val="0"/>
          <w:numId w:val="26"/>
        </w:numPr>
        <w:spacing w:after="240"/>
        <w:contextualSpacing/>
        <w:rPr>
          <w:color w:val="000000"/>
        </w:rPr>
      </w:pPr>
      <w:r w:rsidRPr="006435D1">
        <w:rPr>
          <w:color w:val="000000"/>
        </w:rPr>
        <w:t xml:space="preserve">the </w:t>
      </w:r>
      <w:proofErr w:type="spellStart"/>
      <w:r w:rsidRPr="006435D1">
        <w:rPr>
          <w:color w:val="000000"/>
        </w:rPr>
        <w:t>CoreValve</w:t>
      </w:r>
      <w:proofErr w:type="spellEnd"/>
      <w:r w:rsidRPr="006435D1">
        <w:rPr>
          <w:color w:val="000000"/>
        </w:rPr>
        <w:t xml:space="preserve"> and newer </w:t>
      </w:r>
      <w:proofErr w:type="spellStart"/>
      <w:r w:rsidRPr="006435D1">
        <w:rPr>
          <w:color w:val="000000"/>
        </w:rPr>
        <w:t>Evolut</w:t>
      </w:r>
      <w:proofErr w:type="spellEnd"/>
      <w:r w:rsidRPr="006435D1">
        <w:rPr>
          <w:color w:val="000000"/>
        </w:rPr>
        <w:t xml:space="preserve"> R</w:t>
      </w:r>
      <w:r w:rsidRPr="006435D1">
        <w:rPr>
          <w:b/>
          <w:color w:val="000000"/>
        </w:rPr>
        <w:t xml:space="preserve"> </w:t>
      </w:r>
      <w:r w:rsidRPr="006435D1">
        <w:rPr>
          <w:color w:val="000000"/>
        </w:rPr>
        <w:t xml:space="preserve">SEV devices </w:t>
      </w:r>
      <w:r w:rsidRPr="006435D1">
        <w:t>were compared in a meta-analysis of observational studies (Sun 2020</w:t>
      </w:r>
      <w:r w:rsidRPr="006435D1">
        <w:rPr>
          <w:vertAlign w:val="superscript"/>
        </w:rPr>
        <w:footnoteReference w:id="17"/>
      </w:r>
      <w:r w:rsidRPr="006435D1">
        <w:t>) and registry data</w:t>
      </w:r>
    </w:p>
    <w:p w14:paraId="406A2042" w14:textId="77777777" w:rsidR="006435D1" w:rsidRPr="006435D1" w:rsidRDefault="006435D1" w:rsidP="006435D1">
      <w:pPr>
        <w:numPr>
          <w:ilvl w:val="0"/>
          <w:numId w:val="26"/>
        </w:numPr>
        <w:spacing w:after="240"/>
        <w:contextualSpacing/>
        <w:rPr>
          <w:color w:val="000000"/>
        </w:rPr>
      </w:pPr>
      <w:r w:rsidRPr="006435D1">
        <w:t xml:space="preserve">the </w:t>
      </w:r>
      <w:proofErr w:type="spellStart"/>
      <w:r w:rsidRPr="006435D1">
        <w:rPr>
          <w:color w:val="000000"/>
        </w:rPr>
        <w:t>Evolut</w:t>
      </w:r>
      <w:proofErr w:type="spellEnd"/>
      <w:r w:rsidRPr="006435D1">
        <w:rPr>
          <w:color w:val="000000"/>
        </w:rPr>
        <w:t xml:space="preserve"> R and newer </w:t>
      </w:r>
      <w:proofErr w:type="spellStart"/>
      <w:r w:rsidRPr="006435D1">
        <w:rPr>
          <w:color w:val="000000"/>
        </w:rPr>
        <w:t>Evolut</w:t>
      </w:r>
      <w:proofErr w:type="spellEnd"/>
      <w:r w:rsidRPr="006435D1">
        <w:rPr>
          <w:color w:val="000000"/>
        </w:rPr>
        <w:t xml:space="preserve"> PRO SEV devices were compared in 3 observational studies (</w:t>
      </w:r>
      <w:proofErr w:type="spellStart"/>
      <w:r w:rsidRPr="006435D1">
        <w:rPr>
          <w:color w:val="000000"/>
        </w:rPr>
        <w:t>Hellhamer</w:t>
      </w:r>
      <w:proofErr w:type="spellEnd"/>
      <w:r w:rsidRPr="006435D1">
        <w:rPr>
          <w:color w:val="000000"/>
        </w:rPr>
        <w:t xml:space="preserve"> 2018</w:t>
      </w:r>
      <w:r w:rsidRPr="006435D1">
        <w:rPr>
          <w:color w:val="000000"/>
          <w:vertAlign w:val="superscript"/>
        </w:rPr>
        <w:footnoteReference w:id="18"/>
      </w:r>
      <w:r w:rsidRPr="006435D1">
        <w:rPr>
          <w:color w:val="000000"/>
        </w:rPr>
        <w:t xml:space="preserve">, </w:t>
      </w:r>
      <w:proofErr w:type="spellStart"/>
      <w:r w:rsidRPr="006435D1">
        <w:rPr>
          <w:color w:val="000000"/>
        </w:rPr>
        <w:t>Kalogeras</w:t>
      </w:r>
      <w:proofErr w:type="spellEnd"/>
      <w:r w:rsidRPr="006435D1">
        <w:rPr>
          <w:color w:val="000000"/>
        </w:rPr>
        <w:t xml:space="preserve"> 2020</w:t>
      </w:r>
      <w:r w:rsidRPr="006435D1">
        <w:rPr>
          <w:color w:val="000000"/>
          <w:vertAlign w:val="superscript"/>
        </w:rPr>
        <w:footnoteReference w:id="19"/>
      </w:r>
      <w:r w:rsidRPr="006435D1">
        <w:rPr>
          <w:color w:val="000000"/>
        </w:rPr>
        <w:t xml:space="preserve"> and </w:t>
      </w:r>
      <w:proofErr w:type="spellStart"/>
      <w:r w:rsidRPr="006435D1">
        <w:rPr>
          <w:color w:val="000000"/>
        </w:rPr>
        <w:t>Pyada</w:t>
      </w:r>
      <w:proofErr w:type="spellEnd"/>
      <w:r w:rsidRPr="006435D1">
        <w:rPr>
          <w:color w:val="000000"/>
        </w:rPr>
        <w:t xml:space="preserve"> 2019</w:t>
      </w:r>
      <w:r w:rsidRPr="006435D1">
        <w:rPr>
          <w:color w:val="000000"/>
          <w:vertAlign w:val="superscript"/>
        </w:rPr>
        <w:footnoteReference w:id="20"/>
      </w:r>
      <w:r w:rsidRPr="006435D1">
        <w:rPr>
          <w:color w:val="000000"/>
        </w:rPr>
        <w:t>)</w:t>
      </w:r>
    </w:p>
    <w:p w14:paraId="42646B9A" w14:textId="77777777" w:rsidR="006435D1" w:rsidRPr="006435D1" w:rsidRDefault="006435D1" w:rsidP="006435D1">
      <w:pPr>
        <w:spacing w:after="240"/>
        <w:rPr>
          <w:color w:val="000000"/>
        </w:rPr>
      </w:pPr>
      <w:r w:rsidRPr="006435D1">
        <w:lastRenderedPageBreak/>
        <w:t>Overall, ESC considered that t</w:t>
      </w:r>
      <w:r w:rsidRPr="006435D1">
        <w:rPr>
          <w:color w:val="000000"/>
        </w:rPr>
        <w:t>here are limited data on whether outcomes are improving with newer generation TAVI devices.</w:t>
      </w:r>
    </w:p>
    <w:p w14:paraId="2180D4CE" w14:textId="77777777" w:rsidR="006435D1" w:rsidRPr="006435D1" w:rsidRDefault="006435D1" w:rsidP="006435D1">
      <w:pPr>
        <w:spacing w:after="240"/>
        <w:rPr>
          <w:color w:val="000000"/>
        </w:rPr>
      </w:pPr>
      <w:r w:rsidRPr="006435D1">
        <w:rPr>
          <w:color w:val="000000"/>
        </w:rPr>
        <w:t>ESC noted that current guidelines from the European Society of Cardiology and the European Association for Cardio-Thoracic Surgery emphasise that data on TAVI are very limited for patients under 75 years of age, and that SAVR is preferred for these patients. ESC was concerned that people under 75 years of age could be eligible for this MBS item. The durability of TAVI valves is uncertain beyond 5 years, and potential rates of replacement or reintervention should be considered for younger patients, which will affect economic and financial estimates. ESC also considered the potential for leakage of this item into the low-risk population, which creates uncertainty regarding potential future utilisation. However, this would be less relevant if TAVI is funded on the MBS for the low surgical risk population (</w:t>
      </w:r>
      <w:hyperlink r:id="rId29" w:history="1">
        <w:r w:rsidRPr="006435D1">
          <w:rPr>
            <w:color w:val="0000FF"/>
            <w:u w:val="single"/>
          </w:rPr>
          <w:t>MSAC application 1635).</w:t>
        </w:r>
      </w:hyperlink>
    </w:p>
    <w:p w14:paraId="66709EDA" w14:textId="77777777" w:rsidR="006435D1" w:rsidRPr="006435D1" w:rsidRDefault="006435D1" w:rsidP="006435D1">
      <w:pPr>
        <w:spacing w:after="240"/>
        <w:rPr>
          <w:color w:val="000000"/>
        </w:rPr>
      </w:pPr>
      <w:r w:rsidRPr="006435D1">
        <w:rPr>
          <w:color w:val="000000"/>
        </w:rPr>
        <w:t>ESC discussed the cost-minimisation analysis in the economic model, which resulted in an estimated saving of $4,396 per patient based on a hospital length of stay of 6 days, compared with 10.3 days for SAVR. ESC noted that the analysis used average daily prices for hospital days, and that this approach may lead to an overestimation of savings. Overall, ESC considered that the cost-minimisation analysis was appropriate if the clinical claim of non-i</w:t>
      </w:r>
      <w:r w:rsidR="00D824CD">
        <w:rPr>
          <w:color w:val="000000"/>
        </w:rPr>
        <w:t>nferiority is accepted by MSAC.</w:t>
      </w:r>
    </w:p>
    <w:p w14:paraId="098AFDFF" w14:textId="77777777" w:rsidR="006435D1" w:rsidRPr="006435D1" w:rsidRDefault="006435D1" w:rsidP="006435D1">
      <w:pPr>
        <w:spacing w:after="240"/>
      </w:pPr>
      <w:r w:rsidRPr="006435D1">
        <w:rPr>
          <w:color w:val="000000"/>
        </w:rPr>
        <w:t>ESC noted the financial estimates, which showed that the current application would result in net cost savings to the MBS over 5 years. Uncertainties in these estimates included that the estimated number of potentially eligible patients (severe symptomatic AS with intermediate surgical risk and aged 75 years and older) was higher than the number of SAVR procedures on the MBS. ESC noted the pre-ESC response that excluding patient with moderate AS and patients who do not have private health insurance</w:t>
      </w:r>
      <w:r w:rsidRPr="006435D1">
        <w:t xml:space="preserve"> </w:t>
      </w:r>
      <w:r w:rsidRPr="006435D1">
        <w:rPr>
          <w:color w:val="000000"/>
        </w:rPr>
        <w:t xml:space="preserve">more accurately predict the proportion of intermediate risk patients who would undergo TAVI. However, ESC remained concerned about the potential for leakage to less experienced practitioners if the volume of TAVI </w:t>
      </w:r>
      <w:r w:rsidR="00D824CD">
        <w:t>procedures increases.</w:t>
      </w:r>
    </w:p>
    <w:p w14:paraId="343EC939" w14:textId="46021D31" w:rsidR="006435D1" w:rsidRPr="006435D1" w:rsidRDefault="00B30F4A" w:rsidP="00F715D1">
      <w:pPr>
        <w:spacing w:after="240"/>
      </w:pPr>
      <w:r w:rsidRPr="00B30F4A">
        <w:rPr>
          <w:b/>
        </w:rPr>
        <w:t>REDACTED</w:t>
      </w:r>
      <w:r w:rsidR="006435D1" w:rsidRPr="00B30F4A">
        <w:rPr>
          <w:b/>
        </w:rPr>
        <w:t>.</w:t>
      </w:r>
      <w:r w:rsidR="006435D1" w:rsidRPr="00B30F4A">
        <w:t xml:space="preserve"> </w:t>
      </w:r>
      <w:r w:rsidR="006435D1" w:rsidRPr="006435D1">
        <w:t>The predicted versus actual utilisation of TAVI in the high risk/inoperable population and the change in TAVI and SAVR utilisation on the MBS are presented in Table 2 and Figure 1</w:t>
      </w:r>
      <w:r w:rsidR="00C24855">
        <w:t>.</w:t>
      </w:r>
      <w:r w:rsidR="006435D1" w:rsidRPr="006435D1">
        <w:t xml:space="preserve"> </w:t>
      </w:r>
    </w:p>
    <w:p w14:paraId="67BA6247" w14:textId="77777777" w:rsidR="00D90A38" w:rsidRPr="00F715D1" w:rsidRDefault="00BC1364" w:rsidP="00F715D1">
      <w:pPr>
        <w:pStyle w:val="Heading1"/>
      </w:pPr>
      <w:r w:rsidRPr="00F715D1">
        <w:t>Other significant factors</w:t>
      </w:r>
    </w:p>
    <w:p w14:paraId="74591E13" w14:textId="77777777" w:rsidR="00BC1364" w:rsidRPr="005A4362" w:rsidRDefault="00D824CD" w:rsidP="00D824CD">
      <w:r>
        <w:t>Nil.</w:t>
      </w:r>
    </w:p>
    <w:p w14:paraId="19E3A867"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4DC047AA" w14:textId="5BB7DA9F" w:rsidR="00BC1364" w:rsidRPr="005A4362" w:rsidRDefault="00B00DE0" w:rsidP="00F715D1">
      <w:pPr>
        <w:spacing w:after="240"/>
        <w:rPr>
          <w:color w:val="00B0F0"/>
          <w:szCs w:val="24"/>
        </w:rPr>
      </w:pPr>
      <w:r w:rsidRPr="00D64FE6">
        <w:rPr>
          <w:szCs w:val="24"/>
        </w:rPr>
        <w:t xml:space="preserve">Medtronic is pleased that MSAC has supported MBS funding of </w:t>
      </w:r>
      <w:proofErr w:type="spellStart"/>
      <w:r w:rsidRPr="00D64FE6">
        <w:rPr>
          <w:szCs w:val="24"/>
        </w:rPr>
        <w:t>transcatheter</w:t>
      </w:r>
      <w:proofErr w:type="spellEnd"/>
      <w:r w:rsidRPr="00D64FE6">
        <w:rPr>
          <w:szCs w:val="24"/>
        </w:rPr>
        <w:t xml:space="preserve"> aortic valve implantation (TAVI) via </w:t>
      </w:r>
      <w:proofErr w:type="spellStart"/>
      <w:r w:rsidRPr="00D64FE6">
        <w:rPr>
          <w:szCs w:val="24"/>
        </w:rPr>
        <w:t>transfemoral</w:t>
      </w:r>
      <w:proofErr w:type="spellEnd"/>
      <w:r w:rsidRPr="00D64FE6">
        <w:rPr>
          <w:szCs w:val="24"/>
        </w:rPr>
        <w:t xml:space="preserve"> delivery for patients at intermediate risk for surgery based on its safety, effectiveness and cost effectiveness compared with surgical aortic valve replacement (SAVR). Medtronic is also pleased that MSAC concluded that this item should be device agnostic, allowing patients to access the most appropriate TAVI Device for each individual. We look forward to working with all stakeholders to further improve patient access to this </w:t>
      </w:r>
      <w:proofErr w:type="spellStart"/>
      <w:r w:rsidRPr="00D64FE6">
        <w:rPr>
          <w:szCs w:val="24"/>
        </w:rPr>
        <w:t>lifechanging</w:t>
      </w:r>
      <w:proofErr w:type="spellEnd"/>
      <w:r w:rsidRPr="00D64FE6">
        <w:rPr>
          <w:szCs w:val="24"/>
        </w:rPr>
        <w:t xml:space="preserve"> therapy. Medtronic’s first priority is for the development of TAVI as a therapy so this decision is a great win for all stakeholders.</w:t>
      </w:r>
    </w:p>
    <w:p w14:paraId="648A3333" w14:textId="77777777" w:rsidR="00BC1364" w:rsidRPr="00F715D1" w:rsidRDefault="00271F18" w:rsidP="00F715D1">
      <w:pPr>
        <w:pStyle w:val="Heading1"/>
      </w:pPr>
      <w:r w:rsidRPr="00F715D1">
        <w:lastRenderedPageBreak/>
        <w:t>Further information on MSAC</w:t>
      </w:r>
    </w:p>
    <w:p w14:paraId="24DB21B1"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30" w:tooltip="Link to Medical Services Advisory Committee website" w:history="1">
        <w:r w:rsidR="00BC2667" w:rsidRPr="00F715D1">
          <w:rPr>
            <w:rStyle w:val="Hyperlink"/>
            <w:szCs w:val="24"/>
          </w:rPr>
          <w:t>visit the MSAC website</w:t>
        </w:r>
      </w:hyperlink>
    </w:p>
    <w:sectPr w:rsidR="00BC1364" w:rsidRPr="00F715D1" w:rsidSect="00271F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28D5C" w14:textId="77777777" w:rsidR="004F743A" w:rsidRDefault="004F743A" w:rsidP="00065623">
      <w:r>
        <w:separator/>
      </w:r>
    </w:p>
  </w:endnote>
  <w:endnote w:type="continuationSeparator" w:id="0">
    <w:p w14:paraId="755E0828" w14:textId="77777777" w:rsidR="004F743A" w:rsidRDefault="004F743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12ED6D9C" w14:textId="0A3A4E53" w:rsidR="004F743A" w:rsidRDefault="004F743A">
        <w:pPr>
          <w:pStyle w:val="Footer"/>
          <w:jc w:val="right"/>
        </w:pPr>
        <w:r>
          <w:fldChar w:fldCharType="begin"/>
        </w:r>
        <w:r>
          <w:instrText xml:space="preserve"> PAGE   \* MERGEFORMAT </w:instrText>
        </w:r>
        <w:r>
          <w:fldChar w:fldCharType="separate"/>
        </w:r>
        <w:r w:rsidR="002F70F5">
          <w:rPr>
            <w:noProof/>
          </w:rPr>
          <w:t>26</w:t>
        </w:r>
        <w:r>
          <w:rPr>
            <w:noProof/>
          </w:rPr>
          <w:fldChar w:fldCharType="end"/>
        </w:r>
      </w:p>
    </w:sdtContent>
  </w:sdt>
  <w:p w14:paraId="3992A37C" w14:textId="77777777" w:rsidR="004F743A" w:rsidRDefault="004F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AF387" w14:textId="77777777" w:rsidR="004F743A" w:rsidRDefault="004F743A" w:rsidP="00065623">
      <w:r>
        <w:separator/>
      </w:r>
    </w:p>
  </w:footnote>
  <w:footnote w:type="continuationSeparator" w:id="0">
    <w:p w14:paraId="620D1C1D" w14:textId="77777777" w:rsidR="004F743A" w:rsidRDefault="004F743A" w:rsidP="00065623">
      <w:r>
        <w:continuationSeparator/>
      </w:r>
    </w:p>
  </w:footnote>
  <w:footnote w:id="1">
    <w:p w14:paraId="21CAD64A" w14:textId="2F3B78B9" w:rsidR="004F743A" w:rsidRDefault="004F743A">
      <w:pPr>
        <w:pStyle w:val="FootnoteText"/>
      </w:pPr>
      <w:r>
        <w:rPr>
          <w:rStyle w:val="FootnoteReference"/>
        </w:rPr>
        <w:footnoteRef/>
      </w:r>
      <w:r>
        <w:t xml:space="preserve"> Otto CM </w:t>
      </w:r>
      <w:r w:rsidRPr="00717A3E">
        <w:rPr>
          <w:i/>
        </w:rPr>
        <w:t>et al.</w:t>
      </w:r>
      <w:r w:rsidRPr="002F766D">
        <w:t xml:space="preserve"> 202</w:t>
      </w:r>
      <w:r>
        <w:t>1</w:t>
      </w:r>
      <w:r w:rsidRPr="002F766D">
        <w:t xml:space="preserve"> ACC/AHA Guideline for the Management of Patients </w:t>
      </w:r>
      <w:proofErr w:type="gramStart"/>
      <w:r w:rsidRPr="002F766D">
        <w:t>With</w:t>
      </w:r>
      <w:proofErr w:type="gramEnd"/>
      <w:r w:rsidRPr="002F766D">
        <w:t xml:space="preserve"> Valvular Heart Disease: Executive Summary: A Report of the American College of Cardiology/American Heart Association Joint Committee on Clinical Practice Guidelines</w:t>
      </w:r>
      <w:r>
        <w:t>.</w:t>
      </w:r>
      <w:r w:rsidRPr="002F766D">
        <w:t xml:space="preserve"> </w:t>
      </w:r>
      <w:r w:rsidRPr="00717A3E">
        <w:rPr>
          <w:i/>
        </w:rPr>
        <w:t>Circulation.</w:t>
      </w:r>
      <w:r w:rsidRPr="002F766D">
        <w:t xml:space="preserve"> 2021</w:t>
      </w:r>
      <w:proofErr w:type="gramStart"/>
      <w:r w:rsidRPr="002F766D">
        <w:t>;143</w:t>
      </w:r>
      <w:proofErr w:type="gramEnd"/>
      <w:r w:rsidRPr="002F766D">
        <w:t>(5):e35-e71.</w:t>
      </w:r>
    </w:p>
  </w:footnote>
  <w:footnote w:id="2">
    <w:p w14:paraId="622DE32F" w14:textId="77777777" w:rsidR="004F743A" w:rsidRDefault="004F743A" w:rsidP="005070BA">
      <w:pPr>
        <w:pStyle w:val="FootnoteText"/>
      </w:pPr>
      <w:r>
        <w:rPr>
          <w:rStyle w:val="FootnoteReference"/>
        </w:rPr>
        <w:footnoteRef/>
      </w:r>
      <w:r>
        <w:t xml:space="preserve"> </w:t>
      </w:r>
      <w:proofErr w:type="spellStart"/>
      <w:r w:rsidRPr="002621CA">
        <w:t>Claessen</w:t>
      </w:r>
      <w:proofErr w:type="spellEnd"/>
      <w:r w:rsidRPr="002621CA">
        <w:t xml:space="preserve"> BE, Tang GH, </w:t>
      </w:r>
      <w:proofErr w:type="spellStart"/>
      <w:r w:rsidRPr="002621CA">
        <w:t>Kini</w:t>
      </w:r>
      <w:proofErr w:type="spellEnd"/>
      <w:r w:rsidRPr="002621CA">
        <w:t xml:space="preserve"> AS, </w:t>
      </w:r>
      <w:proofErr w:type="gramStart"/>
      <w:r w:rsidRPr="002621CA">
        <w:t>Sharma</w:t>
      </w:r>
      <w:proofErr w:type="gramEnd"/>
      <w:r w:rsidRPr="002621CA">
        <w:t xml:space="preserve"> SK. Considerations for Optimal Device Selection in </w:t>
      </w:r>
      <w:proofErr w:type="spellStart"/>
      <w:r w:rsidRPr="002621CA">
        <w:t>Transcatheter</w:t>
      </w:r>
      <w:proofErr w:type="spellEnd"/>
      <w:r w:rsidRPr="002621CA">
        <w:t xml:space="preserve"> Aortic Valve Replacement: A Review. JAMA cardiology. 2020 Sep 9.</w:t>
      </w:r>
    </w:p>
  </w:footnote>
  <w:footnote w:id="3">
    <w:p w14:paraId="15716E20" w14:textId="77777777" w:rsidR="004F743A" w:rsidRDefault="004F743A" w:rsidP="00DD6765">
      <w:pPr>
        <w:pStyle w:val="FootnoteText"/>
      </w:pPr>
      <w:r>
        <w:rPr>
          <w:rStyle w:val="FootnoteReference"/>
        </w:rPr>
        <w:footnoteRef/>
      </w:r>
      <w:r>
        <w:t xml:space="preserve"> </w:t>
      </w:r>
      <w:proofErr w:type="spellStart"/>
      <w:r w:rsidRPr="00F92E77">
        <w:t>Lanz</w:t>
      </w:r>
      <w:proofErr w:type="spellEnd"/>
      <w:r w:rsidRPr="00F92E77">
        <w:t xml:space="preserve"> J, Kim WK, Walther T, et al. Safety and efficacy of a self-expanding versus a balloon-expandable </w:t>
      </w:r>
      <w:proofErr w:type="spellStart"/>
      <w:r w:rsidRPr="00F92E77">
        <w:t>bioprosthesis</w:t>
      </w:r>
      <w:proofErr w:type="spellEnd"/>
      <w:r w:rsidRPr="00F92E77">
        <w:t xml:space="preserve"> for </w:t>
      </w:r>
      <w:proofErr w:type="spellStart"/>
      <w:r w:rsidRPr="00F92E77">
        <w:t>transcatheter</w:t>
      </w:r>
      <w:proofErr w:type="spellEnd"/>
      <w:r w:rsidRPr="00F92E77">
        <w:t xml:space="preserve"> aortic valve replacement in patients with symptomatic severe aortic stenosis: a randomised non-inferiority trial. Lancet. 2019</w:t>
      </w:r>
      <w:proofErr w:type="gramStart"/>
      <w:r w:rsidRPr="00F92E77">
        <w:t>;394</w:t>
      </w:r>
      <w:proofErr w:type="gramEnd"/>
      <w:r w:rsidRPr="00F92E77">
        <w:t>(10209):1619-1628.</w:t>
      </w:r>
    </w:p>
  </w:footnote>
  <w:footnote w:id="4">
    <w:p w14:paraId="3B9A7241" w14:textId="77777777" w:rsidR="004F743A" w:rsidRDefault="004F743A" w:rsidP="00DD6765">
      <w:pPr>
        <w:pStyle w:val="FootnoteText"/>
      </w:pPr>
      <w:r>
        <w:rPr>
          <w:rStyle w:val="FootnoteReference"/>
        </w:rPr>
        <w:footnoteRef/>
      </w:r>
      <w:r>
        <w:t xml:space="preserve"> </w:t>
      </w:r>
      <w:proofErr w:type="spellStart"/>
      <w:r w:rsidRPr="00F92E77">
        <w:t>Deharo</w:t>
      </w:r>
      <w:proofErr w:type="spellEnd"/>
      <w:r w:rsidRPr="00F92E77">
        <w:t xml:space="preserve"> P, </w:t>
      </w:r>
      <w:proofErr w:type="spellStart"/>
      <w:r w:rsidRPr="00F92E77">
        <w:t>Bisson</w:t>
      </w:r>
      <w:proofErr w:type="spellEnd"/>
      <w:r w:rsidRPr="00F92E77">
        <w:t xml:space="preserve"> A, Herbert J, et al. Impact of </w:t>
      </w:r>
      <w:proofErr w:type="spellStart"/>
      <w:r w:rsidRPr="00F92E77">
        <w:t>Sapien</w:t>
      </w:r>
      <w:proofErr w:type="spellEnd"/>
      <w:r w:rsidRPr="00F92E77">
        <w:t xml:space="preserve"> 3 Balloon-Expandable Versus </w:t>
      </w:r>
      <w:proofErr w:type="spellStart"/>
      <w:r w:rsidRPr="00F92E77">
        <w:t>Evolut</w:t>
      </w:r>
      <w:proofErr w:type="spellEnd"/>
      <w:r w:rsidRPr="00F92E77">
        <w:t xml:space="preserve"> R Self-Expandable </w:t>
      </w:r>
      <w:proofErr w:type="spellStart"/>
      <w:r w:rsidRPr="00F92E77">
        <w:t>Transcatheter</w:t>
      </w:r>
      <w:proofErr w:type="spellEnd"/>
      <w:r w:rsidRPr="00F92E77">
        <w:t xml:space="preserve"> Aortic Valve Implantation in Patients </w:t>
      </w:r>
      <w:proofErr w:type="gramStart"/>
      <w:r w:rsidRPr="00F92E77">
        <w:t>With</w:t>
      </w:r>
      <w:proofErr w:type="gramEnd"/>
      <w:r w:rsidRPr="00F92E77">
        <w:t xml:space="preserve"> Aortic Stenosis: Data From a Nationwide Analysis. Circulation. 2020</w:t>
      </w:r>
      <w:proofErr w:type="gramStart"/>
      <w:r w:rsidRPr="00F92E77">
        <w:t>;141</w:t>
      </w:r>
      <w:proofErr w:type="gramEnd"/>
      <w:r w:rsidRPr="00F92E77">
        <w:t>(4):260-268.</w:t>
      </w:r>
    </w:p>
  </w:footnote>
  <w:footnote w:id="5">
    <w:p w14:paraId="2F1DFD08" w14:textId="77777777" w:rsidR="004F743A" w:rsidRDefault="004F743A" w:rsidP="00DD6765">
      <w:pPr>
        <w:pStyle w:val="FootnoteText"/>
      </w:pPr>
      <w:r>
        <w:rPr>
          <w:rStyle w:val="FootnoteReference"/>
        </w:rPr>
        <w:footnoteRef/>
      </w:r>
      <w:r>
        <w:t xml:space="preserve"> </w:t>
      </w:r>
      <w:r w:rsidRPr="00F92E77">
        <w:t xml:space="preserve">Van Belle E, Vincent F, </w:t>
      </w:r>
      <w:proofErr w:type="spellStart"/>
      <w:r w:rsidRPr="00F92E77">
        <w:t>Labreuche</w:t>
      </w:r>
      <w:proofErr w:type="spellEnd"/>
      <w:r w:rsidRPr="00F92E77">
        <w:t xml:space="preserve"> J, et al. Balloon-Expandable Versus Self-Expanding </w:t>
      </w:r>
      <w:proofErr w:type="spellStart"/>
      <w:r w:rsidRPr="00F92E77">
        <w:t>Transcatheter</w:t>
      </w:r>
      <w:proofErr w:type="spellEnd"/>
      <w:r w:rsidRPr="00F92E77">
        <w:t xml:space="preserve"> Aortic Valve Replacement: A Propensity-Matched Comparison From the FRANCE-TAVI Registry. Circulation. 2020</w:t>
      </w:r>
      <w:proofErr w:type="gramStart"/>
      <w:r w:rsidRPr="00F92E77">
        <w:t>;141</w:t>
      </w:r>
      <w:proofErr w:type="gramEnd"/>
      <w:r w:rsidRPr="00F92E77">
        <w:t>(4):243-259.</w:t>
      </w:r>
    </w:p>
  </w:footnote>
  <w:footnote w:id="6">
    <w:p w14:paraId="2C80F872" w14:textId="77777777" w:rsidR="004F743A" w:rsidRDefault="004F743A" w:rsidP="00DD6765">
      <w:pPr>
        <w:pStyle w:val="FootnoteText"/>
      </w:pPr>
      <w:r>
        <w:rPr>
          <w:rStyle w:val="FootnoteReference"/>
        </w:rPr>
        <w:footnoteRef/>
      </w:r>
      <w:r>
        <w:t xml:space="preserve"> </w:t>
      </w:r>
      <w:r w:rsidRPr="00253063">
        <w:t xml:space="preserve">Baumgartner H, Falk V, </w:t>
      </w:r>
      <w:proofErr w:type="spellStart"/>
      <w:r w:rsidRPr="00253063">
        <w:t>Bax</w:t>
      </w:r>
      <w:proofErr w:type="spellEnd"/>
      <w:r w:rsidRPr="00253063">
        <w:t xml:space="preserve"> JJ, et al. 2017 ESC/EACTS Guidelines for the management of valvular heart disease. </w:t>
      </w:r>
      <w:proofErr w:type="spellStart"/>
      <w:r w:rsidRPr="00253063">
        <w:t>Eur</w:t>
      </w:r>
      <w:proofErr w:type="spellEnd"/>
      <w:r w:rsidRPr="00253063">
        <w:t xml:space="preserve"> Heart J. 2017</w:t>
      </w:r>
      <w:proofErr w:type="gramStart"/>
      <w:r w:rsidRPr="00253063">
        <w:t>;38</w:t>
      </w:r>
      <w:proofErr w:type="gramEnd"/>
      <w:r w:rsidRPr="00253063">
        <w:t>(36):2739-2791.</w:t>
      </w:r>
    </w:p>
  </w:footnote>
  <w:footnote w:id="7">
    <w:p w14:paraId="6AC7ED67" w14:textId="77777777" w:rsidR="004F743A" w:rsidRDefault="004F743A" w:rsidP="00EE4D44">
      <w:pPr>
        <w:pStyle w:val="FootnoteText"/>
      </w:pPr>
      <w:r>
        <w:rPr>
          <w:rStyle w:val="FootnoteReference"/>
        </w:rPr>
        <w:footnoteRef/>
      </w:r>
      <w:r>
        <w:t xml:space="preserve"> </w:t>
      </w:r>
      <w:r w:rsidRPr="00E01769">
        <w:t xml:space="preserve">Leon MB, Smith CR, Mack MJ, et al. </w:t>
      </w:r>
      <w:proofErr w:type="spellStart"/>
      <w:r w:rsidRPr="00E01769">
        <w:t>Transcatheter</w:t>
      </w:r>
      <w:proofErr w:type="spellEnd"/>
      <w:r w:rsidRPr="00E01769">
        <w:t xml:space="preserve"> or Surgical Aortic-Valve Replacement in Intermediate-Risk Patients. N </w:t>
      </w:r>
      <w:proofErr w:type="spellStart"/>
      <w:r w:rsidRPr="00E01769">
        <w:t>Engl</w:t>
      </w:r>
      <w:proofErr w:type="spellEnd"/>
      <w:r w:rsidRPr="00E01769">
        <w:t xml:space="preserve"> J Med. 2016</w:t>
      </w:r>
      <w:proofErr w:type="gramStart"/>
      <w:r w:rsidRPr="00E01769">
        <w:t>;374</w:t>
      </w:r>
      <w:proofErr w:type="gramEnd"/>
      <w:r w:rsidRPr="00E01769">
        <w:t>(17):1609-1620.</w:t>
      </w:r>
    </w:p>
  </w:footnote>
  <w:footnote w:id="8">
    <w:p w14:paraId="12EB66E8" w14:textId="77777777" w:rsidR="004F743A" w:rsidRPr="00333BCD" w:rsidRDefault="004F743A" w:rsidP="00EE4D44">
      <w:pPr>
        <w:pStyle w:val="FootnoteText"/>
        <w:rPr>
          <w:lang w:val="nl-NL"/>
        </w:rPr>
      </w:pPr>
      <w:r>
        <w:rPr>
          <w:rStyle w:val="FootnoteReference"/>
        </w:rPr>
        <w:footnoteRef/>
      </w:r>
      <w:r>
        <w:t xml:space="preserve"> </w:t>
      </w:r>
      <w:proofErr w:type="spellStart"/>
      <w:r w:rsidRPr="00E01769">
        <w:t>Makkar</w:t>
      </w:r>
      <w:proofErr w:type="spellEnd"/>
      <w:r w:rsidRPr="00E01769">
        <w:t xml:space="preserve"> RR, </w:t>
      </w:r>
      <w:proofErr w:type="spellStart"/>
      <w:r w:rsidRPr="00E01769">
        <w:t>Thourani</w:t>
      </w:r>
      <w:proofErr w:type="spellEnd"/>
      <w:r w:rsidRPr="00E01769">
        <w:t xml:space="preserve"> VH, Mack MJ, et al. Five-Year Outcomes of </w:t>
      </w:r>
      <w:proofErr w:type="spellStart"/>
      <w:r w:rsidRPr="00E01769">
        <w:t>Transcatheter</w:t>
      </w:r>
      <w:proofErr w:type="spellEnd"/>
      <w:r w:rsidRPr="00E01769">
        <w:t xml:space="preserve"> or Surgical Aortic-Valve Replacement. </w:t>
      </w:r>
      <w:r w:rsidRPr="00333BCD">
        <w:rPr>
          <w:lang w:val="nl-NL"/>
        </w:rPr>
        <w:t>N Engl J Med. 2020;382(9):799-809.</w:t>
      </w:r>
    </w:p>
  </w:footnote>
  <w:footnote w:id="9">
    <w:p w14:paraId="6BD787B4" w14:textId="77777777" w:rsidR="004F743A" w:rsidRPr="00333BCD" w:rsidRDefault="004F743A" w:rsidP="00EE4D44">
      <w:pPr>
        <w:pStyle w:val="FootnoteText"/>
        <w:rPr>
          <w:lang w:val="nl-NL"/>
        </w:rPr>
      </w:pPr>
      <w:r>
        <w:rPr>
          <w:rStyle w:val="FootnoteReference"/>
        </w:rPr>
        <w:footnoteRef/>
      </w:r>
      <w:r w:rsidRPr="00333BCD">
        <w:rPr>
          <w:lang w:val="nl-NL"/>
        </w:rPr>
        <w:t xml:space="preserve"> </w:t>
      </w:r>
      <w:r w:rsidRPr="00333BCD">
        <w:rPr>
          <w:lang w:val="nl-NL"/>
        </w:rPr>
        <w:t xml:space="preserve">Reardon </w:t>
      </w:r>
      <w:r w:rsidRPr="00333BCD">
        <w:rPr>
          <w:lang w:val="nl-NL"/>
        </w:rPr>
        <w:t xml:space="preserve">MJ, Van Mieghem NM, Popma JJ, et al. </w:t>
      </w:r>
      <w:r w:rsidRPr="007F04ED">
        <w:t xml:space="preserve">Surgical or </w:t>
      </w:r>
      <w:proofErr w:type="spellStart"/>
      <w:r w:rsidRPr="007F04ED">
        <w:t>Transcatheter</w:t>
      </w:r>
      <w:proofErr w:type="spellEnd"/>
      <w:r w:rsidRPr="007F04ED">
        <w:t xml:space="preserve"> Aortic-Valve Replacement in Intermediate-Risk Patients. </w:t>
      </w:r>
      <w:r w:rsidRPr="00333BCD">
        <w:rPr>
          <w:lang w:val="nl-NL"/>
        </w:rPr>
        <w:t>N Engl J Med. 2017;376(14):1321-1331.</w:t>
      </w:r>
    </w:p>
  </w:footnote>
  <w:footnote w:id="10">
    <w:p w14:paraId="467DF1C9" w14:textId="77777777" w:rsidR="004F743A" w:rsidRDefault="004F743A" w:rsidP="00EE4D44">
      <w:pPr>
        <w:pStyle w:val="FootnoteText"/>
      </w:pPr>
      <w:r>
        <w:rPr>
          <w:rStyle w:val="FootnoteReference"/>
        </w:rPr>
        <w:footnoteRef/>
      </w:r>
      <w:r w:rsidRPr="00333BCD">
        <w:rPr>
          <w:lang w:val="nl-NL"/>
        </w:rPr>
        <w:t xml:space="preserve"> </w:t>
      </w:r>
      <w:r w:rsidRPr="00333BCD">
        <w:rPr>
          <w:lang w:val="nl-NL"/>
        </w:rPr>
        <w:t xml:space="preserve">Yakubov </w:t>
      </w:r>
      <w:r w:rsidRPr="00333BCD">
        <w:rPr>
          <w:lang w:val="nl-NL"/>
        </w:rPr>
        <w:t xml:space="preserve">SJ, Van Mieghem NM, Reardon MJ, et al. </w:t>
      </w:r>
      <w:r w:rsidRPr="00E01769">
        <w:t xml:space="preserve">Propensity-Matched Comparison of </w:t>
      </w:r>
      <w:proofErr w:type="spellStart"/>
      <w:r w:rsidRPr="00E01769">
        <w:t>Evolut</w:t>
      </w:r>
      <w:proofErr w:type="spellEnd"/>
      <w:r w:rsidRPr="00E01769">
        <w:t xml:space="preserve">-R </w:t>
      </w:r>
      <w:proofErr w:type="spellStart"/>
      <w:r w:rsidRPr="00E01769">
        <w:t>Transcatheter</w:t>
      </w:r>
      <w:proofErr w:type="spellEnd"/>
      <w:r w:rsidRPr="00E01769">
        <w:t xml:space="preserve"> Aortic Valve Implantation </w:t>
      </w:r>
      <w:proofErr w:type="gramStart"/>
      <w:r w:rsidRPr="00E01769">
        <w:t>With</w:t>
      </w:r>
      <w:proofErr w:type="gramEnd"/>
      <w:r w:rsidRPr="00E01769">
        <w:t xml:space="preserve"> Surgery in Intermediate-Risk Patients (from the SURTAVI Trial). Am J </w:t>
      </w:r>
      <w:proofErr w:type="spellStart"/>
      <w:r w:rsidRPr="00E01769">
        <w:t>Cardiol</w:t>
      </w:r>
      <w:proofErr w:type="spellEnd"/>
      <w:r w:rsidRPr="00E01769">
        <w:t>. 2020</w:t>
      </w:r>
      <w:proofErr w:type="gramStart"/>
      <w:r w:rsidRPr="00E01769">
        <w:t>;131:82</w:t>
      </w:r>
      <w:proofErr w:type="gramEnd"/>
      <w:r w:rsidRPr="00E01769">
        <w:t>-90.</w:t>
      </w:r>
    </w:p>
  </w:footnote>
  <w:footnote w:id="11">
    <w:p w14:paraId="68B18D59" w14:textId="77777777" w:rsidR="004F743A" w:rsidRDefault="004F743A" w:rsidP="00EE4D44">
      <w:pPr>
        <w:pStyle w:val="FootnoteText"/>
      </w:pPr>
      <w:r>
        <w:rPr>
          <w:rStyle w:val="FootnoteReference"/>
        </w:rPr>
        <w:footnoteRef/>
      </w:r>
      <w:r>
        <w:t xml:space="preserve"> </w:t>
      </w:r>
      <w:proofErr w:type="spellStart"/>
      <w:r w:rsidRPr="00E01769">
        <w:t>Thourani</w:t>
      </w:r>
      <w:proofErr w:type="spellEnd"/>
      <w:r w:rsidRPr="00E01769">
        <w:t xml:space="preserve"> VH, </w:t>
      </w:r>
      <w:proofErr w:type="spellStart"/>
      <w:r w:rsidRPr="00E01769">
        <w:t>Kodali</w:t>
      </w:r>
      <w:proofErr w:type="spellEnd"/>
      <w:r w:rsidRPr="00E01769">
        <w:t xml:space="preserve"> S, </w:t>
      </w:r>
      <w:proofErr w:type="spellStart"/>
      <w:r w:rsidRPr="00E01769">
        <w:t>Makkar</w:t>
      </w:r>
      <w:proofErr w:type="spellEnd"/>
      <w:r w:rsidRPr="00E01769">
        <w:t xml:space="preserve"> RR, et al. </w:t>
      </w:r>
      <w:proofErr w:type="spellStart"/>
      <w:r w:rsidRPr="00E01769">
        <w:t>Transcatheter</w:t>
      </w:r>
      <w:proofErr w:type="spellEnd"/>
      <w:r w:rsidRPr="00E01769">
        <w:t xml:space="preserve"> aortic valve replacement versus surgical valve replacement in intermediate-risk patients: a propensity score analysis. Lancet. 2016</w:t>
      </w:r>
      <w:proofErr w:type="gramStart"/>
      <w:r w:rsidRPr="00E01769">
        <w:t>;387</w:t>
      </w:r>
      <w:proofErr w:type="gramEnd"/>
      <w:r w:rsidRPr="00E01769">
        <w:t>(10034):2218-2225.</w:t>
      </w:r>
    </w:p>
  </w:footnote>
  <w:footnote w:id="12">
    <w:p w14:paraId="7E888DA8" w14:textId="77777777" w:rsidR="004F743A" w:rsidRDefault="004F743A" w:rsidP="00EE4D44">
      <w:pPr>
        <w:pStyle w:val="FootnoteText"/>
      </w:pPr>
      <w:r>
        <w:rPr>
          <w:rStyle w:val="FootnoteReference"/>
        </w:rPr>
        <w:footnoteRef/>
      </w:r>
      <w:r>
        <w:t xml:space="preserve"> </w:t>
      </w:r>
      <w:proofErr w:type="spellStart"/>
      <w:r w:rsidRPr="004D348E">
        <w:t>Tummala</w:t>
      </w:r>
      <w:proofErr w:type="spellEnd"/>
      <w:r w:rsidRPr="004D348E">
        <w:t xml:space="preserve"> R, Banerjee K, </w:t>
      </w:r>
      <w:proofErr w:type="spellStart"/>
      <w:r w:rsidRPr="004D348E">
        <w:t>Sankaramangalam</w:t>
      </w:r>
      <w:proofErr w:type="spellEnd"/>
      <w:r w:rsidRPr="004D348E">
        <w:t xml:space="preserve"> K, et al. Clinical and procedural outcomes with the SAPIEN 3 versus the SAPIEN XT prosthetic valves in </w:t>
      </w:r>
      <w:proofErr w:type="spellStart"/>
      <w:r w:rsidRPr="004D348E">
        <w:t>transcatheter</w:t>
      </w:r>
      <w:proofErr w:type="spellEnd"/>
      <w:r w:rsidRPr="004D348E">
        <w:t xml:space="preserve"> aortic valve replacement: A systematic review and meta-analysis. Catheter </w:t>
      </w:r>
      <w:proofErr w:type="spellStart"/>
      <w:r w:rsidRPr="004D348E">
        <w:t>Cardiovasc</w:t>
      </w:r>
      <w:proofErr w:type="spellEnd"/>
      <w:r w:rsidRPr="004D348E">
        <w:t xml:space="preserve"> </w:t>
      </w:r>
      <w:proofErr w:type="spellStart"/>
      <w:r w:rsidRPr="004D348E">
        <w:t>Interv</w:t>
      </w:r>
      <w:proofErr w:type="spellEnd"/>
      <w:r w:rsidRPr="004D348E">
        <w:t>. 2018</w:t>
      </w:r>
      <w:proofErr w:type="gramStart"/>
      <w:r w:rsidRPr="004D348E">
        <w:t>;92</w:t>
      </w:r>
      <w:proofErr w:type="gramEnd"/>
      <w:r w:rsidRPr="004D348E">
        <w:t>(3):E149-E158.</w:t>
      </w:r>
    </w:p>
  </w:footnote>
  <w:footnote w:id="13">
    <w:p w14:paraId="57AF6FAC" w14:textId="77777777" w:rsidR="004F743A" w:rsidRDefault="004F743A" w:rsidP="00EE4D44">
      <w:pPr>
        <w:pStyle w:val="FootnoteText"/>
      </w:pPr>
      <w:r>
        <w:rPr>
          <w:rStyle w:val="FootnoteReference"/>
        </w:rPr>
        <w:footnoteRef/>
      </w:r>
      <w:r>
        <w:t xml:space="preserve"> </w:t>
      </w:r>
      <w:r w:rsidRPr="004D348E">
        <w:t xml:space="preserve">Ando T, </w:t>
      </w:r>
      <w:proofErr w:type="spellStart"/>
      <w:r w:rsidRPr="004D348E">
        <w:t>Briasoulis</w:t>
      </w:r>
      <w:proofErr w:type="spellEnd"/>
      <w:r w:rsidRPr="004D348E">
        <w:t xml:space="preserve"> A, Holmes AA, </w:t>
      </w:r>
      <w:proofErr w:type="spellStart"/>
      <w:r w:rsidRPr="004D348E">
        <w:t>Taub</w:t>
      </w:r>
      <w:proofErr w:type="spellEnd"/>
      <w:r w:rsidRPr="004D348E">
        <w:t xml:space="preserve"> CC, Takagi H, </w:t>
      </w:r>
      <w:proofErr w:type="spellStart"/>
      <w:r w:rsidRPr="004D348E">
        <w:t>Afonso</w:t>
      </w:r>
      <w:proofErr w:type="spellEnd"/>
      <w:r w:rsidRPr="004D348E">
        <w:t xml:space="preserve"> L. </w:t>
      </w:r>
      <w:proofErr w:type="spellStart"/>
      <w:r w:rsidRPr="004D348E">
        <w:t>Sapien</w:t>
      </w:r>
      <w:proofErr w:type="spellEnd"/>
      <w:r w:rsidRPr="004D348E">
        <w:t xml:space="preserve"> 3 versus </w:t>
      </w:r>
      <w:proofErr w:type="spellStart"/>
      <w:r w:rsidRPr="004D348E">
        <w:t>Sapien</w:t>
      </w:r>
      <w:proofErr w:type="spellEnd"/>
      <w:r w:rsidRPr="004D348E">
        <w:t xml:space="preserve"> XT prosthetic valves in </w:t>
      </w:r>
      <w:proofErr w:type="spellStart"/>
      <w:r w:rsidRPr="004D348E">
        <w:t>transcatheter</w:t>
      </w:r>
      <w:proofErr w:type="spellEnd"/>
      <w:r w:rsidRPr="004D348E">
        <w:t xml:space="preserve"> aortic valve implantation: A meta-analysis. </w:t>
      </w:r>
      <w:proofErr w:type="spellStart"/>
      <w:r w:rsidRPr="004D348E">
        <w:t>Int</w:t>
      </w:r>
      <w:proofErr w:type="spellEnd"/>
      <w:r w:rsidRPr="004D348E">
        <w:t xml:space="preserve"> J </w:t>
      </w:r>
      <w:proofErr w:type="spellStart"/>
      <w:r w:rsidRPr="004D348E">
        <w:t>Cardiol</w:t>
      </w:r>
      <w:proofErr w:type="spellEnd"/>
      <w:r w:rsidRPr="004D348E">
        <w:t>. 2016</w:t>
      </w:r>
      <w:proofErr w:type="gramStart"/>
      <w:r w:rsidRPr="004D348E">
        <w:t>;220:472</w:t>
      </w:r>
      <w:proofErr w:type="gramEnd"/>
      <w:r w:rsidRPr="004D348E">
        <w:t>-478.</w:t>
      </w:r>
    </w:p>
  </w:footnote>
  <w:footnote w:id="14">
    <w:p w14:paraId="005C0D41" w14:textId="77777777" w:rsidR="004F743A" w:rsidRDefault="004F743A" w:rsidP="00EE4D44">
      <w:pPr>
        <w:pStyle w:val="FootnoteText"/>
      </w:pPr>
      <w:r>
        <w:rPr>
          <w:rStyle w:val="FootnoteReference"/>
        </w:rPr>
        <w:footnoteRef/>
      </w:r>
      <w:r>
        <w:t xml:space="preserve"> </w:t>
      </w:r>
      <w:r w:rsidRPr="001F5392">
        <w:t xml:space="preserve">Lee P, Byrnes J, Mervin M, </w:t>
      </w:r>
      <w:proofErr w:type="spellStart"/>
      <w:r w:rsidRPr="001F5392">
        <w:t>Scuffham</w:t>
      </w:r>
      <w:proofErr w:type="spellEnd"/>
      <w:r w:rsidRPr="001F5392">
        <w:t xml:space="preserve"> P. Outcomes of </w:t>
      </w:r>
      <w:proofErr w:type="spellStart"/>
      <w:r w:rsidRPr="001F5392">
        <w:t>transcatheter</w:t>
      </w:r>
      <w:proofErr w:type="spellEnd"/>
      <w:r w:rsidRPr="001F5392">
        <w:t xml:space="preserve"> aortic valve implantation for intermediate-risk patients in Australia: the SOLACE-AU trial. J Med Econ. 2019</w:t>
      </w:r>
      <w:proofErr w:type="gramStart"/>
      <w:r w:rsidRPr="001F5392">
        <w:t>;22</w:t>
      </w:r>
      <w:proofErr w:type="gramEnd"/>
      <w:r w:rsidRPr="001F5392">
        <w:t>(12):1298-1306.</w:t>
      </w:r>
    </w:p>
  </w:footnote>
  <w:footnote w:id="15">
    <w:p w14:paraId="66751C13" w14:textId="77777777" w:rsidR="004F743A" w:rsidRDefault="004F743A" w:rsidP="006435D1">
      <w:pPr>
        <w:pStyle w:val="FootnoteText"/>
      </w:pPr>
      <w:r>
        <w:rPr>
          <w:rStyle w:val="FootnoteReference"/>
        </w:rPr>
        <w:footnoteRef/>
      </w:r>
      <w:r>
        <w:t xml:space="preserve"> </w:t>
      </w:r>
      <w:r w:rsidRPr="00CB181B">
        <w:t xml:space="preserve">Ando T, </w:t>
      </w:r>
      <w:proofErr w:type="spellStart"/>
      <w:r w:rsidRPr="00CB181B">
        <w:t>Briasoulis</w:t>
      </w:r>
      <w:proofErr w:type="spellEnd"/>
      <w:r w:rsidRPr="00CB181B">
        <w:t xml:space="preserve"> A, Holmes AA, </w:t>
      </w:r>
      <w:proofErr w:type="spellStart"/>
      <w:r w:rsidRPr="00CB181B">
        <w:t>Taub</w:t>
      </w:r>
      <w:proofErr w:type="spellEnd"/>
      <w:r w:rsidRPr="00CB181B">
        <w:t xml:space="preserve"> CC, Takagi H, </w:t>
      </w:r>
      <w:proofErr w:type="spellStart"/>
      <w:r w:rsidRPr="00CB181B">
        <w:t>Afonso</w:t>
      </w:r>
      <w:proofErr w:type="spellEnd"/>
      <w:r w:rsidRPr="00CB181B">
        <w:t xml:space="preserve"> L. </w:t>
      </w:r>
      <w:proofErr w:type="spellStart"/>
      <w:r w:rsidRPr="00CB181B">
        <w:t>Sapien</w:t>
      </w:r>
      <w:proofErr w:type="spellEnd"/>
      <w:r w:rsidRPr="00CB181B">
        <w:t xml:space="preserve"> 3 versus </w:t>
      </w:r>
      <w:proofErr w:type="spellStart"/>
      <w:r w:rsidRPr="00CB181B">
        <w:t>Sapien</w:t>
      </w:r>
      <w:proofErr w:type="spellEnd"/>
      <w:r w:rsidRPr="00CB181B">
        <w:t xml:space="preserve"> XT prosthetic valves in </w:t>
      </w:r>
      <w:proofErr w:type="spellStart"/>
      <w:r w:rsidRPr="00CB181B">
        <w:t>transcatheter</w:t>
      </w:r>
      <w:proofErr w:type="spellEnd"/>
      <w:r w:rsidRPr="00CB181B">
        <w:t xml:space="preserve"> aortic valve implantation: A meta-analysis. </w:t>
      </w:r>
      <w:proofErr w:type="spellStart"/>
      <w:r w:rsidRPr="00CB181B">
        <w:t>Int</w:t>
      </w:r>
      <w:proofErr w:type="spellEnd"/>
      <w:r w:rsidRPr="00CB181B">
        <w:t xml:space="preserve"> J </w:t>
      </w:r>
      <w:proofErr w:type="spellStart"/>
      <w:r w:rsidRPr="00CB181B">
        <w:t>Cardiol</w:t>
      </w:r>
      <w:proofErr w:type="spellEnd"/>
      <w:r w:rsidRPr="00CB181B">
        <w:t>. 2016 Oct 1</w:t>
      </w:r>
      <w:proofErr w:type="gramStart"/>
      <w:r w:rsidRPr="00CB181B">
        <w:t>;220:472</w:t>
      </w:r>
      <w:proofErr w:type="gramEnd"/>
      <w:r w:rsidRPr="00CB181B">
        <w:t>-8.</w:t>
      </w:r>
    </w:p>
  </w:footnote>
  <w:footnote w:id="16">
    <w:p w14:paraId="35C2FE37" w14:textId="77777777" w:rsidR="004F743A" w:rsidRDefault="004F743A" w:rsidP="006435D1">
      <w:pPr>
        <w:pStyle w:val="FootnoteText"/>
      </w:pPr>
      <w:r>
        <w:rPr>
          <w:rStyle w:val="FootnoteReference"/>
        </w:rPr>
        <w:footnoteRef/>
      </w:r>
      <w:r>
        <w:t xml:space="preserve"> </w:t>
      </w:r>
      <w:proofErr w:type="spellStart"/>
      <w:r w:rsidRPr="00CB181B">
        <w:t>Tummala</w:t>
      </w:r>
      <w:proofErr w:type="spellEnd"/>
      <w:r w:rsidRPr="00CB181B">
        <w:t xml:space="preserve"> R, Banerjee K, </w:t>
      </w:r>
      <w:proofErr w:type="spellStart"/>
      <w:r w:rsidRPr="00CB181B">
        <w:t>Sankaramangalam</w:t>
      </w:r>
      <w:proofErr w:type="spellEnd"/>
      <w:r w:rsidRPr="00CB181B">
        <w:t xml:space="preserve"> K, Mick S, </w:t>
      </w:r>
      <w:proofErr w:type="spellStart"/>
      <w:r w:rsidRPr="00CB181B">
        <w:t>Krishnaswamy</w:t>
      </w:r>
      <w:proofErr w:type="spellEnd"/>
      <w:r w:rsidRPr="00CB181B">
        <w:t xml:space="preserve"> A, White J, Fares M, Mehta A, </w:t>
      </w:r>
      <w:proofErr w:type="spellStart"/>
      <w:r w:rsidRPr="00CB181B">
        <w:t>Popovic</w:t>
      </w:r>
      <w:proofErr w:type="spellEnd"/>
      <w:r w:rsidRPr="00CB181B">
        <w:t xml:space="preserve"> Z, </w:t>
      </w:r>
      <w:proofErr w:type="spellStart"/>
      <w:r w:rsidRPr="00CB181B">
        <w:t>Svensson</w:t>
      </w:r>
      <w:proofErr w:type="spellEnd"/>
      <w:r w:rsidRPr="00CB181B">
        <w:t xml:space="preserve"> LG, Kapadia SR. Clinical and procedural outcomes with the SAPIEN 3 versus the SAPIEN XT prosthetic valves in </w:t>
      </w:r>
      <w:proofErr w:type="spellStart"/>
      <w:r w:rsidRPr="00CB181B">
        <w:t>transcatheter</w:t>
      </w:r>
      <w:proofErr w:type="spellEnd"/>
      <w:r w:rsidRPr="00CB181B">
        <w:t xml:space="preserve"> aortic valve replacement: A systematic review and meta-analysis. Catheter </w:t>
      </w:r>
      <w:proofErr w:type="spellStart"/>
      <w:r w:rsidRPr="00CB181B">
        <w:t>Cardiovasc</w:t>
      </w:r>
      <w:proofErr w:type="spellEnd"/>
      <w:r w:rsidRPr="00CB181B">
        <w:t xml:space="preserve"> </w:t>
      </w:r>
      <w:proofErr w:type="spellStart"/>
      <w:r w:rsidRPr="00CB181B">
        <w:t>Interv</w:t>
      </w:r>
      <w:proofErr w:type="spellEnd"/>
      <w:r w:rsidRPr="00CB181B">
        <w:t>. 2018 Sep 1</w:t>
      </w:r>
      <w:proofErr w:type="gramStart"/>
      <w:r w:rsidRPr="00CB181B">
        <w:t>;92</w:t>
      </w:r>
      <w:proofErr w:type="gramEnd"/>
      <w:r w:rsidRPr="00CB181B">
        <w:t>(3):E149-E158.</w:t>
      </w:r>
    </w:p>
  </w:footnote>
  <w:footnote w:id="17">
    <w:p w14:paraId="149F48C5" w14:textId="77777777" w:rsidR="004F743A" w:rsidRDefault="004F743A" w:rsidP="006435D1">
      <w:pPr>
        <w:pStyle w:val="FootnoteText"/>
      </w:pPr>
      <w:r>
        <w:rPr>
          <w:rStyle w:val="FootnoteReference"/>
        </w:rPr>
        <w:footnoteRef/>
      </w:r>
      <w:r>
        <w:t xml:space="preserve"> </w:t>
      </w:r>
      <w:r w:rsidRPr="00387165">
        <w:t xml:space="preserve">Sun Y, Li J, Fan R, et al. Outcomes of </w:t>
      </w:r>
      <w:proofErr w:type="spellStart"/>
      <w:r w:rsidRPr="00387165">
        <w:t>Evolut</w:t>
      </w:r>
      <w:proofErr w:type="spellEnd"/>
      <w:r w:rsidRPr="00387165">
        <w:t xml:space="preserve"> R </w:t>
      </w:r>
      <w:proofErr w:type="gramStart"/>
      <w:r w:rsidRPr="00387165">
        <w:t>Versus</w:t>
      </w:r>
      <w:proofErr w:type="gramEnd"/>
      <w:r w:rsidRPr="00387165">
        <w:t xml:space="preserve"> </w:t>
      </w:r>
      <w:proofErr w:type="spellStart"/>
      <w:r w:rsidRPr="00387165">
        <w:t>CoreValve</w:t>
      </w:r>
      <w:proofErr w:type="spellEnd"/>
      <w:r w:rsidRPr="00387165">
        <w:t xml:space="preserve"> After </w:t>
      </w:r>
      <w:proofErr w:type="spellStart"/>
      <w:r w:rsidRPr="00387165">
        <w:t>Transcatheter</w:t>
      </w:r>
      <w:proofErr w:type="spellEnd"/>
      <w:r w:rsidRPr="00387165">
        <w:t xml:space="preserve"> Aortic Valve Implantation: A Meta-Analysis. Heart Lung Circ. 2020</w:t>
      </w:r>
      <w:proofErr w:type="gramStart"/>
      <w:r w:rsidRPr="00387165">
        <w:t>;29</w:t>
      </w:r>
      <w:proofErr w:type="gramEnd"/>
      <w:r w:rsidRPr="00387165">
        <w:t>(2):288-294.</w:t>
      </w:r>
    </w:p>
  </w:footnote>
  <w:footnote w:id="18">
    <w:p w14:paraId="3DB7574D" w14:textId="77777777" w:rsidR="004F743A" w:rsidRDefault="004F743A" w:rsidP="006435D1">
      <w:pPr>
        <w:pStyle w:val="FootnoteText"/>
      </w:pPr>
      <w:r>
        <w:rPr>
          <w:rStyle w:val="FootnoteReference"/>
        </w:rPr>
        <w:footnoteRef/>
      </w:r>
      <w:r>
        <w:t xml:space="preserve"> </w:t>
      </w:r>
      <w:proofErr w:type="spellStart"/>
      <w:r w:rsidRPr="00387165">
        <w:t>Hellhammer</w:t>
      </w:r>
      <w:proofErr w:type="spellEnd"/>
      <w:r w:rsidRPr="00387165">
        <w:t xml:space="preserve"> K, </w:t>
      </w:r>
      <w:proofErr w:type="spellStart"/>
      <w:r w:rsidRPr="00387165">
        <w:t>Piayda</w:t>
      </w:r>
      <w:proofErr w:type="spellEnd"/>
      <w:r w:rsidRPr="00387165">
        <w:t xml:space="preserve"> K, Afzal S, et al. The Latest Evolution of the Medtronic </w:t>
      </w:r>
      <w:proofErr w:type="spellStart"/>
      <w:r w:rsidRPr="00387165">
        <w:t>CoreValve</w:t>
      </w:r>
      <w:proofErr w:type="spellEnd"/>
      <w:r w:rsidRPr="00387165">
        <w:t xml:space="preserve"> System in the Era of </w:t>
      </w:r>
      <w:proofErr w:type="spellStart"/>
      <w:r w:rsidRPr="00387165">
        <w:t>Transcatheter</w:t>
      </w:r>
      <w:proofErr w:type="spellEnd"/>
      <w:r w:rsidRPr="00387165">
        <w:t xml:space="preserve"> Aortic Valve Replacement: Matched Comparison of the </w:t>
      </w:r>
      <w:proofErr w:type="spellStart"/>
      <w:r w:rsidRPr="00387165">
        <w:t>Evolut</w:t>
      </w:r>
      <w:proofErr w:type="spellEnd"/>
      <w:r w:rsidRPr="00387165">
        <w:t xml:space="preserve"> PRO and </w:t>
      </w:r>
      <w:proofErr w:type="spellStart"/>
      <w:r w:rsidRPr="00387165">
        <w:t>Evolut</w:t>
      </w:r>
      <w:proofErr w:type="spellEnd"/>
      <w:r w:rsidRPr="00387165">
        <w:t xml:space="preserve"> R. JACC </w:t>
      </w:r>
      <w:proofErr w:type="spellStart"/>
      <w:r w:rsidRPr="00387165">
        <w:t>Cardiovasc</w:t>
      </w:r>
      <w:proofErr w:type="spellEnd"/>
      <w:r w:rsidRPr="00387165">
        <w:t xml:space="preserve"> </w:t>
      </w:r>
      <w:proofErr w:type="spellStart"/>
      <w:r w:rsidRPr="00387165">
        <w:t>Interv</w:t>
      </w:r>
      <w:proofErr w:type="spellEnd"/>
      <w:r w:rsidRPr="00387165">
        <w:t>. 2018</w:t>
      </w:r>
      <w:proofErr w:type="gramStart"/>
      <w:r w:rsidRPr="00387165">
        <w:t>;11</w:t>
      </w:r>
      <w:proofErr w:type="gramEnd"/>
      <w:r w:rsidRPr="00387165">
        <w:t>(22):2314-2322.</w:t>
      </w:r>
    </w:p>
  </w:footnote>
  <w:footnote w:id="19">
    <w:p w14:paraId="3D9D057B" w14:textId="77777777" w:rsidR="004F743A" w:rsidRDefault="004F743A" w:rsidP="006435D1">
      <w:pPr>
        <w:pStyle w:val="FootnoteText"/>
      </w:pPr>
      <w:r>
        <w:rPr>
          <w:rStyle w:val="FootnoteReference"/>
        </w:rPr>
        <w:footnoteRef/>
      </w:r>
      <w:r>
        <w:t xml:space="preserve"> </w:t>
      </w:r>
      <w:proofErr w:type="spellStart"/>
      <w:r w:rsidRPr="00F95E54">
        <w:t>Kalogeras</w:t>
      </w:r>
      <w:proofErr w:type="spellEnd"/>
      <w:r w:rsidRPr="00F95E54">
        <w:t xml:space="preserve"> K, </w:t>
      </w:r>
      <w:proofErr w:type="spellStart"/>
      <w:r w:rsidRPr="00F95E54">
        <w:t>Ruparelia</w:t>
      </w:r>
      <w:proofErr w:type="spellEnd"/>
      <w:r w:rsidRPr="00F95E54">
        <w:t xml:space="preserve"> N, </w:t>
      </w:r>
      <w:proofErr w:type="spellStart"/>
      <w:r w:rsidRPr="00F95E54">
        <w:t>Kabir</w:t>
      </w:r>
      <w:proofErr w:type="spellEnd"/>
      <w:r w:rsidRPr="00F95E54">
        <w:t xml:space="preserve"> T, et al. Comparison of the self-expanding </w:t>
      </w:r>
      <w:proofErr w:type="spellStart"/>
      <w:r w:rsidRPr="00F95E54">
        <w:t>Evolut</w:t>
      </w:r>
      <w:proofErr w:type="spellEnd"/>
      <w:r w:rsidRPr="00F95E54">
        <w:t xml:space="preserve">-PRO </w:t>
      </w:r>
      <w:proofErr w:type="spellStart"/>
      <w:r w:rsidRPr="00F95E54">
        <w:t>transcatheter</w:t>
      </w:r>
      <w:proofErr w:type="spellEnd"/>
      <w:r w:rsidRPr="00F95E54">
        <w:t xml:space="preserve"> aortic valve to its predecessor </w:t>
      </w:r>
      <w:proofErr w:type="spellStart"/>
      <w:r w:rsidRPr="00F95E54">
        <w:t>Evolut</w:t>
      </w:r>
      <w:proofErr w:type="spellEnd"/>
      <w:r w:rsidRPr="00F95E54">
        <w:t xml:space="preserve">-R in the real world </w:t>
      </w:r>
      <w:proofErr w:type="spellStart"/>
      <w:r w:rsidRPr="00F95E54">
        <w:t>multicenter</w:t>
      </w:r>
      <w:proofErr w:type="spellEnd"/>
      <w:r w:rsidRPr="00F95E54">
        <w:t xml:space="preserve"> ATLAS registry. </w:t>
      </w:r>
      <w:proofErr w:type="spellStart"/>
      <w:r w:rsidRPr="00F95E54">
        <w:t>Int</w:t>
      </w:r>
      <w:proofErr w:type="spellEnd"/>
      <w:r w:rsidRPr="00F95E54">
        <w:t xml:space="preserve"> J </w:t>
      </w:r>
      <w:proofErr w:type="spellStart"/>
      <w:r w:rsidRPr="00F95E54">
        <w:t>Cardiol</w:t>
      </w:r>
      <w:proofErr w:type="spellEnd"/>
      <w:r w:rsidRPr="00F95E54">
        <w:t>. 2020</w:t>
      </w:r>
      <w:proofErr w:type="gramStart"/>
      <w:r w:rsidRPr="00F95E54">
        <w:t>;310:120</w:t>
      </w:r>
      <w:proofErr w:type="gramEnd"/>
      <w:r w:rsidRPr="00F95E54">
        <w:t>-125.</w:t>
      </w:r>
    </w:p>
  </w:footnote>
  <w:footnote w:id="20">
    <w:p w14:paraId="4BE817B9" w14:textId="77777777" w:rsidR="004F743A" w:rsidRDefault="004F743A" w:rsidP="006435D1">
      <w:pPr>
        <w:pStyle w:val="FootnoteText"/>
      </w:pPr>
      <w:r>
        <w:rPr>
          <w:rStyle w:val="FootnoteReference"/>
        </w:rPr>
        <w:footnoteRef/>
      </w:r>
      <w:r>
        <w:t xml:space="preserve"> </w:t>
      </w:r>
      <w:proofErr w:type="spellStart"/>
      <w:r w:rsidRPr="00F95E54">
        <w:t>Piayda</w:t>
      </w:r>
      <w:proofErr w:type="spellEnd"/>
      <w:r w:rsidRPr="00F95E54">
        <w:t xml:space="preserve"> K, </w:t>
      </w:r>
      <w:proofErr w:type="spellStart"/>
      <w:r w:rsidRPr="00F95E54">
        <w:t>Hellhammer</w:t>
      </w:r>
      <w:proofErr w:type="spellEnd"/>
      <w:r w:rsidRPr="00F95E54">
        <w:t xml:space="preserve"> K, </w:t>
      </w:r>
      <w:proofErr w:type="spellStart"/>
      <w:r w:rsidRPr="00F95E54">
        <w:t>Veulemans</w:t>
      </w:r>
      <w:proofErr w:type="spellEnd"/>
      <w:r w:rsidRPr="00F95E54">
        <w:t xml:space="preserve"> V, Afzal S, </w:t>
      </w:r>
      <w:proofErr w:type="spellStart"/>
      <w:r w:rsidRPr="00F95E54">
        <w:t>Kelm</w:t>
      </w:r>
      <w:proofErr w:type="spellEnd"/>
      <w:r w:rsidRPr="00F95E54">
        <w:t xml:space="preserve"> M, Zeus T. TCT-732 </w:t>
      </w:r>
      <w:proofErr w:type="spellStart"/>
      <w:r w:rsidRPr="00F95E54">
        <w:t>CoreValve</w:t>
      </w:r>
      <w:proofErr w:type="spellEnd"/>
      <w:r w:rsidRPr="00F95E54">
        <w:t xml:space="preserve"> </w:t>
      </w:r>
      <w:proofErr w:type="spellStart"/>
      <w:r w:rsidRPr="00F95E54">
        <w:t>Evolut</w:t>
      </w:r>
      <w:proofErr w:type="spellEnd"/>
      <w:r w:rsidRPr="00F95E54">
        <w:t xml:space="preserve"> PRO Versus </w:t>
      </w:r>
      <w:proofErr w:type="spellStart"/>
      <w:r w:rsidRPr="00F95E54">
        <w:t>Evolut</w:t>
      </w:r>
      <w:proofErr w:type="spellEnd"/>
      <w:r w:rsidRPr="00F95E54">
        <w:t xml:space="preserve"> R: A Case-Matched Comparison in Severely Calcified Anatomies. Journal of the American College of Cardiology. 2019 Oct 1</w:t>
      </w:r>
      <w:proofErr w:type="gramStart"/>
      <w:r w:rsidRPr="00F95E54">
        <w:t>;74</w:t>
      </w:r>
      <w:proofErr w:type="gramEnd"/>
      <w:r w:rsidRPr="00F95E54">
        <w:t>(13S):B718-.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F3F5D"/>
    <w:multiLevelType w:val="hybridMultilevel"/>
    <w:tmpl w:val="181AF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14B758F5"/>
    <w:multiLevelType w:val="hybridMultilevel"/>
    <w:tmpl w:val="8DBCE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06357F"/>
    <w:multiLevelType w:val="hybridMultilevel"/>
    <w:tmpl w:val="F8BAC0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BFC4FF1"/>
    <w:multiLevelType w:val="hybridMultilevel"/>
    <w:tmpl w:val="10F84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7B0FF2"/>
    <w:multiLevelType w:val="hybridMultilevel"/>
    <w:tmpl w:val="B2C60BBA"/>
    <w:lvl w:ilvl="0" w:tplc="EA567A3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600F1F"/>
    <w:multiLevelType w:val="hybridMultilevel"/>
    <w:tmpl w:val="900E0A30"/>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3"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15:restartNumberingAfterBreak="0">
    <w:nsid w:val="72E76354"/>
    <w:multiLevelType w:val="hybridMultilevel"/>
    <w:tmpl w:val="BFFA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0D1C29"/>
    <w:multiLevelType w:val="hybridMultilevel"/>
    <w:tmpl w:val="8DBCE7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2"/>
  </w:num>
  <w:num w:numId="4">
    <w:abstractNumId w:val="21"/>
  </w:num>
  <w:num w:numId="5">
    <w:abstractNumId w:val="15"/>
  </w:num>
  <w:num w:numId="6">
    <w:abstractNumId w:val="20"/>
  </w:num>
  <w:num w:numId="7">
    <w:abstractNumId w:val="24"/>
  </w:num>
  <w:num w:numId="8">
    <w:abstractNumId w:val="16"/>
  </w:num>
  <w:num w:numId="9">
    <w:abstractNumId w:val="33"/>
  </w:num>
  <w:num w:numId="10">
    <w:abstractNumId w:val="0"/>
  </w:num>
  <w:num w:numId="11">
    <w:abstractNumId w:val="23"/>
  </w:num>
  <w:num w:numId="12">
    <w:abstractNumId w:val="25"/>
  </w:num>
  <w:num w:numId="13">
    <w:abstractNumId w:val="7"/>
  </w:num>
  <w:num w:numId="14">
    <w:abstractNumId w:val="29"/>
  </w:num>
  <w:num w:numId="15">
    <w:abstractNumId w:val="22"/>
  </w:num>
  <w:num w:numId="16">
    <w:abstractNumId w:val="26"/>
  </w:num>
  <w:num w:numId="17">
    <w:abstractNumId w:val="17"/>
  </w:num>
  <w:num w:numId="18">
    <w:abstractNumId w:val="18"/>
  </w:num>
  <w:num w:numId="19">
    <w:abstractNumId w:val="28"/>
  </w:num>
  <w:num w:numId="20">
    <w:abstractNumId w:val="27"/>
  </w:num>
  <w:num w:numId="21">
    <w:abstractNumId w:val="4"/>
  </w:num>
  <w:num w:numId="22">
    <w:abstractNumId w:val="14"/>
  </w:num>
  <w:num w:numId="23">
    <w:abstractNumId w:val="3"/>
  </w:num>
  <w:num w:numId="24">
    <w:abstractNumId w:val="13"/>
  </w:num>
  <w:num w:numId="25">
    <w:abstractNumId w:val="10"/>
  </w:num>
  <w:num w:numId="26">
    <w:abstractNumId w:val="12"/>
  </w:num>
  <w:num w:numId="27">
    <w:abstractNumId w:val="32"/>
  </w:num>
  <w:num w:numId="28">
    <w:abstractNumId w:val="5"/>
  </w:num>
  <w:num w:numId="29">
    <w:abstractNumId w:val="9"/>
  </w:num>
  <w:num w:numId="30">
    <w:abstractNumId w:val="30"/>
  </w:num>
  <w:num w:numId="31">
    <w:abstractNumId w:val="6"/>
  </w:num>
  <w:num w:numId="32">
    <w:abstractNumId w:val="1"/>
  </w:num>
  <w:num w:numId="33">
    <w:abstractNumId w:val="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317F2"/>
    <w:rsid w:val="00047606"/>
    <w:rsid w:val="00054901"/>
    <w:rsid w:val="00065623"/>
    <w:rsid w:val="000663AA"/>
    <w:rsid w:val="000756B9"/>
    <w:rsid w:val="000854ED"/>
    <w:rsid w:val="00096B67"/>
    <w:rsid w:val="00096DAF"/>
    <w:rsid w:val="000A53B8"/>
    <w:rsid w:val="000B521A"/>
    <w:rsid w:val="000C2F47"/>
    <w:rsid w:val="000C3B2C"/>
    <w:rsid w:val="000D2B9A"/>
    <w:rsid w:val="000D6C00"/>
    <w:rsid w:val="000D6C1F"/>
    <w:rsid w:val="000E4E04"/>
    <w:rsid w:val="000F14B4"/>
    <w:rsid w:val="000F6FCC"/>
    <w:rsid w:val="000F75DF"/>
    <w:rsid w:val="001023DC"/>
    <w:rsid w:val="001065E7"/>
    <w:rsid w:val="001121F9"/>
    <w:rsid w:val="001328FA"/>
    <w:rsid w:val="0013642A"/>
    <w:rsid w:val="00147AAF"/>
    <w:rsid w:val="001552C0"/>
    <w:rsid w:val="0016273A"/>
    <w:rsid w:val="001640B1"/>
    <w:rsid w:val="001717D0"/>
    <w:rsid w:val="0018435E"/>
    <w:rsid w:val="00194CF1"/>
    <w:rsid w:val="001A048A"/>
    <w:rsid w:val="001A5C0D"/>
    <w:rsid w:val="001A6266"/>
    <w:rsid w:val="001D28DC"/>
    <w:rsid w:val="001D4246"/>
    <w:rsid w:val="001D7DD3"/>
    <w:rsid w:val="001F3818"/>
    <w:rsid w:val="002041A1"/>
    <w:rsid w:val="002054F0"/>
    <w:rsid w:val="0022043C"/>
    <w:rsid w:val="002307C5"/>
    <w:rsid w:val="00230D6B"/>
    <w:rsid w:val="00232068"/>
    <w:rsid w:val="002330F2"/>
    <w:rsid w:val="00243D9E"/>
    <w:rsid w:val="00253B66"/>
    <w:rsid w:val="00261DF1"/>
    <w:rsid w:val="00271F18"/>
    <w:rsid w:val="002749AB"/>
    <w:rsid w:val="00282779"/>
    <w:rsid w:val="00283028"/>
    <w:rsid w:val="0028334D"/>
    <w:rsid w:val="002A1867"/>
    <w:rsid w:val="002A6E1D"/>
    <w:rsid w:val="002B0F2D"/>
    <w:rsid w:val="002B4EC2"/>
    <w:rsid w:val="002B7EF9"/>
    <w:rsid w:val="002B7FFA"/>
    <w:rsid w:val="002C2BCF"/>
    <w:rsid w:val="002C45CE"/>
    <w:rsid w:val="002E6F46"/>
    <w:rsid w:val="002F279D"/>
    <w:rsid w:val="002F43B8"/>
    <w:rsid w:val="002F70F5"/>
    <w:rsid w:val="002F766D"/>
    <w:rsid w:val="0031605C"/>
    <w:rsid w:val="00321AF1"/>
    <w:rsid w:val="00336856"/>
    <w:rsid w:val="0034554D"/>
    <w:rsid w:val="00347AC9"/>
    <w:rsid w:val="00352224"/>
    <w:rsid w:val="003671E6"/>
    <w:rsid w:val="00384272"/>
    <w:rsid w:val="00386D67"/>
    <w:rsid w:val="003945B8"/>
    <w:rsid w:val="003C5230"/>
    <w:rsid w:val="003C7400"/>
    <w:rsid w:val="003D14D1"/>
    <w:rsid w:val="003D7F29"/>
    <w:rsid w:val="003E6C41"/>
    <w:rsid w:val="00405A6B"/>
    <w:rsid w:val="00407B1F"/>
    <w:rsid w:val="0041184F"/>
    <w:rsid w:val="00414C57"/>
    <w:rsid w:val="0041758C"/>
    <w:rsid w:val="00420EA9"/>
    <w:rsid w:val="00443954"/>
    <w:rsid w:val="004539DE"/>
    <w:rsid w:val="004955E8"/>
    <w:rsid w:val="004967B0"/>
    <w:rsid w:val="004A2CF1"/>
    <w:rsid w:val="004A4CC2"/>
    <w:rsid w:val="004A4D40"/>
    <w:rsid w:val="004B35D0"/>
    <w:rsid w:val="004B4226"/>
    <w:rsid w:val="004C3035"/>
    <w:rsid w:val="004C307F"/>
    <w:rsid w:val="004D485A"/>
    <w:rsid w:val="004D61A3"/>
    <w:rsid w:val="004D7128"/>
    <w:rsid w:val="004E4BA8"/>
    <w:rsid w:val="004F340F"/>
    <w:rsid w:val="004F743A"/>
    <w:rsid w:val="004F7B7C"/>
    <w:rsid w:val="005070BA"/>
    <w:rsid w:val="0052243D"/>
    <w:rsid w:val="005319E7"/>
    <w:rsid w:val="00532435"/>
    <w:rsid w:val="00550354"/>
    <w:rsid w:val="00571236"/>
    <w:rsid w:val="005953A1"/>
    <w:rsid w:val="005A4362"/>
    <w:rsid w:val="005B05CF"/>
    <w:rsid w:val="005B5434"/>
    <w:rsid w:val="005C7516"/>
    <w:rsid w:val="005D0332"/>
    <w:rsid w:val="005D0D8C"/>
    <w:rsid w:val="005E7391"/>
    <w:rsid w:val="005F024E"/>
    <w:rsid w:val="0063638D"/>
    <w:rsid w:val="006435D1"/>
    <w:rsid w:val="00656171"/>
    <w:rsid w:val="006776AE"/>
    <w:rsid w:val="006A0D97"/>
    <w:rsid w:val="006B0399"/>
    <w:rsid w:val="006B1F86"/>
    <w:rsid w:val="006C0A91"/>
    <w:rsid w:val="007054BB"/>
    <w:rsid w:val="00707064"/>
    <w:rsid w:val="00717A3E"/>
    <w:rsid w:val="00730683"/>
    <w:rsid w:val="0075261F"/>
    <w:rsid w:val="0075468E"/>
    <w:rsid w:val="007665D8"/>
    <w:rsid w:val="00766E36"/>
    <w:rsid w:val="007765F4"/>
    <w:rsid w:val="00776633"/>
    <w:rsid w:val="00784D53"/>
    <w:rsid w:val="00793D2C"/>
    <w:rsid w:val="00795901"/>
    <w:rsid w:val="00797797"/>
    <w:rsid w:val="007A63C9"/>
    <w:rsid w:val="007B32D1"/>
    <w:rsid w:val="007B7095"/>
    <w:rsid w:val="007D24E1"/>
    <w:rsid w:val="007D6288"/>
    <w:rsid w:val="007D63F2"/>
    <w:rsid w:val="007F4CE9"/>
    <w:rsid w:val="007F4E20"/>
    <w:rsid w:val="00800521"/>
    <w:rsid w:val="008205E9"/>
    <w:rsid w:val="00822C7E"/>
    <w:rsid w:val="008328BA"/>
    <w:rsid w:val="00847060"/>
    <w:rsid w:val="00847A36"/>
    <w:rsid w:val="00856A33"/>
    <w:rsid w:val="00892620"/>
    <w:rsid w:val="008C778E"/>
    <w:rsid w:val="008C7D37"/>
    <w:rsid w:val="008D1722"/>
    <w:rsid w:val="008D5885"/>
    <w:rsid w:val="008E3429"/>
    <w:rsid w:val="008F1F76"/>
    <w:rsid w:val="00903208"/>
    <w:rsid w:val="00904CF2"/>
    <w:rsid w:val="00923FA2"/>
    <w:rsid w:val="009325AB"/>
    <w:rsid w:val="009429A4"/>
    <w:rsid w:val="0096060D"/>
    <w:rsid w:val="00974A50"/>
    <w:rsid w:val="0097585A"/>
    <w:rsid w:val="00977265"/>
    <w:rsid w:val="009773E5"/>
    <w:rsid w:val="009924B0"/>
    <w:rsid w:val="009942C9"/>
    <w:rsid w:val="009A1CC6"/>
    <w:rsid w:val="009B35C4"/>
    <w:rsid w:val="009C630A"/>
    <w:rsid w:val="009E0D98"/>
    <w:rsid w:val="009F0864"/>
    <w:rsid w:val="00A068A1"/>
    <w:rsid w:val="00A1207D"/>
    <w:rsid w:val="00A123CD"/>
    <w:rsid w:val="00A12FD8"/>
    <w:rsid w:val="00A346FC"/>
    <w:rsid w:val="00A453A0"/>
    <w:rsid w:val="00A46D77"/>
    <w:rsid w:val="00A61E38"/>
    <w:rsid w:val="00A6376C"/>
    <w:rsid w:val="00A77A30"/>
    <w:rsid w:val="00A846F2"/>
    <w:rsid w:val="00A84F93"/>
    <w:rsid w:val="00AA009F"/>
    <w:rsid w:val="00AB1AC5"/>
    <w:rsid w:val="00AB3BFC"/>
    <w:rsid w:val="00AC4F2E"/>
    <w:rsid w:val="00AD0C37"/>
    <w:rsid w:val="00AD1A5B"/>
    <w:rsid w:val="00AD272F"/>
    <w:rsid w:val="00AD385F"/>
    <w:rsid w:val="00AE6E2A"/>
    <w:rsid w:val="00B00DE0"/>
    <w:rsid w:val="00B02DEE"/>
    <w:rsid w:val="00B03EAB"/>
    <w:rsid w:val="00B133AD"/>
    <w:rsid w:val="00B30F4A"/>
    <w:rsid w:val="00B31E9C"/>
    <w:rsid w:val="00B35595"/>
    <w:rsid w:val="00B51C6D"/>
    <w:rsid w:val="00B53495"/>
    <w:rsid w:val="00B57167"/>
    <w:rsid w:val="00B70578"/>
    <w:rsid w:val="00B72E66"/>
    <w:rsid w:val="00B7415F"/>
    <w:rsid w:val="00B75C15"/>
    <w:rsid w:val="00B82321"/>
    <w:rsid w:val="00B83DD2"/>
    <w:rsid w:val="00B863A7"/>
    <w:rsid w:val="00B86D64"/>
    <w:rsid w:val="00B92392"/>
    <w:rsid w:val="00B94B6B"/>
    <w:rsid w:val="00B95628"/>
    <w:rsid w:val="00B9786F"/>
    <w:rsid w:val="00BA3081"/>
    <w:rsid w:val="00BA4AC5"/>
    <w:rsid w:val="00BC1364"/>
    <w:rsid w:val="00BC2667"/>
    <w:rsid w:val="00BC7DE9"/>
    <w:rsid w:val="00BD63D4"/>
    <w:rsid w:val="00BF479B"/>
    <w:rsid w:val="00C02577"/>
    <w:rsid w:val="00C06B0B"/>
    <w:rsid w:val="00C11679"/>
    <w:rsid w:val="00C204FB"/>
    <w:rsid w:val="00C20BEE"/>
    <w:rsid w:val="00C2158D"/>
    <w:rsid w:val="00C24855"/>
    <w:rsid w:val="00C30ADF"/>
    <w:rsid w:val="00C55693"/>
    <w:rsid w:val="00C574EE"/>
    <w:rsid w:val="00C67DD2"/>
    <w:rsid w:val="00C67DFE"/>
    <w:rsid w:val="00C725CB"/>
    <w:rsid w:val="00C7270C"/>
    <w:rsid w:val="00C76F5C"/>
    <w:rsid w:val="00C80451"/>
    <w:rsid w:val="00C84042"/>
    <w:rsid w:val="00C96BAD"/>
    <w:rsid w:val="00CA6944"/>
    <w:rsid w:val="00CB0F8E"/>
    <w:rsid w:val="00CB190E"/>
    <w:rsid w:val="00CB7E7D"/>
    <w:rsid w:val="00CC2911"/>
    <w:rsid w:val="00CF0C6D"/>
    <w:rsid w:val="00CF4E81"/>
    <w:rsid w:val="00CF7307"/>
    <w:rsid w:val="00CF7C68"/>
    <w:rsid w:val="00D07FC5"/>
    <w:rsid w:val="00D124FA"/>
    <w:rsid w:val="00D340DE"/>
    <w:rsid w:val="00D511FB"/>
    <w:rsid w:val="00D55723"/>
    <w:rsid w:val="00D62FAD"/>
    <w:rsid w:val="00D64355"/>
    <w:rsid w:val="00D70450"/>
    <w:rsid w:val="00D7765B"/>
    <w:rsid w:val="00D824CD"/>
    <w:rsid w:val="00D83BFD"/>
    <w:rsid w:val="00D90A38"/>
    <w:rsid w:val="00D95739"/>
    <w:rsid w:val="00DA0515"/>
    <w:rsid w:val="00DA171E"/>
    <w:rsid w:val="00DA56AA"/>
    <w:rsid w:val="00DB5833"/>
    <w:rsid w:val="00DD2858"/>
    <w:rsid w:val="00DD6765"/>
    <w:rsid w:val="00DF3B20"/>
    <w:rsid w:val="00DF489D"/>
    <w:rsid w:val="00E03E33"/>
    <w:rsid w:val="00E059E0"/>
    <w:rsid w:val="00E34F57"/>
    <w:rsid w:val="00E35E0A"/>
    <w:rsid w:val="00E3642A"/>
    <w:rsid w:val="00E415C4"/>
    <w:rsid w:val="00E41FEC"/>
    <w:rsid w:val="00E50016"/>
    <w:rsid w:val="00E50EAA"/>
    <w:rsid w:val="00E656D6"/>
    <w:rsid w:val="00E977EE"/>
    <w:rsid w:val="00EA2F24"/>
    <w:rsid w:val="00EA5C0E"/>
    <w:rsid w:val="00EA67A2"/>
    <w:rsid w:val="00EB053D"/>
    <w:rsid w:val="00EB4FA0"/>
    <w:rsid w:val="00EB630F"/>
    <w:rsid w:val="00EB6B6F"/>
    <w:rsid w:val="00EC4F98"/>
    <w:rsid w:val="00EE4D44"/>
    <w:rsid w:val="00F12F02"/>
    <w:rsid w:val="00F223C4"/>
    <w:rsid w:val="00F32E0D"/>
    <w:rsid w:val="00F35134"/>
    <w:rsid w:val="00F37B9C"/>
    <w:rsid w:val="00F41812"/>
    <w:rsid w:val="00F473CE"/>
    <w:rsid w:val="00F56D7F"/>
    <w:rsid w:val="00F715D1"/>
    <w:rsid w:val="00F72715"/>
    <w:rsid w:val="00F73333"/>
    <w:rsid w:val="00F94C18"/>
    <w:rsid w:val="00F95D8F"/>
    <w:rsid w:val="00FA519D"/>
    <w:rsid w:val="00FB2FB1"/>
    <w:rsid w:val="00FB350A"/>
    <w:rsid w:val="00FB4C5D"/>
    <w:rsid w:val="00FE1C3F"/>
    <w:rsid w:val="00FE4383"/>
    <w:rsid w:val="00FE5434"/>
    <w:rsid w:val="00FE7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o:shapelayout v:ext="edit">
      <o:idmap v:ext="edit" data="1"/>
    </o:shapelayout>
  </w:shapeDefaults>
  <w:decimalSymbol w:val="."/>
  <w:listSeparator w:val=","/>
  <w14:docId w14:val="35150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1D4246"/>
    <w:pPr>
      <w:keepNext/>
      <w:keepLines/>
      <w:spacing w:before="200"/>
      <w:outlineLvl w:val="1"/>
    </w:pPr>
    <w:rPr>
      <w:rFonts w:eastAsiaTheme="majorEastAsia" w:cstheme="majorBidi"/>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1D4246"/>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35D1"/>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1">
    <w:name w:val="CMA Table Template1"/>
    <w:basedOn w:val="TableNormal"/>
    <w:next w:val="TableGrid"/>
    <w:uiPriority w:val="59"/>
    <w:rsid w:val="00C8404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1">
    <w:name w:val="Summary box1"/>
    <w:basedOn w:val="TableNormal"/>
    <w:next w:val="TableGrid"/>
    <w:uiPriority w:val="39"/>
    <w:rsid w:val="00C84042"/>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MATableTemplate2">
    <w:name w:val="CMA Table Template2"/>
    <w:basedOn w:val="TableNormal"/>
    <w:next w:val="TableGrid"/>
    <w:uiPriority w:val="59"/>
    <w:rsid w:val="00C84042"/>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notes"/>
    <w:basedOn w:val="Normal"/>
    <w:link w:val="TablenotesChar"/>
    <w:autoRedefine/>
    <w:qFormat/>
    <w:rsid w:val="005070BA"/>
    <w:pPr>
      <w:widowControl w:val="0"/>
      <w:contextualSpacing/>
    </w:pPr>
    <w:rPr>
      <w:rFonts w:ascii="Arial Narrow" w:hAnsi="Arial Narrow" w:cs="Arial"/>
      <w:snapToGrid w:val="0"/>
      <w:sz w:val="18"/>
      <w:lang w:eastAsia="en-US"/>
    </w:rPr>
  </w:style>
  <w:style w:type="character" w:customStyle="1" w:styleId="TablenotesChar">
    <w:name w:val="Tablenotes Char"/>
    <w:basedOn w:val="DefaultParagraphFont"/>
    <w:link w:val="Tablenotes"/>
    <w:rsid w:val="005070BA"/>
    <w:rPr>
      <w:rFonts w:ascii="Arial Narrow" w:eastAsia="Times New Roman" w:hAnsi="Arial Narrow" w:cs="Arial"/>
      <w:snapToGrid w:val="0"/>
      <w:sz w:val="18"/>
      <w:szCs w:val="20"/>
      <w:lang w:eastAsia="en-US"/>
    </w:rPr>
  </w:style>
  <w:style w:type="paragraph" w:customStyle="1" w:styleId="Tablenotes1">
    <w:name w:val="Tablenotes 1"/>
    <w:basedOn w:val="Normal"/>
    <w:link w:val="Tablenotes1Char"/>
    <w:qFormat/>
    <w:rsid w:val="005070BA"/>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5070BA"/>
    <w:rPr>
      <w:rFonts w:ascii="Arial Narrow" w:eastAsia="Times New Roman" w:hAnsi="Arial Narrow" w:cs="Arial"/>
      <w:snapToGrid w:val="0"/>
      <w:sz w:val="18"/>
      <w:szCs w:val="20"/>
      <w:lang w:eastAsia="en-US"/>
    </w:rPr>
  </w:style>
  <w:style w:type="paragraph" w:customStyle="1" w:styleId="TableHeading">
    <w:name w:val="TableHeading"/>
    <w:basedOn w:val="Normal"/>
    <w:link w:val="TableHeadingChar"/>
    <w:qFormat/>
    <w:rsid w:val="00EE4D44"/>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E4D44"/>
    <w:rPr>
      <w:rFonts w:ascii="Arial Narrow" w:eastAsia="Times New Roman" w:hAnsi="Arial Narrow" w:cs="Tahoma"/>
      <w:b/>
      <w:noProof/>
      <w:sz w:val="20"/>
      <w:szCs w:val="20"/>
    </w:rPr>
  </w:style>
  <w:style w:type="character" w:customStyle="1" w:styleId="ListParagraphChar">
    <w:name w:val="List Paragraph Char"/>
    <w:aliases w:val="Styl moj Char,Akapit z listą1 Char,Akapit z listą11 Char"/>
    <w:link w:val="ListParagraph"/>
    <w:uiPriority w:val="34"/>
    <w:rsid w:val="00EE4D44"/>
    <w:rPr>
      <w:rFonts w:eastAsia="Times New Roman"/>
      <w:sz w:val="24"/>
      <w:szCs w:val="20"/>
    </w:rPr>
  </w:style>
  <w:style w:type="table" w:customStyle="1" w:styleId="CMATableTemplate3">
    <w:name w:val="CMA Table Template3"/>
    <w:basedOn w:val="TableNormal"/>
    <w:next w:val="TableGrid"/>
    <w:uiPriority w:val="59"/>
    <w:rsid w:val="00EE4D44"/>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centred">
    <w:name w:val="Table text centred"/>
    <w:basedOn w:val="Normal"/>
    <w:link w:val="TabletextcentredChar"/>
    <w:qFormat/>
    <w:rsid w:val="00EE4D44"/>
    <w:pPr>
      <w:spacing w:before="40" w:after="40"/>
      <w:jc w:val="center"/>
    </w:pPr>
    <w:rPr>
      <w:rFonts w:ascii="Arial Narrow" w:hAnsi="Arial Narrow"/>
      <w:sz w:val="20"/>
      <w:szCs w:val="24"/>
      <w:lang w:eastAsia="en-US"/>
    </w:rPr>
  </w:style>
  <w:style w:type="character" w:customStyle="1" w:styleId="TabletextcentredChar">
    <w:name w:val="Table text centred Char"/>
    <w:basedOn w:val="DefaultParagraphFont"/>
    <w:link w:val="Tabletextcentred"/>
    <w:rsid w:val="00EE4D44"/>
    <w:rPr>
      <w:rFonts w:ascii="Arial Narrow" w:eastAsia="Times New Roman" w:hAnsi="Arial Narrow"/>
      <w:sz w:val="20"/>
      <w:szCs w:val="24"/>
      <w:lang w:eastAsia="en-US"/>
    </w:r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nhideWhenUsed/>
    <w:qFormat/>
    <w:locked/>
    <w:rsid w:val="004B35D0"/>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4B35D0"/>
    <w:rPr>
      <w:rFonts w:ascii="Arial Narrow" w:eastAsia="Times New Roman" w:hAnsi="Arial Narrow" w:cs="Arial"/>
      <w:b/>
      <w:bCs/>
      <w:iCs/>
      <w:sz w:val="20"/>
      <w:szCs w:val="20"/>
      <w:lang w:eastAsia="en-US"/>
    </w:rPr>
  </w:style>
  <w:style w:type="paragraph" w:customStyle="1" w:styleId="BulletBeforeDash">
    <w:name w:val="BulletBeforeDash"/>
    <w:basedOn w:val="Normal"/>
    <w:rsid w:val="00B9786F"/>
    <w:pPr>
      <w:numPr>
        <w:numId w:val="34"/>
      </w:numPr>
      <w:ind w:left="720"/>
    </w:pPr>
    <w:rPr>
      <w:color w:val="000000"/>
    </w:rPr>
  </w:style>
  <w:style w:type="paragraph" w:customStyle="1" w:styleId="Bullet">
    <w:name w:val="Bullet"/>
    <w:basedOn w:val="BulletBeforeDash"/>
    <w:qFormat/>
    <w:rsid w:val="00B9786F"/>
    <w:pPr>
      <w:spacing w:after="120"/>
    </w:pPr>
  </w:style>
  <w:style w:type="paragraph" w:customStyle="1" w:styleId="BulletLast">
    <w:name w:val="BulletLast"/>
    <w:basedOn w:val="Bullet"/>
    <w:qFormat/>
    <w:rsid w:val="00B9786F"/>
    <w:pPr>
      <w:spacing w:after="240"/>
    </w:pPr>
  </w:style>
  <w:style w:type="paragraph" w:customStyle="1" w:styleId="NormalBeforeBullet">
    <w:name w:val="NormalBeforeBullet"/>
    <w:basedOn w:val="Normal"/>
    <w:qFormat/>
    <w:rsid w:val="00B9786F"/>
    <w:pPr>
      <w:keepNext/>
      <w:spacing w:after="120"/>
    </w:pPr>
    <w:rPr>
      <w:color w:val="000000"/>
    </w:rPr>
  </w:style>
  <w:style w:type="paragraph" w:styleId="Revision">
    <w:name w:val="Revision"/>
    <w:hidden/>
    <w:uiPriority w:val="99"/>
    <w:semiHidden/>
    <w:rsid w:val="001D7DD3"/>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sac.gov.au/internet/msac/publishing.nsf/Content/1361.2-public" TargetMode="External"/><Relationship Id="rId18" Type="http://schemas.openxmlformats.org/officeDocument/2006/relationships/chart" Target="charts/chart1.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diagramQuickStyle" Target="diagrams/quickStyle1.xml"/><Relationship Id="rId7" Type="http://schemas.openxmlformats.org/officeDocument/2006/relationships/endnotes" Target="endnotes.xml"/><Relationship Id="rId12" Type="http://schemas.openxmlformats.org/officeDocument/2006/relationships/hyperlink" Target="http://www.msac.gov.au/internet/msac/publishing.nsf/Content/5C3844FD549800CBCA25849300087D9F/$File/1603%20Final%20PSD_Nov2020_redacted.docx" TargetMode="External"/><Relationship Id="rId17" Type="http://schemas.openxmlformats.org/officeDocument/2006/relationships/footer" Target="footer1.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msac.gov.au/internet/msac/publishing.nsf/Content/1652-public" TargetMode="External"/><Relationship Id="rId20" Type="http://schemas.openxmlformats.org/officeDocument/2006/relationships/diagramLayout" Target="diagrams/layout1.xml"/><Relationship Id="rId29" Type="http://schemas.openxmlformats.org/officeDocument/2006/relationships/hyperlink" Target="http://www.msac.gov.au/internet/msac/publishing.nsf/Content/1635-publ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5C3844FD549800CBCA25849300087D9F/$File/1603%20Final%20PSD_Nov2020_redacted.docx" TargetMode="External"/><Relationship Id="rId24" Type="http://schemas.openxmlformats.org/officeDocument/2006/relationships/hyperlink" Target="http://www.msac.gov.au/internet/msac/publishing.nsf/Content/88E4F87C9D70B70FCA258300001762FE/$File/1552-PICO-Ratified.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sac.gov.au/internet/msac/publishing.nsf/Content/5C3844FD549800CBCA25849300087D9F/$File/1603%20Final%20PSD_Nov2020_redacted.pdf" TargetMode="External"/><Relationship Id="rId23" Type="http://schemas.microsoft.com/office/2007/relationships/diagramDrawing" Target="diagrams/drawing1.xml"/><Relationship Id="rId28" Type="http://schemas.openxmlformats.org/officeDocument/2006/relationships/hyperlink" Target="http://www.msac.gov.au/internet/msac/publishing.nsf/Content/1361.2-public" TargetMode="External"/><Relationship Id="rId10" Type="http://schemas.openxmlformats.org/officeDocument/2006/relationships/hyperlink" Target="http://www.msac.gov.au/internet/msac/publishing.nsf/Content/5C3844FD549800CBCA25849300087D9F/$File/1603%20Final%20PSD_Nov2020_redacted.docx" TargetMode="External"/><Relationship Id="rId19" Type="http://schemas.openxmlformats.org/officeDocument/2006/relationships/diagramData" Target="diagrams/data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yperlink" Target="http://www.msac.gov.au/internet/msac/publishing.nsf/Content/1603-public" TargetMode="External"/><Relationship Id="rId22" Type="http://schemas.openxmlformats.org/officeDocument/2006/relationships/diagramColors" Target="diagrams/colors1.xml"/><Relationship Id="rId27" Type="http://schemas.openxmlformats.org/officeDocument/2006/relationships/hyperlink" Target="http://www.msac.gov.au/internet/msac/publishing.nsf/Content/1361.2-public" TargetMode="External"/><Relationship Id="rId30" Type="http://schemas.openxmlformats.org/officeDocument/2006/relationships/hyperlink" Target="http://www.msac.gov.au/"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entral.health\dfsuserenv\Users\STO_UserHome_QLD\VITHDI\Feb%20ESC%20-%20Mar%20MSAC\TAVI%20utilisation%20-%20MBS%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05336832895889"/>
          <c:y val="5.0925925925925923E-2"/>
          <c:w val="0.81239107611548556"/>
          <c:h val="0.71630358705161845"/>
        </c:manualLayout>
      </c:layout>
      <c:lineChart>
        <c:grouping val="standard"/>
        <c:varyColors val="0"/>
        <c:ser>
          <c:idx val="1"/>
          <c:order val="0"/>
          <c:tx>
            <c:strRef>
              <c:f>MBS_Data_1929022100.4!$M$6</c:f>
              <c:strCache>
                <c:ptCount val="1"/>
                <c:pt idx="0">
                  <c:v>SAVR (Items 38488 and 38489)</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MBS_Data_1929022100.4!$L$7:$L$12</c:f>
              <c:numCache>
                <c:formatCode>General</c:formatCode>
                <c:ptCount val="6"/>
                <c:pt idx="0">
                  <c:v>2015</c:v>
                </c:pt>
                <c:pt idx="1">
                  <c:v>2016</c:v>
                </c:pt>
                <c:pt idx="2">
                  <c:v>2017</c:v>
                </c:pt>
                <c:pt idx="3">
                  <c:v>2018</c:v>
                </c:pt>
                <c:pt idx="4">
                  <c:v>2019</c:v>
                </c:pt>
                <c:pt idx="5">
                  <c:v>2020</c:v>
                </c:pt>
              </c:numCache>
            </c:numRef>
          </c:cat>
          <c:val>
            <c:numRef>
              <c:f>MBS_Data_1929022100.4!$M$7:$M$12</c:f>
              <c:numCache>
                <c:formatCode>#,##0</c:formatCode>
                <c:ptCount val="6"/>
                <c:pt idx="0">
                  <c:v>2780</c:v>
                </c:pt>
                <c:pt idx="1">
                  <c:v>2760</c:v>
                </c:pt>
                <c:pt idx="2">
                  <c:v>2769</c:v>
                </c:pt>
                <c:pt idx="3">
                  <c:v>2724</c:v>
                </c:pt>
                <c:pt idx="4">
                  <c:v>2557</c:v>
                </c:pt>
                <c:pt idx="5">
                  <c:v>2351</c:v>
                </c:pt>
              </c:numCache>
            </c:numRef>
          </c:val>
          <c:smooth val="0"/>
          <c:extLst>
            <c:ext xmlns:c16="http://schemas.microsoft.com/office/drawing/2014/chart" uri="{C3380CC4-5D6E-409C-BE32-E72D297353CC}">
              <c16:uniqueId val="{00000000-94FF-4EEF-B0B3-2C0A3708AE1D}"/>
            </c:ext>
          </c:extLst>
        </c:ser>
        <c:ser>
          <c:idx val="2"/>
          <c:order val="1"/>
          <c:tx>
            <c:strRef>
              <c:f>MBS_Data_1929022100.4!$N$6</c:f>
              <c:strCache>
                <c:ptCount val="1"/>
                <c:pt idx="0">
                  <c:v>TAVI (Item 38495)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MBS_Data_1929022100.4!$L$7:$L$12</c:f>
              <c:numCache>
                <c:formatCode>General</c:formatCode>
                <c:ptCount val="6"/>
                <c:pt idx="0">
                  <c:v>2015</c:v>
                </c:pt>
                <c:pt idx="1">
                  <c:v>2016</c:v>
                </c:pt>
                <c:pt idx="2">
                  <c:v>2017</c:v>
                </c:pt>
                <c:pt idx="3">
                  <c:v>2018</c:v>
                </c:pt>
                <c:pt idx="4">
                  <c:v>2019</c:v>
                </c:pt>
                <c:pt idx="5">
                  <c:v>2020</c:v>
                </c:pt>
              </c:numCache>
            </c:numRef>
          </c:cat>
          <c:val>
            <c:numRef>
              <c:f>MBS_Data_1929022100.4!$N$7:$N$12</c:f>
              <c:numCache>
                <c:formatCode>General</c:formatCode>
                <c:ptCount val="6"/>
                <c:pt idx="2">
                  <c:v>19</c:v>
                </c:pt>
                <c:pt idx="3">
                  <c:v>1104</c:v>
                </c:pt>
                <c:pt idx="4">
                  <c:v>1503</c:v>
                </c:pt>
                <c:pt idx="5">
                  <c:v>1881</c:v>
                </c:pt>
              </c:numCache>
            </c:numRef>
          </c:val>
          <c:smooth val="0"/>
          <c:extLst>
            <c:ext xmlns:c16="http://schemas.microsoft.com/office/drawing/2014/chart" uri="{C3380CC4-5D6E-409C-BE32-E72D297353CC}">
              <c16:uniqueId val="{00000001-94FF-4EEF-B0B3-2C0A3708AE1D}"/>
            </c:ext>
          </c:extLst>
        </c:ser>
        <c:dLbls>
          <c:showLegendKey val="0"/>
          <c:showVal val="0"/>
          <c:showCatName val="0"/>
          <c:showSerName val="0"/>
          <c:showPercent val="0"/>
          <c:showBubbleSize val="0"/>
        </c:dLbls>
        <c:marker val="1"/>
        <c:smooth val="0"/>
        <c:axId val="688465296"/>
        <c:axId val="688466608"/>
      </c:lineChart>
      <c:catAx>
        <c:axId val="688465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Year</a:t>
                </a:r>
              </a:p>
            </c:rich>
          </c:tx>
          <c:layout>
            <c:manualLayout>
              <c:xMode val="edge"/>
              <c:yMode val="edge"/>
              <c:x val="0.52974190726159232"/>
              <c:y val="0.837591863517060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466608"/>
        <c:crosses val="autoZero"/>
        <c:auto val="1"/>
        <c:lblAlgn val="ctr"/>
        <c:lblOffset val="100"/>
        <c:noMultiLvlLbl val="0"/>
      </c:catAx>
      <c:valAx>
        <c:axId val="68846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Services</a:t>
                </a:r>
              </a:p>
            </c:rich>
          </c:tx>
          <c:layout>
            <c:manualLayout>
              <c:xMode val="edge"/>
              <c:yMode val="edge"/>
              <c:x val="1.3888888888888888E-2"/>
              <c:y val="0.3605129046369203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84652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809025-51F4-4BBF-9769-25E46768502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0D5D8915-A315-4377-82AE-52CB439F3818}">
      <dgm:prSet phldrT="[Text]" custT="1"/>
      <dgm:spPr>
        <a:xfrm>
          <a:off x="1827336" y="786"/>
          <a:ext cx="101626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Onset of AS symptoms</a:t>
          </a:r>
        </a:p>
        <a:p>
          <a:r>
            <a:rPr lang="en-US" sz="800">
              <a:solidFill>
                <a:sysClr val="windowText" lastClr="000000">
                  <a:hueOff val="0"/>
                  <a:satOff val="0"/>
                  <a:lumOff val="0"/>
                  <a:alphaOff val="0"/>
                </a:sysClr>
              </a:solidFill>
              <a:latin typeface="Calibri"/>
              <a:ea typeface="+mn-ea"/>
              <a:cs typeface="+mn-cs"/>
            </a:rPr>
            <a:t>(syncope, shortness of breath, angina)</a:t>
          </a:r>
        </a:p>
      </dgm:t>
    </dgm:pt>
    <dgm:pt modelId="{7E34060F-F611-4452-872E-B962BBF2A833}" type="parTrans" cxnId="{BD33E3F4-E0DA-4FF3-8C4D-3028895B7B79}">
      <dgm:prSet/>
      <dgm:spPr/>
      <dgm:t>
        <a:bodyPr/>
        <a:lstStyle/>
        <a:p>
          <a:endParaRPr lang="en-US"/>
        </a:p>
      </dgm:t>
    </dgm:pt>
    <dgm:pt modelId="{B35618D6-7AC9-406C-987E-7253AEAB83F2}" type="sibTrans" cxnId="{BD33E3F4-E0DA-4FF3-8C4D-3028895B7B79}">
      <dgm:prSet/>
      <dgm:spPr/>
      <dgm:t>
        <a:bodyPr/>
        <a:lstStyle/>
        <a:p>
          <a:endParaRPr lang="en-US"/>
        </a:p>
      </dgm:t>
    </dgm:pt>
    <dgm:pt modelId="{ED729B25-1D9E-4251-8EF3-45003FFE995A}">
      <dgm:prSet phldrT="[Text]" custT="1"/>
      <dgm:spPr>
        <a:xfrm>
          <a:off x="1960911" y="471846"/>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Presentation to GP</a:t>
          </a:r>
        </a:p>
      </dgm:t>
    </dgm:pt>
    <dgm:pt modelId="{84A5002C-0CC9-462E-BCFA-A1F5A04CEAE8}" type="parTrans" cxnId="{367F79CA-5467-4885-AC94-48EFA0E98BF5}">
      <dgm:prSet/>
      <dgm:spPr>
        <a:xfrm>
          <a:off x="2289749" y="375345"/>
          <a:ext cx="91440" cy="96501"/>
        </a:xfrm>
        <a:custGeom>
          <a:avLst/>
          <a:gdLst/>
          <a:ahLst/>
          <a:cxnLst/>
          <a:rect l="0" t="0" r="0" b="0"/>
          <a:pathLst>
            <a:path>
              <a:moveTo>
                <a:pt x="45720" y="0"/>
              </a:moveTo>
              <a:lnTo>
                <a:pt x="45720" y="96501"/>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US" sz="800"/>
        </a:p>
      </dgm:t>
    </dgm:pt>
    <dgm:pt modelId="{9C4BCC56-EE1D-4CA6-8516-6A815C0CAD0E}" type="sibTrans" cxnId="{367F79CA-5467-4885-AC94-48EFA0E98BF5}">
      <dgm:prSet/>
      <dgm:spPr/>
      <dgm:t>
        <a:bodyPr/>
        <a:lstStyle/>
        <a:p>
          <a:endParaRPr lang="en-US"/>
        </a:p>
      </dgm:t>
    </dgm:pt>
    <dgm:pt modelId="{267909B2-D670-4D0E-93FA-D4DC1EC8723B}">
      <dgm:prSet phldrT="[Text]" custT="1"/>
      <dgm:spPr>
        <a:xfrm>
          <a:off x="1967668" y="915877"/>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Cardiologist</a:t>
          </a:r>
        </a:p>
      </dgm:t>
    </dgm:pt>
    <dgm:pt modelId="{9944ADE5-8903-433F-933F-4FFD7BEFE2B7}" type="parTrans" cxnId="{7A60BC36-0049-4A29-BF34-FF13904526C0}">
      <dgm:prSet/>
      <dgm:spPr>
        <a:xfrm>
          <a:off x="2289749" y="800684"/>
          <a:ext cx="91440" cy="91440"/>
        </a:xfrm>
        <a:custGeom>
          <a:avLst/>
          <a:gdLst/>
          <a:ahLst/>
          <a:cxnLst/>
          <a:rect l="0" t="0" r="0" b="0"/>
          <a:pathLst>
            <a:path>
              <a:moveTo>
                <a:pt x="45720" y="45720"/>
              </a:moveTo>
              <a:lnTo>
                <a:pt x="52477" y="45720"/>
              </a:lnTo>
              <a:lnTo>
                <a:pt x="52477" y="11519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94C5080A-7B19-4B5C-9549-0D2494852B54}" type="sibTrans" cxnId="{7A60BC36-0049-4A29-BF34-FF13904526C0}">
      <dgm:prSet/>
      <dgm:spPr/>
      <dgm:t>
        <a:bodyPr/>
        <a:lstStyle/>
        <a:p>
          <a:endParaRPr lang="en-US"/>
        </a:p>
      </dgm:t>
    </dgm:pt>
    <dgm:pt modelId="{340113C7-830C-413C-8DBD-BF5746868E11}">
      <dgm:prSet phldrT="[Text]" custT="1"/>
      <dgm:spPr>
        <a:xfrm>
          <a:off x="2414127" y="200665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AS diagnosis</a:t>
          </a:r>
        </a:p>
      </dgm:t>
    </dgm:pt>
    <dgm:pt modelId="{1C4C88F0-6CE8-424F-B610-D3E62257617C}" type="parTrans" cxnId="{2D673D9A-BD59-4D80-9746-2975143E6A33}">
      <dgm:prSet/>
      <dgm:spPr>
        <a:xfrm>
          <a:off x="2342227" y="1802038"/>
          <a:ext cx="446458" cy="204613"/>
        </a:xfrm>
        <a:custGeom>
          <a:avLst/>
          <a:gdLst/>
          <a:ahLst/>
          <a:cxnLst/>
          <a:rect l="0" t="0" r="0" b="0"/>
          <a:pathLst>
            <a:path>
              <a:moveTo>
                <a:pt x="0" y="0"/>
              </a:moveTo>
              <a:lnTo>
                <a:pt x="0" y="125956"/>
              </a:lnTo>
              <a:lnTo>
                <a:pt x="446458" y="125956"/>
              </a:lnTo>
              <a:lnTo>
                <a:pt x="446458" y="20461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0A591B3F-70F4-446C-A682-164F77296023}" type="sibTrans" cxnId="{2D673D9A-BD59-4D80-9746-2975143E6A33}">
      <dgm:prSet/>
      <dgm:spPr/>
      <dgm:t>
        <a:bodyPr/>
        <a:lstStyle/>
        <a:p>
          <a:endParaRPr lang="en-US"/>
        </a:p>
      </dgm:t>
    </dgm:pt>
    <dgm:pt modelId="{CA6E049B-8CA8-4025-A752-1D1FDAB2B076}">
      <dgm:prSet phldrT="[Text]" custT="1"/>
      <dgm:spPr>
        <a:xfrm>
          <a:off x="1445417" y="1427479"/>
          <a:ext cx="1793618"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Investigations (echocardiography, cardiac MRI, exercise echocardiography, multi-slice tomography, coronary angiography) </a:t>
          </a:r>
        </a:p>
      </dgm:t>
    </dgm:pt>
    <dgm:pt modelId="{33EF2859-E5AC-4590-9655-B1C72FD3C38E}" type="parTrans" cxnId="{B332559D-56DD-499A-B182-ABA57F83A973}">
      <dgm:prSet/>
      <dgm:spPr>
        <a:xfrm>
          <a:off x="2296507" y="1290436"/>
          <a:ext cx="91440" cy="137043"/>
        </a:xfrm>
        <a:custGeom>
          <a:avLst/>
          <a:gdLst/>
          <a:ahLst/>
          <a:cxnLst/>
          <a:rect l="0" t="0" r="0" b="0"/>
          <a:pathLst>
            <a:path>
              <a:moveTo>
                <a:pt x="45720" y="0"/>
              </a:moveTo>
              <a:lnTo>
                <a:pt x="45720" y="13704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D58DA87B-E3EF-49A0-9C13-A3F213EC7DF1}" type="sibTrans" cxnId="{B332559D-56DD-499A-B182-ABA57F83A973}">
      <dgm:prSet/>
      <dgm:spPr/>
      <dgm:t>
        <a:bodyPr/>
        <a:lstStyle/>
        <a:p>
          <a:endParaRPr lang="en-US"/>
        </a:p>
      </dgm:t>
    </dgm:pt>
    <dgm:pt modelId="{BED86C4B-3812-490C-AEF1-C6112BDD9989}">
      <dgm:prSet phldrT="[Text]" custT="1"/>
      <dgm:spPr>
        <a:xfrm>
          <a:off x="2427641" y="245068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Referral</a:t>
          </a:r>
        </a:p>
      </dgm:t>
    </dgm:pt>
    <dgm:pt modelId="{7505F821-28DB-423A-89FD-D89E66A9DE7B}" type="parTrans" cxnId="{5A26BA17-EB76-44AA-A505-B73A67185ECE}">
      <dgm:prSet/>
      <dgm:spPr>
        <a:xfrm>
          <a:off x="2742965" y="2335490"/>
          <a:ext cx="91440" cy="91440"/>
        </a:xfrm>
        <a:custGeom>
          <a:avLst/>
          <a:gdLst/>
          <a:ahLst/>
          <a:cxnLst/>
          <a:rect l="0" t="0" r="0" b="0"/>
          <a:pathLst>
            <a:path>
              <a:moveTo>
                <a:pt x="45720" y="45720"/>
              </a:moveTo>
              <a:lnTo>
                <a:pt x="59234" y="45720"/>
              </a:lnTo>
              <a:lnTo>
                <a:pt x="59234" y="11519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54976C49-6115-4465-9546-2215CC22449F}" type="sibTrans" cxnId="{5A26BA17-EB76-44AA-A505-B73A67185ECE}">
      <dgm:prSet/>
      <dgm:spPr/>
      <dgm:t>
        <a:bodyPr/>
        <a:lstStyle/>
        <a:p>
          <a:endParaRPr lang="en-US"/>
        </a:p>
      </dgm:t>
    </dgm:pt>
    <dgm:pt modelId="{36DC64DF-2B18-4A74-8832-2C3CD21FEAD4}">
      <dgm:prSet phldrT="[Text]" custT="1"/>
      <dgm:spPr>
        <a:xfrm>
          <a:off x="2113618" y="2942018"/>
          <a:ext cx="1377161"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Interventional cardiologist OR </a:t>
          </a:r>
        </a:p>
        <a:p>
          <a:r>
            <a:rPr lang="en-US" sz="800">
              <a:solidFill>
                <a:sysClr val="windowText" lastClr="000000">
                  <a:hueOff val="0"/>
                  <a:satOff val="0"/>
                  <a:lumOff val="0"/>
                  <a:alphaOff val="0"/>
                </a:sysClr>
              </a:solidFill>
              <a:latin typeface="Calibri"/>
              <a:ea typeface="+mn-ea"/>
              <a:cs typeface="+mn-cs"/>
            </a:rPr>
            <a:t>Cardiothoracic surgeon</a:t>
          </a:r>
        </a:p>
      </dgm:t>
    </dgm:pt>
    <dgm:pt modelId="{25626EF8-7259-4EE7-A16A-DE2ED1021932}" type="parTrans" cxnId="{2AA5997A-109E-4AB2-B363-C6D9E090D58D}">
      <dgm:prSet/>
      <dgm:spPr>
        <a:xfrm>
          <a:off x="2756479" y="2825242"/>
          <a:ext cx="91440" cy="116776"/>
        </a:xfrm>
        <a:custGeom>
          <a:avLst/>
          <a:gdLst/>
          <a:ahLst/>
          <a:cxnLst/>
          <a:rect l="0" t="0" r="0" b="0"/>
          <a:pathLst>
            <a:path>
              <a:moveTo>
                <a:pt x="45720" y="0"/>
              </a:moveTo>
              <a:lnTo>
                <a:pt x="45720" y="116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B0335EBC-7A54-4633-805D-3E6F9B91103D}" type="sibTrans" cxnId="{2AA5997A-109E-4AB2-B363-C6D9E090D58D}">
      <dgm:prSet/>
      <dgm:spPr/>
      <dgm:t>
        <a:bodyPr/>
        <a:lstStyle/>
        <a:p>
          <a:endParaRPr lang="en-US"/>
        </a:p>
      </dgm:t>
    </dgm:pt>
    <dgm:pt modelId="{9FC40004-3B49-4BE6-8D35-78E7C70577FF}">
      <dgm:prSet phldrT="[Text]" custT="1"/>
      <dgm:spPr>
        <a:xfrm>
          <a:off x="2425925" y="3438327"/>
          <a:ext cx="749117" cy="374558"/>
        </a:xfrm>
        <a:prstGeom prst="rect">
          <a:avLst/>
        </a:prstGeom>
        <a:solidFill>
          <a:srgbClr val="C0504D">
            <a:lumMod val="40000"/>
            <a:lumOff val="60000"/>
          </a:srgb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TAVI Heart Team</a:t>
          </a:r>
        </a:p>
      </dgm:t>
    </dgm:pt>
    <dgm:pt modelId="{49D05444-8A75-489A-BD94-4C529BFE35A2}" type="parTrans" cxnId="{664BB0B1-D7C8-442F-BB19-3D63D1C2DE4F}">
      <dgm:prSet/>
      <dgm:spPr>
        <a:xfrm>
          <a:off x="2754764" y="3316577"/>
          <a:ext cx="91440" cy="121750"/>
        </a:xfrm>
        <a:custGeom>
          <a:avLst/>
          <a:gdLst/>
          <a:ahLst/>
          <a:cxnLst/>
          <a:rect l="0" t="0" r="0" b="0"/>
          <a:pathLst>
            <a:path>
              <a:moveTo>
                <a:pt x="47435" y="0"/>
              </a:moveTo>
              <a:lnTo>
                <a:pt x="47435" y="43092"/>
              </a:lnTo>
              <a:lnTo>
                <a:pt x="45720" y="43092"/>
              </a:lnTo>
              <a:lnTo>
                <a:pt x="45720" y="1217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720D4CA0-9F3D-44FE-888B-69D5B713E24A}" type="sibTrans" cxnId="{664BB0B1-D7C8-442F-BB19-3D63D1C2DE4F}">
      <dgm:prSet/>
      <dgm:spPr/>
      <dgm:t>
        <a:bodyPr/>
        <a:lstStyle/>
        <a:p>
          <a:endParaRPr lang="en-US"/>
        </a:p>
      </dgm:t>
    </dgm:pt>
    <dgm:pt modelId="{F166575C-DDBD-4B32-80CE-E7152810847F}">
      <dgm:prSet phldrT="[Text]" custT="1"/>
      <dgm:spPr>
        <a:xfrm>
          <a:off x="2426307" y="3892764"/>
          <a:ext cx="749117" cy="374558"/>
        </a:xfrm>
        <a:prstGeom prst="rect">
          <a:avLst/>
        </a:prstGeom>
        <a:solidFill>
          <a:srgbClr val="C0504D">
            <a:lumMod val="40000"/>
            <a:lumOff val="60000"/>
          </a:srgb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TAVI OR SAVR</a:t>
          </a:r>
        </a:p>
      </dgm:t>
    </dgm:pt>
    <dgm:pt modelId="{17673E05-1B22-494B-A7AA-5F27D29C9297}" type="parTrans" cxnId="{251932BA-5FDF-4CEE-A401-F3262771F936}">
      <dgm:prSet/>
      <dgm:spPr>
        <a:xfrm>
          <a:off x="2754764" y="3767165"/>
          <a:ext cx="91440" cy="91440"/>
        </a:xfrm>
        <a:custGeom>
          <a:avLst/>
          <a:gdLst/>
          <a:ahLst/>
          <a:cxnLst/>
          <a:rect l="0" t="0" r="0" b="0"/>
          <a:pathLst>
            <a:path>
              <a:moveTo>
                <a:pt x="45720" y="45720"/>
              </a:moveTo>
              <a:lnTo>
                <a:pt x="45720" y="46941"/>
              </a:lnTo>
              <a:lnTo>
                <a:pt x="46102" y="46941"/>
              </a:lnTo>
              <a:lnTo>
                <a:pt x="46102" y="125598"/>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AB659D59-D0BA-496C-970C-0FF3B72DA368}" type="sibTrans" cxnId="{251932BA-5FDF-4CEE-A401-F3262771F936}">
      <dgm:prSet/>
      <dgm:spPr/>
      <dgm:t>
        <a:bodyPr/>
        <a:lstStyle/>
        <a:p>
          <a:endParaRPr lang="en-US"/>
        </a:p>
      </dgm:t>
    </dgm:pt>
    <dgm:pt modelId="{C2E56904-706C-4FF4-8669-77087F64E997}">
      <dgm:prSet phldrT="[Text]" custT="1"/>
      <dgm:spPr>
        <a:xfrm>
          <a:off x="1638042" y="4407081"/>
          <a:ext cx="1382150"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Medication + Specialist follow-up + Echocardiographic at 1, 6, 12 months</a:t>
          </a:r>
        </a:p>
      </dgm:t>
    </dgm:pt>
    <dgm:pt modelId="{D1F12CB4-E544-4994-8ECD-DC720A649D38}" type="parTrans" cxnId="{08785C46-B5EE-4DDF-A7D1-F009E962EC47}">
      <dgm:prSet/>
      <dgm:spPr>
        <a:xfrm>
          <a:off x="2329117" y="4267322"/>
          <a:ext cx="471748" cy="139759"/>
        </a:xfrm>
        <a:custGeom>
          <a:avLst/>
          <a:gdLst/>
          <a:ahLst/>
          <a:cxnLst/>
          <a:rect l="0" t="0" r="0" b="0"/>
          <a:pathLst>
            <a:path>
              <a:moveTo>
                <a:pt x="471748" y="0"/>
              </a:moveTo>
              <a:lnTo>
                <a:pt x="471748" y="61101"/>
              </a:lnTo>
              <a:lnTo>
                <a:pt x="0" y="61101"/>
              </a:lnTo>
              <a:lnTo>
                <a:pt x="0" y="13975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61850DC4-77BE-4ABE-9E2E-40DA5E18D22B}" type="sibTrans" cxnId="{08785C46-B5EE-4DDF-A7D1-F009E962EC47}">
      <dgm:prSet/>
      <dgm:spPr/>
      <dgm:t>
        <a:bodyPr/>
        <a:lstStyle/>
        <a:p>
          <a:endParaRPr lang="en-US"/>
        </a:p>
      </dgm:t>
    </dgm:pt>
    <dgm:pt modelId="{5D6A7A9A-CA06-4975-84AA-832AFBF97BBA}">
      <dgm:prSet phldrT="[Text]" custT="1"/>
      <dgm:spPr>
        <a:xfrm>
          <a:off x="3223443" y="441364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Death</a:t>
          </a:r>
        </a:p>
      </dgm:t>
    </dgm:pt>
    <dgm:pt modelId="{496FD998-C30C-4AE2-A376-C8EF413C97D7}" type="parTrans" cxnId="{62FD1563-8CB8-41FC-A7C5-DB25B11C92B2}">
      <dgm:prSet/>
      <dgm:spPr>
        <a:xfrm>
          <a:off x="2800866" y="4267322"/>
          <a:ext cx="797135" cy="146321"/>
        </a:xfrm>
        <a:custGeom>
          <a:avLst/>
          <a:gdLst/>
          <a:ahLst/>
          <a:cxnLst/>
          <a:rect l="0" t="0" r="0" b="0"/>
          <a:pathLst>
            <a:path>
              <a:moveTo>
                <a:pt x="0" y="0"/>
              </a:moveTo>
              <a:lnTo>
                <a:pt x="0" y="67663"/>
              </a:lnTo>
              <a:lnTo>
                <a:pt x="797135" y="67663"/>
              </a:lnTo>
              <a:lnTo>
                <a:pt x="797135" y="14632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BD4502A5-3FCB-47AC-84D1-31C9ACC61BB3}" type="sibTrans" cxnId="{62FD1563-8CB8-41FC-A7C5-DB25B11C92B2}">
      <dgm:prSet/>
      <dgm:spPr/>
      <dgm:t>
        <a:bodyPr/>
        <a:lstStyle/>
        <a:p>
          <a:endParaRPr lang="en-US"/>
        </a:p>
      </dgm:t>
    </dgm:pt>
    <dgm:pt modelId="{F153094C-3799-4C05-BF08-0F9D70448AF5}">
      <dgm:prSet phldrT="[Text]" custT="1"/>
      <dgm:spPr>
        <a:xfrm>
          <a:off x="1245392" y="491270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No complications</a:t>
          </a:r>
        </a:p>
      </dgm:t>
    </dgm:pt>
    <dgm:pt modelId="{9E2171A1-0F94-433A-A6B4-FC16A5F0E601}" type="parTrans" cxnId="{A91C8DF5-4D75-4557-BC8E-9FF65AF0D4FE}">
      <dgm:prSet/>
      <dgm:spPr>
        <a:xfrm>
          <a:off x="1619950" y="4781640"/>
          <a:ext cx="709166" cy="131061"/>
        </a:xfrm>
        <a:custGeom>
          <a:avLst/>
          <a:gdLst/>
          <a:ahLst/>
          <a:cxnLst/>
          <a:rect l="0" t="0" r="0" b="0"/>
          <a:pathLst>
            <a:path>
              <a:moveTo>
                <a:pt x="709166" y="0"/>
              </a:moveTo>
              <a:lnTo>
                <a:pt x="709166" y="52404"/>
              </a:lnTo>
              <a:lnTo>
                <a:pt x="0" y="52404"/>
              </a:lnTo>
              <a:lnTo>
                <a:pt x="0" y="13106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9DDB36C4-25FC-4C26-901E-5BBBA74A8EC6}" type="sibTrans" cxnId="{A91C8DF5-4D75-4557-BC8E-9FF65AF0D4FE}">
      <dgm:prSet/>
      <dgm:spPr/>
      <dgm:t>
        <a:bodyPr/>
        <a:lstStyle/>
        <a:p>
          <a:endParaRPr lang="en-US"/>
        </a:p>
      </dgm:t>
    </dgm:pt>
    <dgm:pt modelId="{8926D3EB-6EF8-48CD-95F6-8EFE916875F5}">
      <dgm:prSet phldrT="[Text]" custT="1"/>
      <dgm:spPr>
        <a:xfrm>
          <a:off x="2204322" y="491926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Complications</a:t>
          </a:r>
        </a:p>
      </dgm:t>
    </dgm:pt>
    <dgm:pt modelId="{AE0F08EF-4701-4761-B36D-DC6A785A7C2F}" type="parTrans" cxnId="{D71A3037-A943-4DD1-B3E7-0A4307237BD4}">
      <dgm:prSet/>
      <dgm:spPr>
        <a:xfrm>
          <a:off x="2329117" y="4781640"/>
          <a:ext cx="249763" cy="137624"/>
        </a:xfrm>
        <a:custGeom>
          <a:avLst/>
          <a:gdLst/>
          <a:ahLst/>
          <a:cxnLst/>
          <a:rect l="0" t="0" r="0" b="0"/>
          <a:pathLst>
            <a:path>
              <a:moveTo>
                <a:pt x="0" y="0"/>
              </a:moveTo>
              <a:lnTo>
                <a:pt x="0" y="58966"/>
              </a:lnTo>
              <a:lnTo>
                <a:pt x="249763" y="58966"/>
              </a:lnTo>
              <a:lnTo>
                <a:pt x="249763" y="13762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5716CD21-6920-4606-B999-1F801442ED7A}" type="sibTrans" cxnId="{D71A3037-A943-4DD1-B3E7-0A4307237BD4}">
      <dgm:prSet/>
      <dgm:spPr/>
      <dgm:t>
        <a:bodyPr/>
        <a:lstStyle/>
        <a:p>
          <a:endParaRPr lang="en-US"/>
        </a:p>
      </dgm:t>
    </dgm:pt>
    <dgm:pt modelId="{3BFCA84D-9B5A-41D6-8E12-3E6E66A14E5E}">
      <dgm:prSet phldrT="[Text]" custT="1"/>
      <dgm:spPr>
        <a:xfrm>
          <a:off x="359426" y="549176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Stroke</a:t>
          </a:r>
        </a:p>
      </dgm:t>
    </dgm:pt>
    <dgm:pt modelId="{BA66BED9-4478-427E-8094-512ED31FE1D6}" type="parTrans" cxnId="{4E0B9CEC-2CA0-4611-80D7-9C7E93FF3C1F}">
      <dgm:prSet/>
      <dgm:spPr>
        <a:xfrm>
          <a:off x="733985" y="5293822"/>
          <a:ext cx="1844895" cy="197939"/>
        </a:xfrm>
        <a:custGeom>
          <a:avLst/>
          <a:gdLst/>
          <a:ahLst/>
          <a:cxnLst/>
          <a:rect l="0" t="0" r="0" b="0"/>
          <a:pathLst>
            <a:path>
              <a:moveTo>
                <a:pt x="1844895" y="0"/>
              </a:moveTo>
              <a:lnTo>
                <a:pt x="1844895" y="119281"/>
              </a:lnTo>
              <a:lnTo>
                <a:pt x="0" y="119281"/>
              </a:lnTo>
              <a:lnTo>
                <a:pt x="0" y="19793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1691F667-BFB7-4AD4-982B-CD224BB44284}" type="sibTrans" cxnId="{4E0B9CEC-2CA0-4611-80D7-9C7E93FF3C1F}">
      <dgm:prSet/>
      <dgm:spPr/>
      <dgm:t>
        <a:bodyPr/>
        <a:lstStyle/>
        <a:p>
          <a:endParaRPr lang="en-US"/>
        </a:p>
      </dgm:t>
    </dgm:pt>
    <dgm:pt modelId="{153B8CEE-0381-4204-9779-C7EC4F627F58}">
      <dgm:prSet phldrT="[Text]" custT="1"/>
      <dgm:spPr>
        <a:xfrm>
          <a:off x="1536424" y="548661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Heart failure</a:t>
          </a:r>
        </a:p>
      </dgm:t>
    </dgm:pt>
    <dgm:pt modelId="{A03280F6-D20D-4BA1-9B60-A7FD36329254}" type="parTrans" cxnId="{74569736-9873-4A12-B0B9-DCB1E7FBBDB1}">
      <dgm:prSet/>
      <dgm:spPr>
        <a:xfrm>
          <a:off x="1910982" y="5293822"/>
          <a:ext cx="667897" cy="192789"/>
        </a:xfrm>
        <a:custGeom>
          <a:avLst/>
          <a:gdLst/>
          <a:ahLst/>
          <a:cxnLst/>
          <a:rect l="0" t="0" r="0" b="0"/>
          <a:pathLst>
            <a:path>
              <a:moveTo>
                <a:pt x="667897" y="0"/>
              </a:moveTo>
              <a:lnTo>
                <a:pt x="667897" y="114131"/>
              </a:lnTo>
              <a:lnTo>
                <a:pt x="0" y="114131"/>
              </a:lnTo>
              <a:lnTo>
                <a:pt x="0" y="192789"/>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AD0A8EEC-01FE-4B3B-8958-9C8DE53F722C}" type="sibTrans" cxnId="{74569736-9873-4A12-B0B9-DCB1E7FBBDB1}">
      <dgm:prSet/>
      <dgm:spPr/>
      <dgm:t>
        <a:bodyPr/>
        <a:lstStyle/>
        <a:p>
          <a:endParaRPr lang="en-US"/>
        </a:p>
      </dgm:t>
    </dgm:pt>
    <dgm:pt modelId="{65CEDDB9-2241-40FE-A2DE-DEFDA0C74F55}">
      <dgm:prSet phldrT="[Text]" custT="1"/>
      <dgm:spPr>
        <a:xfrm>
          <a:off x="516606" y="6056439"/>
          <a:ext cx="867312"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Stroke rehabilitation and management</a:t>
          </a:r>
        </a:p>
      </dgm:t>
    </dgm:pt>
    <dgm:pt modelId="{93C0EC51-9366-46CE-AB2A-403701EF398C}" type="parTrans" cxnId="{5BAAEA4B-0E06-440D-8973-E8794F016A4D}">
      <dgm:prSet/>
      <dgm:spPr>
        <a:xfrm>
          <a:off x="388618" y="5866320"/>
          <a:ext cx="91440" cy="377397"/>
        </a:xfrm>
        <a:custGeom>
          <a:avLst/>
          <a:gdLst/>
          <a:ahLst/>
          <a:cxnLst/>
          <a:rect l="0" t="0" r="0" b="0"/>
          <a:pathLst>
            <a:path>
              <a:moveTo>
                <a:pt x="45720" y="0"/>
              </a:moveTo>
              <a:lnTo>
                <a:pt x="45720" y="377397"/>
              </a:lnTo>
              <a:lnTo>
                <a:pt x="127988" y="37739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E672E481-6D0B-4824-A6BB-4A0108FA1C85}" type="sibTrans" cxnId="{5BAAEA4B-0E06-440D-8973-E8794F016A4D}">
      <dgm:prSet/>
      <dgm:spPr/>
      <dgm:t>
        <a:bodyPr/>
        <a:lstStyle/>
        <a:p>
          <a:endParaRPr lang="en-US"/>
        </a:p>
      </dgm:t>
    </dgm:pt>
    <dgm:pt modelId="{8F70B7CC-9D32-4DA3-AE3A-0D697D3AB67C}">
      <dgm:prSet phldrT="[Text]" custT="1"/>
      <dgm:spPr>
        <a:xfrm>
          <a:off x="1669310" y="6030193"/>
          <a:ext cx="906566"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Heart failure management</a:t>
          </a:r>
        </a:p>
      </dgm:t>
    </dgm:pt>
    <dgm:pt modelId="{8FA85F15-0B93-4340-A915-C6719B7845ED}" type="parTrans" cxnId="{8E6BBD7D-CE32-4157-8B32-87F01EEA8A82}">
      <dgm:prSet/>
      <dgm:spPr>
        <a:xfrm>
          <a:off x="1565615" y="5861170"/>
          <a:ext cx="91440" cy="356302"/>
        </a:xfrm>
        <a:custGeom>
          <a:avLst/>
          <a:gdLst/>
          <a:ahLst/>
          <a:cxnLst/>
          <a:rect l="0" t="0" r="0" b="0"/>
          <a:pathLst>
            <a:path>
              <a:moveTo>
                <a:pt x="45720" y="0"/>
              </a:moveTo>
              <a:lnTo>
                <a:pt x="45720" y="356302"/>
              </a:lnTo>
              <a:lnTo>
                <a:pt x="103694" y="3563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F0D150A2-F7D5-4C19-BB75-B9D090EB14B2}" type="sibTrans" cxnId="{8E6BBD7D-CE32-4157-8B32-87F01EEA8A82}">
      <dgm:prSet/>
      <dgm:spPr/>
      <dgm:t>
        <a:bodyPr/>
        <a:lstStyle/>
        <a:p>
          <a:endParaRPr lang="en-US"/>
        </a:p>
      </dgm:t>
    </dgm:pt>
    <dgm:pt modelId="{81553D4C-880A-4CDB-8820-ABB2F5F7AD67}">
      <dgm:prSet phldrT="[Text]" custT="1"/>
      <dgm:spPr>
        <a:xfrm>
          <a:off x="2773276" y="5500403"/>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Pacemaker implantation</a:t>
          </a:r>
        </a:p>
      </dgm:t>
    </dgm:pt>
    <dgm:pt modelId="{4A437CE1-3B54-4EF6-ACCF-7DF405705A34}" type="parTrans" cxnId="{A207463C-FF82-4790-8093-9E59D355D5EB}">
      <dgm:prSet/>
      <dgm:spPr>
        <a:xfrm>
          <a:off x="2578880" y="5293822"/>
          <a:ext cx="568954" cy="206580"/>
        </a:xfrm>
        <a:custGeom>
          <a:avLst/>
          <a:gdLst/>
          <a:ahLst/>
          <a:cxnLst/>
          <a:rect l="0" t="0" r="0" b="0"/>
          <a:pathLst>
            <a:path>
              <a:moveTo>
                <a:pt x="0" y="0"/>
              </a:moveTo>
              <a:lnTo>
                <a:pt x="0" y="127922"/>
              </a:lnTo>
              <a:lnTo>
                <a:pt x="568954" y="127922"/>
              </a:lnTo>
              <a:lnTo>
                <a:pt x="568954" y="20658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B604B983-6506-4321-9203-43190B99F39F}" type="sibTrans" cxnId="{A207463C-FF82-4790-8093-9E59D355D5EB}">
      <dgm:prSet/>
      <dgm:spPr/>
      <dgm:t>
        <a:bodyPr/>
        <a:lstStyle/>
        <a:p>
          <a:endParaRPr lang="en-US"/>
        </a:p>
      </dgm:t>
    </dgm:pt>
    <dgm:pt modelId="{AF23C920-9B10-420A-9BD0-EEB1F87EB5E4}">
      <dgm:prSet phldrT="[Text]" custT="1"/>
      <dgm:spPr>
        <a:xfrm>
          <a:off x="2917676" y="6030384"/>
          <a:ext cx="841453"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Pacemaker follow-up</a:t>
          </a:r>
        </a:p>
      </dgm:t>
    </dgm:pt>
    <dgm:pt modelId="{078ECA23-258D-4234-AFCF-CB600C40D7F3}" type="parTrans" cxnId="{78293D6B-47E4-4D15-8084-E5DF8F675F1E}">
      <dgm:prSet/>
      <dgm:spPr>
        <a:xfrm>
          <a:off x="2802468" y="5874961"/>
          <a:ext cx="91440" cy="342702"/>
        </a:xfrm>
        <a:custGeom>
          <a:avLst/>
          <a:gdLst/>
          <a:ahLst/>
          <a:cxnLst/>
          <a:rect l="0" t="0" r="0" b="0"/>
          <a:pathLst>
            <a:path>
              <a:moveTo>
                <a:pt x="45720" y="0"/>
              </a:moveTo>
              <a:lnTo>
                <a:pt x="45720" y="342702"/>
              </a:lnTo>
              <a:lnTo>
                <a:pt x="115208" y="34270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05D7E464-7BD6-4D00-90A9-C1B3114E339A}" type="sibTrans" cxnId="{78293D6B-47E4-4D15-8084-E5DF8F675F1E}">
      <dgm:prSet/>
      <dgm:spPr/>
      <dgm:t>
        <a:bodyPr/>
        <a:lstStyle/>
        <a:p>
          <a:endParaRPr lang="en-US"/>
        </a:p>
      </dgm:t>
    </dgm:pt>
    <dgm:pt modelId="{F0AF9177-A1A7-4C0B-89F0-1CF9A27F5A5C}">
      <dgm:prSet phldrT="[Text]" custT="1"/>
      <dgm:spPr>
        <a:xfrm>
          <a:off x="3737172" y="549317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Cardiovascular complications</a:t>
          </a:r>
        </a:p>
      </dgm:t>
    </dgm:pt>
    <dgm:pt modelId="{358EFAA0-AD3A-4940-9DA9-36DE46F13C75}" type="parTrans" cxnId="{4309D6F2-8A9B-48F4-B618-AFF52778F673}">
      <dgm:prSet/>
      <dgm:spPr>
        <a:xfrm>
          <a:off x="2578880" y="5293822"/>
          <a:ext cx="1532850" cy="199351"/>
        </a:xfrm>
        <a:custGeom>
          <a:avLst/>
          <a:gdLst/>
          <a:ahLst/>
          <a:cxnLst/>
          <a:rect l="0" t="0" r="0" b="0"/>
          <a:pathLst>
            <a:path>
              <a:moveTo>
                <a:pt x="0" y="0"/>
              </a:moveTo>
              <a:lnTo>
                <a:pt x="0" y="120693"/>
              </a:lnTo>
              <a:lnTo>
                <a:pt x="1532850" y="120693"/>
              </a:lnTo>
              <a:lnTo>
                <a:pt x="1532850" y="199351"/>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11D846C4-1157-4FA3-81C5-5636725588B7}" type="sibTrans" cxnId="{4309D6F2-8A9B-48F4-B618-AFF52778F673}">
      <dgm:prSet/>
      <dgm:spPr/>
      <dgm:t>
        <a:bodyPr/>
        <a:lstStyle/>
        <a:p>
          <a:endParaRPr lang="en-US"/>
        </a:p>
      </dgm:t>
    </dgm:pt>
    <dgm:pt modelId="{1B0C10D7-490E-4628-A60C-FA7B7F69BFF9}">
      <dgm:prSet phldrT="[Text]" custT="1"/>
      <dgm:spPr>
        <a:xfrm>
          <a:off x="3898592" y="6017065"/>
          <a:ext cx="928066"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Cardiovascular management</a:t>
          </a:r>
        </a:p>
      </dgm:t>
    </dgm:pt>
    <dgm:pt modelId="{A77A03D4-E51F-4327-9F3C-FB23EB819D54}" type="parTrans" cxnId="{9DCB7939-D96B-4B17-A470-0C9311382B68}">
      <dgm:prSet/>
      <dgm:spPr>
        <a:xfrm>
          <a:off x="3766364" y="5867732"/>
          <a:ext cx="91440" cy="336612"/>
        </a:xfrm>
        <a:custGeom>
          <a:avLst/>
          <a:gdLst/>
          <a:ahLst/>
          <a:cxnLst/>
          <a:rect l="0" t="0" r="0" b="0"/>
          <a:pathLst>
            <a:path>
              <a:moveTo>
                <a:pt x="45720" y="0"/>
              </a:moveTo>
              <a:lnTo>
                <a:pt x="45720" y="336612"/>
              </a:lnTo>
              <a:lnTo>
                <a:pt x="132228" y="336612"/>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4369C110-C411-4515-9CF1-D1508A50AEAB}" type="sibTrans" cxnId="{9DCB7939-D96B-4B17-A470-0C9311382B68}">
      <dgm:prSet/>
      <dgm:spPr/>
      <dgm:t>
        <a:bodyPr/>
        <a:lstStyle/>
        <a:p>
          <a:endParaRPr lang="en-US"/>
        </a:p>
      </dgm:t>
    </dgm:pt>
    <dgm:pt modelId="{529579FE-F993-4ACC-B50F-C4AF894BACCC}">
      <dgm:prSet phldrT="[Text]" custT="1"/>
      <dgm:spPr>
        <a:xfrm>
          <a:off x="1507695" y="200665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800">
              <a:solidFill>
                <a:sysClr val="windowText" lastClr="000000">
                  <a:hueOff val="0"/>
                  <a:satOff val="0"/>
                  <a:lumOff val="0"/>
                  <a:alphaOff val="0"/>
                </a:sysClr>
              </a:solidFill>
              <a:latin typeface="Calibri"/>
              <a:ea typeface="+mn-ea"/>
              <a:cs typeface="+mn-cs"/>
            </a:rPr>
            <a:t>Medical Management</a:t>
          </a:r>
        </a:p>
      </dgm:t>
    </dgm:pt>
    <dgm:pt modelId="{8F3B9739-2B9D-4FC9-90EE-FF33359D7C24}" type="parTrans" cxnId="{153A4D1C-0533-41D9-B265-18005784BBFA}">
      <dgm:prSet/>
      <dgm:spPr>
        <a:xfrm>
          <a:off x="1882254" y="1802038"/>
          <a:ext cx="459972" cy="204613"/>
        </a:xfrm>
        <a:custGeom>
          <a:avLst/>
          <a:gdLst/>
          <a:ahLst/>
          <a:cxnLst/>
          <a:rect l="0" t="0" r="0" b="0"/>
          <a:pathLst>
            <a:path>
              <a:moveTo>
                <a:pt x="459972" y="0"/>
              </a:moveTo>
              <a:lnTo>
                <a:pt x="459972" y="125956"/>
              </a:lnTo>
              <a:lnTo>
                <a:pt x="0" y="125956"/>
              </a:lnTo>
              <a:lnTo>
                <a:pt x="0" y="20461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sz="800"/>
        </a:p>
      </dgm:t>
    </dgm:pt>
    <dgm:pt modelId="{A3F44280-B26B-4251-B143-C1F400610667}" type="sibTrans" cxnId="{153A4D1C-0533-41D9-B265-18005784BBFA}">
      <dgm:prSet/>
      <dgm:spPr/>
      <dgm:t>
        <a:bodyPr/>
        <a:lstStyle/>
        <a:p>
          <a:endParaRPr lang="en-US"/>
        </a:p>
      </dgm:t>
    </dgm:pt>
    <dgm:pt modelId="{500D2AE1-F4B3-439E-93E5-644BD280A7F7}" type="pres">
      <dgm:prSet presAssocID="{4C809025-51F4-4BBF-9769-25E467685024}" presName="hierChild1" presStyleCnt="0">
        <dgm:presLayoutVars>
          <dgm:orgChart val="1"/>
          <dgm:chPref val="1"/>
          <dgm:dir/>
          <dgm:animOne val="branch"/>
          <dgm:animLvl val="lvl"/>
          <dgm:resizeHandles/>
        </dgm:presLayoutVars>
      </dgm:prSet>
      <dgm:spPr/>
      <dgm:t>
        <a:bodyPr/>
        <a:lstStyle/>
        <a:p>
          <a:endParaRPr lang="en-US"/>
        </a:p>
      </dgm:t>
    </dgm:pt>
    <dgm:pt modelId="{83D16A9D-4F2B-402A-9A0F-333F125D42C3}" type="pres">
      <dgm:prSet presAssocID="{0D5D8915-A315-4377-82AE-52CB439F3818}" presName="hierRoot1" presStyleCnt="0">
        <dgm:presLayoutVars>
          <dgm:hierBranch val="init"/>
        </dgm:presLayoutVars>
      </dgm:prSet>
      <dgm:spPr/>
    </dgm:pt>
    <dgm:pt modelId="{C52065DD-568A-42BE-B213-72D4222DE22F}" type="pres">
      <dgm:prSet presAssocID="{0D5D8915-A315-4377-82AE-52CB439F3818}" presName="rootComposite1" presStyleCnt="0"/>
      <dgm:spPr/>
    </dgm:pt>
    <dgm:pt modelId="{7B1A70F4-04A0-4445-8726-D58DD5975D01}" type="pres">
      <dgm:prSet presAssocID="{0D5D8915-A315-4377-82AE-52CB439F3818}" presName="rootText1" presStyleLbl="node0" presStyleIdx="0" presStyleCnt="1" custScaleX="135662">
        <dgm:presLayoutVars>
          <dgm:chPref val="3"/>
        </dgm:presLayoutVars>
      </dgm:prSet>
      <dgm:spPr/>
      <dgm:t>
        <a:bodyPr/>
        <a:lstStyle/>
        <a:p>
          <a:endParaRPr lang="en-US"/>
        </a:p>
      </dgm:t>
    </dgm:pt>
    <dgm:pt modelId="{F5F15E45-EB20-4468-8B4E-B773DCA64F49}" type="pres">
      <dgm:prSet presAssocID="{0D5D8915-A315-4377-82AE-52CB439F3818}" presName="rootConnector1" presStyleLbl="node1" presStyleIdx="0" presStyleCnt="0"/>
      <dgm:spPr/>
      <dgm:t>
        <a:bodyPr/>
        <a:lstStyle/>
        <a:p>
          <a:endParaRPr lang="en-US"/>
        </a:p>
      </dgm:t>
    </dgm:pt>
    <dgm:pt modelId="{F4F756E3-554B-470A-94CC-D22E83BD05A5}" type="pres">
      <dgm:prSet presAssocID="{0D5D8915-A315-4377-82AE-52CB439F3818}" presName="hierChild2" presStyleCnt="0"/>
      <dgm:spPr/>
    </dgm:pt>
    <dgm:pt modelId="{8BA168A4-9978-4615-860E-26D03FD2AD28}" type="pres">
      <dgm:prSet presAssocID="{84A5002C-0CC9-462E-BCFA-A1F5A04CEAE8}" presName="Name37" presStyleLbl="parChTrans1D2" presStyleIdx="0" presStyleCnt="1"/>
      <dgm:spPr/>
      <dgm:t>
        <a:bodyPr/>
        <a:lstStyle/>
        <a:p>
          <a:endParaRPr lang="en-US"/>
        </a:p>
      </dgm:t>
    </dgm:pt>
    <dgm:pt modelId="{65BFF1AA-E4D6-4DE2-9F4C-09D056E78C44}" type="pres">
      <dgm:prSet presAssocID="{ED729B25-1D9E-4251-8EF3-45003FFE995A}" presName="hierRoot2" presStyleCnt="0">
        <dgm:presLayoutVars>
          <dgm:hierBranch val="init"/>
        </dgm:presLayoutVars>
      </dgm:prSet>
      <dgm:spPr/>
    </dgm:pt>
    <dgm:pt modelId="{1EC7028B-D281-4E33-A9F1-809F80BDBC89}" type="pres">
      <dgm:prSet presAssocID="{ED729B25-1D9E-4251-8EF3-45003FFE995A}" presName="rootComposite" presStyleCnt="0"/>
      <dgm:spPr/>
    </dgm:pt>
    <dgm:pt modelId="{CB21C93F-B32B-4D8A-8BF2-F13D280E3EBE}" type="pres">
      <dgm:prSet presAssocID="{ED729B25-1D9E-4251-8EF3-45003FFE995A}" presName="rootText" presStyleLbl="node2" presStyleIdx="0" presStyleCnt="1" custLinFactNeighborY="-16236">
        <dgm:presLayoutVars>
          <dgm:chPref val="3"/>
        </dgm:presLayoutVars>
      </dgm:prSet>
      <dgm:spPr/>
      <dgm:t>
        <a:bodyPr/>
        <a:lstStyle/>
        <a:p>
          <a:endParaRPr lang="en-US"/>
        </a:p>
      </dgm:t>
    </dgm:pt>
    <dgm:pt modelId="{AE875BC1-BD20-4E25-8002-4CEFA8886B3B}" type="pres">
      <dgm:prSet presAssocID="{ED729B25-1D9E-4251-8EF3-45003FFE995A}" presName="rootConnector" presStyleLbl="node2" presStyleIdx="0" presStyleCnt="1"/>
      <dgm:spPr/>
      <dgm:t>
        <a:bodyPr/>
        <a:lstStyle/>
        <a:p>
          <a:endParaRPr lang="en-US"/>
        </a:p>
      </dgm:t>
    </dgm:pt>
    <dgm:pt modelId="{B84912F2-5DC1-4155-9B9F-78040613F198}" type="pres">
      <dgm:prSet presAssocID="{ED729B25-1D9E-4251-8EF3-45003FFE995A}" presName="hierChild4" presStyleCnt="0"/>
      <dgm:spPr/>
    </dgm:pt>
    <dgm:pt modelId="{21D7948F-66BC-4C35-BAF8-409E23779FED}" type="pres">
      <dgm:prSet presAssocID="{9944ADE5-8903-433F-933F-4FFD7BEFE2B7}" presName="Name37" presStyleLbl="parChTrans1D3" presStyleIdx="0" presStyleCnt="1"/>
      <dgm:spPr/>
      <dgm:t>
        <a:bodyPr/>
        <a:lstStyle/>
        <a:p>
          <a:endParaRPr lang="en-US"/>
        </a:p>
      </dgm:t>
    </dgm:pt>
    <dgm:pt modelId="{B763E5C3-C000-4F3C-9BC5-27F69EBFACA2}" type="pres">
      <dgm:prSet presAssocID="{267909B2-D670-4D0E-93FA-D4DC1EC8723B}" presName="hierRoot2" presStyleCnt="0">
        <dgm:presLayoutVars>
          <dgm:hierBranch val="init"/>
        </dgm:presLayoutVars>
      </dgm:prSet>
      <dgm:spPr/>
    </dgm:pt>
    <dgm:pt modelId="{266DFD10-1963-46F1-80E6-C8EB7F1DAB70}" type="pres">
      <dgm:prSet presAssocID="{267909B2-D670-4D0E-93FA-D4DC1EC8723B}" presName="rootComposite" presStyleCnt="0"/>
      <dgm:spPr/>
    </dgm:pt>
    <dgm:pt modelId="{DFC234AD-27D9-4F6F-B727-B228AF33C6D1}" type="pres">
      <dgm:prSet presAssocID="{267909B2-D670-4D0E-93FA-D4DC1EC8723B}" presName="rootText" presStyleLbl="node3" presStyleIdx="0" presStyleCnt="1" custLinFactNeighborX="902" custLinFactNeighborY="-39688">
        <dgm:presLayoutVars>
          <dgm:chPref val="3"/>
        </dgm:presLayoutVars>
      </dgm:prSet>
      <dgm:spPr/>
      <dgm:t>
        <a:bodyPr/>
        <a:lstStyle/>
        <a:p>
          <a:endParaRPr lang="en-US"/>
        </a:p>
      </dgm:t>
    </dgm:pt>
    <dgm:pt modelId="{8CADBEF0-C7C7-4C77-9563-022AD1E933A3}" type="pres">
      <dgm:prSet presAssocID="{267909B2-D670-4D0E-93FA-D4DC1EC8723B}" presName="rootConnector" presStyleLbl="node3" presStyleIdx="0" presStyleCnt="1"/>
      <dgm:spPr/>
      <dgm:t>
        <a:bodyPr/>
        <a:lstStyle/>
        <a:p>
          <a:endParaRPr lang="en-US"/>
        </a:p>
      </dgm:t>
    </dgm:pt>
    <dgm:pt modelId="{0A98E54E-960E-4FE1-AE38-814DC232B290}" type="pres">
      <dgm:prSet presAssocID="{267909B2-D670-4D0E-93FA-D4DC1EC8723B}" presName="hierChild4" presStyleCnt="0"/>
      <dgm:spPr/>
    </dgm:pt>
    <dgm:pt modelId="{CFCAFF06-E500-4D9D-BE0D-2E9BAC6145B4}" type="pres">
      <dgm:prSet presAssocID="{33EF2859-E5AC-4590-9655-B1C72FD3C38E}" presName="Name37" presStyleLbl="parChTrans1D4" presStyleIdx="0" presStyleCnt="19"/>
      <dgm:spPr/>
      <dgm:t>
        <a:bodyPr/>
        <a:lstStyle/>
        <a:p>
          <a:endParaRPr lang="en-US"/>
        </a:p>
      </dgm:t>
    </dgm:pt>
    <dgm:pt modelId="{305CA57C-98F4-4E1D-A7D6-7ADB04639472}" type="pres">
      <dgm:prSet presAssocID="{CA6E049B-8CA8-4025-A752-1D1FDAB2B076}" presName="hierRoot2" presStyleCnt="0">
        <dgm:presLayoutVars>
          <dgm:hierBranch val="init"/>
        </dgm:presLayoutVars>
      </dgm:prSet>
      <dgm:spPr/>
    </dgm:pt>
    <dgm:pt modelId="{8A0A1F99-BB39-4E41-B18A-B3B7CA6D1869}" type="pres">
      <dgm:prSet presAssocID="{CA6E049B-8CA8-4025-A752-1D1FDAB2B076}" presName="rootComposite" presStyleCnt="0"/>
      <dgm:spPr/>
    </dgm:pt>
    <dgm:pt modelId="{C289D667-94C7-4EFD-9AE8-3CDE0E7D09CD}" type="pres">
      <dgm:prSet presAssocID="{CA6E049B-8CA8-4025-A752-1D1FDAB2B076}" presName="rootText" presStyleLbl="node4" presStyleIdx="0" presStyleCnt="19" custScaleX="239431" custLinFactNeighborX="902" custLinFactNeighborY="-45100">
        <dgm:presLayoutVars>
          <dgm:chPref val="3"/>
        </dgm:presLayoutVars>
      </dgm:prSet>
      <dgm:spPr/>
      <dgm:t>
        <a:bodyPr/>
        <a:lstStyle/>
        <a:p>
          <a:endParaRPr lang="en-US"/>
        </a:p>
      </dgm:t>
    </dgm:pt>
    <dgm:pt modelId="{D8C32DCA-B192-487D-8177-9B9A6FED3E24}" type="pres">
      <dgm:prSet presAssocID="{CA6E049B-8CA8-4025-A752-1D1FDAB2B076}" presName="rootConnector" presStyleLbl="node4" presStyleIdx="0" presStyleCnt="19"/>
      <dgm:spPr/>
      <dgm:t>
        <a:bodyPr/>
        <a:lstStyle/>
        <a:p>
          <a:endParaRPr lang="en-US"/>
        </a:p>
      </dgm:t>
    </dgm:pt>
    <dgm:pt modelId="{DF1A55FF-5DAE-4081-9FF5-535B86787BB5}" type="pres">
      <dgm:prSet presAssocID="{CA6E049B-8CA8-4025-A752-1D1FDAB2B076}" presName="hierChild4" presStyleCnt="0"/>
      <dgm:spPr/>
    </dgm:pt>
    <dgm:pt modelId="{3889F42C-D496-4257-8A26-07AE01A7FC00}" type="pres">
      <dgm:prSet presAssocID="{8F3B9739-2B9D-4FC9-90EE-FF33359D7C24}" presName="Name37" presStyleLbl="parChTrans1D4" presStyleIdx="1" presStyleCnt="19"/>
      <dgm:spPr/>
      <dgm:t>
        <a:bodyPr/>
        <a:lstStyle/>
        <a:p>
          <a:endParaRPr lang="en-US"/>
        </a:p>
      </dgm:t>
    </dgm:pt>
    <dgm:pt modelId="{C97CC61D-36DA-4112-A52F-150786B202F6}" type="pres">
      <dgm:prSet presAssocID="{529579FE-F993-4ACC-B50F-C4AF894BACCC}" presName="hierRoot2" presStyleCnt="0">
        <dgm:presLayoutVars>
          <dgm:hierBranch val="init"/>
        </dgm:presLayoutVars>
      </dgm:prSet>
      <dgm:spPr/>
    </dgm:pt>
    <dgm:pt modelId="{3445C312-B1C6-43A8-84A3-31C6CF522952}" type="pres">
      <dgm:prSet presAssocID="{529579FE-F993-4ACC-B50F-C4AF894BACCC}" presName="rootComposite" presStyleCnt="0"/>
      <dgm:spPr/>
    </dgm:pt>
    <dgm:pt modelId="{20DB8B73-061C-4D21-9363-E1FC158DD950}" type="pres">
      <dgm:prSet presAssocID="{529579FE-F993-4ACC-B50F-C4AF894BACCC}" presName="rootText" presStyleLbl="node4" presStyleIdx="1" presStyleCnt="19" custLinFactNeighborY="-32472">
        <dgm:presLayoutVars>
          <dgm:chPref val="3"/>
        </dgm:presLayoutVars>
      </dgm:prSet>
      <dgm:spPr/>
      <dgm:t>
        <a:bodyPr/>
        <a:lstStyle/>
        <a:p>
          <a:endParaRPr lang="en-US"/>
        </a:p>
      </dgm:t>
    </dgm:pt>
    <dgm:pt modelId="{688501F0-31BB-472E-804C-3C646FD11158}" type="pres">
      <dgm:prSet presAssocID="{529579FE-F993-4ACC-B50F-C4AF894BACCC}" presName="rootConnector" presStyleLbl="node4" presStyleIdx="1" presStyleCnt="19"/>
      <dgm:spPr/>
      <dgm:t>
        <a:bodyPr/>
        <a:lstStyle/>
        <a:p>
          <a:endParaRPr lang="en-US"/>
        </a:p>
      </dgm:t>
    </dgm:pt>
    <dgm:pt modelId="{9B610AFA-3485-402C-A6D6-D0BBC4EDFE9A}" type="pres">
      <dgm:prSet presAssocID="{529579FE-F993-4ACC-B50F-C4AF894BACCC}" presName="hierChild4" presStyleCnt="0"/>
      <dgm:spPr/>
    </dgm:pt>
    <dgm:pt modelId="{90B2EEA1-4B7F-4F06-AB87-32D654C49BF9}" type="pres">
      <dgm:prSet presAssocID="{529579FE-F993-4ACC-B50F-C4AF894BACCC}" presName="hierChild5" presStyleCnt="0"/>
      <dgm:spPr/>
    </dgm:pt>
    <dgm:pt modelId="{548AA163-5E83-4AFE-8C14-30F4227D71B9}" type="pres">
      <dgm:prSet presAssocID="{1C4C88F0-6CE8-424F-B610-D3E62257617C}" presName="Name37" presStyleLbl="parChTrans1D4" presStyleIdx="2" presStyleCnt="19"/>
      <dgm:spPr/>
      <dgm:t>
        <a:bodyPr/>
        <a:lstStyle/>
        <a:p>
          <a:endParaRPr lang="en-US"/>
        </a:p>
      </dgm:t>
    </dgm:pt>
    <dgm:pt modelId="{5930B2C8-A29A-4B7B-8B56-DB277CF39C5C}" type="pres">
      <dgm:prSet presAssocID="{340113C7-830C-413C-8DBD-BF5746868E11}" presName="hierRoot2" presStyleCnt="0">
        <dgm:presLayoutVars>
          <dgm:hierBranch val="init"/>
        </dgm:presLayoutVars>
      </dgm:prSet>
      <dgm:spPr/>
    </dgm:pt>
    <dgm:pt modelId="{8DD7BF83-1D9E-4027-A556-1724C019F984}" type="pres">
      <dgm:prSet presAssocID="{340113C7-830C-413C-8DBD-BF5746868E11}" presName="rootComposite" presStyleCnt="0"/>
      <dgm:spPr/>
    </dgm:pt>
    <dgm:pt modelId="{95080D60-A6EB-4255-B39D-C5A84A998F6F}" type="pres">
      <dgm:prSet presAssocID="{340113C7-830C-413C-8DBD-BF5746868E11}" presName="rootText" presStyleLbl="node4" presStyleIdx="2" presStyleCnt="19" custLinFactNeighborY="-32472">
        <dgm:presLayoutVars>
          <dgm:chPref val="3"/>
        </dgm:presLayoutVars>
      </dgm:prSet>
      <dgm:spPr/>
      <dgm:t>
        <a:bodyPr/>
        <a:lstStyle/>
        <a:p>
          <a:endParaRPr lang="en-US"/>
        </a:p>
      </dgm:t>
    </dgm:pt>
    <dgm:pt modelId="{811C49D9-A214-4569-9854-2D5200573482}" type="pres">
      <dgm:prSet presAssocID="{340113C7-830C-413C-8DBD-BF5746868E11}" presName="rootConnector" presStyleLbl="node4" presStyleIdx="2" presStyleCnt="19"/>
      <dgm:spPr/>
      <dgm:t>
        <a:bodyPr/>
        <a:lstStyle/>
        <a:p>
          <a:endParaRPr lang="en-US"/>
        </a:p>
      </dgm:t>
    </dgm:pt>
    <dgm:pt modelId="{54901DA2-1CB9-4D07-9E82-2AEF8B131045}" type="pres">
      <dgm:prSet presAssocID="{340113C7-830C-413C-8DBD-BF5746868E11}" presName="hierChild4" presStyleCnt="0"/>
      <dgm:spPr/>
    </dgm:pt>
    <dgm:pt modelId="{F6C05318-873F-4D79-B4FA-9CA1027F7F46}" type="pres">
      <dgm:prSet presAssocID="{7505F821-28DB-423A-89FD-D89E66A9DE7B}" presName="Name37" presStyleLbl="parChTrans1D4" presStyleIdx="3" presStyleCnt="19"/>
      <dgm:spPr/>
      <dgm:t>
        <a:bodyPr/>
        <a:lstStyle/>
        <a:p>
          <a:endParaRPr lang="en-US"/>
        </a:p>
      </dgm:t>
    </dgm:pt>
    <dgm:pt modelId="{53C612A8-8CFC-4C4B-8FB8-F4E50C3B3A53}" type="pres">
      <dgm:prSet presAssocID="{BED86C4B-3812-490C-AEF1-C6112BDD9989}" presName="hierRoot2" presStyleCnt="0">
        <dgm:presLayoutVars>
          <dgm:hierBranch val="init"/>
        </dgm:presLayoutVars>
      </dgm:prSet>
      <dgm:spPr/>
    </dgm:pt>
    <dgm:pt modelId="{F322CF39-F749-4F37-9465-807EEC238A2B}" type="pres">
      <dgm:prSet presAssocID="{BED86C4B-3812-490C-AEF1-C6112BDD9989}" presName="rootComposite" presStyleCnt="0"/>
      <dgm:spPr/>
    </dgm:pt>
    <dgm:pt modelId="{5FC8B272-7CE5-487D-8602-9022E5A7B8C6}" type="pres">
      <dgm:prSet presAssocID="{BED86C4B-3812-490C-AEF1-C6112BDD9989}" presName="rootText" presStyleLbl="node4" presStyleIdx="3" presStyleCnt="19" custLinFactNeighborX="1804" custLinFactNeighborY="-55924">
        <dgm:presLayoutVars>
          <dgm:chPref val="3"/>
        </dgm:presLayoutVars>
      </dgm:prSet>
      <dgm:spPr/>
      <dgm:t>
        <a:bodyPr/>
        <a:lstStyle/>
        <a:p>
          <a:endParaRPr lang="en-US"/>
        </a:p>
      </dgm:t>
    </dgm:pt>
    <dgm:pt modelId="{55EF2ED4-8DA6-4D8C-A54E-18EFA27BB41A}" type="pres">
      <dgm:prSet presAssocID="{BED86C4B-3812-490C-AEF1-C6112BDD9989}" presName="rootConnector" presStyleLbl="node4" presStyleIdx="3" presStyleCnt="19"/>
      <dgm:spPr/>
      <dgm:t>
        <a:bodyPr/>
        <a:lstStyle/>
        <a:p>
          <a:endParaRPr lang="en-US"/>
        </a:p>
      </dgm:t>
    </dgm:pt>
    <dgm:pt modelId="{D5FD493C-EF0E-42F2-AA21-E23F816DB6B7}" type="pres">
      <dgm:prSet presAssocID="{BED86C4B-3812-490C-AEF1-C6112BDD9989}" presName="hierChild4" presStyleCnt="0"/>
      <dgm:spPr/>
    </dgm:pt>
    <dgm:pt modelId="{D23ACBB5-05F0-45E8-B3CD-A9374033B53A}" type="pres">
      <dgm:prSet presAssocID="{25626EF8-7259-4EE7-A16A-DE2ED1021932}" presName="Name37" presStyleLbl="parChTrans1D4" presStyleIdx="4" presStyleCnt="19"/>
      <dgm:spPr/>
      <dgm:t>
        <a:bodyPr/>
        <a:lstStyle/>
        <a:p>
          <a:endParaRPr lang="en-US"/>
        </a:p>
      </dgm:t>
    </dgm:pt>
    <dgm:pt modelId="{21153EDA-B5F9-4F47-A75B-1801C88A480D}" type="pres">
      <dgm:prSet presAssocID="{36DC64DF-2B18-4A74-8832-2C3CD21FEAD4}" presName="hierRoot2" presStyleCnt="0">
        <dgm:presLayoutVars>
          <dgm:hierBranch val="init"/>
        </dgm:presLayoutVars>
      </dgm:prSet>
      <dgm:spPr/>
    </dgm:pt>
    <dgm:pt modelId="{0E3A0414-DBC1-477A-BE41-5355C11CBF5A}" type="pres">
      <dgm:prSet presAssocID="{36DC64DF-2B18-4A74-8832-2C3CD21FEAD4}" presName="rootComposite" presStyleCnt="0"/>
      <dgm:spPr/>
    </dgm:pt>
    <dgm:pt modelId="{02D478EE-96F5-447E-B3C3-C5DB2FD47E07}" type="pres">
      <dgm:prSet presAssocID="{36DC64DF-2B18-4A74-8832-2C3CD21FEAD4}" presName="rootText" presStyleLbl="node4" presStyleIdx="4" presStyleCnt="19" custScaleX="183838" custLinFactNeighborX="1804" custLinFactNeighborY="-66747">
        <dgm:presLayoutVars>
          <dgm:chPref val="3"/>
        </dgm:presLayoutVars>
      </dgm:prSet>
      <dgm:spPr/>
      <dgm:t>
        <a:bodyPr/>
        <a:lstStyle/>
        <a:p>
          <a:endParaRPr lang="en-US"/>
        </a:p>
      </dgm:t>
    </dgm:pt>
    <dgm:pt modelId="{F6CB7EB8-54D9-4FD1-8012-02C4263B150F}" type="pres">
      <dgm:prSet presAssocID="{36DC64DF-2B18-4A74-8832-2C3CD21FEAD4}" presName="rootConnector" presStyleLbl="node4" presStyleIdx="4" presStyleCnt="19"/>
      <dgm:spPr/>
      <dgm:t>
        <a:bodyPr/>
        <a:lstStyle/>
        <a:p>
          <a:endParaRPr lang="en-US"/>
        </a:p>
      </dgm:t>
    </dgm:pt>
    <dgm:pt modelId="{ADD2E8D5-711A-4E72-82EA-0439F8470B4C}" type="pres">
      <dgm:prSet presAssocID="{36DC64DF-2B18-4A74-8832-2C3CD21FEAD4}" presName="hierChild4" presStyleCnt="0"/>
      <dgm:spPr/>
    </dgm:pt>
    <dgm:pt modelId="{9B310D36-F28E-41E8-9BED-31138609DD37}" type="pres">
      <dgm:prSet presAssocID="{49D05444-8A75-489A-BD94-4C529BFE35A2}" presName="Name37" presStyleLbl="parChTrans1D4" presStyleIdx="5" presStyleCnt="19"/>
      <dgm:spPr/>
      <dgm:t>
        <a:bodyPr/>
        <a:lstStyle/>
        <a:p>
          <a:endParaRPr lang="en-US"/>
        </a:p>
      </dgm:t>
    </dgm:pt>
    <dgm:pt modelId="{AC857217-3B79-4453-B815-E83EED6F9EB4}" type="pres">
      <dgm:prSet presAssocID="{9FC40004-3B49-4BE6-8D35-78E7C70577FF}" presName="hierRoot2" presStyleCnt="0">
        <dgm:presLayoutVars>
          <dgm:hierBranch val="init"/>
        </dgm:presLayoutVars>
      </dgm:prSet>
      <dgm:spPr/>
    </dgm:pt>
    <dgm:pt modelId="{3DE98CE4-5E8D-46B3-9B9E-2AA52E7B8218}" type="pres">
      <dgm:prSet presAssocID="{9FC40004-3B49-4BE6-8D35-78E7C70577FF}" presName="rootComposite" presStyleCnt="0"/>
      <dgm:spPr/>
    </dgm:pt>
    <dgm:pt modelId="{C083CB9B-A4A3-42D8-88A9-9AD775A79784}" type="pres">
      <dgm:prSet presAssocID="{9FC40004-3B49-4BE6-8D35-78E7C70577FF}" presName="rootText" presStyleLbl="node4" presStyleIdx="5" presStyleCnt="19" custLinFactNeighborX="1575" custLinFactNeighborY="-76242">
        <dgm:presLayoutVars>
          <dgm:chPref val="3"/>
        </dgm:presLayoutVars>
      </dgm:prSet>
      <dgm:spPr/>
      <dgm:t>
        <a:bodyPr/>
        <a:lstStyle/>
        <a:p>
          <a:endParaRPr lang="en-US"/>
        </a:p>
      </dgm:t>
    </dgm:pt>
    <dgm:pt modelId="{1EBD7300-3249-41FB-A86A-23BEAB3D328A}" type="pres">
      <dgm:prSet presAssocID="{9FC40004-3B49-4BE6-8D35-78E7C70577FF}" presName="rootConnector" presStyleLbl="node4" presStyleIdx="5" presStyleCnt="19"/>
      <dgm:spPr/>
      <dgm:t>
        <a:bodyPr/>
        <a:lstStyle/>
        <a:p>
          <a:endParaRPr lang="en-US"/>
        </a:p>
      </dgm:t>
    </dgm:pt>
    <dgm:pt modelId="{3DCCE81E-89F9-4415-83EA-0627BE6B7BD1}" type="pres">
      <dgm:prSet presAssocID="{9FC40004-3B49-4BE6-8D35-78E7C70577FF}" presName="hierChild4" presStyleCnt="0"/>
      <dgm:spPr/>
    </dgm:pt>
    <dgm:pt modelId="{F433524B-BD39-4253-AC6F-6C3291855BA9}" type="pres">
      <dgm:prSet presAssocID="{17673E05-1B22-494B-A7AA-5F27D29C9297}" presName="Name37" presStyleLbl="parChTrans1D4" presStyleIdx="6" presStyleCnt="19"/>
      <dgm:spPr/>
      <dgm:t>
        <a:bodyPr/>
        <a:lstStyle/>
        <a:p>
          <a:endParaRPr lang="en-US"/>
        </a:p>
      </dgm:t>
    </dgm:pt>
    <dgm:pt modelId="{EE020A63-DD39-45A6-83A2-B57E7C19449F}" type="pres">
      <dgm:prSet presAssocID="{F166575C-DDBD-4B32-80CE-E7152810847F}" presName="hierRoot2" presStyleCnt="0">
        <dgm:presLayoutVars>
          <dgm:hierBranch val="init"/>
        </dgm:presLayoutVars>
      </dgm:prSet>
      <dgm:spPr/>
    </dgm:pt>
    <dgm:pt modelId="{2E51D2BD-CD34-4EC6-94E5-3BA2B28BCBE0}" type="pres">
      <dgm:prSet presAssocID="{F166575C-DDBD-4B32-80CE-E7152810847F}" presName="rootComposite" presStyleCnt="0"/>
      <dgm:spPr/>
    </dgm:pt>
    <dgm:pt modelId="{F4CDA0C9-EBCE-4DF0-9F21-79E4466926D0}" type="pres">
      <dgm:prSet presAssocID="{F166575C-DDBD-4B32-80CE-E7152810847F}" presName="rootText" presStyleLbl="node4" presStyleIdx="6" presStyleCnt="19" custLinFactNeighborX="1626" custLinFactNeighborY="-96916">
        <dgm:presLayoutVars>
          <dgm:chPref val="3"/>
        </dgm:presLayoutVars>
      </dgm:prSet>
      <dgm:spPr/>
      <dgm:t>
        <a:bodyPr/>
        <a:lstStyle/>
        <a:p>
          <a:endParaRPr lang="en-US"/>
        </a:p>
      </dgm:t>
    </dgm:pt>
    <dgm:pt modelId="{7D4B6535-A194-4AFB-8452-97309EF2F8B4}" type="pres">
      <dgm:prSet presAssocID="{F166575C-DDBD-4B32-80CE-E7152810847F}" presName="rootConnector" presStyleLbl="node4" presStyleIdx="6" presStyleCnt="19"/>
      <dgm:spPr/>
      <dgm:t>
        <a:bodyPr/>
        <a:lstStyle/>
        <a:p>
          <a:endParaRPr lang="en-US"/>
        </a:p>
      </dgm:t>
    </dgm:pt>
    <dgm:pt modelId="{E2906F7E-AC95-4D2F-A1BA-9322F789E8C5}" type="pres">
      <dgm:prSet presAssocID="{F166575C-DDBD-4B32-80CE-E7152810847F}" presName="hierChild4" presStyleCnt="0"/>
      <dgm:spPr/>
    </dgm:pt>
    <dgm:pt modelId="{009590EB-91D9-4F2C-9CCA-62666500062F}" type="pres">
      <dgm:prSet presAssocID="{D1F12CB4-E544-4994-8ECD-DC720A649D38}" presName="Name37" presStyleLbl="parChTrans1D4" presStyleIdx="7" presStyleCnt="19"/>
      <dgm:spPr/>
      <dgm:t>
        <a:bodyPr/>
        <a:lstStyle/>
        <a:p>
          <a:endParaRPr lang="en-US"/>
        </a:p>
      </dgm:t>
    </dgm:pt>
    <dgm:pt modelId="{AB6B8639-C440-4E72-8DB1-7B0A90DFA406}" type="pres">
      <dgm:prSet presAssocID="{C2E56904-706C-4FF4-8669-77087F64E997}" presName="hierRoot2" presStyleCnt="0">
        <dgm:presLayoutVars>
          <dgm:hierBranch val="init"/>
        </dgm:presLayoutVars>
      </dgm:prSet>
      <dgm:spPr/>
    </dgm:pt>
    <dgm:pt modelId="{57A4E22B-45B5-4CF2-8996-B5BA35811695}" type="pres">
      <dgm:prSet presAssocID="{C2E56904-706C-4FF4-8669-77087F64E997}" presName="rootComposite" presStyleCnt="0"/>
      <dgm:spPr/>
    </dgm:pt>
    <dgm:pt modelId="{72DD0FF7-D3AD-4AC2-8E10-455B5BAEE9D0}" type="pres">
      <dgm:prSet presAssocID="{C2E56904-706C-4FF4-8669-77087F64E997}" presName="rootText" presStyleLbl="node4" presStyleIdx="7" presStyleCnt="19" custScaleX="184504" custLinFactY="-1603" custLinFactNeighborX="-848" custLinFactNeighborY="-100000">
        <dgm:presLayoutVars>
          <dgm:chPref val="3"/>
        </dgm:presLayoutVars>
      </dgm:prSet>
      <dgm:spPr/>
      <dgm:t>
        <a:bodyPr/>
        <a:lstStyle/>
        <a:p>
          <a:endParaRPr lang="en-US"/>
        </a:p>
      </dgm:t>
    </dgm:pt>
    <dgm:pt modelId="{8A215722-466E-4AF1-A9E1-A1EC08F0DE1C}" type="pres">
      <dgm:prSet presAssocID="{C2E56904-706C-4FF4-8669-77087F64E997}" presName="rootConnector" presStyleLbl="node4" presStyleIdx="7" presStyleCnt="19"/>
      <dgm:spPr/>
      <dgm:t>
        <a:bodyPr/>
        <a:lstStyle/>
        <a:p>
          <a:endParaRPr lang="en-US"/>
        </a:p>
      </dgm:t>
    </dgm:pt>
    <dgm:pt modelId="{B7A89388-7349-4534-BDC2-DDDFA072C107}" type="pres">
      <dgm:prSet presAssocID="{C2E56904-706C-4FF4-8669-77087F64E997}" presName="hierChild4" presStyleCnt="0"/>
      <dgm:spPr/>
    </dgm:pt>
    <dgm:pt modelId="{0C95CFF9-DD7F-44C8-83EE-AAC74555B393}" type="pres">
      <dgm:prSet presAssocID="{9E2171A1-0F94-433A-A6B4-FC16A5F0E601}" presName="Name37" presStyleLbl="parChTrans1D4" presStyleIdx="8" presStyleCnt="19"/>
      <dgm:spPr/>
      <dgm:t>
        <a:bodyPr/>
        <a:lstStyle/>
        <a:p>
          <a:endParaRPr lang="en-US"/>
        </a:p>
      </dgm:t>
    </dgm:pt>
    <dgm:pt modelId="{FE4354EF-3B0D-4BEE-A7EE-306C419C0D50}" type="pres">
      <dgm:prSet presAssocID="{F153094C-3799-4C05-BF08-0F9D70448AF5}" presName="hierRoot2" presStyleCnt="0">
        <dgm:presLayoutVars>
          <dgm:hierBranch val="init"/>
        </dgm:presLayoutVars>
      </dgm:prSet>
      <dgm:spPr/>
    </dgm:pt>
    <dgm:pt modelId="{5EDEBD51-E42D-4799-AEB3-F41BABCDBFEF}" type="pres">
      <dgm:prSet presAssocID="{F153094C-3799-4C05-BF08-0F9D70448AF5}" presName="rootComposite" presStyleCnt="0"/>
      <dgm:spPr/>
    </dgm:pt>
    <dgm:pt modelId="{E7E4CA2B-BD5D-4E86-818E-44F9867A2B45}" type="pres">
      <dgm:prSet presAssocID="{F153094C-3799-4C05-BF08-0F9D70448AF5}" presName="rootText" presStyleLbl="node4" presStyleIdx="8" presStyleCnt="19" custLinFactY="-8612" custLinFactNeighborX="-35015" custLinFactNeighborY="-100000">
        <dgm:presLayoutVars>
          <dgm:chPref val="3"/>
        </dgm:presLayoutVars>
      </dgm:prSet>
      <dgm:spPr/>
      <dgm:t>
        <a:bodyPr/>
        <a:lstStyle/>
        <a:p>
          <a:endParaRPr lang="en-US"/>
        </a:p>
      </dgm:t>
    </dgm:pt>
    <dgm:pt modelId="{489669AC-E978-48E5-9C07-BE4908EEA927}" type="pres">
      <dgm:prSet presAssocID="{F153094C-3799-4C05-BF08-0F9D70448AF5}" presName="rootConnector" presStyleLbl="node4" presStyleIdx="8" presStyleCnt="19"/>
      <dgm:spPr/>
      <dgm:t>
        <a:bodyPr/>
        <a:lstStyle/>
        <a:p>
          <a:endParaRPr lang="en-US"/>
        </a:p>
      </dgm:t>
    </dgm:pt>
    <dgm:pt modelId="{4B1C1CB6-9FDC-4A61-B177-9926B481042D}" type="pres">
      <dgm:prSet presAssocID="{F153094C-3799-4C05-BF08-0F9D70448AF5}" presName="hierChild4" presStyleCnt="0"/>
      <dgm:spPr/>
    </dgm:pt>
    <dgm:pt modelId="{D964CAA4-8BE1-4E7C-B0E7-B72630A86E2D}" type="pres">
      <dgm:prSet presAssocID="{F153094C-3799-4C05-BF08-0F9D70448AF5}" presName="hierChild5" presStyleCnt="0"/>
      <dgm:spPr/>
    </dgm:pt>
    <dgm:pt modelId="{9EDE3E58-1D70-4381-88FB-D87017FF576A}" type="pres">
      <dgm:prSet presAssocID="{AE0F08EF-4701-4761-B36D-DC6A785A7C2F}" presName="Name37" presStyleLbl="parChTrans1D4" presStyleIdx="9" presStyleCnt="19"/>
      <dgm:spPr/>
      <dgm:t>
        <a:bodyPr/>
        <a:lstStyle/>
        <a:p>
          <a:endParaRPr lang="en-US"/>
        </a:p>
      </dgm:t>
    </dgm:pt>
    <dgm:pt modelId="{C17E60AC-6160-4876-92BB-9FA89A2708E2}" type="pres">
      <dgm:prSet presAssocID="{8926D3EB-6EF8-48CD-95F6-8EFE916875F5}" presName="hierRoot2" presStyleCnt="0">
        <dgm:presLayoutVars>
          <dgm:hierBranch val="init"/>
        </dgm:presLayoutVars>
      </dgm:prSet>
      <dgm:spPr/>
    </dgm:pt>
    <dgm:pt modelId="{7C4052C4-CF68-449F-B5DE-F788E5F9A1D1}" type="pres">
      <dgm:prSet presAssocID="{8926D3EB-6EF8-48CD-95F6-8EFE916875F5}" presName="rootComposite" presStyleCnt="0"/>
      <dgm:spPr/>
    </dgm:pt>
    <dgm:pt modelId="{46F9EBB9-913B-49C3-8EC1-83819F58FC38}" type="pres">
      <dgm:prSet presAssocID="{8926D3EB-6EF8-48CD-95F6-8EFE916875F5}" presName="rootText" presStyleLbl="node4" presStyleIdx="9" presStyleCnt="19" custLinFactY="-6860" custLinFactNeighborX="-28007" custLinFactNeighborY="-100000">
        <dgm:presLayoutVars>
          <dgm:chPref val="3"/>
        </dgm:presLayoutVars>
      </dgm:prSet>
      <dgm:spPr/>
      <dgm:t>
        <a:bodyPr/>
        <a:lstStyle/>
        <a:p>
          <a:endParaRPr lang="en-US"/>
        </a:p>
      </dgm:t>
    </dgm:pt>
    <dgm:pt modelId="{68E2C949-FF76-4752-805C-C797FEEEFBAC}" type="pres">
      <dgm:prSet presAssocID="{8926D3EB-6EF8-48CD-95F6-8EFE916875F5}" presName="rootConnector" presStyleLbl="node4" presStyleIdx="9" presStyleCnt="19"/>
      <dgm:spPr/>
      <dgm:t>
        <a:bodyPr/>
        <a:lstStyle/>
        <a:p>
          <a:endParaRPr lang="en-US"/>
        </a:p>
      </dgm:t>
    </dgm:pt>
    <dgm:pt modelId="{CD8D0434-AB90-448D-A99F-7769BBCDB40D}" type="pres">
      <dgm:prSet presAssocID="{8926D3EB-6EF8-48CD-95F6-8EFE916875F5}" presName="hierChild4" presStyleCnt="0"/>
      <dgm:spPr/>
    </dgm:pt>
    <dgm:pt modelId="{5F6C7E4C-8A14-413F-A848-FF932668D64A}" type="pres">
      <dgm:prSet presAssocID="{BA66BED9-4478-427E-8094-512ED31FE1D6}" presName="Name37" presStyleLbl="parChTrans1D4" presStyleIdx="10" presStyleCnt="19"/>
      <dgm:spPr/>
      <dgm:t>
        <a:bodyPr/>
        <a:lstStyle/>
        <a:p>
          <a:endParaRPr lang="en-US"/>
        </a:p>
      </dgm:t>
    </dgm:pt>
    <dgm:pt modelId="{1418C743-9884-4E8E-A2AF-B8B8FE57B3CE}" type="pres">
      <dgm:prSet presAssocID="{3BFCA84D-9B5A-41D6-8E12-3E6E66A14E5E}" presName="hierRoot2" presStyleCnt="0">
        <dgm:presLayoutVars>
          <dgm:hierBranch val="init"/>
        </dgm:presLayoutVars>
      </dgm:prSet>
      <dgm:spPr/>
    </dgm:pt>
    <dgm:pt modelId="{BA3E3127-3D31-4341-A70C-E1BA61ECEAFD}" type="pres">
      <dgm:prSet presAssocID="{3BFCA84D-9B5A-41D6-8E12-3E6E66A14E5E}" presName="rootComposite" presStyleCnt="0"/>
      <dgm:spPr/>
    </dgm:pt>
    <dgm:pt modelId="{703D0A9C-A4BD-476F-9B48-2BB361221C41}" type="pres">
      <dgm:prSet presAssocID="{3BFCA84D-9B5A-41D6-8E12-3E6E66A14E5E}" presName="rootText" presStyleLbl="node4" presStyleIdx="10" presStyleCnt="19" custLinFactNeighborX="-68222" custLinFactNeighborY="-96014">
        <dgm:presLayoutVars>
          <dgm:chPref val="3"/>
        </dgm:presLayoutVars>
      </dgm:prSet>
      <dgm:spPr/>
      <dgm:t>
        <a:bodyPr/>
        <a:lstStyle/>
        <a:p>
          <a:endParaRPr lang="en-US"/>
        </a:p>
      </dgm:t>
    </dgm:pt>
    <dgm:pt modelId="{89CC25EC-8CF3-41EB-B9DF-0227CB2FFFF5}" type="pres">
      <dgm:prSet presAssocID="{3BFCA84D-9B5A-41D6-8E12-3E6E66A14E5E}" presName="rootConnector" presStyleLbl="node4" presStyleIdx="10" presStyleCnt="19"/>
      <dgm:spPr/>
      <dgm:t>
        <a:bodyPr/>
        <a:lstStyle/>
        <a:p>
          <a:endParaRPr lang="en-US"/>
        </a:p>
      </dgm:t>
    </dgm:pt>
    <dgm:pt modelId="{AE0A9FA9-DB60-48F3-85A9-AB823CE79B0E}" type="pres">
      <dgm:prSet presAssocID="{3BFCA84D-9B5A-41D6-8E12-3E6E66A14E5E}" presName="hierChild4" presStyleCnt="0"/>
      <dgm:spPr/>
    </dgm:pt>
    <dgm:pt modelId="{A7DD9B50-54F6-42FE-9F3E-9358564C3475}" type="pres">
      <dgm:prSet presAssocID="{93C0EC51-9366-46CE-AB2A-403701EF398C}" presName="Name37" presStyleLbl="parChTrans1D4" presStyleIdx="11" presStyleCnt="19"/>
      <dgm:spPr/>
      <dgm:t>
        <a:bodyPr/>
        <a:lstStyle/>
        <a:p>
          <a:endParaRPr lang="en-US"/>
        </a:p>
      </dgm:t>
    </dgm:pt>
    <dgm:pt modelId="{28AED4B9-7B74-4DCD-BF89-3DDCC07D62BD}" type="pres">
      <dgm:prSet presAssocID="{65CEDDB9-2241-40FE-A2DE-DEFDA0C74F55}" presName="hierRoot2" presStyleCnt="0">
        <dgm:presLayoutVars>
          <dgm:hierBranch val="init"/>
        </dgm:presLayoutVars>
      </dgm:prSet>
      <dgm:spPr/>
    </dgm:pt>
    <dgm:pt modelId="{66994EC1-E7B5-4392-8C0F-C879B33A54B4}" type="pres">
      <dgm:prSet presAssocID="{65CEDDB9-2241-40FE-A2DE-DEFDA0C74F55}" presName="rootComposite" presStyleCnt="0"/>
      <dgm:spPr/>
    </dgm:pt>
    <dgm:pt modelId="{E8F52203-688E-492F-B99C-F7E14FA66BC5}" type="pres">
      <dgm:prSet presAssocID="{65CEDDB9-2241-40FE-A2DE-DEFDA0C74F55}" presName="rootText" presStyleLbl="node4" presStyleIdx="11" presStyleCnt="19" custScaleX="115778" custLinFactNeighborX="-72240" custLinFactNeighborY="-87256">
        <dgm:presLayoutVars>
          <dgm:chPref val="3"/>
        </dgm:presLayoutVars>
      </dgm:prSet>
      <dgm:spPr/>
      <dgm:t>
        <a:bodyPr/>
        <a:lstStyle/>
        <a:p>
          <a:endParaRPr lang="en-US"/>
        </a:p>
      </dgm:t>
    </dgm:pt>
    <dgm:pt modelId="{C403EC5C-C6EA-4021-9A0C-879A516F8A65}" type="pres">
      <dgm:prSet presAssocID="{65CEDDB9-2241-40FE-A2DE-DEFDA0C74F55}" presName="rootConnector" presStyleLbl="node4" presStyleIdx="11" presStyleCnt="19"/>
      <dgm:spPr/>
      <dgm:t>
        <a:bodyPr/>
        <a:lstStyle/>
        <a:p>
          <a:endParaRPr lang="en-US"/>
        </a:p>
      </dgm:t>
    </dgm:pt>
    <dgm:pt modelId="{59FED45D-F1D8-42B8-AAC7-10107FD67E73}" type="pres">
      <dgm:prSet presAssocID="{65CEDDB9-2241-40FE-A2DE-DEFDA0C74F55}" presName="hierChild4" presStyleCnt="0"/>
      <dgm:spPr/>
    </dgm:pt>
    <dgm:pt modelId="{05B4DAFC-E6F0-4117-99B0-38F2A6216378}" type="pres">
      <dgm:prSet presAssocID="{65CEDDB9-2241-40FE-A2DE-DEFDA0C74F55}" presName="hierChild5" presStyleCnt="0"/>
      <dgm:spPr/>
    </dgm:pt>
    <dgm:pt modelId="{B51D2E23-73BF-4708-8F1A-2C91BC91A06F}" type="pres">
      <dgm:prSet presAssocID="{3BFCA84D-9B5A-41D6-8E12-3E6E66A14E5E}" presName="hierChild5" presStyleCnt="0"/>
      <dgm:spPr/>
    </dgm:pt>
    <dgm:pt modelId="{53EF512F-EAB7-4ADA-AD40-77BF017C0AFE}" type="pres">
      <dgm:prSet presAssocID="{A03280F6-D20D-4BA1-9B60-A7FD36329254}" presName="Name37" presStyleLbl="parChTrans1D4" presStyleIdx="12" presStyleCnt="19"/>
      <dgm:spPr/>
      <dgm:t>
        <a:bodyPr/>
        <a:lstStyle/>
        <a:p>
          <a:endParaRPr lang="en-US"/>
        </a:p>
      </dgm:t>
    </dgm:pt>
    <dgm:pt modelId="{31D96DFA-ACB3-462A-9E90-636D4A748240}" type="pres">
      <dgm:prSet presAssocID="{153B8CEE-0381-4204-9779-C7EC4F627F58}" presName="hierRoot2" presStyleCnt="0">
        <dgm:presLayoutVars>
          <dgm:hierBranch val="init"/>
        </dgm:presLayoutVars>
      </dgm:prSet>
      <dgm:spPr/>
    </dgm:pt>
    <dgm:pt modelId="{599F1D04-5BDD-4BCA-91D3-EA01B8D051E2}" type="pres">
      <dgm:prSet presAssocID="{153B8CEE-0381-4204-9779-C7EC4F627F58}" presName="rootComposite" presStyleCnt="0"/>
      <dgm:spPr/>
    </dgm:pt>
    <dgm:pt modelId="{A658CD4F-2941-4C0C-A9BF-D757832722A2}" type="pres">
      <dgm:prSet presAssocID="{153B8CEE-0381-4204-9779-C7EC4F627F58}" presName="rootText" presStyleLbl="node4" presStyleIdx="12" presStyleCnt="19" custLinFactNeighborX="-47882" custLinFactNeighborY="-97389">
        <dgm:presLayoutVars>
          <dgm:chPref val="3"/>
        </dgm:presLayoutVars>
      </dgm:prSet>
      <dgm:spPr/>
      <dgm:t>
        <a:bodyPr/>
        <a:lstStyle/>
        <a:p>
          <a:endParaRPr lang="en-US"/>
        </a:p>
      </dgm:t>
    </dgm:pt>
    <dgm:pt modelId="{277FC5E5-7130-49E9-A3E4-9DF7D635B2A0}" type="pres">
      <dgm:prSet presAssocID="{153B8CEE-0381-4204-9779-C7EC4F627F58}" presName="rootConnector" presStyleLbl="node4" presStyleIdx="12" presStyleCnt="19"/>
      <dgm:spPr/>
      <dgm:t>
        <a:bodyPr/>
        <a:lstStyle/>
        <a:p>
          <a:endParaRPr lang="en-US"/>
        </a:p>
      </dgm:t>
    </dgm:pt>
    <dgm:pt modelId="{56A92BAA-B9FC-4F4C-B59A-1BFF9827144A}" type="pres">
      <dgm:prSet presAssocID="{153B8CEE-0381-4204-9779-C7EC4F627F58}" presName="hierChild4" presStyleCnt="0"/>
      <dgm:spPr/>
    </dgm:pt>
    <dgm:pt modelId="{E3109FBB-0555-4823-96FB-8F531E73E53F}" type="pres">
      <dgm:prSet presAssocID="{8FA85F15-0B93-4340-A915-C6719B7845ED}" presName="Name37" presStyleLbl="parChTrans1D4" presStyleIdx="13" presStyleCnt="19"/>
      <dgm:spPr/>
      <dgm:t>
        <a:bodyPr/>
        <a:lstStyle/>
        <a:p>
          <a:endParaRPr lang="en-US"/>
        </a:p>
      </dgm:t>
    </dgm:pt>
    <dgm:pt modelId="{1288C421-FE73-492C-9846-0882F4DF2840}" type="pres">
      <dgm:prSet presAssocID="{8F70B7CC-9D32-4DA3-AE3A-0D697D3AB67C}" presName="hierRoot2" presStyleCnt="0">
        <dgm:presLayoutVars>
          <dgm:hierBranch val="init"/>
        </dgm:presLayoutVars>
      </dgm:prSet>
      <dgm:spPr/>
    </dgm:pt>
    <dgm:pt modelId="{4A25700F-743A-44B0-B7BD-C3D4322A458B}" type="pres">
      <dgm:prSet presAssocID="{8F70B7CC-9D32-4DA3-AE3A-0D697D3AB67C}" presName="rootComposite" presStyleCnt="0"/>
      <dgm:spPr/>
    </dgm:pt>
    <dgm:pt modelId="{74188041-A1DF-49B2-B896-8C106E0F582B}" type="pres">
      <dgm:prSet presAssocID="{8F70B7CC-9D32-4DA3-AE3A-0D697D3AB67C}" presName="rootText" presStyleLbl="node4" presStyleIdx="13" presStyleCnt="19" custScaleX="121018" custLinFactNeighborX="-55143" custLinFactNeighborY="-94263">
        <dgm:presLayoutVars>
          <dgm:chPref val="3"/>
        </dgm:presLayoutVars>
      </dgm:prSet>
      <dgm:spPr/>
      <dgm:t>
        <a:bodyPr/>
        <a:lstStyle/>
        <a:p>
          <a:endParaRPr lang="en-US"/>
        </a:p>
      </dgm:t>
    </dgm:pt>
    <dgm:pt modelId="{D1E04FBA-D972-46A1-82CB-18D04917AAF3}" type="pres">
      <dgm:prSet presAssocID="{8F70B7CC-9D32-4DA3-AE3A-0D697D3AB67C}" presName="rootConnector" presStyleLbl="node4" presStyleIdx="13" presStyleCnt="19"/>
      <dgm:spPr/>
      <dgm:t>
        <a:bodyPr/>
        <a:lstStyle/>
        <a:p>
          <a:endParaRPr lang="en-US"/>
        </a:p>
      </dgm:t>
    </dgm:pt>
    <dgm:pt modelId="{4FF2FF11-B546-41CD-BD3C-CEA94F90501F}" type="pres">
      <dgm:prSet presAssocID="{8F70B7CC-9D32-4DA3-AE3A-0D697D3AB67C}" presName="hierChild4" presStyleCnt="0"/>
      <dgm:spPr/>
    </dgm:pt>
    <dgm:pt modelId="{61E39A55-44D1-434B-A9E6-78D620E09C84}" type="pres">
      <dgm:prSet presAssocID="{8F70B7CC-9D32-4DA3-AE3A-0D697D3AB67C}" presName="hierChild5" presStyleCnt="0"/>
      <dgm:spPr/>
    </dgm:pt>
    <dgm:pt modelId="{4140A7AF-5AD4-430F-84BF-574C83639C63}" type="pres">
      <dgm:prSet presAssocID="{153B8CEE-0381-4204-9779-C7EC4F627F58}" presName="hierChild5" presStyleCnt="0"/>
      <dgm:spPr/>
    </dgm:pt>
    <dgm:pt modelId="{C45BE094-A04D-4E55-85D9-45F44D4A8C76}" type="pres">
      <dgm:prSet presAssocID="{4A437CE1-3B54-4EF6-ACCF-7DF405705A34}" presName="Name37" presStyleLbl="parChTrans1D4" presStyleIdx="14" presStyleCnt="19"/>
      <dgm:spPr/>
      <dgm:t>
        <a:bodyPr/>
        <a:lstStyle/>
        <a:p>
          <a:endParaRPr lang="en-US"/>
        </a:p>
      </dgm:t>
    </dgm:pt>
    <dgm:pt modelId="{4DF902EA-7680-4020-835A-5A959099CE7C}" type="pres">
      <dgm:prSet presAssocID="{81553D4C-880A-4CDB-8820-ABB2F5F7AD67}" presName="hierRoot2" presStyleCnt="0">
        <dgm:presLayoutVars>
          <dgm:hierBranch val="init"/>
        </dgm:presLayoutVars>
      </dgm:prSet>
      <dgm:spPr/>
    </dgm:pt>
    <dgm:pt modelId="{F9546846-1955-4774-B2B1-102615AC057A}" type="pres">
      <dgm:prSet presAssocID="{81553D4C-880A-4CDB-8820-ABB2F5F7AD67}" presName="rootComposite" presStyleCnt="0"/>
      <dgm:spPr/>
    </dgm:pt>
    <dgm:pt modelId="{9D960369-E587-4918-86E6-32DDA269AFA2}" type="pres">
      <dgm:prSet presAssocID="{81553D4C-880A-4CDB-8820-ABB2F5F7AD67}" presName="rootText" presStyleLbl="node4" presStyleIdx="14" presStyleCnt="19" custLinFactNeighborX="-24792" custLinFactNeighborY="-93707">
        <dgm:presLayoutVars>
          <dgm:chPref val="3"/>
        </dgm:presLayoutVars>
      </dgm:prSet>
      <dgm:spPr/>
      <dgm:t>
        <a:bodyPr/>
        <a:lstStyle/>
        <a:p>
          <a:endParaRPr lang="en-US"/>
        </a:p>
      </dgm:t>
    </dgm:pt>
    <dgm:pt modelId="{E5E9E2E2-0B99-4931-AB3C-560173D49948}" type="pres">
      <dgm:prSet presAssocID="{81553D4C-880A-4CDB-8820-ABB2F5F7AD67}" presName="rootConnector" presStyleLbl="node4" presStyleIdx="14" presStyleCnt="19"/>
      <dgm:spPr/>
      <dgm:t>
        <a:bodyPr/>
        <a:lstStyle/>
        <a:p>
          <a:endParaRPr lang="en-US"/>
        </a:p>
      </dgm:t>
    </dgm:pt>
    <dgm:pt modelId="{B48502EA-EA94-4D65-BF30-055ED4C0F670}" type="pres">
      <dgm:prSet presAssocID="{81553D4C-880A-4CDB-8820-ABB2F5F7AD67}" presName="hierChild4" presStyleCnt="0"/>
      <dgm:spPr/>
    </dgm:pt>
    <dgm:pt modelId="{63124B33-0411-40FE-8578-619AC852A99D}" type="pres">
      <dgm:prSet presAssocID="{078ECA23-258D-4234-AFCF-CB600C40D7F3}" presName="Name37" presStyleLbl="parChTrans1D4" presStyleIdx="15" presStyleCnt="19"/>
      <dgm:spPr/>
      <dgm:t>
        <a:bodyPr/>
        <a:lstStyle/>
        <a:p>
          <a:endParaRPr lang="en-US"/>
        </a:p>
      </dgm:t>
    </dgm:pt>
    <dgm:pt modelId="{A2173278-BEB5-41C0-98A6-96E020DFF769}" type="pres">
      <dgm:prSet presAssocID="{AF23C920-9B10-420A-9BD0-EEB1F87EB5E4}" presName="hierRoot2" presStyleCnt="0">
        <dgm:presLayoutVars>
          <dgm:hierBranch val="init"/>
        </dgm:presLayoutVars>
      </dgm:prSet>
      <dgm:spPr/>
    </dgm:pt>
    <dgm:pt modelId="{E0A46731-CEC5-48F7-9D56-7B8E7FE7A8F4}" type="pres">
      <dgm:prSet presAssocID="{AF23C920-9B10-420A-9BD0-EEB1F87EB5E4}" presName="rootComposite" presStyleCnt="0"/>
      <dgm:spPr/>
    </dgm:pt>
    <dgm:pt modelId="{DFBDF1B7-93CA-4060-9F28-86E50E7D083D}" type="pres">
      <dgm:prSet presAssocID="{AF23C920-9B10-420A-9BD0-EEB1F87EB5E4}" presName="rootText" presStyleLbl="node4" presStyleIdx="15" presStyleCnt="19" custScaleX="112326" custLinFactNeighborX="-30516" custLinFactNeighborY="-94212">
        <dgm:presLayoutVars>
          <dgm:chPref val="3"/>
        </dgm:presLayoutVars>
      </dgm:prSet>
      <dgm:spPr/>
      <dgm:t>
        <a:bodyPr/>
        <a:lstStyle/>
        <a:p>
          <a:endParaRPr lang="en-US"/>
        </a:p>
      </dgm:t>
    </dgm:pt>
    <dgm:pt modelId="{17E436C8-F149-4379-BF37-1A7769B06F41}" type="pres">
      <dgm:prSet presAssocID="{AF23C920-9B10-420A-9BD0-EEB1F87EB5E4}" presName="rootConnector" presStyleLbl="node4" presStyleIdx="15" presStyleCnt="19"/>
      <dgm:spPr/>
      <dgm:t>
        <a:bodyPr/>
        <a:lstStyle/>
        <a:p>
          <a:endParaRPr lang="en-US"/>
        </a:p>
      </dgm:t>
    </dgm:pt>
    <dgm:pt modelId="{30154C5D-62E1-4B0D-9D3A-B0B1E015F273}" type="pres">
      <dgm:prSet presAssocID="{AF23C920-9B10-420A-9BD0-EEB1F87EB5E4}" presName="hierChild4" presStyleCnt="0"/>
      <dgm:spPr/>
    </dgm:pt>
    <dgm:pt modelId="{D98937B1-0045-4E5E-BA65-7B406CE8BDB1}" type="pres">
      <dgm:prSet presAssocID="{AF23C920-9B10-420A-9BD0-EEB1F87EB5E4}" presName="hierChild5" presStyleCnt="0"/>
      <dgm:spPr/>
    </dgm:pt>
    <dgm:pt modelId="{8DD83668-46DC-483A-AEB8-E72A1EE6F002}" type="pres">
      <dgm:prSet presAssocID="{81553D4C-880A-4CDB-8820-ABB2F5F7AD67}" presName="hierChild5" presStyleCnt="0"/>
      <dgm:spPr/>
    </dgm:pt>
    <dgm:pt modelId="{781FF841-2632-46F4-8B5D-F8C91868F71C}" type="pres">
      <dgm:prSet presAssocID="{358EFAA0-AD3A-4940-9DA9-36DE46F13C75}" presName="Name37" presStyleLbl="parChTrans1D4" presStyleIdx="16" presStyleCnt="19"/>
      <dgm:spPr/>
      <dgm:t>
        <a:bodyPr/>
        <a:lstStyle/>
        <a:p>
          <a:endParaRPr lang="en-US"/>
        </a:p>
      </dgm:t>
    </dgm:pt>
    <dgm:pt modelId="{7743C8C8-FD4F-4D18-BD17-55BCF9DAC33F}" type="pres">
      <dgm:prSet presAssocID="{F0AF9177-A1A7-4C0B-89F0-1CF9A27F5A5C}" presName="hierRoot2" presStyleCnt="0">
        <dgm:presLayoutVars>
          <dgm:hierBranch val="init"/>
        </dgm:presLayoutVars>
      </dgm:prSet>
      <dgm:spPr/>
    </dgm:pt>
    <dgm:pt modelId="{CAF2159A-8B6A-4012-88BE-83BA2CCB1E49}" type="pres">
      <dgm:prSet presAssocID="{F0AF9177-A1A7-4C0B-89F0-1CF9A27F5A5C}" presName="rootComposite" presStyleCnt="0"/>
      <dgm:spPr/>
    </dgm:pt>
    <dgm:pt modelId="{797532B3-AEDD-4DAC-A7C9-6E8A7EE566FE}" type="pres">
      <dgm:prSet presAssocID="{F0AF9177-A1A7-4C0B-89F0-1CF9A27F5A5C}" presName="rootText" presStyleLbl="node4" presStyleIdx="16" presStyleCnt="19" custLinFactNeighborX="-29447" custLinFactNeighborY="-95637">
        <dgm:presLayoutVars>
          <dgm:chPref val="3"/>
        </dgm:presLayoutVars>
      </dgm:prSet>
      <dgm:spPr/>
      <dgm:t>
        <a:bodyPr/>
        <a:lstStyle/>
        <a:p>
          <a:endParaRPr lang="en-US"/>
        </a:p>
      </dgm:t>
    </dgm:pt>
    <dgm:pt modelId="{924DDCFF-DD24-4DE7-87DC-42D28540EF8F}" type="pres">
      <dgm:prSet presAssocID="{F0AF9177-A1A7-4C0B-89F0-1CF9A27F5A5C}" presName="rootConnector" presStyleLbl="node4" presStyleIdx="16" presStyleCnt="19"/>
      <dgm:spPr/>
      <dgm:t>
        <a:bodyPr/>
        <a:lstStyle/>
        <a:p>
          <a:endParaRPr lang="en-US"/>
        </a:p>
      </dgm:t>
    </dgm:pt>
    <dgm:pt modelId="{F7943D81-1219-4F36-B572-8E2A0850568D}" type="pres">
      <dgm:prSet presAssocID="{F0AF9177-A1A7-4C0B-89F0-1CF9A27F5A5C}" presName="hierChild4" presStyleCnt="0"/>
      <dgm:spPr/>
    </dgm:pt>
    <dgm:pt modelId="{7D6475C4-9739-4123-A563-E721F4F15080}" type="pres">
      <dgm:prSet presAssocID="{A77A03D4-E51F-4327-9F3C-FB23EB819D54}" presName="Name37" presStyleLbl="parChTrans1D4" presStyleIdx="17" presStyleCnt="19"/>
      <dgm:spPr/>
      <dgm:t>
        <a:bodyPr/>
        <a:lstStyle/>
        <a:p>
          <a:endParaRPr lang="en-US"/>
        </a:p>
      </dgm:t>
    </dgm:pt>
    <dgm:pt modelId="{42CE837E-0732-4314-B991-59FF1B42B316}" type="pres">
      <dgm:prSet presAssocID="{1B0C10D7-490E-4628-A60C-FA7B7F69BFF9}" presName="hierRoot2" presStyleCnt="0">
        <dgm:presLayoutVars>
          <dgm:hierBranch val="init"/>
        </dgm:presLayoutVars>
      </dgm:prSet>
      <dgm:spPr/>
    </dgm:pt>
    <dgm:pt modelId="{3C017E81-F4BD-4AB6-8E9A-1DAA1BCE3B43}" type="pres">
      <dgm:prSet presAssocID="{1B0C10D7-490E-4628-A60C-FA7B7F69BFF9}" presName="rootComposite" presStyleCnt="0"/>
      <dgm:spPr/>
    </dgm:pt>
    <dgm:pt modelId="{A1E0AAC8-E355-462E-9A51-A85E6CB7E5FA}" type="pres">
      <dgm:prSet presAssocID="{1B0C10D7-490E-4628-A60C-FA7B7F69BFF9}" presName="rootText" presStyleLbl="node4" presStyleIdx="17" presStyleCnt="19" custScaleX="123888" custLinFactNeighborX="-32899" custLinFactNeighborY="-97768">
        <dgm:presLayoutVars>
          <dgm:chPref val="3"/>
        </dgm:presLayoutVars>
      </dgm:prSet>
      <dgm:spPr/>
      <dgm:t>
        <a:bodyPr/>
        <a:lstStyle/>
        <a:p>
          <a:endParaRPr lang="en-US"/>
        </a:p>
      </dgm:t>
    </dgm:pt>
    <dgm:pt modelId="{015BEF91-4A19-460D-8443-44A5E6CEA9A6}" type="pres">
      <dgm:prSet presAssocID="{1B0C10D7-490E-4628-A60C-FA7B7F69BFF9}" presName="rootConnector" presStyleLbl="node4" presStyleIdx="17" presStyleCnt="19"/>
      <dgm:spPr/>
      <dgm:t>
        <a:bodyPr/>
        <a:lstStyle/>
        <a:p>
          <a:endParaRPr lang="en-US"/>
        </a:p>
      </dgm:t>
    </dgm:pt>
    <dgm:pt modelId="{A9969A15-568C-40C9-8220-9EDF1A986173}" type="pres">
      <dgm:prSet presAssocID="{1B0C10D7-490E-4628-A60C-FA7B7F69BFF9}" presName="hierChild4" presStyleCnt="0"/>
      <dgm:spPr/>
    </dgm:pt>
    <dgm:pt modelId="{09DBE7FE-CA8A-4382-8B8F-AFC2BAA415DE}" type="pres">
      <dgm:prSet presAssocID="{1B0C10D7-490E-4628-A60C-FA7B7F69BFF9}" presName="hierChild5" presStyleCnt="0"/>
      <dgm:spPr/>
    </dgm:pt>
    <dgm:pt modelId="{FD87D152-35EB-4694-A9B1-5F1E1626DDCD}" type="pres">
      <dgm:prSet presAssocID="{F0AF9177-A1A7-4C0B-89F0-1CF9A27F5A5C}" presName="hierChild5" presStyleCnt="0"/>
      <dgm:spPr/>
    </dgm:pt>
    <dgm:pt modelId="{77F0E76F-F4D6-4D15-88C7-B6018F03294A}" type="pres">
      <dgm:prSet presAssocID="{8926D3EB-6EF8-48CD-95F6-8EFE916875F5}" presName="hierChild5" presStyleCnt="0"/>
      <dgm:spPr/>
    </dgm:pt>
    <dgm:pt modelId="{690C37B9-7957-4002-BF8B-2E94B5657F2E}" type="pres">
      <dgm:prSet presAssocID="{C2E56904-706C-4FF4-8669-77087F64E997}" presName="hierChild5" presStyleCnt="0"/>
      <dgm:spPr/>
    </dgm:pt>
    <dgm:pt modelId="{8843A69E-20FA-454F-89FA-2C52CEB5F79D}" type="pres">
      <dgm:prSet presAssocID="{496FD998-C30C-4AE2-A376-C8EF413C97D7}" presName="Name37" presStyleLbl="parChTrans1D4" presStyleIdx="18" presStyleCnt="19"/>
      <dgm:spPr/>
      <dgm:t>
        <a:bodyPr/>
        <a:lstStyle/>
        <a:p>
          <a:endParaRPr lang="en-US"/>
        </a:p>
      </dgm:t>
    </dgm:pt>
    <dgm:pt modelId="{DFB08113-9ECF-485F-9505-ED14E6412CFA}" type="pres">
      <dgm:prSet presAssocID="{5D6A7A9A-CA06-4975-84AA-832AFBF97BBA}" presName="hierRoot2" presStyleCnt="0">
        <dgm:presLayoutVars>
          <dgm:hierBranch val="init"/>
        </dgm:presLayoutVars>
      </dgm:prSet>
      <dgm:spPr/>
    </dgm:pt>
    <dgm:pt modelId="{BDC0E9BF-B6AE-4D95-980F-C1D7C07F0165}" type="pres">
      <dgm:prSet presAssocID="{5D6A7A9A-CA06-4975-84AA-832AFBF97BBA}" presName="rootComposite" presStyleCnt="0"/>
      <dgm:spPr/>
    </dgm:pt>
    <dgm:pt modelId="{D6319B11-2A26-4571-AE85-E89B535B22E3}" type="pres">
      <dgm:prSet presAssocID="{5D6A7A9A-CA06-4975-84AA-832AFBF97BBA}" presName="rootText" presStyleLbl="node4" presStyleIdx="18" presStyleCnt="19" custLinFactNeighborX="5284" custLinFactNeighborY="-99851">
        <dgm:presLayoutVars>
          <dgm:chPref val="3"/>
        </dgm:presLayoutVars>
      </dgm:prSet>
      <dgm:spPr/>
      <dgm:t>
        <a:bodyPr/>
        <a:lstStyle/>
        <a:p>
          <a:endParaRPr lang="en-US"/>
        </a:p>
      </dgm:t>
    </dgm:pt>
    <dgm:pt modelId="{FACBB6A4-09AF-41DA-B46C-16562F262097}" type="pres">
      <dgm:prSet presAssocID="{5D6A7A9A-CA06-4975-84AA-832AFBF97BBA}" presName="rootConnector" presStyleLbl="node4" presStyleIdx="18" presStyleCnt="19"/>
      <dgm:spPr/>
      <dgm:t>
        <a:bodyPr/>
        <a:lstStyle/>
        <a:p>
          <a:endParaRPr lang="en-US"/>
        </a:p>
      </dgm:t>
    </dgm:pt>
    <dgm:pt modelId="{2F0750DF-F5BC-447D-9D66-D6BF868E5661}" type="pres">
      <dgm:prSet presAssocID="{5D6A7A9A-CA06-4975-84AA-832AFBF97BBA}" presName="hierChild4" presStyleCnt="0"/>
      <dgm:spPr/>
    </dgm:pt>
    <dgm:pt modelId="{0B953E7A-66B0-4C03-86DE-C80E208D135A}" type="pres">
      <dgm:prSet presAssocID="{5D6A7A9A-CA06-4975-84AA-832AFBF97BBA}" presName="hierChild5" presStyleCnt="0"/>
      <dgm:spPr/>
    </dgm:pt>
    <dgm:pt modelId="{5987730A-118D-4182-BEE0-2F3FEB58B69A}" type="pres">
      <dgm:prSet presAssocID="{F166575C-DDBD-4B32-80CE-E7152810847F}" presName="hierChild5" presStyleCnt="0"/>
      <dgm:spPr/>
    </dgm:pt>
    <dgm:pt modelId="{A0F110D6-97D9-4A54-9F6A-57C9B37561E6}" type="pres">
      <dgm:prSet presAssocID="{9FC40004-3B49-4BE6-8D35-78E7C70577FF}" presName="hierChild5" presStyleCnt="0"/>
      <dgm:spPr/>
    </dgm:pt>
    <dgm:pt modelId="{7A10F3FE-272C-4E77-A242-94734B96AC34}" type="pres">
      <dgm:prSet presAssocID="{36DC64DF-2B18-4A74-8832-2C3CD21FEAD4}" presName="hierChild5" presStyleCnt="0"/>
      <dgm:spPr/>
    </dgm:pt>
    <dgm:pt modelId="{62746E04-072B-4FD3-9F2A-4E8118DA64A3}" type="pres">
      <dgm:prSet presAssocID="{BED86C4B-3812-490C-AEF1-C6112BDD9989}" presName="hierChild5" presStyleCnt="0"/>
      <dgm:spPr/>
    </dgm:pt>
    <dgm:pt modelId="{70F5DF31-1F11-4317-9DD6-AFE22A031078}" type="pres">
      <dgm:prSet presAssocID="{340113C7-830C-413C-8DBD-BF5746868E11}" presName="hierChild5" presStyleCnt="0"/>
      <dgm:spPr/>
    </dgm:pt>
    <dgm:pt modelId="{0FDB8DC5-317B-42AD-98FB-F0DC05AAC7C8}" type="pres">
      <dgm:prSet presAssocID="{CA6E049B-8CA8-4025-A752-1D1FDAB2B076}" presName="hierChild5" presStyleCnt="0"/>
      <dgm:spPr/>
    </dgm:pt>
    <dgm:pt modelId="{1D41CE73-BEE3-4CA7-A0A5-E019BF9FA865}" type="pres">
      <dgm:prSet presAssocID="{267909B2-D670-4D0E-93FA-D4DC1EC8723B}" presName="hierChild5" presStyleCnt="0"/>
      <dgm:spPr/>
    </dgm:pt>
    <dgm:pt modelId="{EBF8B6FC-C376-4E1D-8BBA-B28ED132DBC4}" type="pres">
      <dgm:prSet presAssocID="{ED729B25-1D9E-4251-8EF3-45003FFE995A}" presName="hierChild5" presStyleCnt="0"/>
      <dgm:spPr/>
    </dgm:pt>
    <dgm:pt modelId="{9FCFF2D8-2819-4609-B024-A854A9F25414}" type="pres">
      <dgm:prSet presAssocID="{0D5D8915-A315-4377-82AE-52CB439F3818}" presName="hierChild3" presStyleCnt="0"/>
      <dgm:spPr/>
    </dgm:pt>
  </dgm:ptLst>
  <dgm:cxnLst>
    <dgm:cxn modelId="{A75CE688-A430-44DC-B229-C89152B981AD}" type="presOf" srcId="{81553D4C-880A-4CDB-8820-ABB2F5F7AD67}" destId="{E5E9E2E2-0B99-4931-AB3C-560173D49948}" srcOrd="1" destOrd="0" presId="urn:microsoft.com/office/officeart/2005/8/layout/orgChart1"/>
    <dgm:cxn modelId="{78293D6B-47E4-4D15-8084-E5DF8F675F1E}" srcId="{81553D4C-880A-4CDB-8820-ABB2F5F7AD67}" destId="{AF23C920-9B10-420A-9BD0-EEB1F87EB5E4}" srcOrd="0" destOrd="0" parTransId="{078ECA23-258D-4234-AFCF-CB600C40D7F3}" sibTransId="{05D7E464-7BD6-4D00-90A9-C1B3114E339A}"/>
    <dgm:cxn modelId="{186BE5C6-2C49-48B5-9A9E-6FD1DF20F2F0}" type="presOf" srcId="{9FC40004-3B49-4BE6-8D35-78E7C70577FF}" destId="{C083CB9B-A4A3-42D8-88A9-9AD775A79784}" srcOrd="0" destOrd="0" presId="urn:microsoft.com/office/officeart/2005/8/layout/orgChart1"/>
    <dgm:cxn modelId="{7D9B3A8C-6BD2-46E6-83AD-FBBF1D7F611C}" type="presOf" srcId="{D1F12CB4-E544-4994-8ECD-DC720A649D38}" destId="{009590EB-91D9-4F2C-9CCA-62666500062F}" srcOrd="0" destOrd="0" presId="urn:microsoft.com/office/officeart/2005/8/layout/orgChart1"/>
    <dgm:cxn modelId="{2D673D9A-BD59-4D80-9746-2975143E6A33}" srcId="{CA6E049B-8CA8-4025-A752-1D1FDAB2B076}" destId="{340113C7-830C-413C-8DBD-BF5746868E11}" srcOrd="1" destOrd="0" parTransId="{1C4C88F0-6CE8-424F-B610-D3E62257617C}" sibTransId="{0A591B3F-70F4-446C-A682-164F77296023}"/>
    <dgm:cxn modelId="{8E6BBD7D-CE32-4157-8B32-87F01EEA8A82}" srcId="{153B8CEE-0381-4204-9779-C7EC4F627F58}" destId="{8F70B7CC-9D32-4DA3-AE3A-0D697D3AB67C}" srcOrd="0" destOrd="0" parTransId="{8FA85F15-0B93-4340-A915-C6719B7845ED}" sibTransId="{F0D150A2-F7D5-4C19-BB75-B9D090EB14B2}"/>
    <dgm:cxn modelId="{34237A76-BA59-435C-BA0D-A2ED8AF72004}" type="presOf" srcId="{36DC64DF-2B18-4A74-8832-2C3CD21FEAD4}" destId="{02D478EE-96F5-447E-B3C3-C5DB2FD47E07}" srcOrd="0" destOrd="0" presId="urn:microsoft.com/office/officeart/2005/8/layout/orgChart1"/>
    <dgm:cxn modelId="{14E0C988-4F39-4B53-A73A-2C410CD7E000}" type="presOf" srcId="{BA66BED9-4478-427E-8094-512ED31FE1D6}" destId="{5F6C7E4C-8A14-413F-A848-FF932668D64A}" srcOrd="0" destOrd="0" presId="urn:microsoft.com/office/officeart/2005/8/layout/orgChart1"/>
    <dgm:cxn modelId="{B696EEF6-1864-41FA-8A5A-D14E9C026652}" type="presOf" srcId="{F153094C-3799-4C05-BF08-0F9D70448AF5}" destId="{E7E4CA2B-BD5D-4E86-818E-44F9867A2B45}" srcOrd="0" destOrd="0" presId="urn:microsoft.com/office/officeart/2005/8/layout/orgChart1"/>
    <dgm:cxn modelId="{6A645CA3-8FD6-4E6D-9852-6EB9AAFEEAF2}" type="presOf" srcId="{0D5D8915-A315-4377-82AE-52CB439F3818}" destId="{F5F15E45-EB20-4468-8B4E-B773DCA64F49}" srcOrd="1" destOrd="0" presId="urn:microsoft.com/office/officeart/2005/8/layout/orgChart1"/>
    <dgm:cxn modelId="{9DCB7939-D96B-4B17-A470-0C9311382B68}" srcId="{F0AF9177-A1A7-4C0B-89F0-1CF9A27F5A5C}" destId="{1B0C10D7-490E-4628-A60C-FA7B7F69BFF9}" srcOrd="0" destOrd="0" parTransId="{A77A03D4-E51F-4327-9F3C-FB23EB819D54}" sibTransId="{4369C110-C411-4515-9CF1-D1508A50AEAB}"/>
    <dgm:cxn modelId="{314B27A8-4DA8-4407-9278-66DCB671F2AC}" type="presOf" srcId="{AF23C920-9B10-420A-9BD0-EEB1F87EB5E4}" destId="{DFBDF1B7-93CA-4060-9F28-86E50E7D083D}" srcOrd="0" destOrd="0" presId="urn:microsoft.com/office/officeart/2005/8/layout/orgChart1"/>
    <dgm:cxn modelId="{4E0B9CEC-2CA0-4611-80D7-9C7E93FF3C1F}" srcId="{8926D3EB-6EF8-48CD-95F6-8EFE916875F5}" destId="{3BFCA84D-9B5A-41D6-8E12-3E6E66A14E5E}" srcOrd="0" destOrd="0" parTransId="{BA66BED9-4478-427E-8094-512ED31FE1D6}" sibTransId="{1691F667-BFB7-4AD4-982B-CD224BB44284}"/>
    <dgm:cxn modelId="{A83EB71E-C291-4062-81F8-2E49445BEA1E}" type="presOf" srcId="{8F3B9739-2B9D-4FC9-90EE-FF33359D7C24}" destId="{3889F42C-D496-4257-8A26-07AE01A7FC00}" srcOrd="0" destOrd="0" presId="urn:microsoft.com/office/officeart/2005/8/layout/orgChart1"/>
    <dgm:cxn modelId="{5A26BA17-EB76-44AA-A505-B73A67185ECE}" srcId="{340113C7-830C-413C-8DBD-BF5746868E11}" destId="{BED86C4B-3812-490C-AEF1-C6112BDD9989}" srcOrd="0" destOrd="0" parTransId="{7505F821-28DB-423A-89FD-D89E66A9DE7B}" sibTransId="{54976C49-6115-4465-9546-2215CC22449F}"/>
    <dgm:cxn modelId="{5129E16C-25FC-49DE-BAEA-62A37F39AD3A}" type="presOf" srcId="{F166575C-DDBD-4B32-80CE-E7152810847F}" destId="{7D4B6535-A194-4AFB-8452-97309EF2F8B4}" srcOrd="1" destOrd="0" presId="urn:microsoft.com/office/officeart/2005/8/layout/orgChart1"/>
    <dgm:cxn modelId="{2AA5997A-109E-4AB2-B363-C6D9E090D58D}" srcId="{BED86C4B-3812-490C-AEF1-C6112BDD9989}" destId="{36DC64DF-2B18-4A74-8832-2C3CD21FEAD4}" srcOrd="0" destOrd="0" parTransId="{25626EF8-7259-4EE7-A16A-DE2ED1021932}" sibTransId="{B0335EBC-7A54-4633-805D-3E6F9B91103D}"/>
    <dgm:cxn modelId="{54F251F3-705F-4D19-87A3-9579125CC5C4}" type="presOf" srcId="{AF23C920-9B10-420A-9BD0-EEB1F87EB5E4}" destId="{17E436C8-F149-4379-BF37-1A7769B06F41}" srcOrd="1" destOrd="0" presId="urn:microsoft.com/office/officeart/2005/8/layout/orgChart1"/>
    <dgm:cxn modelId="{A09020C0-8A62-49CF-815F-B3DC2FEB0AC3}" type="presOf" srcId="{ED729B25-1D9E-4251-8EF3-45003FFE995A}" destId="{CB21C93F-B32B-4D8A-8BF2-F13D280E3EBE}" srcOrd="0" destOrd="0" presId="urn:microsoft.com/office/officeart/2005/8/layout/orgChart1"/>
    <dgm:cxn modelId="{B332559D-56DD-499A-B182-ABA57F83A973}" srcId="{267909B2-D670-4D0E-93FA-D4DC1EC8723B}" destId="{CA6E049B-8CA8-4025-A752-1D1FDAB2B076}" srcOrd="0" destOrd="0" parTransId="{33EF2859-E5AC-4590-9655-B1C72FD3C38E}" sibTransId="{D58DA87B-E3EF-49A0-9C13-A3F213EC7DF1}"/>
    <dgm:cxn modelId="{85FEA7E7-3619-46C2-813A-DE6E02E0DA44}" type="presOf" srcId="{340113C7-830C-413C-8DBD-BF5746868E11}" destId="{811C49D9-A214-4569-9854-2D5200573482}" srcOrd="1" destOrd="0" presId="urn:microsoft.com/office/officeart/2005/8/layout/orgChart1"/>
    <dgm:cxn modelId="{1C0F9DE6-CCBC-4C5C-9665-821945631997}" type="presOf" srcId="{153B8CEE-0381-4204-9779-C7EC4F627F58}" destId="{277FC5E5-7130-49E9-A3E4-9DF7D635B2A0}" srcOrd="1" destOrd="0" presId="urn:microsoft.com/office/officeart/2005/8/layout/orgChart1"/>
    <dgm:cxn modelId="{83390977-EADA-4B64-8E55-611F347B2DCF}" type="presOf" srcId="{8926D3EB-6EF8-48CD-95F6-8EFE916875F5}" destId="{68E2C949-FF76-4752-805C-C797FEEEFBAC}" srcOrd="1" destOrd="0" presId="urn:microsoft.com/office/officeart/2005/8/layout/orgChart1"/>
    <dgm:cxn modelId="{A4501583-EE2A-4D80-B8C5-E65A18B1839B}" type="presOf" srcId="{267909B2-D670-4D0E-93FA-D4DC1EC8723B}" destId="{8CADBEF0-C7C7-4C77-9563-022AD1E933A3}" srcOrd="1" destOrd="0" presId="urn:microsoft.com/office/officeart/2005/8/layout/orgChart1"/>
    <dgm:cxn modelId="{C90AAA9D-13EB-4291-82D2-8013E4E87095}" type="presOf" srcId="{CA6E049B-8CA8-4025-A752-1D1FDAB2B076}" destId="{D8C32DCA-B192-487D-8177-9B9A6FED3E24}" srcOrd="1" destOrd="0" presId="urn:microsoft.com/office/officeart/2005/8/layout/orgChart1"/>
    <dgm:cxn modelId="{A710C8D1-32FF-4517-8778-72BE6A9E4504}" type="presOf" srcId="{C2E56904-706C-4FF4-8669-77087F64E997}" destId="{72DD0FF7-D3AD-4AC2-8E10-455B5BAEE9D0}" srcOrd="0" destOrd="0" presId="urn:microsoft.com/office/officeart/2005/8/layout/orgChart1"/>
    <dgm:cxn modelId="{191D502D-990A-442E-82C6-6CC89F63E49A}" type="presOf" srcId="{F166575C-DDBD-4B32-80CE-E7152810847F}" destId="{F4CDA0C9-EBCE-4DF0-9F21-79E4466926D0}" srcOrd="0" destOrd="0" presId="urn:microsoft.com/office/officeart/2005/8/layout/orgChart1"/>
    <dgm:cxn modelId="{34135518-F046-48FE-8B4A-295D50DAC7C1}" type="presOf" srcId="{CA6E049B-8CA8-4025-A752-1D1FDAB2B076}" destId="{C289D667-94C7-4EFD-9AE8-3CDE0E7D09CD}" srcOrd="0" destOrd="0" presId="urn:microsoft.com/office/officeart/2005/8/layout/orgChart1"/>
    <dgm:cxn modelId="{2C51AB76-B29C-42BD-823E-8D151558B50C}" type="presOf" srcId="{529579FE-F993-4ACC-B50F-C4AF894BACCC}" destId="{688501F0-31BB-472E-804C-3C646FD11158}" srcOrd="1" destOrd="0" presId="urn:microsoft.com/office/officeart/2005/8/layout/orgChart1"/>
    <dgm:cxn modelId="{8926C8EC-2768-46F7-B35F-0B3CA9C0CA01}" type="presOf" srcId="{ED729B25-1D9E-4251-8EF3-45003FFE995A}" destId="{AE875BC1-BD20-4E25-8002-4CEFA8886B3B}" srcOrd="1" destOrd="0" presId="urn:microsoft.com/office/officeart/2005/8/layout/orgChart1"/>
    <dgm:cxn modelId="{CC201851-6758-4421-8D7C-E41BA3402F25}" type="presOf" srcId="{93C0EC51-9366-46CE-AB2A-403701EF398C}" destId="{A7DD9B50-54F6-42FE-9F3E-9358564C3475}" srcOrd="0" destOrd="0" presId="urn:microsoft.com/office/officeart/2005/8/layout/orgChart1"/>
    <dgm:cxn modelId="{1E8575DB-8FBB-48B9-B35F-B21F6AAFD915}" type="presOf" srcId="{F153094C-3799-4C05-BF08-0F9D70448AF5}" destId="{489669AC-E978-48E5-9C07-BE4908EEA927}" srcOrd="1" destOrd="0" presId="urn:microsoft.com/office/officeart/2005/8/layout/orgChart1"/>
    <dgm:cxn modelId="{0D024060-861E-445C-83B7-97987E11EACD}" type="presOf" srcId="{267909B2-D670-4D0E-93FA-D4DC1EC8723B}" destId="{DFC234AD-27D9-4F6F-B727-B228AF33C6D1}" srcOrd="0" destOrd="0" presId="urn:microsoft.com/office/officeart/2005/8/layout/orgChart1"/>
    <dgm:cxn modelId="{07CEED38-11FD-4F8F-A3C2-85A668F6DD1B}" type="presOf" srcId="{0D5D8915-A315-4377-82AE-52CB439F3818}" destId="{7B1A70F4-04A0-4445-8726-D58DD5975D01}" srcOrd="0" destOrd="0" presId="urn:microsoft.com/office/officeart/2005/8/layout/orgChart1"/>
    <dgm:cxn modelId="{B60AED30-AF39-4FC4-9106-0895C851C3A4}" type="presOf" srcId="{A77A03D4-E51F-4327-9F3C-FB23EB819D54}" destId="{7D6475C4-9739-4123-A563-E721F4F15080}" srcOrd="0" destOrd="0" presId="urn:microsoft.com/office/officeart/2005/8/layout/orgChart1"/>
    <dgm:cxn modelId="{74569736-9873-4A12-B0B9-DCB1E7FBBDB1}" srcId="{8926D3EB-6EF8-48CD-95F6-8EFE916875F5}" destId="{153B8CEE-0381-4204-9779-C7EC4F627F58}" srcOrd="1" destOrd="0" parTransId="{A03280F6-D20D-4BA1-9B60-A7FD36329254}" sibTransId="{AD0A8EEC-01FE-4B3B-8958-9C8DE53F722C}"/>
    <dgm:cxn modelId="{4DB397FC-61AA-4C76-B250-C8B536F3C219}" type="presOf" srcId="{F0AF9177-A1A7-4C0B-89F0-1CF9A27F5A5C}" destId="{797532B3-AEDD-4DAC-A7C9-6E8A7EE566FE}" srcOrd="0" destOrd="0" presId="urn:microsoft.com/office/officeart/2005/8/layout/orgChart1"/>
    <dgm:cxn modelId="{F9A3DAC8-C9F0-44B5-8E90-D101B59EC936}" type="presOf" srcId="{65CEDDB9-2241-40FE-A2DE-DEFDA0C74F55}" destId="{E8F52203-688E-492F-B99C-F7E14FA66BC5}" srcOrd="0" destOrd="0" presId="urn:microsoft.com/office/officeart/2005/8/layout/orgChart1"/>
    <dgm:cxn modelId="{CAAD450E-881D-419B-A10A-0E63230E61F0}" type="presOf" srcId="{A03280F6-D20D-4BA1-9B60-A7FD36329254}" destId="{53EF512F-EAB7-4ADA-AD40-77BF017C0AFE}" srcOrd="0" destOrd="0" presId="urn:microsoft.com/office/officeart/2005/8/layout/orgChart1"/>
    <dgm:cxn modelId="{BE1AE89A-1D13-44B4-8972-7D2F37E3CE46}" type="presOf" srcId="{25626EF8-7259-4EE7-A16A-DE2ED1021932}" destId="{D23ACBB5-05F0-45E8-B3CD-A9374033B53A}" srcOrd="0" destOrd="0" presId="urn:microsoft.com/office/officeart/2005/8/layout/orgChart1"/>
    <dgm:cxn modelId="{BD33E3F4-E0DA-4FF3-8C4D-3028895B7B79}" srcId="{4C809025-51F4-4BBF-9769-25E467685024}" destId="{0D5D8915-A315-4377-82AE-52CB439F3818}" srcOrd="0" destOrd="0" parTransId="{7E34060F-F611-4452-872E-B962BBF2A833}" sibTransId="{B35618D6-7AC9-406C-987E-7253AEAB83F2}"/>
    <dgm:cxn modelId="{7A60BC36-0049-4A29-BF34-FF13904526C0}" srcId="{ED729B25-1D9E-4251-8EF3-45003FFE995A}" destId="{267909B2-D670-4D0E-93FA-D4DC1EC8723B}" srcOrd="0" destOrd="0" parTransId="{9944ADE5-8903-433F-933F-4FFD7BEFE2B7}" sibTransId="{94C5080A-7B19-4B5C-9549-0D2494852B54}"/>
    <dgm:cxn modelId="{6FB79E2E-C5B9-4633-812F-025EA7939960}" type="presOf" srcId="{1B0C10D7-490E-4628-A60C-FA7B7F69BFF9}" destId="{A1E0AAC8-E355-462E-9A51-A85E6CB7E5FA}" srcOrd="0" destOrd="0" presId="urn:microsoft.com/office/officeart/2005/8/layout/orgChart1"/>
    <dgm:cxn modelId="{1E14E991-078A-489D-8F18-6D86DAACE8F7}" type="presOf" srcId="{1B0C10D7-490E-4628-A60C-FA7B7F69BFF9}" destId="{015BEF91-4A19-460D-8443-44A5E6CEA9A6}" srcOrd="1" destOrd="0" presId="urn:microsoft.com/office/officeart/2005/8/layout/orgChart1"/>
    <dgm:cxn modelId="{D71A3037-A943-4DD1-B3E7-0A4307237BD4}" srcId="{C2E56904-706C-4FF4-8669-77087F64E997}" destId="{8926D3EB-6EF8-48CD-95F6-8EFE916875F5}" srcOrd="1" destOrd="0" parTransId="{AE0F08EF-4701-4761-B36D-DC6A785A7C2F}" sibTransId="{5716CD21-6920-4606-B999-1F801442ED7A}"/>
    <dgm:cxn modelId="{4C338B51-D001-464E-B41C-FD6CE09FF50A}" type="presOf" srcId="{8FA85F15-0B93-4340-A915-C6719B7845ED}" destId="{E3109FBB-0555-4823-96FB-8F531E73E53F}" srcOrd="0" destOrd="0" presId="urn:microsoft.com/office/officeart/2005/8/layout/orgChart1"/>
    <dgm:cxn modelId="{1E460D63-1EB3-4199-BFF1-760AF387CEAA}" type="presOf" srcId="{17673E05-1B22-494B-A7AA-5F27D29C9297}" destId="{F433524B-BD39-4253-AC6F-6C3291855BA9}" srcOrd="0" destOrd="0" presId="urn:microsoft.com/office/officeart/2005/8/layout/orgChart1"/>
    <dgm:cxn modelId="{008B3118-460A-4192-90F9-A5A87F903812}" type="presOf" srcId="{36DC64DF-2B18-4A74-8832-2C3CD21FEAD4}" destId="{F6CB7EB8-54D9-4FD1-8012-02C4263B150F}" srcOrd="1" destOrd="0" presId="urn:microsoft.com/office/officeart/2005/8/layout/orgChart1"/>
    <dgm:cxn modelId="{83089C4C-73FC-4BDF-9BAB-DF23FF174B5D}" type="presOf" srcId="{078ECA23-258D-4234-AFCF-CB600C40D7F3}" destId="{63124B33-0411-40FE-8578-619AC852A99D}" srcOrd="0" destOrd="0" presId="urn:microsoft.com/office/officeart/2005/8/layout/orgChart1"/>
    <dgm:cxn modelId="{4309D6F2-8A9B-48F4-B618-AFF52778F673}" srcId="{8926D3EB-6EF8-48CD-95F6-8EFE916875F5}" destId="{F0AF9177-A1A7-4C0B-89F0-1CF9A27F5A5C}" srcOrd="3" destOrd="0" parTransId="{358EFAA0-AD3A-4940-9DA9-36DE46F13C75}" sibTransId="{11D846C4-1157-4FA3-81C5-5636725588B7}"/>
    <dgm:cxn modelId="{3D4F165E-76DC-41E4-83E5-4267F25050CA}" type="presOf" srcId="{7505F821-28DB-423A-89FD-D89E66A9DE7B}" destId="{F6C05318-873F-4D79-B4FA-9CA1027F7F46}" srcOrd="0" destOrd="0" presId="urn:microsoft.com/office/officeart/2005/8/layout/orgChart1"/>
    <dgm:cxn modelId="{E89E5CCE-B7E7-42BA-AA21-96FB59946586}" type="presOf" srcId="{3BFCA84D-9B5A-41D6-8E12-3E6E66A14E5E}" destId="{703D0A9C-A4BD-476F-9B48-2BB361221C41}" srcOrd="0" destOrd="0" presId="urn:microsoft.com/office/officeart/2005/8/layout/orgChart1"/>
    <dgm:cxn modelId="{09E5CC2B-9E39-4702-9A86-7DA17E24A298}" type="presOf" srcId="{33EF2859-E5AC-4590-9655-B1C72FD3C38E}" destId="{CFCAFF06-E500-4D9D-BE0D-2E9BAC6145B4}" srcOrd="0" destOrd="0" presId="urn:microsoft.com/office/officeart/2005/8/layout/orgChart1"/>
    <dgm:cxn modelId="{20C97AEB-8E22-49FC-9DC2-DFC9CD602D5F}" type="presOf" srcId="{BED86C4B-3812-490C-AEF1-C6112BDD9989}" destId="{55EF2ED4-8DA6-4D8C-A54E-18EFA27BB41A}" srcOrd="1" destOrd="0" presId="urn:microsoft.com/office/officeart/2005/8/layout/orgChart1"/>
    <dgm:cxn modelId="{EE27EC68-31F6-487C-8A06-9572A9CF19CA}" type="presOf" srcId="{C2E56904-706C-4FF4-8669-77087F64E997}" destId="{8A215722-466E-4AF1-A9E1-A1EC08F0DE1C}" srcOrd="1" destOrd="0" presId="urn:microsoft.com/office/officeart/2005/8/layout/orgChart1"/>
    <dgm:cxn modelId="{A207463C-FF82-4790-8093-9E59D355D5EB}" srcId="{8926D3EB-6EF8-48CD-95F6-8EFE916875F5}" destId="{81553D4C-880A-4CDB-8820-ABB2F5F7AD67}" srcOrd="2" destOrd="0" parTransId="{4A437CE1-3B54-4EF6-ACCF-7DF405705A34}" sibTransId="{B604B983-6506-4321-9203-43190B99F39F}"/>
    <dgm:cxn modelId="{FFFEB064-284C-42D9-86A0-E2EC869E1723}" type="presOf" srcId="{358EFAA0-AD3A-4940-9DA9-36DE46F13C75}" destId="{781FF841-2632-46F4-8B5D-F8C91868F71C}" srcOrd="0" destOrd="0" presId="urn:microsoft.com/office/officeart/2005/8/layout/orgChart1"/>
    <dgm:cxn modelId="{D360B286-637D-4EDB-BD98-B307F5185A95}" type="presOf" srcId="{4A437CE1-3B54-4EF6-ACCF-7DF405705A34}" destId="{C45BE094-A04D-4E55-85D9-45F44D4A8C76}" srcOrd="0" destOrd="0" presId="urn:microsoft.com/office/officeart/2005/8/layout/orgChart1"/>
    <dgm:cxn modelId="{5BAAEA4B-0E06-440D-8973-E8794F016A4D}" srcId="{3BFCA84D-9B5A-41D6-8E12-3E6E66A14E5E}" destId="{65CEDDB9-2241-40FE-A2DE-DEFDA0C74F55}" srcOrd="0" destOrd="0" parTransId="{93C0EC51-9366-46CE-AB2A-403701EF398C}" sibTransId="{E672E481-6D0B-4824-A6BB-4A0108FA1C85}"/>
    <dgm:cxn modelId="{F3DA4E16-7454-470E-849F-D1FB52491087}" type="presOf" srcId="{5D6A7A9A-CA06-4975-84AA-832AFBF97BBA}" destId="{D6319B11-2A26-4571-AE85-E89B535B22E3}" srcOrd="0" destOrd="0" presId="urn:microsoft.com/office/officeart/2005/8/layout/orgChart1"/>
    <dgm:cxn modelId="{62FD1563-8CB8-41FC-A7C5-DB25B11C92B2}" srcId="{F166575C-DDBD-4B32-80CE-E7152810847F}" destId="{5D6A7A9A-CA06-4975-84AA-832AFBF97BBA}" srcOrd="1" destOrd="0" parTransId="{496FD998-C30C-4AE2-A376-C8EF413C97D7}" sibTransId="{BD4502A5-3FCB-47AC-84D1-31C9ACC61BB3}"/>
    <dgm:cxn modelId="{CA2600A4-63D3-46CD-98E5-CF69EFA1C781}" type="presOf" srcId="{153B8CEE-0381-4204-9779-C7EC4F627F58}" destId="{A658CD4F-2941-4C0C-A9BF-D757832722A2}" srcOrd="0" destOrd="0" presId="urn:microsoft.com/office/officeart/2005/8/layout/orgChart1"/>
    <dgm:cxn modelId="{7CB69582-E550-486F-AA77-8D478BF0FC00}" type="presOf" srcId="{340113C7-830C-413C-8DBD-BF5746868E11}" destId="{95080D60-A6EB-4255-B39D-C5A84A998F6F}" srcOrd="0" destOrd="0" presId="urn:microsoft.com/office/officeart/2005/8/layout/orgChart1"/>
    <dgm:cxn modelId="{9E5C5426-F073-40A2-BDE2-3CEBA65F81BE}" type="presOf" srcId="{8F70B7CC-9D32-4DA3-AE3A-0D697D3AB67C}" destId="{D1E04FBA-D972-46A1-82CB-18D04917AAF3}" srcOrd="1" destOrd="0" presId="urn:microsoft.com/office/officeart/2005/8/layout/orgChart1"/>
    <dgm:cxn modelId="{A91C8DF5-4D75-4557-BC8E-9FF65AF0D4FE}" srcId="{C2E56904-706C-4FF4-8669-77087F64E997}" destId="{F153094C-3799-4C05-BF08-0F9D70448AF5}" srcOrd="0" destOrd="0" parTransId="{9E2171A1-0F94-433A-A6B4-FC16A5F0E601}" sibTransId="{9DDB36C4-25FC-4C26-901E-5BBBA74A8EC6}"/>
    <dgm:cxn modelId="{CE1B9AD3-4BC9-4C02-AA3D-E1BAA6CF4F94}" type="presOf" srcId="{84A5002C-0CC9-462E-BCFA-A1F5A04CEAE8}" destId="{8BA168A4-9978-4615-860E-26D03FD2AD28}" srcOrd="0" destOrd="0" presId="urn:microsoft.com/office/officeart/2005/8/layout/orgChart1"/>
    <dgm:cxn modelId="{D9E93F50-0DE4-4C04-B9F5-CE51A3A265CA}" type="presOf" srcId="{81553D4C-880A-4CDB-8820-ABB2F5F7AD67}" destId="{9D960369-E587-4918-86E6-32DDA269AFA2}" srcOrd="0" destOrd="0" presId="urn:microsoft.com/office/officeart/2005/8/layout/orgChart1"/>
    <dgm:cxn modelId="{8EFE38B3-0258-4358-A7B5-D1B3B50DF98A}" type="presOf" srcId="{BED86C4B-3812-490C-AEF1-C6112BDD9989}" destId="{5FC8B272-7CE5-487D-8602-9022E5A7B8C6}" srcOrd="0" destOrd="0" presId="urn:microsoft.com/office/officeart/2005/8/layout/orgChart1"/>
    <dgm:cxn modelId="{A9B5541F-8B78-4BA1-BBEF-11DDA43F3BEF}" type="presOf" srcId="{1C4C88F0-6CE8-424F-B610-D3E62257617C}" destId="{548AA163-5E83-4AFE-8C14-30F4227D71B9}" srcOrd="0" destOrd="0" presId="urn:microsoft.com/office/officeart/2005/8/layout/orgChart1"/>
    <dgm:cxn modelId="{23F96D6F-223B-4000-9B93-6D5E7F2237A5}" type="presOf" srcId="{4C809025-51F4-4BBF-9769-25E467685024}" destId="{500D2AE1-F4B3-439E-93E5-644BD280A7F7}" srcOrd="0" destOrd="0" presId="urn:microsoft.com/office/officeart/2005/8/layout/orgChart1"/>
    <dgm:cxn modelId="{EF801003-6305-40B1-B31C-7CBB07111B2E}" type="presOf" srcId="{3BFCA84D-9B5A-41D6-8E12-3E6E66A14E5E}" destId="{89CC25EC-8CF3-41EB-B9DF-0227CB2FFFF5}" srcOrd="1" destOrd="0" presId="urn:microsoft.com/office/officeart/2005/8/layout/orgChart1"/>
    <dgm:cxn modelId="{367F79CA-5467-4885-AC94-48EFA0E98BF5}" srcId="{0D5D8915-A315-4377-82AE-52CB439F3818}" destId="{ED729B25-1D9E-4251-8EF3-45003FFE995A}" srcOrd="0" destOrd="0" parTransId="{84A5002C-0CC9-462E-BCFA-A1F5A04CEAE8}" sibTransId="{9C4BCC56-EE1D-4CA6-8516-6A815C0CAD0E}"/>
    <dgm:cxn modelId="{664BB0B1-D7C8-442F-BB19-3D63D1C2DE4F}" srcId="{36DC64DF-2B18-4A74-8832-2C3CD21FEAD4}" destId="{9FC40004-3B49-4BE6-8D35-78E7C70577FF}" srcOrd="0" destOrd="0" parTransId="{49D05444-8A75-489A-BD94-4C529BFE35A2}" sibTransId="{720D4CA0-9F3D-44FE-888B-69D5B713E24A}"/>
    <dgm:cxn modelId="{7A1C591F-295C-45DF-BCF0-BF477CBA26DB}" type="presOf" srcId="{496FD998-C30C-4AE2-A376-C8EF413C97D7}" destId="{8843A69E-20FA-454F-89FA-2C52CEB5F79D}" srcOrd="0" destOrd="0" presId="urn:microsoft.com/office/officeart/2005/8/layout/orgChart1"/>
    <dgm:cxn modelId="{1D0B482D-6BF4-45AC-B9FD-74192535DE64}" type="presOf" srcId="{9FC40004-3B49-4BE6-8D35-78E7C70577FF}" destId="{1EBD7300-3249-41FB-A86A-23BEAB3D328A}" srcOrd="1" destOrd="0" presId="urn:microsoft.com/office/officeart/2005/8/layout/orgChart1"/>
    <dgm:cxn modelId="{153A4D1C-0533-41D9-B265-18005784BBFA}" srcId="{CA6E049B-8CA8-4025-A752-1D1FDAB2B076}" destId="{529579FE-F993-4ACC-B50F-C4AF894BACCC}" srcOrd="0" destOrd="0" parTransId="{8F3B9739-2B9D-4FC9-90EE-FF33359D7C24}" sibTransId="{A3F44280-B26B-4251-B143-C1F400610667}"/>
    <dgm:cxn modelId="{251932BA-5FDF-4CEE-A401-F3262771F936}" srcId="{9FC40004-3B49-4BE6-8D35-78E7C70577FF}" destId="{F166575C-DDBD-4B32-80CE-E7152810847F}" srcOrd="0" destOrd="0" parTransId="{17673E05-1B22-494B-A7AA-5F27D29C9297}" sibTransId="{AB659D59-D0BA-496C-970C-0FF3B72DA368}"/>
    <dgm:cxn modelId="{BC6B96ED-F9DE-4908-9B43-29D16241BCD2}" type="presOf" srcId="{49D05444-8A75-489A-BD94-4C529BFE35A2}" destId="{9B310D36-F28E-41E8-9BED-31138609DD37}" srcOrd="0" destOrd="0" presId="urn:microsoft.com/office/officeart/2005/8/layout/orgChart1"/>
    <dgm:cxn modelId="{329D7CD9-417A-4606-8377-1CF2FBA7CBA0}" type="presOf" srcId="{F0AF9177-A1A7-4C0B-89F0-1CF9A27F5A5C}" destId="{924DDCFF-DD24-4DE7-87DC-42D28540EF8F}" srcOrd="1" destOrd="0" presId="urn:microsoft.com/office/officeart/2005/8/layout/orgChart1"/>
    <dgm:cxn modelId="{0A86BA6F-9121-41BC-8D1F-B5CB4367EC83}" type="presOf" srcId="{AE0F08EF-4701-4761-B36D-DC6A785A7C2F}" destId="{9EDE3E58-1D70-4381-88FB-D87017FF576A}" srcOrd="0" destOrd="0" presId="urn:microsoft.com/office/officeart/2005/8/layout/orgChart1"/>
    <dgm:cxn modelId="{25C78B50-36F5-42AC-A356-C5608A34BEAD}" type="presOf" srcId="{9944ADE5-8903-433F-933F-4FFD7BEFE2B7}" destId="{21D7948F-66BC-4C35-BAF8-409E23779FED}" srcOrd="0" destOrd="0" presId="urn:microsoft.com/office/officeart/2005/8/layout/orgChart1"/>
    <dgm:cxn modelId="{08785C46-B5EE-4DDF-A7D1-F009E962EC47}" srcId="{F166575C-DDBD-4B32-80CE-E7152810847F}" destId="{C2E56904-706C-4FF4-8669-77087F64E997}" srcOrd="0" destOrd="0" parTransId="{D1F12CB4-E544-4994-8ECD-DC720A649D38}" sibTransId="{61850DC4-77BE-4ABE-9E2E-40DA5E18D22B}"/>
    <dgm:cxn modelId="{78AC9E98-B71C-4BD8-9575-F8E054122F89}" type="presOf" srcId="{8926D3EB-6EF8-48CD-95F6-8EFE916875F5}" destId="{46F9EBB9-913B-49C3-8EC1-83819F58FC38}" srcOrd="0" destOrd="0" presId="urn:microsoft.com/office/officeart/2005/8/layout/orgChart1"/>
    <dgm:cxn modelId="{61564C95-4A00-4FA0-B49C-B17B47785EB8}" type="presOf" srcId="{9E2171A1-0F94-433A-A6B4-FC16A5F0E601}" destId="{0C95CFF9-DD7F-44C8-83EE-AAC74555B393}" srcOrd="0" destOrd="0" presId="urn:microsoft.com/office/officeart/2005/8/layout/orgChart1"/>
    <dgm:cxn modelId="{3932D849-2E34-407B-AA36-7B3131E83606}" type="presOf" srcId="{5D6A7A9A-CA06-4975-84AA-832AFBF97BBA}" destId="{FACBB6A4-09AF-41DA-B46C-16562F262097}" srcOrd="1" destOrd="0" presId="urn:microsoft.com/office/officeart/2005/8/layout/orgChart1"/>
    <dgm:cxn modelId="{1266F8AE-7969-46D3-9D37-F33AA177EBEC}" type="presOf" srcId="{65CEDDB9-2241-40FE-A2DE-DEFDA0C74F55}" destId="{C403EC5C-C6EA-4021-9A0C-879A516F8A65}" srcOrd="1" destOrd="0" presId="urn:microsoft.com/office/officeart/2005/8/layout/orgChart1"/>
    <dgm:cxn modelId="{EA5F4B2C-1D68-4A51-8369-18FB188539D3}" type="presOf" srcId="{8F70B7CC-9D32-4DA3-AE3A-0D697D3AB67C}" destId="{74188041-A1DF-49B2-B896-8C106E0F582B}" srcOrd="0" destOrd="0" presId="urn:microsoft.com/office/officeart/2005/8/layout/orgChart1"/>
    <dgm:cxn modelId="{3A57FD05-1396-4C84-B136-14D05C557B9C}" type="presOf" srcId="{529579FE-F993-4ACC-B50F-C4AF894BACCC}" destId="{20DB8B73-061C-4D21-9363-E1FC158DD950}" srcOrd="0" destOrd="0" presId="urn:microsoft.com/office/officeart/2005/8/layout/orgChart1"/>
    <dgm:cxn modelId="{37D92F10-CF28-4D1B-B811-8AD46DE0C4B7}" type="presParOf" srcId="{500D2AE1-F4B3-439E-93E5-644BD280A7F7}" destId="{83D16A9D-4F2B-402A-9A0F-333F125D42C3}" srcOrd="0" destOrd="0" presId="urn:microsoft.com/office/officeart/2005/8/layout/orgChart1"/>
    <dgm:cxn modelId="{283DD738-ED1B-4B92-BB08-F6297F29EDBC}" type="presParOf" srcId="{83D16A9D-4F2B-402A-9A0F-333F125D42C3}" destId="{C52065DD-568A-42BE-B213-72D4222DE22F}" srcOrd="0" destOrd="0" presId="urn:microsoft.com/office/officeart/2005/8/layout/orgChart1"/>
    <dgm:cxn modelId="{136F1877-153B-4A5C-B39F-1A285A762536}" type="presParOf" srcId="{C52065DD-568A-42BE-B213-72D4222DE22F}" destId="{7B1A70F4-04A0-4445-8726-D58DD5975D01}" srcOrd="0" destOrd="0" presId="urn:microsoft.com/office/officeart/2005/8/layout/orgChart1"/>
    <dgm:cxn modelId="{26E2F580-635B-4151-9172-9DF20E4936C5}" type="presParOf" srcId="{C52065DD-568A-42BE-B213-72D4222DE22F}" destId="{F5F15E45-EB20-4468-8B4E-B773DCA64F49}" srcOrd="1" destOrd="0" presId="urn:microsoft.com/office/officeart/2005/8/layout/orgChart1"/>
    <dgm:cxn modelId="{2FAD4C14-4004-4C15-B029-D27EB45B6EBA}" type="presParOf" srcId="{83D16A9D-4F2B-402A-9A0F-333F125D42C3}" destId="{F4F756E3-554B-470A-94CC-D22E83BD05A5}" srcOrd="1" destOrd="0" presId="urn:microsoft.com/office/officeart/2005/8/layout/orgChart1"/>
    <dgm:cxn modelId="{1C947E98-4F27-4161-8474-6196DFF3BBE6}" type="presParOf" srcId="{F4F756E3-554B-470A-94CC-D22E83BD05A5}" destId="{8BA168A4-9978-4615-860E-26D03FD2AD28}" srcOrd="0" destOrd="0" presId="urn:microsoft.com/office/officeart/2005/8/layout/orgChart1"/>
    <dgm:cxn modelId="{76629AF0-D586-4EDA-B9CE-2E384840D951}" type="presParOf" srcId="{F4F756E3-554B-470A-94CC-D22E83BD05A5}" destId="{65BFF1AA-E4D6-4DE2-9F4C-09D056E78C44}" srcOrd="1" destOrd="0" presId="urn:microsoft.com/office/officeart/2005/8/layout/orgChart1"/>
    <dgm:cxn modelId="{C0F4AA65-0DB4-4F85-A042-96C3AC7527CD}" type="presParOf" srcId="{65BFF1AA-E4D6-4DE2-9F4C-09D056E78C44}" destId="{1EC7028B-D281-4E33-A9F1-809F80BDBC89}" srcOrd="0" destOrd="0" presId="urn:microsoft.com/office/officeart/2005/8/layout/orgChart1"/>
    <dgm:cxn modelId="{718923AD-9F7A-4BC6-AF98-95F09BE5B9C9}" type="presParOf" srcId="{1EC7028B-D281-4E33-A9F1-809F80BDBC89}" destId="{CB21C93F-B32B-4D8A-8BF2-F13D280E3EBE}" srcOrd="0" destOrd="0" presId="urn:microsoft.com/office/officeart/2005/8/layout/orgChart1"/>
    <dgm:cxn modelId="{3B7765BE-F7DA-4071-B360-00E5171639E7}" type="presParOf" srcId="{1EC7028B-D281-4E33-A9F1-809F80BDBC89}" destId="{AE875BC1-BD20-4E25-8002-4CEFA8886B3B}" srcOrd="1" destOrd="0" presId="urn:microsoft.com/office/officeart/2005/8/layout/orgChart1"/>
    <dgm:cxn modelId="{867B00F7-88D4-4646-95A2-B5D5CE59F38C}" type="presParOf" srcId="{65BFF1AA-E4D6-4DE2-9F4C-09D056E78C44}" destId="{B84912F2-5DC1-4155-9B9F-78040613F198}" srcOrd="1" destOrd="0" presId="urn:microsoft.com/office/officeart/2005/8/layout/orgChart1"/>
    <dgm:cxn modelId="{6D7E974B-294B-431F-AF90-737A5904A932}" type="presParOf" srcId="{B84912F2-5DC1-4155-9B9F-78040613F198}" destId="{21D7948F-66BC-4C35-BAF8-409E23779FED}" srcOrd="0" destOrd="0" presId="urn:microsoft.com/office/officeart/2005/8/layout/orgChart1"/>
    <dgm:cxn modelId="{8890D86D-5A00-4464-88C9-80424C795560}" type="presParOf" srcId="{B84912F2-5DC1-4155-9B9F-78040613F198}" destId="{B763E5C3-C000-4F3C-9BC5-27F69EBFACA2}" srcOrd="1" destOrd="0" presId="urn:microsoft.com/office/officeart/2005/8/layout/orgChart1"/>
    <dgm:cxn modelId="{893D47FE-37F7-4F2D-A15C-2A9783A58DBB}" type="presParOf" srcId="{B763E5C3-C000-4F3C-9BC5-27F69EBFACA2}" destId="{266DFD10-1963-46F1-80E6-C8EB7F1DAB70}" srcOrd="0" destOrd="0" presId="urn:microsoft.com/office/officeart/2005/8/layout/orgChart1"/>
    <dgm:cxn modelId="{D5C41B24-8FAA-4A65-9E89-029A2A76096B}" type="presParOf" srcId="{266DFD10-1963-46F1-80E6-C8EB7F1DAB70}" destId="{DFC234AD-27D9-4F6F-B727-B228AF33C6D1}" srcOrd="0" destOrd="0" presId="urn:microsoft.com/office/officeart/2005/8/layout/orgChart1"/>
    <dgm:cxn modelId="{D9C20186-E954-4BA4-8952-C05874A263DB}" type="presParOf" srcId="{266DFD10-1963-46F1-80E6-C8EB7F1DAB70}" destId="{8CADBEF0-C7C7-4C77-9563-022AD1E933A3}" srcOrd="1" destOrd="0" presId="urn:microsoft.com/office/officeart/2005/8/layout/orgChart1"/>
    <dgm:cxn modelId="{9A791621-79B5-486A-B2F1-09DC2FE994EF}" type="presParOf" srcId="{B763E5C3-C000-4F3C-9BC5-27F69EBFACA2}" destId="{0A98E54E-960E-4FE1-AE38-814DC232B290}" srcOrd="1" destOrd="0" presId="urn:microsoft.com/office/officeart/2005/8/layout/orgChart1"/>
    <dgm:cxn modelId="{8A1067F1-40AF-4944-9DC7-394C84E3EC37}" type="presParOf" srcId="{0A98E54E-960E-4FE1-AE38-814DC232B290}" destId="{CFCAFF06-E500-4D9D-BE0D-2E9BAC6145B4}" srcOrd="0" destOrd="0" presId="urn:microsoft.com/office/officeart/2005/8/layout/orgChart1"/>
    <dgm:cxn modelId="{43294CC0-EBDC-437F-82D1-130073B37C79}" type="presParOf" srcId="{0A98E54E-960E-4FE1-AE38-814DC232B290}" destId="{305CA57C-98F4-4E1D-A7D6-7ADB04639472}" srcOrd="1" destOrd="0" presId="urn:microsoft.com/office/officeart/2005/8/layout/orgChart1"/>
    <dgm:cxn modelId="{D3E1F381-5500-4FB5-ADB4-BCBFB0E9748F}" type="presParOf" srcId="{305CA57C-98F4-4E1D-A7D6-7ADB04639472}" destId="{8A0A1F99-BB39-4E41-B18A-B3B7CA6D1869}" srcOrd="0" destOrd="0" presId="urn:microsoft.com/office/officeart/2005/8/layout/orgChart1"/>
    <dgm:cxn modelId="{F9B3658A-D54E-41F7-AF72-1BC2A8196CE0}" type="presParOf" srcId="{8A0A1F99-BB39-4E41-B18A-B3B7CA6D1869}" destId="{C289D667-94C7-4EFD-9AE8-3CDE0E7D09CD}" srcOrd="0" destOrd="0" presId="urn:microsoft.com/office/officeart/2005/8/layout/orgChart1"/>
    <dgm:cxn modelId="{FEC317C8-6D4C-408C-B9B9-044663C5E848}" type="presParOf" srcId="{8A0A1F99-BB39-4E41-B18A-B3B7CA6D1869}" destId="{D8C32DCA-B192-487D-8177-9B9A6FED3E24}" srcOrd="1" destOrd="0" presId="urn:microsoft.com/office/officeart/2005/8/layout/orgChart1"/>
    <dgm:cxn modelId="{0C123B6B-D9C3-458E-94B5-36E6483DC5B0}" type="presParOf" srcId="{305CA57C-98F4-4E1D-A7D6-7ADB04639472}" destId="{DF1A55FF-5DAE-4081-9FF5-535B86787BB5}" srcOrd="1" destOrd="0" presId="urn:microsoft.com/office/officeart/2005/8/layout/orgChart1"/>
    <dgm:cxn modelId="{E9A7DC28-31BA-4E68-B1B9-02B73422C526}" type="presParOf" srcId="{DF1A55FF-5DAE-4081-9FF5-535B86787BB5}" destId="{3889F42C-D496-4257-8A26-07AE01A7FC00}" srcOrd="0" destOrd="0" presId="urn:microsoft.com/office/officeart/2005/8/layout/orgChart1"/>
    <dgm:cxn modelId="{09255E84-4578-468A-AFFC-7D8D8F1FCC3B}" type="presParOf" srcId="{DF1A55FF-5DAE-4081-9FF5-535B86787BB5}" destId="{C97CC61D-36DA-4112-A52F-150786B202F6}" srcOrd="1" destOrd="0" presId="urn:microsoft.com/office/officeart/2005/8/layout/orgChart1"/>
    <dgm:cxn modelId="{6BC04966-24F8-41B5-B53E-1976ED541E9E}" type="presParOf" srcId="{C97CC61D-36DA-4112-A52F-150786B202F6}" destId="{3445C312-B1C6-43A8-84A3-31C6CF522952}" srcOrd="0" destOrd="0" presId="urn:microsoft.com/office/officeart/2005/8/layout/orgChart1"/>
    <dgm:cxn modelId="{706DCA01-E933-4B72-90A2-5F38447146F0}" type="presParOf" srcId="{3445C312-B1C6-43A8-84A3-31C6CF522952}" destId="{20DB8B73-061C-4D21-9363-E1FC158DD950}" srcOrd="0" destOrd="0" presId="urn:microsoft.com/office/officeart/2005/8/layout/orgChart1"/>
    <dgm:cxn modelId="{252DC328-2AFF-49C6-8FBF-EE514D8F5367}" type="presParOf" srcId="{3445C312-B1C6-43A8-84A3-31C6CF522952}" destId="{688501F0-31BB-472E-804C-3C646FD11158}" srcOrd="1" destOrd="0" presId="urn:microsoft.com/office/officeart/2005/8/layout/orgChart1"/>
    <dgm:cxn modelId="{51802365-EECD-4CF0-ACEB-5C9930173EB9}" type="presParOf" srcId="{C97CC61D-36DA-4112-A52F-150786B202F6}" destId="{9B610AFA-3485-402C-A6D6-D0BBC4EDFE9A}" srcOrd="1" destOrd="0" presId="urn:microsoft.com/office/officeart/2005/8/layout/orgChart1"/>
    <dgm:cxn modelId="{A1B99484-1F5D-4427-8EBB-BE6FC0BF9BE7}" type="presParOf" srcId="{C97CC61D-36DA-4112-A52F-150786B202F6}" destId="{90B2EEA1-4B7F-4F06-AB87-32D654C49BF9}" srcOrd="2" destOrd="0" presId="urn:microsoft.com/office/officeart/2005/8/layout/orgChart1"/>
    <dgm:cxn modelId="{25987A81-EDC6-4432-A589-67882948A6FC}" type="presParOf" srcId="{DF1A55FF-5DAE-4081-9FF5-535B86787BB5}" destId="{548AA163-5E83-4AFE-8C14-30F4227D71B9}" srcOrd="2" destOrd="0" presId="urn:microsoft.com/office/officeart/2005/8/layout/orgChart1"/>
    <dgm:cxn modelId="{9C4DFEA8-B578-4E68-A805-30790D307322}" type="presParOf" srcId="{DF1A55FF-5DAE-4081-9FF5-535B86787BB5}" destId="{5930B2C8-A29A-4B7B-8B56-DB277CF39C5C}" srcOrd="3" destOrd="0" presId="urn:microsoft.com/office/officeart/2005/8/layout/orgChart1"/>
    <dgm:cxn modelId="{879A79F5-2A5F-456C-9070-C2C377C43F36}" type="presParOf" srcId="{5930B2C8-A29A-4B7B-8B56-DB277CF39C5C}" destId="{8DD7BF83-1D9E-4027-A556-1724C019F984}" srcOrd="0" destOrd="0" presId="urn:microsoft.com/office/officeart/2005/8/layout/orgChart1"/>
    <dgm:cxn modelId="{ED27DDED-838D-4821-B8D9-2B72C1B9AC3C}" type="presParOf" srcId="{8DD7BF83-1D9E-4027-A556-1724C019F984}" destId="{95080D60-A6EB-4255-B39D-C5A84A998F6F}" srcOrd="0" destOrd="0" presId="urn:microsoft.com/office/officeart/2005/8/layout/orgChart1"/>
    <dgm:cxn modelId="{C6C46E51-2A36-4460-92EA-EA1C6261643C}" type="presParOf" srcId="{8DD7BF83-1D9E-4027-A556-1724C019F984}" destId="{811C49D9-A214-4569-9854-2D5200573482}" srcOrd="1" destOrd="0" presId="urn:microsoft.com/office/officeart/2005/8/layout/orgChart1"/>
    <dgm:cxn modelId="{61A7517A-1D0D-4564-9B70-E3E60030555E}" type="presParOf" srcId="{5930B2C8-A29A-4B7B-8B56-DB277CF39C5C}" destId="{54901DA2-1CB9-4D07-9E82-2AEF8B131045}" srcOrd="1" destOrd="0" presId="urn:microsoft.com/office/officeart/2005/8/layout/orgChart1"/>
    <dgm:cxn modelId="{E252D65B-B86A-475A-882C-11A349BC5147}" type="presParOf" srcId="{54901DA2-1CB9-4D07-9E82-2AEF8B131045}" destId="{F6C05318-873F-4D79-B4FA-9CA1027F7F46}" srcOrd="0" destOrd="0" presId="urn:microsoft.com/office/officeart/2005/8/layout/orgChart1"/>
    <dgm:cxn modelId="{208FFE74-5217-4051-810C-0F5B1838EDF5}" type="presParOf" srcId="{54901DA2-1CB9-4D07-9E82-2AEF8B131045}" destId="{53C612A8-8CFC-4C4B-8FB8-F4E50C3B3A53}" srcOrd="1" destOrd="0" presId="urn:microsoft.com/office/officeart/2005/8/layout/orgChart1"/>
    <dgm:cxn modelId="{0CC73861-8EDC-4381-9F72-3FABB56057AB}" type="presParOf" srcId="{53C612A8-8CFC-4C4B-8FB8-F4E50C3B3A53}" destId="{F322CF39-F749-4F37-9465-807EEC238A2B}" srcOrd="0" destOrd="0" presId="urn:microsoft.com/office/officeart/2005/8/layout/orgChart1"/>
    <dgm:cxn modelId="{768E8194-2C04-41EC-A41F-0936FBF89BEC}" type="presParOf" srcId="{F322CF39-F749-4F37-9465-807EEC238A2B}" destId="{5FC8B272-7CE5-487D-8602-9022E5A7B8C6}" srcOrd="0" destOrd="0" presId="urn:microsoft.com/office/officeart/2005/8/layout/orgChart1"/>
    <dgm:cxn modelId="{FDA5A1A4-49E7-40EA-8A9E-87F6329D0C2E}" type="presParOf" srcId="{F322CF39-F749-4F37-9465-807EEC238A2B}" destId="{55EF2ED4-8DA6-4D8C-A54E-18EFA27BB41A}" srcOrd="1" destOrd="0" presId="urn:microsoft.com/office/officeart/2005/8/layout/orgChart1"/>
    <dgm:cxn modelId="{753EC006-D9A0-4C6E-8BB7-30BA7D2E903F}" type="presParOf" srcId="{53C612A8-8CFC-4C4B-8FB8-F4E50C3B3A53}" destId="{D5FD493C-EF0E-42F2-AA21-E23F816DB6B7}" srcOrd="1" destOrd="0" presId="urn:microsoft.com/office/officeart/2005/8/layout/orgChart1"/>
    <dgm:cxn modelId="{AEB4701A-1F59-4AC4-BB95-53B496332138}" type="presParOf" srcId="{D5FD493C-EF0E-42F2-AA21-E23F816DB6B7}" destId="{D23ACBB5-05F0-45E8-B3CD-A9374033B53A}" srcOrd="0" destOrd="0" presId="urn:microsoft.com/office/officeart/2005/8/layout/orgChart1"/>
    <dgm:cxn modelId="{B1CF218D-A449-4631-85A9-370555961433}" type="presParOf" srcId="{D5FD493C-EF0E-42F2-AA21-E23F816DB6B7}" destId="{21153EDA-B5F9-4F47-A75B-1801C88A480D}" srcOrd="1" destOrd="0" presId="urn:microsoft.com/office/officeart/2005/8/layout/orgChart1"/>
    <dgm:cxn modelId="{155BB406-ED1E-414D-9DE6-AE4AF773FDA4}" type="presParOf" srcId="{21153EDA-B5F9-4F47-A75B-1801C88A480D}" destId="{0E3A0414-DBC1-477A-BE41-5355C11CBF5A}" srcOrd="0" destOrd="0" presId="urn:microsoft.com/office/officeart/2005/8/layout/orgChart1"/>
    <dgm:cxn modelId="{2A57F5D0-C879-4308-8117-9D42C42F1992}" type="presParOf" srcId="{0E3A0414-DBC1-477A-BE41-5355C11CBF5A}" destId="{02D478EE-96F5-447E-B3C3-C5DB2FD47E07}" srcOrd="0" destOrd="0" presId="urn:microsoft.com/office/officeart/2005/8/layout/orgChart1"/>
    <dgm:cxn modelId="{B8E24388-CBD2-4017-A16E-4971675055D7}" type="presParOf" srcId="{0E3A0414-DBC1-477A-BE41-5355C11CBF5A}" destId="{F6CB7EB8-54D9-4FD1-8012-02C4263B150F}" srcOrd="1" destOrd="0" presId="urn:microsoft.com/office/officeart/2005/8/layout/orgChart1"/>
    <dgm:cxn modelId="{10216291-0BA7-43AF-9853-F355C7F1D5F9}" type="presParOf" srcId="{21153EDA-B5F9-4F47-A75B-1801C88A480D}" destId="{ADD2E8D5-711A-4E72-82EA-0439F8470B4C}" srcOrd="1" destOrd="0" presId="urn:microsoft.com/office/officeart/2005/8/layout/orgChart1"/>
    <dgm:cxn modelId="{89562932-D26B-4B34-90A8-B24D4503CF76}" type="presParOf" srcId="{ADD2E8D5-711A-4E72-82EA-0439F8470B4C}" destId="{9B310D36-F28E-41E8-9BED-31138609DD37}" srcOrd="0" destOrd="0" presId="urn:microsoft.com/office/officeart/2005/8/layout/orgChart1"/>
    <dgm:cxn modelId="{267CE676-61F1-4C99-90EF-FD2FAF1C4B0C}" type="presParOf" srcId="{ADD2E8D5-711A-4E72-82EA-0439F8470B4C}" destId="{AC857217-3B79-4453-B815-E83EED6F9EB4}" srcOrd="1" destOrd="0" presId="urn:microsoft.com/office/officeart/2005/8/layout/orgChart1"/>
    <dgm:cxn modelId="{987C8569-4503-4041-AACC-984E22A29623}" type="presParOf" srcId="{AC857217-3B79-4453-B815-E83EED6F9EB4}" destId="{3DE98CE4-5E8D-46B3-9B9E-2AA52E7B8218}" srcOrd="0" destOrd="0" presId="urn:microsoft.com/office/officeart/2005/8/layout/orgChart1"/>
    <dgm:cxn modelId="{C1300312-8400-4C75-91CA-4053E67443C0}" type="presParOf" srcId="{3DE98CE4-5E8D-46B3-9B9E-2AA52E7B8218}" destId="{C083CB9B-A4A3-42D8-88A9-9AD775A79784}" srcOrd="0" destOrd="0" presId="urn:microsoft.com/office/officeart/2005/8/layout/orgChart1"/>
    <dgm:cxn modelId="{6336AAC7-36E8-4763-9B8B-F8D19B3AC37D}" type="presParOf" srcId="{3DE98CE4-5E8D-46B3-9B9E-2AA52E7B8218}" destId="{1EBD7300-3249-41FB-A86A-23BEAB3D328A}" srcOrd="1" destOrd="0" presId="urn:microsoft.com/office/officeart/2005/8/layout/orgChart1"/>
    <dgm:cxn modelId="{0763DB6E-4757-4FDE-8C62-9997A10A7E81}" type="presParOf" srcId="{AC857217-3B79-4453-B815-E83EED6F9EB4}" destId="{3DCCE81E-89F9-4415-83EA-0627BE6B7BD1}" srcOrd="1" destOrd="0" presId="urn:microsoft.com/office/officeart/2005/8/layout/orgChart1"/>
    <dgm:cxn modelId="{5480B0D8-D5E6-46C9-AA70-E6322546C3DD}" type="presParOf" srcId="{3DCCE81E-89F9-4415-83EA-0627BE6B7BD1}" destId="{F433524B-BD39-4253-AC6F-6C3291855BA9}" srcOrd="0" destOrd="0" presId="urn:microsoft.com/office/officeart/2005/8/layout/orgChart1"/>
    <dgm:cxn modelId="{06F70DD9-3ADF-4D6B-90C8-B89F3DEC624D}" type="presParOf" srcId="{3DCCE81E-89F9-4415-83EA-0627BE6B7BD1}" destId="{EE020A63-DD39-45A6-83A2-B57E7C19449F}" srcOrd="1" destOrd="0" presId="urn:microsoft.com/office/officeart/2005/8/layout/orgChart1"/>
    <dgm:cxn modelId="{4EC36EF8-6075-4EBB-8327-4B27CA8054C4}" type="presParOf" srcId="{EE020A63-DD39-45A6-83A2-B57E7C19449F}" destId="{2E51D2BD-CD34-4EC6-94E5-3BA2B28BCBE0}" srcOrd="0" destOrd="0" presId="urn:microsoft.com/office/officeart/2005/8/layout/orgChart1"/>
    <dgm:cxn modelId="{6FCB28FF-C5FB-4918-AB53-8D5965DDBB75}" type="presParOf" srcId="{2E51D2BD-CD34-4EC6-94E5-3BA2B28BCBE0}" destId="{F4CDA0C9-EBCE-4DF0-9F21-79E4466926D0}" srcOrd="0" destOrd="0" presId="urn:microsoft.com/office/officeart/2005/8/layout/orgChart1"/>
    <dgm:cxn modelId="{714E224A-619B-4820-97A9-8A53F6AD2501}" type="presParOf" srcId="{2E51D2BD-CD34-4EC6-94E5-3BA2B28BCBE0}" destId="{7D4B6535-A194-4AFB-8452-97309EF2F8B4}" srcOrd="1" destOrd="0" presId="urn:microsoft.com/office/officeart/2005/8/layout/orgChart1"/>
    <dgm:cxn modelId="{3BD8A4AF-2F54-4FAA-99C2-9E519EBFAA87}" type="presParOf" srcId="{EE020A63-DD39-45A6-83A2-B57E7C19449F}" destId="{E2906F7E-AC95-4D2F-A1BA-9322F789E8C5}" srcOrd="1" destOrd="0" presId="urn:microsoft.com/office/officeart/2005/8/layout/orgChart1"/>
    <dgm:cxn modelId="{CF57D57F-440D-48E5-8898-FE566455591B}" type="presParOf" srcId="{E2906F7E-AC95-4D2F-A1BA-9322F789E8C5}" destId="{009590EB-91D9-4F2C-9CCA-62666500062F}" srcOrd="0" destOrd="0" presId="urn:microsoft.com/office/officeart/2005/8/layout/orgChart1"/>
    <dgm:cxn modelId="{DFE69C00-C52E-428B-AD0E-E47A7D79CA03}" type="presParOf" srcId="{E2906F7E-AC95-4D2F-A1BA-9322F789E8C5}" destId="{AB6B8639-C440-4E72-8DB1-7B0A90DFA406}" srcOrd="1" destOrd="0" presId="urn:microsoft.com/office/officeart/2005/8/layout/orgChart1"/>
    <dgm:cxn modelId="{E0233A24-BCD5-4250-9C0C-B257ED2CCCD3}" type="presParOf" srcId="{AB6B8639-C440-4E72-8DB1-7B0A90DFA406}" destId="{57A4E22B-45B5-4CF2-8996-B5BA35811695}" srcOrd="0" destOrd="0" presId="urn:microsoft.com/office/officeart/2005/8/layout/orgChart1"/>
    <dgm:cxn modelId="{D9510AAA-27B7-40C3-9F93-CC8ACBB87FFE}" type="presParOf" srcId="{57A4E22B-45B5-4CF2-8996-B5BA35811695}" destId="{72DD0FF7-D3AD-4AC2-8E10-455B5BAEE9D0}" srcOrd="0" destOrd="0" presId="urn:microsoft.com/office/officeart/2005/8/layout/orgChart1"/>
    <dgm:cxn modelId="{2FD83528-9322-4D9E-8E09-6AB2F09B2085}" type="presParOf" srcId="{57A4E22B-45B5-4CF2-8996-B5BA35811695}" destId="{8A215722-466E-4AF1-A9E1-A1EC08F0DE1C}" srcOrd="1" destOrd="0" presId="urn:microsoft.com/office/officeart/2005/8/layout/orgChart1"/>
    <dgm:cxn modelId="{11CB9113-1D59-4B78-AEDA-53D8A2EAA2F9}" type="presParOf" srcId="{AB6B8639-C440-4E72-8DB1-7B0A90DFA406}" destId="{B7A89388-7349-4534-BDC2-DDDFA072C107}" srcOrd="1" destOrd="0" presId="urn:microsoft.com/office/officeart/2005/8/layout/orgChart1"/>
    <dgm:cxn modelId="{1A614F9C-109D-423B-996D-3C5ABC8C6941}" type="presParOf" srcId="{B7A89388-7349-4534-BDC2-DDDFA072C107}" destId="{0C95CFF9-DD7F-44C8-83EE-AAC74555B393}" srcOrd="0" destOrd="0" presId="urn:microsoft.com/office/officeart/2005/8/layout/orgChart1"/>
    <dgm:cxn modelId="{FE0C4BFF-2D9F-4C68-9D95-669196206B52}" type="presParOf" srcId="{B7A89388-7349-4534-BDC2-DDDFA072C107}" destId="{FE4354EF-3B0D-4BEE-A7EE-306C419C0D50}" srcOrd="1" destOrd="0" presId="urn:microsoft.com/office/officeart/2005/8/layout/orgChart1"/>
    <dgm:cxn modelId="{FB7B90B6-1F93-48D8-A584-30E7ED9B42EE}" type="presParOf" srcId="{FE4354EF-3B0D-4BEE-A7EE-306C419C0D50}" destId="{5EDEBD51-E42D-4799-AEB3-F41BABCDBFEF}" srcOrd="0" destOrd="0" presId="urn:microsoft.com/office/officeart/2005/8/layout/orgChart1"/>
    <dgm:cxn modelId="{25D47BF7-E24E-4A92-A282-BDF8EC138371}" type="presParOf" srcId="{5EDEBD51-E42D-4799-AEB3-F41BABCDBFEF}" destId="{E7E4CA2B-BD5D-4E86-818E-44F9867A2B45}" srcOrd="0" destOrd="0" presId="urn:microsoft.com/office/officeart/2005/8/layout/orgChart1"/>
    <dgm:cxn modelId="{0A468ED8-9FF9-4ECA-8C3F-2628D90AE454}" type="presParOf" srcId="{5EDEBD51-E42D-4799-AEB3-F41BABCDBFEF}" destId="{489669AC-E978-48E5-9C07-BE4908EEA927}" srcOrd="1" destOrd="0" presId="urn:microsoft.com/office/officeart/2005/8/layout/orgChart1"/>
    <dgm:cxn modelId="{29924912-E47F-4426-953C-41E0646DCEBE}" type="presParOf" srcId="{FE4354EF-3B0D-4BEE-A7EE-306C419C0D50}" destId="{4B1C1CB6-9FDC-4A61-B177-9926B481042D}" srcOrd="1" destOrd="0" presId="urn:microsoft.com/office/officeart/2005/8/layout/orgChart1"/>
    <dgm:cxn modelId="{39D9ADBE-35AD-4502-B1E0-0636FCB91CB2}" type="presParOf" srcId="{FE4354EF-3B0D-4BEE-A7EE-306C419C0D50}" destId="{D964CAA4-8BE1-4E7C-B0E7-B72630A86E2D}" srcOrd="2" destOrd="0" presId="urn:microsoft.com/office/officeart/2005/8/layout/orgChart1"/>
    <dgm:cxn modelId="{6A9407E5-2EDE-44EE-A66D-AE97AFA92CB8}" type="presParOf" srcId="{B7A89388-7349-4534-BDC2-DDDFA072C107}" destId="{9EDE3E58-1D70-4381-88FB-D87017FF576A}" srcOrd="2" destOrd="0" presId="urn:microsoft.com/office/officeart/2005/8/layout/orgChart1"/>
    <dgm:cxn modelId="{C420DBC5-466B-4010-8F8B-317E8C93F201}" type="presParOf" srcId="{B7A89388-7349-4534-BDC2-DDDFA072C107}" destId="{C17E60AC-6160-4876-92BB-9FA89A2708E2}" srcOrd="3" destOrd="0" presId="urn:microsoft.com/office/officeart/2005/8/layout/orgChart1"/>
    <dgm:cxn modelId="{633A0D74-5CEF-4216-9540-B7AA749C9C16}" type="presParOf" srcId="{C17E60AC-6160-4876-92BB-9FA89A2708E2}" destId="{7C4052C4-CF68-449F-B5DE-F788E5F9A1D1}" srcOrd="0" destOrd="0" presId="urn:microsoft.com/office/officeart/2005/8/layout/orgChart1"/>
    <dgm:cxn modelId="{77613F22-C4FF-49C9-A86A-FDE4D05B95AB}" type="presParOf" srcId="{7C4052C4-CF68-449F-B5DE-F788E5F9A1D1}" destId="{46F9EBB9-913B-49C3-8EC1-83819F58FC38}" srcOrd="0" destOrd="0" presId="urn:microsoft.com/office/officeart/2005/8/layout/orgChart1"/>
    <dgm:cxn modelId="{46D39808-32E9-4612-9B25-723F3F21BB43}" type="presParOf" srcId="{7C4052C4-CF68-449F-B5DE-F788E5F9A1D1}" destId="{68E2C949-FF76-4752-805C-C797FEEEFBAC}" srcOrd="1" destOrd="0" presId="urn:microsoft.com/office/officeart/2005/8/layout/orgChart1"/>
    <dgm:cxn modelId="{914D434B-11E2-4E1A-9577-630935FC2910}" type="presParOf" srcId="{C17E60AC-6160-4876-92BB-9FA89A2708E2}" destId="{CD8D0434-AB90-448D-A99F-7769BBCDB40D}" srcOrd="1" destOrd="0" presId="urn:microsoft.com/office/officeart/2005/8/layout/orgChart1"/>
    <dgm:cxn modelId="{653DBF6F-BAEC-478A-B12E-AB4378EDA252}" type="presParOf" srcId="{CD8D0434-AB90-448D-A99F-7769BBCDB40D}" destId="{5F6C7E4C-8A14-413F-A848-FF932668D64A}" srcOrd="0" destOrd="0" presId="urn:microsoft.com/office/officeart/2005/8/layout/orgChart1"/>
    <dgm:cxn modelId="{070D8257-6D52-49F1-990D-90D92973D4D1}" type="presParOf" srcId="{CD8D0434-AB90-448D-A99F-7769BBCDB40D}" destId="{1418C743-9884-4E8E-A2AF-B8B8FE57B3CE}" srcOrd="1" destOrd="0" presId="urn:microsoft.com/office/officeart/2005/8/layout/orgChart1"/>
    <dgm:cxn modelId="{4BBCCE4C-EA72-4F1F-BD46-8C99030DA329}" type="presParOf" srcId="{1418C743-9884-4E8E-A2AF-B8B8FE57B3CE}" destId="{BA3E3127-3D31-4341-A70C-E1BA61ECEAFD}" srcOrd="0" destOrd="0" presId="urn:microsoft.com/office/officeart/2005/8/layout/orgChart1"/>
    <dgm:cxn modelId="{DE536253-D2B7-4A51-8F80-5FA524D2E52B}" type="presParOf" srcId="{BA3E3127-3D31-4341-A70C-E1BA61ECEAFD}" destId="{703D0A9C-A4BD-476F-9B48-2BB361221C41}" srcOrd="0" destOrd="0" presId="urn:microsoft.com/office/officeart/2005/8/layout/orgChart1"/>
    <dgm:cxn modelId="{62B770BC-090F-4C54-A2B3-B7713632860C}" type="presParOf" srcId="{BA3E3127-3D31-4341-A70C-E1BA61ECEAFD}" destId="{89CC25EC-8CF3-41EB-B9DF-0227CB2FFFF5}" srcOrd="1" destOrd="0" presId="urn:microsoft.com/office/officeart/2005/8/layout/orgChart1"/>
    <dgm:cxn modelId="{1DEFFD97-82F5-471D-A4B0-148EDC19655A}" type="presParOf" srcId="{1418C743-9884-4E8E-A2AF-B8B8FE57B3CE}" destId="{AE0A9FA9-DB60-48F3-85A9-AB823CE79B0E}" srcOrd="1" destOrd="0" presId="urn:microsoft.com/office/officeart/2005/8/layout/orgChart1"/>
    <dgm:cxn modelId="{2BBEB614-4719-4558-9EFC-A7A757CDD6D3}" type="presParOf" srcId="{AE0A9FA9-DB60-48F3-85A9-AB823CE79B0E}" destId="{A7DD9B50-54F6-42FE-9F3E-9358564C3475}" srcOrd="0" destOrd="0" presId="urn:microsoft.com/office/officeart/2005/8/layout/orgChart1"/>
    <dgm:cxn modelId="{2F0A3070-1229-4EEF-8E62-BA8F083BBF19}" type="presParOf" srcId="{AE0A9FA9-DB60-48F3-85A9-AB823CE79B0E}" destId="{28AED4B9-7B74-4DCD-BF89-3DDCC07D62BD}" srcOrd="1" destOrd="0" presId="urn:microsoft.com/office/officeart/2005/8/layout/orgChart1"/>
    <dgm:cxn modelId="{FDDFBFBD-DF8B-497B-A508-666324B0C744}" type="presParOf" srcId="{28AED4B9-7B74-4DCD-BF89-3DDCC07D62BD}" destId="{66994EC1-E7B5-4392-8C0F-C879B33A54B4}" srcOrd="0" destOrd="0" presId="urn:microsoft.com/office/officeart/2005/8/layout/orgChart1"/>
    <dgm:cxn modelId="{1CEBCFB9-AC8A-4AFB-8F92-F3E23DB811EC}" type="presParOf" srcId="{66994EC1-E7B5-4392-8C0F-C879B33A54B4}" destId="{E8F52203-688E-492F-B99C-F7E14FA66BC5}" srcOrd="0" destOrd="0" presId="urn:microsoft.com/office/officeart/2005/8/layout/orgChart1"/>
    <dgm:cxn modelId="{423828E3-4B70-4AC2-81BB-D18EAA67EFCF}" type="presParOf" srcId="{66994EC1-E7B5-4392-8C0F-C879B33A54B4}" destId="{C403EC5C-C6EA-4021-9A0C-879A516F8A65}" srcOrd="1" destOrd="0" presId="urn:microsoft.com/office/officeart/2005/8/layout/orgChart1"/>
    <dgm:cxn modelId="{7BFB6897-D976-4A6D-8876-789823A81264}" type="presParOf" srcId="{28AED4B9-7B74-4DCD-BF89-3DDCC07D62BD}" destId="{59FED45D-F1D8-42B8-AAC7-10107FD67E73}" srcOrd="1" destOrd="0" presId="urn:microsoft.com/office/officeart/2005/8/layout/orgChart1"/>
    <dgm:cxn modelId="{544819FC-E0C1-4E4D-A7C8-2155E1900745}" type="presParOf" srcId="{28AED4B9-7B74-4DCD-BF89-3DDCC07D62BD}" destId="{05B4DAFC-E6F0-4117-99B0-38F2A6216378}" srcOrd="2" destOrd="0" presId="urn:microsoft.com/office/officeart/2005/8/layout/orgChart1"/>
    <dgm:cxn modelId="{140E87A2-5D6D-4BAC-94BB-F896A5C715E8}" type="presParOf" srcId="{1418C743-9884-4E8E-A2AF-B8B8FE57B3CE}" destId="{B51D2E23-73BF-4708-8F1A-2C91BC91A06F}" srcOrd="2" destOrd="0" presId="urn:microsoft.com/office/officeart/2005/8/layout/orgChart1"/>
    <dgm:cxn modelId="{AE90925B-AF25-4BC5-8146-A6E48D966156}" type="presParOf" srcId="{CD8D0434-AB90-448D-A99F-7769BBCDB40D}" destId="{53EF512F-EAB7-4ADA-AD40-77BF017C0AFE}" srcOrd="2" destOrd="0" presId="urn:microsoft.com/office/officeart/2005/8/layout/orgChart1"/>
    <dgm:cxn modelId="{47F5F1F6-E186-46BE-B728-8FDB24896DFF}" type="presParOf" srcId="{CD8D0434-AB90-448D-A99F-7769BBCDB40D}" destId="{31D96DFA-ACB3-462A-9E90-636D4A748240}" srcOrd="3" destOrd="0" presId="urn:microsoft.com/office/officeart/2005/8/layout/orgChart1"/>
    <dgm:cxn modelId="{652C139A-5820-4E6D-A5BC-A942BCD6827A}" type="presParOf" srcId="{31D96DFA-ACB3-462A-9E90-636D4A748240}" destId="{599F1D04-5BDD-4BCA-91D3-EA01B8D051E2}" srcOrd="0" destOrd="0" presId="urn:microsoft.com/office/officeart/2005/8/layout/orgChart1"/>
    <dgm:cxn modelId="{0B40AC2E-D39C-42E0-AC8B-274062866E18}" type="presParOf" srcId="{599F1D04-5BDD-4BCA-91D3-EA01B8D051E2}" destId="{A658CD4F-2941-4C0C-A9BF-D757832722A2}" srcOrd="0" destOrd="0" presId="urn:microsoft.com/office/officeart/2005/8/layout/orgChart1"/>
    <dgm:cxn modelId="{719AF7E7-3D44-489B-9704-7828D5FA98DB}" type="presParOf" srcId="{599F1D04-5BDD-4BCA-91D3-EA01B8D051E2}" destId="{277FC5E5-7130-49E9-A3E4-9DF7D635B2A0}" srcOrd="1" destOrd="0" presId="urn:microsoft.com/office/officeart/2005/8/layout/orgChart1"/>
    <dgm:cxn modelId="{DC52ABEB-A7BE-4FE6-AF0E-D4C71DE0B252}" type="presParOf" srcId="{31D96DFA-ACB3-462A-9E90-636D4A748240}" destId="{56A92BAA-B9FC-4F4C-B59A-1BFF9827144A}" srcOrd="1" destOrd="0" presId="urn:microsoft.com/office/officeart/2005/8/layout/orgChart1"/>
    <dgm:cxn modelId="{4AFE667C-3A90-4A7A-B6CE-EB24247D2215}" type="presParOf" srcId="{56A92BAA-B9FC-4F4C-B59A-1BFF9827144A}" destId="{E3109FBB-0555-4823-96FB-8F531E73E53F}" srcOrd="0" destOrd="0" presId="urn:microsoft.com/office/officeart/2005/8/layout/orgChart1"/>
    <dgm:cxn modelId="{E3289B97-9A22-43DD-AB7D-85737DBD941B}" type="presParOf" srcId="{56A92BAA-B9FC-4F4C-B59A-1BFF9827144A}" destId="{1288C421-FE73-492C-9846-0882F4DF2840}" srcOrd="1" destOrd="0" presId="urn:microsoft.com/office/officeart/2005/8/layout/orgChart1"/>
    <dgm:cxn modelId="{F0D00042-301E-4F92-B931-E58DBE82A0FA}" type="presParOf" srcId="{1288C421-FE73-492C-9846-0882F4DF2840}" destId="{4A25700F-743A-44B0-B7BD-C3D4322A458B}" srcOrd="0" destOrd="0" presId="urn:microsoft.com/office/officeart/2005/8/layout/orgChart1"/>
    <dgm:cxn modelId="{9737602F-BD30-48F3-8E65-97E84CA878C5}" type="presParOf" srcId="{4A25700F-743A-44B0-B7BD-C3D4322A458B}" destId="{74188041-A1DF-49B2-B896-8C106E0F582B}" srcOrd="0" destOrd="0" presId="urn:microsoft.com/office/officeart/2005/8/layout/orgChart1"/>
    <dgm:cxn modelId="{A237E71F-6BF9-4697-8615-584A4F8429E4}" type="presParOf" srcId="{4A25700F-743A-44B0-B7BD-C3D4322A458B}" destId="{D1E04FBA-D972-46A1-82CB-18D04917AAF3}" srcOrd="1" destOrd="0" presId="urn:microsoft.com/office/officeart/2005/8/layout/orgChart1"/>
    <dgm:cxn modelId="{D68CEE4B-2080-405E-82A4-86019B042DDB}" type="presParOf" srcId="{1288C421-FE73-492C-9846-0882F4DF2840}" destId="{4FF2FF11-B546-41CD-BD3C-CEA94F90501F}" srcOrd="1" destOrd="0" presId="urn:microsoft.com/office/officeart/2005/8/layout/orgChart1"/>
    <dgm:cxn modelId="{52BF4161-6BBE-41F4-9338-E1EA6B313B27}" type="presParOf" srcId="{1288C421-FE73-492C-9846-0882F4DF2840}" destId="{61E39A55-44D1-434B-A9E6-78D620E09C84}" srcOrd="2" destOrd="0" presId="urn:microsoft.com/office/officeart/2005/8/layout/orgChart1"/>
    <dgm:cxn modelId="{20EB5DF9-7383-449A-9ABA-D92BF3E071AD}" type="presParOf" srcId="{31D96DFA-ACB3-462A-9E90-636D4A748240}" destId="{4140A7AF-5AD4-430F-84BF-574C83639C63}" srcOrd="2" destOrd="0" presId="urn:microsoft.com/office/officeart/2005/8/layout/orgChart1"/>
    <dgm:cxn modelId="{4A10645F-957C-468C-858D-72D9DEC67C29}" type="presParOf" srcId="{CD8D0434-AB90-448D-A99F-7769BBCDB40D}" destId="{C45BE094-A04D-4E55-85D9-45F44D4A8C76}" srcOrd="4" destOrd="0" presId="urn:microsoft.com/office/officeart/2005/8/layout/orgChart1"/>
    <dgm:cxn modelId="{937C310A-1195-454A-816D-8840A646DA9A}" type="presParOf" srcId="{CD8D0434-AB90-448D-A99F-7769BBCDB40D}" destId="{4DF902EA-7680-4020-835A-5A959099CE7C}" srcOrd="5" destOrd="0" presId="urn:microsoft.com/office/officeart/2005/8/layout/orgChart1"/>
    <dgm:cxn modelId="{7D856E3C-D3FA-4185-A5EA-76F68350DEA3}" type="presParOf" srcId="{4DF902EA-7680-4020-835A-5A959099CE7C}" destId="{F9546846-1955-4774-B2B1-102615AC057A}" srcOrd="0" destOrd="0" presId="urn:microsoft.com/office/officeart/2005/8/layout/orgChart1"/>
    <dgm:cxn modelId="{C38A005A-2BF3-4352-B022-BA2AF56EA1AD}" type="presParOf" srcId="{F9546846-1955-4774-B2B1-102615AC057A}" destId="{9D960369-E587-4918-86E6-32DDA269AFA2}" srcOrd="0" destOrd="0" presId="urn:microsoft.com/office/officeart/2005/8/layout/orgChart1"/>
    <dgm:cxn modelId="{AD2A1C8E-953B-414B-A5B3-8EF4C88DB5B3}" type="presParOf" srcId="{F9546846-1955-4774-B2B1-102615AC057A}" destId="{E5E9E2E2-0B99-4931-AB3C-560173D49948}" srcOrd="1" destOrd="0" presId="urn:microsoft.com/office/officeart/2005/8/layout/orgChart1"/>
    <dgm:cxn modelId="{26034FF2-0108-4AF9-B6F1-7B126CE194B3}" type="presParOf" srcId="{4DF902EA-7680-4020-835A-5A959099CE7C}" destId="{B48502EA-EA94-4D65-BF30-055ED4C0F670}" srcOrd="1" destOrd="0" presId="urn:microsoft.com/office/officeart/2005/8/layout/orgChart1"/>
    <dgm:cxn modelId="{E36B580B-DD96-4818-9E17-DE46D91B4B04}" type="presParOf" srcId="{B48502EA-EA94-4D65-BF30-055ED4C0F670}" destId="{63124B33-0411-40FE-8578-619AC852A99D}" srcOrd="0" destOrd="0" presId="urn:microsoft.com/office/officeart/2005/8/layout/orgChart1"/>
    <dgm:cxn modelId="{F3B09B2E-5ACF-4D8A-9663-05A4CD4DD91A}" type="presParOf" srcId="{B48502EA-EA94-4D65-BF30-055ED4C0F670}" destId="{A2173278-BEB5-41C0-98A6-96E020DFF769}" srcOrd="1" destOrd="0" presId="urn:microsoft.com/office/officeart/2005/8/layout/orgChart1"/>
    <dgm:cxn modelId="{034F53AB-4D09-48F1-9C77-8EA6DE1E2942}" type="presParOf" srcId="{A2173278-BEB5-41C0-98A6-96E020DFF769}" destId="{E0A46731-CEC5-48F7-9D56-7B8E7FE7A8F4}" srcOrd="0" destOrd="0" presId="urn:microsoft.com/office/officeart/2005/8/layout/orgChart1"/>
    <dgm:cxn modelId="{2628B712-91D4-4D61-820F-1A4B9578CF42}" type="presParOf" srcId="{E0A46731-CEC5-48F7-9D56-7B8E7FE7A8F4}" destId="{DFBDF1B7-93CA-4060-9F28-86E50E7D083D}" srcOrd="0" destOrd="0" presId="urn:microsoft.com/office/officeart/2005/8/layout/orgChart1"/>
    <dgm:cxn modelId="{C381E650-4B37-448E-9224-10ECE0CE2787}" type="presParOf" srcId="{E0A46731-CEC5-48F7-9D56-7B8E7FE7A8F4}" destId="{17E436C8-F149-4379-BF37-1A7769B06F41}" srcOrd="1" destOrd="0" presId="urn:microsoft.com/office/officeart/2005/8/layout/orgChart1"/>
    <dgm:cxn modelId="{62A98837-F685-4236-AB4E-B4D8BC3C5F88}" type="presParOf" srcId="{A2173278-BEB5-41C0-98A6-96E020DFF769}" destId="{30154C5D-62E1-4B0D-9D3A-B0B1E015F273}" srcOrd="1" destOrd="0" presId="urn:microsoft.com/office/officeart/2005/8/layout/orgChart1"/>
    <dgm:cxn modelId="{7088F821-13E5-48CA-A06A-BCE48E053506}" type="presParOf" srcId="{A2173278-BEB5-41C0-98A6-96E020DFF769}" destId="{D98937B1-0045-4E5E-BA65-7B406CE8BDB1}" srcOrd="2" destOrd="0" presId="urn:microsoft.com/office/officeart/2005/8/layout/orgChart1"/>
    <dgm:cxn modelId="{999D1E37-1DFB-4C4A-9BCA-33481757BE89}" type="presParOf" srcId="{4DF902EA-7680-4020-835A-5A959099CE7C}" destId="{8DD83668-46DC-483A-AEB8-E72A1EE6F002}" srcOrd="2" destOrd="0" presId="urn:microsoft.com/office/officeart/2005/8/layout/orgChart1"/>
    <dgm:cxn modelId="{61302822-3412-44C7-9F08-C02D55CEFD1E}" type="presParOf" srcId="{CD8D0434-AB90-448D-A99F-7769BBCDB40D}" destId="{781FF841-2632-46F4-8B5D-F8C91868F71C}" srcOrd="6" destOrd="0" presId="urn:microsoft.com/office/officeart/2005/8/layout/orgChart1"/>
    <dgm:cxn modelId="{3236988B-2F39-455A-9662-D164AB2C3210}" type="presParOf" srcId="{CD8D0434-AB90-448D-A99F-7769BBCDB40D}" destId="{7743C8C8-FD4F-4D18-BD17-55BCF9DAC33F}" srcOrd="7" destOrd="0" presId="urn:microsoft.com/office/officeart/2005/8/layout/orgChart1"/>
    <dgm:cxn modelId="{EF6ED4AD-F8F6-4A7F-BC6D-9F9BC0458DE3}" type="presParOf" srcId="{7743C8C8-FD4F-4D18-BD17-55BCF9DAC33F}" destId="{CAF2159A-8B6A-4012-88BE-83BA2CCB1E49}" srcOrd="0" destOrd="0" presId="urn:microsoft.com/office/officeart/2005/8/layout/orgChart1"/>
    <dgm:cxn modelId="{3BC9997F-3049-48A4-8BED-8930DF0FBF2D}" type="presParOf" srcId="{CAF2159A-8B6A-4012-88BE-83BA2CCB1E49}" destId="{797532B3-AEDD-4DAC-A7C9-6E8A7EE566FE}" srcOrd="0" destOrd="0" presId="urn:microsoft.com/office/officeart/2005/8/layout/orgChart1"/>
    <dgm:cxn modelId="{9FCFFCC1-5ED8-44A6-9BB1-2DFF52DC2B6B}" type="presParOf" srcId="{CAF2159A-8B6A-4012-88BE-83BA2CCB1E49}" destId="{924DDCFF-DD24-4DE7-87DC-42D28540EF8F}" srcOrd="1" destOrd="0" presId="urn:microsoft.com/office/officeart/2005/8/layout/orgChart1"/>
    <dgm:cxn modelId="{D0C6F8C2-B9AA-4BA5-99D9-5DA6C4CE492E}" type="presParOf" srcId="{7743C8C8-FD4F-4D18-BD17-55BCF9DAC33F}" destId="{F7943D81-1219-4F36-B572-8E2A0850568D}" srcOrd="1" destOrd="0" presId="urn:microsoft.com/office/officeart/2005/8/layout/orgChart1"/>
    <dgm:cxn modelId="{84B6241D-308F-45D3-B667-F391835C1F67}" type="presParOf" srcId="{F7943D81-1219-4F36-B572-8E2A0850568D}" destId="{7D6475C4-9739-4123-A563-E721F4F15080}" srcOrd="0" destOrd="0" presId="urn:microsoft.com/office/officeart/2005/8/layout/orgChart1"/>
    <dgm:cxn modelId="{1E1E83AC-B65F-482A-82DF-87520AB47114}" type="presParOf" srcId="{F7943D81-1219-4F36-B572-8E2A0850568D}" destId="{42CE837E-0732-4314-B991-59FF1B42B316}" srcOrd="1" destOrd="0" presId="urn:microsoft.com/office/officeart/2005/8/layout/orgChart1"/>
    <dgm:cxn modelId="{F70D8AE2-E2A1-417E-AB9D-842B8750496A}" type="presParOf" srcId="{42CE837E-0732-4314-B991-59FF1B42B316}" destId="{3C017E81-F4BD-4AB6-8E9A-1DAA1BCE3B43}" srcOrd="0" destOrd="0" presId="urn:microsoft.com/office/officeart/2005/8/layout/orgChart1"/>
    <dgm:cxn modelId="{12875376-3DE7-4B57-9770-AC1B8F929128}" type="presParOf" srcId="{3C017E81-F4BD-4AB6-8E9A-1DAA1BCE3B43}" destId="{A1E0AAC8-E355-462E-9A51-A85E6CB7E5FA}" srcOrd="0" destOrd="0" presId="urn:microsoft.com/office/officeart/2005/8/layout/orgChart1"/>
    <dgm:cxn modelId="{4E889108-45FC-4ED2-9071-6996A71C4631}" type="presParOf" srcId="{3C017E81-F4BD-4AB6-8E9A-1DAA1BCE3B43}" destId="{015BEF91-4A19-460D-8443-44A5E6CEA9A6}" srcOrd="1" destOrd="0" presId="urn:microsoft.com/office/officeart/2005/8/layout/orgChart1"/>
    <dgm:cxn modelId="{07F6E981-87C0-41F3-9932-4EC793FB226C}" type="presParOf" srcId="{42CE837E-0732-4314-B991-59FF1B42B316}" destId="{A9969A15-568C-40C9-8220-9EDF1A986173}" srcOrd="1" destOrd="0" presId="urn:microsoft.com/office/officeart/2005/8/layout/orgChart1"/>
    <dgm:cxn modelId="{24F470D6-CA76-4E00-9848-477D59D2A493}" type="presParOf" srcId="{42CE837E-0732-4314-B991-59FF1B42B316}" destId="{09DBE7FE-CA8A-4382-8B8F-AFC2BAA415DE}" srcOrd="2" destOrd="0" presId="urn:microsoft.com/office/officeart/2005/8/layout/orgChart1"/>
    <dgm:cxn modelId="{C5F3FBE8-34C3-41B5-8427-BB1472FC335C}" type="presParOf" srcId="{7743C8C8-FD4F-4D18-BD17-55BCF9DAC33F}" destId="{FD87D152-35EB-4694-A9B1-5F1E1626DDCD}" srcOrd="2" destOrd="0" presId="urn:microsoft.com/office/officeart/2005/8/layout/orgChart1"/>
    <dgm:cxn modelId="{4F252066-2364-43E7-86DD-6A8744D1758C}" type="presParOf" srcId="{C17E60AC-6160-4876-92BB-9FA89A2708E2}" destId="{77F0E76F-F4D6-4D15-88C7-B6018F03294A}" srcOrd="2" destOrd="0" presId="urn:microsoft.com/office/officeart/2005/8/layout/orgChart1"/>
    <dgm:cxn modelId="{6578FD5B-FD59-42FD-94A2-B561FEC4B975}" type="presParOf" srcId="{AB6B8639-C440-4E72-8DB1-7B0A90DFA406}" destId="{690C37B9-7957-4002-BF8B-2E94B5657F2E}" srcOrd="2" destOrd="0" presId="urn:microsoft.com/office/officeart/2005/8/layout/orgChart1"/>
    <dgm:cxn modelId="{47CFC801-9DD4-45BC-89F6-FE2CA9B6268D}" type="presParOf" srcId="{E2906F7E-AC95-4D2F-A1BA-9322F789E8C5}" destId="{8843A69E-20FA-454F-89FA-2C52CEB5F79D}" srcOrd="2" destOrd="0" presId="urn:microsoft.com/office/officeart/2005/8/layout/orgChart1"/>
    <dgm:cxn modelId="{2CCC0323-EA19-4247-A98E-E10354314242}" type="presParOf" srcId="{E2906F7E-AC95-4D2F-A1BA-9322F789E8C5}" destId="{DFB08113-9ECF-485F-9505-ED14E6412CFA}" srcOrd="3" destOrd="0" presId="urn:microsoft.com/office/officeart/2005/8/layout/orgChart1"/>
    <dgm:cxn modelId="{CA683876-38DB-4C79-9B8B-3F8E6C7629C0}" type="presParOf" srcId="{DFB08113-9ECF-485F-9505-ED14E6412CFA}" destId="{BDC0E9BF-B6AE-4D95-980F-C1D7C07F0165}" srcOrd="0" destOrd="0" presId="urn:microsoft.com/office/officeart/2005/8/layout/orgChart1"/>
    <dgm:cxn modelId="{D9ADEA1E-3AFF-4B79-84EA-D81387352B49}" type="presParOf" srcId="{BDC0E9BF-B6AE-4D95-980F-C1D7C07F0165}" destId="{D6319B11-2A26-4571-AE85-E89B535B22E3}" srcOrd="0" destOrd="0" presId="urn:microsoft.com/office/officeart/2005/8/layout/orgChart1"/>
    <dgm:cxn modelId="{E02C1B63-7F64-4447-8F98-F5C4DF4E1546}" type="presParOf" srcId="{BDC0E9BF-B6AE-4D95-980F-C1D7C07F0165}" destId="{FACBB6A4-09AF-41DA-B46C-16562F262097}" srcOrd="1" destOrd="0" presId="urn:microsoft.com/office/officeart/2005/8/layout/orgChart1"/>
    <dgm:cxn modelId="{7E728117-6A5B-47EC-839F-1E1FA02257A0}" type="presParOf" srcId="{DFB08113-9ECF-485F-9505-ED14E6412CFA}" destId="{2F0750DF-F5BC-447D-9D66-D6BF868E5661}" srcOrd="1" destOrd="0" presId="urn:microsoft.com/office/officeart/2005/8/layout/orgChart1"/>
    <dgm:cxn modelId="{D60A2EA8-F864-41A4-91E9-923101669C75}" type="presParOf" srcId="{DFB08113-9ECF-485F-9505-ED14E6412CFA}" destId="{0B953E7A-66B0-4C03-86DE-C80E208D135A}" srcOrd="2" destOrd="0" presId="urn:microsoft.com/office/officeart/2005/8/layout/orgChart1"/>
    <dgm:cxn modelId="{518F26E9-B9DA-4013-8E96-A387670788D9}" type="presParOf" srcId="{EE020A63-DD39-45A6-83A2-B57E7C19449F}" destId="{5987730A-118D-4182-BEE0-2F3FEB58B69A}" srcOrd="2" destOrd="0" presId="urn:microsoft.com/office/officeart/2005/8/layout/orgChart1"/>
    <dgm:cxn modelId="{331772A0-D9CE-4147-A808-B9F1C43D3224}" type="presParOf" srcId="{AC857217-3B79-4453-B815-E83EED6F9EB4}" destId="{A0F110D6-97D9-4A54-9F6A-57C9B37561E6}" srcOrd="2" destOrd="0" presId="urn:microsoft.com/office/officeart/2005/8/layout/orgChart1"/>
    <dgm:cxn modelId="{559892AF-9A35-41E1-BF76-EE6D9BC8FAF3}" type="presParOf" srcId="{21153EDA-B5F9-4F47-A75B-1801C88A480D}" destId="{7A10F3FE-272C-4E77-A242-94734B96AC34}" srcOrd="2" destOrd="0" presId="urn:microsoft.com/office/officeart/2005/8/layout/orgChart1"/>
    <dgm:cxn modelId="{DB63A225-F09A-4385-9556-63F8C6C2FE55}" type="presParOf" srcId="{53C612A8-8CFC-4C4B-8FB8-F4E50C3B3A53}" destId="{62746E04-072B-4FD3-9F2A-4E8118DA64A3}" srcOrd="2" destOrd="0" presId="urn:microsoft.com/office/officeart/2005/8/layout/orgChart1"/>
    <dgm:cxn modelId="{E728DC95-6FBF-4F7F-93B4-7C4C0B1C43C4}" type="presParOf" srcId="{5930B2C8-A29A-4B7B-8B56-DB277CF39C5C}" destId="{70F5DF31-1F11-4317-9DD6-AFE22A031078}" srcOrd="2" destOrd="0" presId="urn:microsoft.com/office/officeart/2005/8/layout/orgChart1"/>
    <dgm:cxn modelId="{96753E9B-86DD-4F85-8154-D0BC657EF3BD}" type="presParOf" srcId="{305CA57C-98F4-4E1D-A7D6-7ADB04639472}" destId="{0FDB8DC5-317B-42AD-98FB-F0DC05AAC7C8}" srcOrd="2" destOrd="0" presId="urn:microsoft.com/office/officeart/2005/8/layout/orgChart1"/>
    <dgm:cxn modelId="{FF97BA0F-1062-4E92-8592-E0C845A3489B}" type="presParOf" srcId="{B763E5C3-C000-4F3C-9BC5-27F69EBFACA2}" destId="{1D41CE73-BEE3-4CA7-A0A5-E019BF9FA865}" srcOrd="2" destOrd="0" presId="urn:microsoft.com/office/officeart/2005/8/layout/orgChart1"/>
    <dgm:cxn modelId="{99C218F6-A5F9-4985-8800-50EBEBE6BAAA}" type="presParOf" srcId="{65BFF1AA-E4D6-4DE2-9F4C-09D056E78C44}" destId="{EBF8B6FC-C376-4E1D-8BBA-B28ED132DBC4}" srcOrd="2" destOrd="0" presId="urn:microsoft.com/office/officeart/2005/8/layout/orgChart1"/>
    <dgm:cxn modelId="{4FDBC8C4-C4A0-47DE-A98B-9C4E6B7B5CB6}" type="presParOf" srcId="{83D16A9D-4F2B-402A-9A0F-333F125D42C3}" destId="{9FCFF2D8-2819-4609-B024-A854A9F25414}"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43A69E-20FA-454F-89FA-2C52CEB5F79D}">
      <dsp:nvSpPr>
        <dsp:cNvPr id="0" name=""/>
        <dsp:cNvSpPr/>
      </dsp:nvSpPr>
      <dsp:spPr>
        <a:xfrm>
          <a:off x="2800866" y="4267322"/>
          <a:ext cx="797135" cy="146321"/>
        </a:xfrm>
        <a:custGeom>
          <a:avLst/>
          <a:gdLst/>
          <a:ahLst/>
          <a:cxnLst/>
          <a:rect l="0" t="0" r="0" b="0"/>
          <a:pathLst>
            <a:path>
              <a:moveTo>
                <a:pt x="0" y="0"/>
              </a:moveTo>
              <a:lnTo>
                <a:pt x="0" y="67663"/>
              </a:lnTo>
              <a:lnTo>
                <a:pt x="797135" y="67663"/>
              </a:lnTo>
              <a:lnTo>
                <a:pt x="797135" y="14632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D6475C4-9739-4123-A563-E721F4F15080}">
      <dsp:nvSpPr>
        <dsp:cNvPr id="0" name=""/>
        <dsp:cNvSpPr/>
      </dsp:nvSpPr>
      <dsp:spPr>
        <a:xfrm>
          <a:off x="3766364" y="5867732"/>
          <a:ext cx="91440" cy="336612"/>
        </a:xfrm>
        <a:custGeom>
          <a:avLst/>
          <a:gdLst/>
          <a:ahLst/>
          <a:cxnLst/>
          <a:rect l="0" t="0" r="0" b="0"/>
          <a:pathLst>
            <a:path>
              <a:moveTo>
                <a:pt x="45720" y="0"/>
              </a:moveTo>
              <a:lnTo>
                <a:pt x="45720" y="336612"/>
              </a:lnTo>
              <a:lnTo>
                <a:pt x="132228" y="33661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1FF841-2632-46F4-8B5D-F8C91868F71C}">
      <dsp:nvSpPr>
        <dsp:cNvPr id="0" name=""/>
        <dsp:cNvSpPr/>
      </dsp:nvSpPr>
      <dsp:spPr>
        <a:xfrm>
          <a:off x="2578880" y="5293822"/>
          <a:ext cx="1532850" cy="199351"/>
        </a:xfrm>
        <a:custGeom>
          <a:avLst/>
          <a:gdLst/>
          <a:ahLst/>
          <a:cxnLst/>
          <a:rect l="0" t="0" r="0" b="0"/>
          <a:pathLst>
            <a:path>
              <a:moveTo>
                <a:pt x="0" y="0"/>
              </a:moveTo>
              <a:lnTo>
                <a:pt x="0" y="120693"/>
              </a:lnTo>
              <a:lnTo>
                <a:pt x="1532850" y="120693"/>
              </a:lnTo>
              <a:lnTo>
                <a:pt x="1532850" y="19935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3124B33-0411-40FE-8578-619AC852A99D}">
      <dsp:nvSpPr>
        <dsp:cNvPr id="0" name=""/>
        <dsp:cNvSpPr/>
      </dsp:nvSpPr>
      <dsp:spPr>
        <a:xfrm>
          <a:off x="2802468" y="5874961"/>
          <a:ext cx="91440" cy="342702"/>
        </a:xfrm>
        <a:custGeom>
          <a:avLst/>
          <a:gdLst/>
          <a:ahLst/>
          <a:cxnLst/>
          <a:rect l="0" t="0" r="0" b="0"/>
          <a:pathLst>
            <a:path>
              <a:moveTo>
                <a:pt x="45720" y="0"/>
              </a:moveTo>
              <a:lnTo>
                <a:pt x="45720" y="342702"/>
              </a:lnTo>
              <a:lnTo>
                <a:pt x="115208" y="3427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45BE094-A04D-4E55-85D9-45F44D4A8C76}">
      <dsp:nvSpPr>
        <dsp:cNvPr id="0" name=""/>
        <dsp:cNvSpPr/>
      </dsp:nvSpPr>
      <dsp:spPr>
        <a:xfrm>
          <a:off x="2578880" y="5293822"/>
          <a:ext cx="568954" cy="206580"/>
        </a:xfrm>
        <a:custGeom>
          <a:avLst/>
          <a:gdLst/>
          <a:ahLst/>
          <a:cxnLst/>
          <a:rect l="0" t="0" r="0" b="0"/>
          <a:pathLst>
            <a:path>
              <a:moveTo>
                <a:pt x="0" y="0"/>
              </a:moveTo>
              <a:lnTo>
                <a:pt x="0" y="127922"/>
              </a:lnTo>
              <a:lnTo>
                <a:pt x="568954" y="127922"/>
              </a:lnTo>
              <a:lnTo>
                <a:pt x="568954" y="20658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3109FBB-0555-4823-96FB-8F531E73E53F}">
      <dsp:nvSpPr>
        <dsp:cNvPr id="0" name=""/>
        <dsp:cNvSpPr/>
      </dsp:nvSpPr>
      <dsp:spPr>
        <a:xfrm>
          <a:off x="1565615" y="5861170"/>
          <a:ext cx="91440" cy="356302"/>
        </a:xfrm>
        <a:custGeom>
          <a:avLst/>
          <a:gdLst/>
          <a:ahLst/>
          <a:cxnLst/>
          <a:rect l="0" t="0" r="0" b="0"/>
          <a:pathLst>
            <a:path>
              <a:moveTo>
                <a:pt x="45720" y="0"/>
              </a:moveTo>
              <a:lnTo>
                <a:pt x="45720" y="356302"/>
              </a:lnTo>
              <a:lnTo>
                <a:pt x="103694" y="356302"/>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3EF512F-EAB7-4ADA-AD40-77BF017C0AFE}">
      <dsp:nvSpPr>
        <dsp:cNvPr id="0" name=""/>
        <dsp:cNvSpPr/>
      </dsp:nvSpPr>
      <dsp:spPr>
        <a:xfrm>
          <a:off x="1910982" y="5293822"/>
          <a:ext cx="667897" cy="192789"/>
        </a:xfrm>
        <a:custGeom>
          <a:avLst/>
          <a:gdLst/>
          <a:ahLst/>
          <a:cxnLst/>
          <a:rect l="0" t="0" r="0" b="0"/>
          <a:pathLst>
            <a:path>
              <a:moveTo>
                <a:pt x="667897" y="0"/>
              </a:moveTo>
              <a:lnTo>
                <a:pt x="667897" y="114131"/>
              </a:lnTo>
              <a:lnTo>
                <a:pt x="0" y="114131"/>
              </a:lnTo>
              <a:lnTo>
                <a:pt x="0" y="19278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7DD9B50-54F6-42FE-9F3E-9358564C3475}">
      <dsp:nvSpPr>
        <dsp:cNvPr id="0" name=""/>
        <dsp:cNvSpPr/>
      </dsp:nvSpPr>
      <dsp:spPr>
        <a:xfrm>
          <a:off x="388618" y="5866320"/>
          <a:ext cx="91440" cy="377397"/>
        </a:xfrm>
        <a:custGeom>
          <a:avLst/>
          <a:gdLst/>
          <a:ahLst/>
          <a:cxnLst/>
          <a:rect l="0" t="0" r="0" b="0"/>
          <a:pathLst>
            <a:path>
              <a:moveTo>
                <a:pt x="45720" y="0"/>
              </a:moveTo>
              <a:lnTo>
                <a:pt x="45720" y="377397"/>
              </a:lnTo>
              <a:lnTo>
                <a:pt x="127988" y="37739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F6C7E4C-8A14-413F-A848-FF932668D64A}">
      <dsp:nvSpPr>
        <dsp:cNvPr id="0" name=""/>
        <dsp:cNvSpPr/>
      </dsp:nvSpPr>
      <dsp:spPr>
        <a:xfrm>
          <a:off x="733985" y="5293822"/>
          <a:ext cx="1844895" cy="197939"/>
        </a:xfrm>
        <a:custGeom>
          <a:avLst/>
          <a:gdLst/>
          <a:ahLst/>
          <a:cxnLst/>
          <a:rect l="0" t="0" r="0" b="0"/>
          <a:pathLst>
            <a:path>
              <a:moveTo>
                <a:pt x="1844895" y="0"/>
              </a:moveTo>
              <a:lnTo>
                <a:pt x="1844895" y="119281"/>
              </a:lnTo>
              <a:lnTo>
                <a:pt x="0" y="119281"/>
              </a:lnTo>
              <a:lnTo>
                <a:pt x="0" y="19793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EDE3E58-1D70-4381-88FB-D87017FF576A}">
      <dsp:nvSpPr>
        <dsp:cNvPr id="0" name=""/>
        <dsp:cNvSpPr/>
      </dsp:nvSpPr>
      <dsp:spPr>
        <a:xfrm>
          <a:off x="2329117" y="4781640"/>
          <a:ext cx="249763" cy="137624"/>
        </a:xfrm>
        <a:custGeom>
          <a:avLst/>
          <a:gdLst/>
          <a:ahLst/>
          <a:cxnLst/>
          <a:rect l="0" t="0" r="0" b="0"/>
          <a:pathLst>
            <a:path>
              <a:moveTo>
                <a:pt x="0" y="0"/>
              </a:moveTo>
              <a:lnTo>
                <a:pt x="0" y="58966"/>
              </a:lnTo>
              <a:lnTo>
                <a:pt x="249763" y="58966"/>
              </a:lnTo>
              <a:lnTo>
                <a:pt x="249763" y="13762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C95CFF9-DD7F-44C8-83EE-AAC74555B393}">
      <dsp:nvSpPr>
        <dsp:cNvPr id="0" name=""/>
        <dsp:cNvSpPr/>
      </dsp:nvSpPr>
      <dsp:spPr>
        <a:xfrm>
          <a:off x="1619950" y="4781640"/>
          <a:ext cx="709166" cy="131061"/>
        </a:xfrm>
        <a:custGeom>
          <a:avLst/>
          <a:gdLst/>
          <a:ahLst/>
          <a:cxnLst/>
          <a:rect l="0" t="0" r="0" b="0"/>
          <a:pathLst>
            <a:path>
              <a:moveTo>
                <a:pt x="709166" y="0"/>
              </a:moveTo>
              <a:lnTo>
                <a:pt x="709166" y="52404"/>
              </a:lnTo>
              <a:lnTo>
                <a:pt x="0" y="52404"/>
              </a:lnTo>
              <a:lnTo>
                <a:pt x="0" y="13106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09590EB-91D9-4F2C-9CCA-62666500062F}">
      <dsp:nvSpPr>
        <dsp:cNvPr id="0" name=""/>
        <dsp:cNvSpPr/>
      </dsp:nvSpPr>
      <dsp:spPr>
        <a:xfrm>
          <a:off x="2329117" y="4267322"/>
          <a:ext cx="471748" cy="139759"/>
        </a:xfrm>
        <a:custGeom>
          <a:avLst/>
          <a:gdLst/>
          <a:ahLst/>
          <a:cxnLst/>
          <a:rect l="0" t="0" r="0" b="0"/>
          <a:pathLst>
            <a:path>
              <a:moveTo>
                <a:pt x="471748" y="0"/>
              </a:moveTo>
              <a:lnTo>
                <a:pt x="471748" y="61101"/>
              </a:lnTo>
              <a:lnTo>
                <a:pt x="0" y="61101"/>
              </a:lnTo>
              <a:lnTo>
                <a:pt x="0" y="13975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433524B-BD39-4253-AC6F-6C3291855BA9}">
      <dsp:nvSpPr>
        <dsp:cNvPr id="0" name=""/>
        <dsp:cNvSpPr/>
      </dsp:nvSpPr>
      <dsp:spPr>
        <a:xfrm>
          <a:off x="2754764" y="3767165"/>
          <a:ext cx="91440" cy="91440"/>
        </a:xfrm>
        <a:custGeom>
          <a:avLst/>
          <a:gdLst/>
          <a:ahLst/>
          <a:cxnLst/>
          <a:rect l="0" t="0" r="0" b="0"/>
          <a:pathLst>
            <a:path>
              <a:moveTo>
                <a:pt x="45720" y="45720"/>
              </a:moveTo>
              <a:lnTo>
                <a:pt x="45720" y="46941"/>
              </a:lnTo>
              <a:lnTo>
                <a:pt x="46102" y="46941"/>
              </a:lnTo>
              <a:lnTo>
                <a:pt x="46102" y="12559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B310D36-F28E-41E8-9BED-31138609DD37}">
      <dsp:nvSpPr>
        <dsp:cNvPr id="0" name=""/>
        <dsp:cNvSpPr/>
      </dsp:nvSpPr>
      <dsp:spPr>
        <a:xfrm>
          <a:off x="2754764" y="3316577"/>
          <a:ext cx="91440" cy="121750"/>
        </a:xfrm>
        <a:custGeom>
          <a:avLst/>
          <a:gdLst/>
          <a:ahLst/>
          <a:cxnLst/>
          <a:rect l="0" t="0" r="0" b="0"/>
          <a:pathLst>
            <a:path>
              <a:moveTo>
                <a:pt x="47435" y="0"/>
              </a:moveTo>
              <a:lnTo>
                <a:pt x="47435" y="43092"/>
              </a:lnTo>
              <a:lnTo>
                <a:pt x="45720" y="43092"/>
              </a:lnTo>
              <a:lnTo>
                <a:pt x="45720" y="1217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23ACBB5-05F0-45E8-B3CD-A9374033B53A}">
      <dsp:nvSpPr>
        <dsp:cNvPr id="0" name=""/>
        <dsp:cNvSpPr/>
      </dsp:nvSpPr>
      <dsp:spPr>
        <a:xfrm>
          <a:off x="2756479" y="2825242"/>
          <a:ext cx="91440" cy="116776"/>
        </a:xfrm>
        <a:custGeom>
          <a:avLst/>
          <a:gdLst/>
          <a:ahLst/>
          <a:cxnLst/>
          <a:rect l="0" t="0" r="0" b="0"/>
          <a:pathLst>
            <a:path>
              <a:moveTo>
                <a:pt x="45720" y="0"/>
              </a:moveTo>
              <a:lnTo>
                <a:pt x="45720" y="116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6C05318-873F-4D79-B4FA-9CA1027F7F46}">
      <dsp:nvSpPr>
        <dsp:cNvPr id="0" name=""/>
        <dsp:cNvSpPr/>
      </dsp:nvSpPr>
      <dsp:spPr>
        <a:xfrm>
          <a:off x="2742965" y="2335490"/>
          <a:ext cx="91440" cy="91440"/>
        </a:xfrm>
        <a:custGeom>
          <a:avLst/>
          <a:gdLst/>
          <a:ahLst/>
          <a:cxnLst/>
          <a:rect l="0" t="0" r="0" b="0"/>
          <a:pathLst>
            <a:path>
              <a:moveTo>
                <a:pt x="45720" y="45720"/>
              </a:moveTo>
              <a:lnTo>
                <a:pt x="59234" y="45720"/>
              </a:lnTo>
              <a:lnTo>
                <a:pt x="59234" y="11519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8AA163-5E83-4AFE-8C14-30F4227D71B9}">
      <dsp:nvSpPr>
        <dsp:cNvPr id="0" name=""/>
        <dsp:cNvSpPr/>
      </dsp:nvSpPr>
      <dsp:spPr>
        <a:xfrm>
          <a:off x="2342227" y="1802038"/>
          <a:ext cx="446458" cy="204613"/>
        </a:xfrm>
        <a:custGeom>
          <a:avLst/>
          <a:gdLst/>
          <a:ahLst/>
          <a:cxnLst/>
          <a:rect l="0" t="0" r="0" b="0"/>
          <a:pathLst>
            <a:path>
              <a:moveTo>
                <a:pt x="0" y="0"/>
              </a:moveTo>
              <a:lnTo>
                <a:pt x="0" y="125956"/>
              </a:lnTo>
              <a:lnTo>
                <a:pt x="446458" y="125956"/>
              </a:lnTo>
              <a:lnTo>
                <a:pt x="446458" y="20461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889F42C-D496-4257-8A26-07AE01A7FC00}">
      <dsp:nvSpPr>
        <dsp:cNvPr id="0" name=""/>
        <dsp:cNvSpPr/>
      </dsp:nvSpPr>
      <dsp:spPr>
        <a:xfrm>
          <a:off x="1882254" y="1802038"/>
          <a:ext cx="459972" cy="204613"/>
        </a:xfrm>
        <a:custGeom>
          <a:avLst/>
          <a:gdLst/>
          <a:ahLst/>
          <a:cxnLst/>
          <a:rect l="0" t="0" r="0" b="0"/>
          <a:pathLst>
            <a:path>
              <a:moveTo>
                <a:pt x="459972" y="0"/>
              </a:moveTo>
              <a:lnTo>
                <a:pt x="459972" y="125956"/>
              </a:lnTo>
              <a:lnTo>
                <a:pt x="0" y="125956"/>
              </a:lnTo>
              <a:lnTo>
                <a:pt x="0" y="20461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CAFF06-E500-4D9D-BE0D-2E9BAC6145B4}">
      <dsp:nvSpPr>
        <dsp:cNvPr id="0" name=""/>
        <dsp:cNvSpPr/>
      </dsp:nvSpPr>
      <dsp:spPr>
        <a:xfrm>
          <a:off x="2296507" y="1290436"/>
          <a:ext cx="91440" cy="137043"/>
        </a:xfrm>
        <a:custGeom>
          <a:avLst/>
          <a:gdLst/>
          <a:ahLst/>
          <a:cxnLst/>
          <a:rect l="0" t="0" r="0" b="0"/>
          <a:pathLst>
            <a:path>
              <a:moveTo>
                <a:pt x="45720" y="0"/>
              </a:moveTo>
              <a:lnTo>
                <a:pt x="45720" y="13704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1D7948F-66BC-4C35-BAF8-409E23779FED}">
      <dsp:nvSpPr>
        <dsp:cNvPr id="0" name=""/>
        <dsp:cNvSpPr/>
      </dsp:nvSpPr>
      <dsp:spPr>
        <a:xfrm>
          <a:off x="2289749" y="800684"/>
          <a:ext cx="91440" cy="91440"/>
        </a:xfrm>
        <a:custGeom>
          <a:avLst/>
          <a:gdLst/>
          <a:ahLst/>
          <a:cxnLst/>
          <a:rect l="0" t="0" r="0" b="0"/>
          <a:pathLst>
            <a:path>
              <a:moveTo>
                <a:pt x="45720" y="45720"/>
              </a:moveTo>
              <a:lnTo>
                <a:pt x="52477" y="45720"/>
              </a:lnTo>
              <a:lnTo>
                <a:pt x="52477" y="11519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BA168A4-9978-4615-860E-26D03FD2AD28}">
      <dsp:nvSpPr>
        <dsp:cNvPr id="0" name=""/>
        <dsp:cNvSpPr/>
      </dsp:nvSpPr>
      <dsp:spPr>
        <a:xfrm>
          <a:off x="2289749" y="375345"/>
          <a:ext cx="91440" cy="96501"/>
        </a:xfrm>
        <a:custGeom>
          <a:avLst/>
          <a:gdLst/>
          <a:ahLst/>
          <a:cxnLst/>
          <a:rect l="0" t="0" r="0" b="0"/>
          <a:pathLst>
            <a:path>
              <a:moveTo>
                <a:pt x="45720" y="0"/>
              </a:moveTo>
              <a:lnTo>
                <a:pt x="45720" y="9650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1A70F4-04A0-4445-8726-D58DD5975D01}">
      <dsp:nvSpPr>
        <dsp:cNvPr id="0" name=""/>
        <dsp:cNvSpPr/>
      </dsp:nvSpPr>
      <dsp:spPr>
        <a:xfrm>
          <a:off x="1827336" y="786"/>
          <a:ext cx="101626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Onset of AS symptoms</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(syncope, shortness of breath, angina)</a:t>
          </a:r>
        </a:p>
      </dsp:txBody>
      <dsp:txXfrm>
        <a:off x="1827336" y="786"/>
        <a:ext cx="1016267" cy="374558"/>
      </dsp:txXfrm>
    </dsp:sp>
    <dsp:sp modelId="{CB21C93F-B32B-4D8A-8BF2-F13D280E3EBE}">
      <dsp:nvSpPr>
        <dsp:cNvPr id="0" name=""/>
        <dsp:cNvSpPr/>
      </dsp:nvSpPr>
      <dsp:spPr>
        <a:xfrm>
          <a:off x="1960911" y="471846"/>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Presentation to GP</a:t>
          </a:r>
        </a:p>
      </dsp:txBody>
      <dsp:txXfrm>
        <a:off x="1960911" y="471846"/>
        <a:ext cx="749117" cy="374558"/>
      </dsp:txXfrm>
    </dsp:sp>
    <dsp:sp modelId="{DFC234AD-27D9-4F6F-B727-B228AF33C6D1}">
      <dsp:nvSpPr>
        <dsp:cNvPr id="0" name=""/>
        <dsp:cNvSpPr/>
      </dsp:nvSpPr>
      <dsp:spPr>
        <a:xfrm>
          <a:off x="1967668" y="915877"/>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Cardiologist</a:t>
          </a:r>
        </a:p>
      </dsp:txBody>
      <dsp:txXfrm>
        <a:off x="1967668" y="915877"/>
        <a:ext cx="749117" cy="374558"/>
      </dsp:txXfrm>
    </dsp:sp>
    <dsp:sp modelId="{C289D667-94C7-4EFD-9AE8-3CDE0E7D09CD}">
      <dsp:nvSpPr>
        <dsp:cNvPr id="0" name=""/>
        <dsp:cNvSpPr/>
      </dsp:nvSpPr>
      <dsp:spPr>
        <a:xfrm>
          <a:off x="1445417" y="1427479"/>
          <a:ext cx="1793618"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Investigations (echocardiography, cardiac MRI, exercise echocardiography, multi-slice tomography, coronary angiography) </a:t>
          </a:r>
        </a:p>
      </dsp:txBody>
      <dsp:txXfrm>
        <a:off x="1445417" y="1427479"/>
        <a:ext cx="1793618" cy="374558"/>
      </dsp:txXfrm>
    </dsp:sp>
    <dsp:sp modelId="{20DB8B73-061C-4D21-9363-E1FC158DD950}">
      <dsp:nvSpPr>
        <dsp:cNvPr id="0" name=""/>
        <dsp:cNvSpPr/>
      </dsp:nvSpPr>
      <dsp:spPr>
        <a:xfrm>
          <a:off x="1507695" y="200665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Medical Management</a:t>
          </a:r>
        </a:p>
      </dsp:txBody>
      <dsp:txXfrm>
        <a:off x="1507695" y="2006652"/>
        <a:ext cx="749117" cy="374558"/>
      </dsp:txXfrm>
    </dsp:sp>
    <dsp:sp modelId="{95080D60-A6EB-4255-B39D-C5A84A998F6F}">
      <dsp:nvSpPr>
        <dsp:cNvPr id="0" name=""/>
        <dsp:cNvSpPr/>
      </dsp:nvSpPr>
      <dsp:spPr>
        <a:xfrm>
          <a:off x="2414127" y="200665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AS diagnosis</a:t>
          </a:r>
        </a:p>
      </dsp:txBody>
      <dsp:txXfrm>
        <a:off x="2414127" y="2006652"/>
        <a:ext cx="749117" cy="374558"/>
      </dsp:txXfrm>
    </dsp:sp>
    <dsp:sp modelId="{5FC8B272-7CE5-487D-8602-9022E5A7B8C6}">
      <dsp:nvSpPr>
        <dsp:cNvPr id="0" name=""/>
        <dsp:cNvSpPr/>
      </dsp:nvSpPr>
      <dsp:spPr>
        <a:xfrm>
          <a:off x="2427641" y="245068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Referral</a:t>
          </a:r>
        </a:p>
      </dsp:txBody>
      <dsp:txXfrm>
        <a:off x="2427641" y="2450684"/>
        <a:ext cx="749117" cy="374558"/>
      </dsp:txXfrm>
    </dsp:sp>
    <dsp:sp modelId="{02D478EE-96F5-447E-B3C3-C5DB2FD47E07}">
      <dsp:nvSpPr>
        <dsp:cNvPr id="0" name=""/>
        <dsp:cNvSpPr/>
      </dsp:nvSpPr>
      <dsp:spPr>
        <a:xfrm>
          <a:off x="2113618" y="2942018"/>
          <a:ext cx="1377161"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Interventional cardiologist OR </a:t>
          </a:r>
        </a:p>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Cardiothoracic surgeon</a:t>
          </a:r>
        </a:p>
      </dsp:txBody>
      <dsp:txXfrm>
        <a:off x="2113618" y="2942018"/>
        <a:ext cx="1377161" cy="374558"/>
      </dsp:txXfrm>
    </dsp:sp>
    <dsp:sp modelId="{C083CB9B-A4A3-42D8-88A9-9AD775A79784}">
      <dsp:nvSpPr>
        <dsp:cNvPr id="0" name=""/>
        <dsp:cNvSpPr/>
      </dsp:nvSpPr>
      <dsp:spPr>
        <a:xfrm>
          <a:off x="2425925" y="3438327"/>
          <a:ext cx="749117" cy="374558"/>
        </a:xfrm>
        <a:prstGeom prst="rect">
          <a:avLst/>
        </a:prstGeom>
        <a:solidFill>
          <a:srgbClr val="C0504D">
            <a:lumMod val="40000"/>
            <a:lumOff val="6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TAVI Heart Team</a:t>
          </a:r>
        </a:p>
      </dsp:txBody>
      <dsp:txXfrm>
        <a:off x="2425925" y="3438327"/>
        <a:ext cx="749117" cy="374558"/>
      </dsp:txXfrm>
    </dsp:sp>
    <dsp:sp modelId="{F4CDA0C9-EBCE-4DF0-9F21-79E4466926D0}">
      <dsp:nvSpPr>
        <dsp:cNvPr id="0" name=""/>
        <dsp:cNvSpPr/>
      </dsp:nvSpPr>
      <dsp:spPr>
        <a:xfrm>
          <a:off x="2426307" y="3892764"/>
          <a:ext cx="749117" cy="374558"/>
        </a:xfrm>
        <a:prstGeom prst="rect">
          <a:avLst/>
        </a:prstGeom>
        <a:solidFill>
          <a:srgbClr val="C0504D">
            <a:lumMod val="40000"/>
            <a:lumOff val="60000"/>
          </a:srgb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TAVI OR SAVR</a:t>
          </a:r>
        </a:p>
      </dsp:txBody>
      <dsp:txXfrm>
        <a:off x="2426307" y="3892764"/>
        <a:ext cx="749117" cy="374558"/>
      </dsp:txXfrm>
    </dsp:sp>
    <dsp:sp modelId="{72DD0FF7-D3AD-4AC2-8E10-455B5BAEE9D0}">
      <dsp:nvSpPr>
        <dsp:cNvPr id="0" name=""/>
        <dsp:cNvSpPr/>
      </dsp:nvSpPr>
      <dsp:spPr>
        <a:xfrm>
          <a:off x="1638042" y="4407081"/>
          <a:ext cx="1382150"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Medication + Specialist follow-up + Echocardiographic at 1, 6, 12 months</a:t>
          </a:r>
        </a:p>
      </dsp:txBody>
      <dsp:txXfrm>
        <a:off x="1638042" y="4407081"/>
        <a:ext cx="1382150" cy="374558"/>
      </dsp:txXfrm>
    </dsp:sp>
    <dsp:sp modelId="{E7E4CA2B-BD5D-4E86-818E-44F9867A2B45}">
      <dsp:nvSpPr>
        <dsp:cNvPr id="0" name=""/>
        <dsp:cNvSpPr/>
      </dsp:nvSpPr>
      <dsp:spPr>
        <a:xfrm>
          <a:off x="1245392" y="491270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No complications</a:t>
          </a:r>
        </a:p>
      </dsp:txBody>
      <dsp:txXfrm>
        <a:off x="1245392" y="4912702"/>
        <a:ext cx="749117" cy="374558"/>
      </dsp:txXfrm>
    </dsp:sp>
    <dsp:sp modelId="{46F9EBB9-913B-49C3-8EC1-83819F58FC38}">
      <dsp:nvSpPr>
        <dsp:cNvPr id="0" name=""/>
        <dsp:cNvSpPr/>
      </dsp:nvSpPr>
      <dsp:spPr>
        <a:xfrm>
          <a:off x="2204322" y="491926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Complications</a:t>
          </a:r>
        </a:p>
      </dsp:txBody>
      <dsp:txXfrm>
        <a:off x="2204322" y="4919264"/>
        <a:ext cx="749117" cy="374558"/>
      </dsp:txXfrm>
    </dsp:sp>
    <dsp:sp modelId="{703D0A9C-A4BD-476F-9B48-2BB361221C41}">
      <dsp:nvSpPr>
        <dsp:cNvPr id="0" name=""/>
        <dsp:cNvSpPr/>
      </dsp:nvSpPr>
      <dsp:spPr>
        <a:xfrm>
          <a:off x="359426" y="549176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Stroke</a:t>
          </a:r>
        </a:p>
      </dsp:txBody>
      <dsp:txXfrm>
        <a:off x="359426" y="5491762"/>
        <a:ext cx="749117" cy="374558"/>
      </dsp:txXfrm>
    </dsp:sp>
    <dsp:sp modelId="{E8F52203-688E-492F-B99C-F7E14FA66BC5}">
      <dsp:nvSpPr>
        <dsp:cNvPr id="0" name=""/>
        <dsp:cNvSpPr/>
      </dsp:nvSpPr>
      <dsp:spPr>
        <a:xfrm>
          <a:off x="516606" y="6056439"/>
          <a:ext cx="867312"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Stroke rehabilitation and management</a:t>
          </a:r>
        </a:p>
      </dsp:txBody>
      <dsp:txXfrm>
        <a:off x="516606" y="6056439"/>
        <a:ext cx="867312" cy="374558"/>
      </dsp:txXfrm>
    </dsp:sp>
    <dsp:sp modelId="{A658CD4F-2941-4C0C-A9BF-D757832722A2}">
      <dsp:nvSpPr>
        <dsp:cNvPr id="0" name=""/>
        <dsp:cNvSpPr/>
      </dsp:nvSpPr>
      <dsp:spPr>
        <a:xfrm>
          <a:off x="1536424" y="5486612"/>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Heart failure</a:t>
          </a:r>
        </a:p>
      </dsp:txBody>
      <dsp:txXfrm>
        <a:off x="1536424" y="5486612"/>
        <a:ext cx="749117" cy="374558"/>
      </dsp:txXfrm>
    </dsp:sp>
    <dsp:sp modelId="{74188041-A1DF-49B2-B896-8C106E0F582B}">
      <dsp:nvSpPr>
        <dsp:cNvPr id="0" name=""/>
        <dsp:cNvSpPr/>
      </dsp:nvSpPr>
      <dsp:spPr>
        <a:xfrm>
          <a:off x="1669310" y="6030193"/>
          <a:ext cx="906566"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Heart failure management</a:t>
          </a:r>
        </a:p>
      </dsp:txBody>
      <dsp:txXfrm>
        <a:off x="1669310" y="6030193"/>
        <a:ext cx="906566" cy="374558"/>
      </dsp:txXfrm>
    </dsp:sp>
    <dsp:sp modelId="{9D960369-E587-4918-86E6-32DDA269AFA2}">
      <dsp:nvSpPr>
        <dsp:cNvPr id="0" name=""/>
        <dsp:cNvSpPr/>
      </dsp:nvSpPr>
      <dsp:spPr>
        <a:xfrm>
          <a:off x="2773276" y="5500403"/>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Pacemaker implantation</a:t>
          </a:r>
        </a:p>
      </dsp:txBody>
      <dsp:txXfrm>
        <a:off x="2773276" y="5500403"/>
        <a:ext cx="749117" cy="374558"/>
      </dsp:txXfrm>
    </dsp:sp>
    <dsp:sp modelId="{DFBDF1B7-93CA-4060-9F28-86E50E7D083D}">
      <dsp:nvSpPr>
        <dsp:cNvPr id="0" name=""/>
        <dsp:cNvSpPr/>
      </dsp:nvSpPr>
      <dsp:spPr>
        <a:xfrm>
          <a:off x="2917676" y="6030384"/>
          <a:ext cx="841453"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Pacemaker follow-up</a:t>
          </a:r>
        </a:p>
      </dsp:txBody>
      <dsp:txXfrm>
        <a:off x="2917676" y="6030384"/>
        <a:ext cx="841453" cy="374558"/>
      </dsp:txXfrm>
    </dsp:sp>
    <dsp:sp modelId="{797532B3-AEDD-4DAC-A7C9-6E8A7EE566FE}">
      <dsp:nvSpPr>
        <dsp:cNvPr id="0" name=""/>
        <dsp:cNvSpPr/>
      </dsp:nvSpPr>
      <dsp:spPr>
        <a:xfrm>
          <a:off x="3737172" y="549317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Cardiovascular complications</a:t>
          </a:r>
        </a:p>
      </dsp:txBody>
      <dsp:txXfrm>
        <a:off x="3737172" y="5493174"/>
        <a:ext cx="749117" cy="374558"/>
      </dsp:txXfrm>
    </dsp:sp>
    <dsp:sp modelId="{A1E0AAC8-E355-462E-9A51-A85E6CB7E5FA}">
      <dsp:nvSpPr>
        <dsp:cNvPr id="0" name=""/>
        <dsp:cNvSpPr/>
      </dsp:nvSpPr>
      <dsp:spPr>
        <a:xfrm>
          <a:off x="3898592" y="6017065"/>
          <a:ext cx="928066"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Cardiovascular management</a:t>
          </a:r>
        </a:p>
      </dsp:txBody>
      <dsp:txXfrm>
        <a:off x="3898592" y="6017065"/>
        <a:ext cx="928066" cy="374558"/>
      </dsp:txXfrm>
    </dsp:sp>
    <dsp:sp modelId="{D6319B11-2A26-4571-AE85-E89B535B22E3}">
      <dsp:nvSpPr>
        <dsp:cNvPr id="0" name=""/>
        <dsp:cNvSpPr/>
      </dsp:nvSpPr>
      <dsp:spPr>
        <a:xfrm>
          <a:off x="3223443" y="4413644"/>
          <a:ext cx="749117" cy="37455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Calibri"/>
              <a:ea typeface="+mn-ea"/>
              <a:cs typeface="+mn-cs"/>
            </a:rPr>
            <a:t>Death</a:t>
          </a:r>
        </a:p>
      </dsp:txBody>
      <dsp:txXfrm>
        <a:off x="3223443" y="4413644"/>
        <a:ext cx="749117" cy="37455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67A2-BB3B-4BE5-8FF7-9332CBC7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10713</Words>
  <Characters>61888</Characters>
  <Application>Microsoft Office Word</Application>
  <DocSecurity>0</DocSecurity>
  <Lines>1934</Lines>
  <Paragraphs>1273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2021-05-17T04:53:00Z</dcterms:created>
  <dcterms:modified xsi:type="dcterms:W3CDTF">2021-06-07T23:16:00Z</dcterms:modified>
</cp:coreProperties>
</file>