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11969" w14:textId="77777777" w:rsidR="00BC1364" w:rsidRPr="00707064" w:rsidRDefault="00C67DD2" w:rsidP="00065623">
      <w:pPr>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2A183D92" wp14:editId="7EFEDE2E">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3278C19D" w14:textId="77777777" w:rsidR="00BC1364" w:rsidRPr="008D5885" w:rsidRDefault="00BC1364" w:rsidP="008D5885"/>
    <w:p w14:paraId="5DA87029" w14:textId="77777777" w:rsidR="00C67DD2" w:rsidRPr="008D5885" w:rsidRDefault="00C67DD2" w:rsidP="008D5885"/>
    <w:p w14:paraId="21E3C3B7" w14:textId="77777777" w:rsidR="00BC1364" w:rsidRPr="007B32D1" w:rsidRDefault="00BF479B" w:rsidP="007B32D1">
      <w:pPr>
        <w:jc w:val="center"/>
        <w:rPr>
          <w:rFonts w:ascii="Arial" w:hAnsi="Arial" w:cs="Arial"/>
          <w:b/>
          <w:bCs/>
          <w:color w:val="000080"/>
          <w:sz w:val="36"/>
          <w:szCs w:val="36"/>
        </w:rPr>
      </w:pPr>
      <w:r>
        <w:rPr>
          <w:rFonts w:ascii="Arial" w:hAnsi="Arial" w:cs="Arial"/>
          <w:b/>
          <w:bCs/>
          <w:color w:val="000080"/>
          <w:sz w:val="36"/>
          <w:szCs w:val="36"/>
        </w:rPr>
        <w:t>Public Summary Document</w:t>
      </w:r>
    </w:p>
    <w:p w14:paraId="39D80FC2" w14:textId="77777777" w:rsidR="00BC1364" w:rsidRPr="007B32D1" w:rsidRDefault="00BC1364" w:rsidP="007B32D1"/>
    <w:p w14:paraId="30E15BDF" w14:textId="41C40BDE" w:rsidR="00BC1364" w:rsidRPr="007B32D1" w:rsidRDefault="00BC1364" w:rsidP="007B32D1">
      <w:pPr>
        <w:jc w:val="center"/>
        <w:rPr>
          <w:rFonts w:ascii="Arial" w:hAnsi="Arial" w:cs="Arial"/>
          <w:b/>
          <w:bCs/>
          <w:i/>
          <w:color w:val="000080"/>
          <w:sz w:val="28"/>
          <w:szCs w:val="28"/>
        </w:rPr>
      </w:pPr>
      <w:r w:rsidRPr="007B32D1">
        <w:rPr>
          <w:rFonts w:ascii="Arial" w:hAnsi="Arial" w:cs="Arial"/>
          <w:b/>
          <w:bCs/>
          <w:i/>
          <w:color w:val="000080"/>
          <w:sz w:val="28"/>
          <w:szCs w:val="28"/>
        </w:rPr>
        <w:t xml:space="preserve">Application No. </w:t>
      </w:r>
      <w:r w:rsidR="00B30C6F">
        <w:rPr>
          <w:rFonts w:ascii="Arial" w:hAnsi="Arial" w:cs="Arial"/>
          <w:b/>
          <w:bCs/>
          <w:i/>
          <w:color w:val="000080"/>
          <w:sz w:val="28"/>
          <w:szCs w:val="28"/>
        </w:rPr>
        <w:t>1</w:t>
      </w:r>
      <w:r w:rsidR="00ED7913">
        <w:rPr>
          <w:rFonts w:ascii="Arial" w:hAnsi="Arial" w:cs="Arial"/>
          <w:b/>
          <w:bCs/>
          <w:i/>
          <w:color w:val="000080"/>
          <w:sz w:val="28"/>
          <w:szCs w:val="28"/>
        </w:rPr>
        <w:t>36</w:t>
      </w:r>
      <w:r w:rsidR="00C956E2">
        <w:rPr>
          <w:rFonts w:ascii="Arial" w:hAnsi="Arial" w:cs="Arial"/>
          <w:b/>
          <w:bCs/>
          <w:i/>
          <w:color w:val="000080"/>
          <w:sz w:val="28"/>
          <w:szCs w:val="28"/>
        </w:rPr>
        <w:t>5</w:t>
      </w:r>
      <w:r w:rsidR="00D264FB">
        <w:rPr>
          <w:rFonts w:ascii="Arial" w:hAnsi="Arial" w:cs="Arial"/>
          <w:b/>
          <w:bCs/>
          <w:i/>
          <w:color w:val="000080"/>
          <w:sz w:val="28"/>
          <w:szCs w:val="28"/>
        </w:rPr>
        <w:t>.</w:t>
      </w:r>
      <w:r w:rsidR="00C956E2">
        <w:rPr>
          <w:rFonts w:ascii="Arial" w:hAnsi="Arial" w:cs="Arial"/>
          <w:b/>
          <w:bCs/>
          <w:i/>
          <w:color w:val="000080"/>
          <w:sz w:val="28"/>
          <w:szCs w:val="28"/>
        </w:rPr>
        <w:t>1</w:t>
      </w:r>
      <w:r w:rsidRPr="007B32D1">
        <w:rPr>
          <w:rFonts w:ascii="Arial" w:hAnsi="Arial" w:cs="Arial"/>
          <w:b/>
          <w:bCs/>
          <w:i/>
          <w:color w:val="000080"/>
          <w:sz w:val="28"/>
          <w:szCs w:val="28"/>
        </w:rPr>
        <w:t xml:space="preserve"> –</w:t>
      </w:r>
      <w:r w:rsidR="00C956E2" w:rsidRPr="00C956E2">
        <w:rPr>
          <w:rFonts w:ascii="Arial" w:hAnsi="Arial" w:cs="Arial"/>
          <w:b/>
          <w:bCs/>
          <w:i/>
          <w:color w:val="000080"/>
          <w:sz w:val="28"/>
          <w:szCs w:val="28"/>
        </w:rPr>
        <w:t>Active middle ear implants for sensorineural hearing loss</w:t>
      </w:r>
    </w:p>
    <w:p w14:paraId="508E3E0C" w14:textId="77777777" w:rsidR="00BC1364" w:rsidRDefault="00BC1364" w:rsidP="00065623">
      <w:pPr>
        <w:tabs>
          <w:tab w:val="left" w:pos="3600"/>
        </w:tabs>
        <w:ind w:left="3600" w:hanging="3600"/>
        <w:rPr>
          <w:szCs w:val="24"/>
        </w:rPr>
      </w:pPr>
    </w:p>
    <w:p w14:paraId="7BEF297F" w14:textId="77777777" w:rsidR="00BC1364" w:rsidRPr="00707064" w:rsidRDefault="00BC1364" w:rsidP="00065623">
      <w:pPr>
        <w:tabs>
          <w:tab w:val="left" w:pos="3600"/>
        </w:tabs>
        <w:ind w:left="3600" w:hanging="3600"/>
        <w:rPr>
          <w:szCs w:val="24"/>
        </w:rPr>
      </w:pPr>
    </w:p>
    <w:p w14:paraId="2117F6DB" w14:textId="77777777" w:rsidR="00BC1364" w:rsidRPr="00D90A38" w:rsidRDefault="00B35595" w:rsidP="00554C8D">
      <w:pPr>
        <w:ind w:left="3600" w:hanging="3600"/>
        <w:rPr>
          <w:rFonts w:ascii="Arial" w:hAnsi="Arial" w:cs="Arial"/>
          <w:b/>
          <w:szCs w:val="24"/>
        </w:rPr>
      </w:pPr>
      <w:r>
        <w:rPr>
          <w:rFonts w:ascii="Arial" w:hAnsi="Arial" w:cs="Arial"/>
          <w:b/>
          <w:szCs w:val="24"/>
        </w:rPr>
        <w:t>Applicant</w:t>
      </w:r>
      <w:r w:rsidR="00BC1364" w:rsidRPr="00D90A38">
        <w:rPr>
          <w:rFonts w:ascii="Arial" w:hAnsi="Arial" w:cs="Arial"/>
          <w:b/>
          <w:szCs w:val="24"/>
        </w:rPr>
        <w:t>:</w:t>
      </w:r>
      <w:r w:rsidR="00BC1364" w:rsidRPr="00D90A38">
        <w:rPr>
          <w:rFonts w:ascii="Arial" w:hAnsi="Arial" w:cs="Arial"/>
          <w:b/>
          <w:szCs w:val="24"/>
        </w:rPr>
        <w:tab/>
      </w:r>
      <w:r w:rsidR="00C956E2" w:rsidRPr="00C956E2">
        <w:rPr>
          <w:rFonts w:ascii="Arial" w:hAnsi="Arial" w:cs="Arial"/>
          <w:b/>
          <w:szCs w:val="24"/>
        </w:rPr>
        <w:t>MED-EL Implants Systems Australasia</w:t>
      </w:r>
    </w:p>
    <w:p w14:paraId="2F660401" w14:textId="77777777" w:rsidR="00BC1364" w:rsidRPr="00D90A38" w:rsidRDefault="00BC1364" w:rsidP="00065623">
      <w:pPr>
        <w:tabs>
          <w:tab w:val="left" w:pos="2265"/>
          <w:tab w:val="left" w:pos="3420"/>
          <w:tab w:val="left" w:pos="4320"/>
        </w:tabs>
        <w:rPr>
          <w:rFonts w:ascii="Arial" w:hAnsi="Arial" w:cs="Arial"/>
          <w:b/>
        </w:rPr>
      </w:pPr>
    </w:p>
    <w:p w14:paraId="77B46909" w14:textId="77777777" w:rsidR="00BC1364" w:rsidRPr="00D90A38" w:rsidRDefault="00BC1364" w:rsidP="00DD2858">
      <w:pPr>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C67DD2" w:rsidRPr="00D90A38">
        <w:rPr>
          <w:rFonts w:ascii="Arial" w:hAnsi="Arial" w:cs="Arial"/>
          <w:b/>
          <w:szCs w:val="24"/>
        </w:rPr>
        <w:t xml:space="preserve">MSAC </w:t>
      </w:r>
      <w:r w:rsidR="00B35595">
        <w:rPr>
          <w:rFonts w:ascii="Arial" w:hAnsi="Arial" w:cs="Arial"/>
          <w:b/>
          <w:szCs w:val="24"/>
        </w:rPr>
        <w:t>6</w:t>
      </w:r>
      <w:r w:rsidR="000661A0">
        <w:rPr>
          <w:rFonts w:ascii="Arial" w:hAnsi="Arial" w:cs="Arial"/>
          <w:b/>
          <w:szCs w:val="24"/>
        </w:rPr>
        <w:t>6</w:t>
      </w:r>
      <w:r w:rsidR="000661A0" w:rsidRPr="000661A0">
        <w:rPr>
          <w:rFonts w:ascii="Arial" w:hAnsi="Arial" w:cs="Arial"/>
          <w:b/>
          <w:szCs w:val="24"/>
          <w:vertAlign w:val="superscript"/>
        </w:rPr>
        <w:t>th</w:t>
      </w:r>
      <w:r w:rsidR="000661A0">
        <w:rPr>
          <w:rFonts w:ascii="Arial" w:hAnsi="Arial" w:cs="Arial"/>
          <w:b/>
          <w:szCs w:val="24"/>
        </w:rPr>
        <w:t xml:space="preserve"> </w:t>
      </w:r>
      <w:r w:rsidRPr="00D90A38">
        <w:rPr>
          <w:rFonts w:ascii="Arial" w:hAnsi="Arial" w:cs="Arial"/>
          <w:b/>
          <w:szCs w:val="24"/>
        </w:rPr>
        <w:t xml:space="preserve">Meeting, </w:t>
      </w:r>
      <w:r w:rsidR="00F06E33">
        <w:rPr>
          <w:rFonts w:ascii="Arial" w:hAnsi="Arial" w:cs="Arial"/>
          <w:b/>
          <w:szCs w:val="24"/>
        </w:rPr>
        <w:t>30-31</w:t>
      </w:r>
      <w:r w:rsidR="000661A0">
        <w:rPr>
          <w:rFonts w:ascii="Arial" w:hAnsi="Arial" w:cs="Arial"/>
          <w:b/>
          <w:szCs w:val="24"/>
        </w:rPr>
        <w:t xml:space="preserve"> March 2016</w:t>
      </w:r>
    </w:p>
    <w:p w14:paraId="5F2E73D5" w14:textId="77777777" w:rsidR="00BC1364" w:rsidRDefault="00BC1364" w:rsidP="00065623">
      <w:pPr>
        <w:rPr>
          <w:szCs w:val="24"/>
        </w:rPr>
      </w:pPr>
    </w:p>
    <w:p w14:paraId="141E8C12" w14:textId="050BFE16" w:rsidR="0041758C" w:rsidRDefault="006A0D97" w:rsidP="00065623">
      <w:pPr>
        <w:rPr>
          <w:szCs w:val="24"/>
        </w:rPr>
      </w:pPr>
      <w:r>
        <w:rPr>
          <w:szCs w:val="24"/>
        </w:rPr>
        <w:t xml:space="preserve">Context for decision: MSAC makes its advice in accordance with its Terms of Reference, see at </w:t>
      </w:r>
      <w:hyperlink r:id="rId9" w:tooltip="Medical Services Advisory Committee website link" w:history="1">
        <w:r w:rsidRPr="000A74FE">
          <w:rPr>
            <w:rStyle w:val="Hyperlink"/>
            <w:szCs w:val="24"/>
          </w:rPr>
          <w:t>www.msac.gov.au</w:t>
        </w:r>
      </w:hyperlink>
    </w:p>
    <w:p w14:paraId="72F05245" w14:textId="77777777" w:rsidR="0041758C" w:rsidRDefault="0041758C" w:rsidP="00065623">
      <w:pPr>
        <w:rPr>
          <w:szCs w:val="24"/>
        </w:rPr>
      </w:pPr>
    </w:p>
    <w:p w14:paraId="08912911" w14:textId="77777777" w:rsidR="00F41812" w:rsidRDefault="00F41812" w:rsidP="00065623">
      <w:pPr>
        <w:rPr>
          <w:szCs w:val="24"/>
        </w:rPr>
      </w:pPr>
    </w:p>
    <w:p w14:paraId="43E1185D" w14:textId="77777777" w:rsidR="003D7F29" w:rsidRPr="00D90A38" w:rsidRDefault="003D7F29" w:rsidP="003D7F29">
      <w:pPr>
        <w:pStyle w:val="Heading1"/>
        <w:numPr>
          <w:ilvl w:val="0"/>
          <w:numId w:val="23"/>
        </w:numPr>
        <w:ind w:hanging="720"/>
      </w:pPr>
      <w:r w:rsidRPr="00D90A38">
        <w:t>Purpose of application</w:t>
      </w:r>
      <w:r w:rsidR="00822C7E">
        <w:t xml:space="preserve"> and links to other applications</w:t>
      </w:r>
    </w:p>
    <w:p w14:paraId="7AF7099B" w14:textId="77777777" w:rsidR="00505D0E" w:rsidRDefault="00505D0E" w:rsidP="00505D0E"/>
    <w:p w14:paraId="72387385" w14:textId="48D1111C" w:rsidR="00505D0E" w:rsidRPr="004C36D4" w:rsidRDefault="005F391A" w:rsidP="00505D0E">
      <w:pPr>
        <w:tabs>
          <w:tab w:val="left" w:pos="720"/>
          <w:tab w:val="left" w:pos="1140"/>
        </w:tabs>
      </w:pPr>
      <w:r>
        <w:t>The</w:t>
      </w:r>
      <w:r w:rsidR="00505D0E">
        <w:t xml:space="preserve"> </w:t>
      </w:r>
      <w:r w:rsidR="00505D0E" w:rsidRPr="004C36D4">
        <w:t>resubmission from MED-EL</w:t>
      </w:r>
      <w:r>
        <w:t xml:space="preserve"> </w:t>
      </w:r>
      <w:r w:rsidR="00937ABD">
        <w:t>comprised</w:t>
      </w:r>
      <w:r w:rsidR="00505D0E" w:rsidRPr="004C36D4">
        <w:t xml:space="preserve"> a new economic analysis </w:t>
      </w:r>
      <w:r w:rsidR="00505D0E">
        <w:t xml:space="preserve">and proposed </w:t>
      </w:r>
      <w:r>
        <w:t>Medicare Benefit Schedule (</w:t>
      </w:r>
      <w:r w:rsidR="00505D0E">
        <w:t>MBS</w:t>
      </w:r>
      <w:r>
        <w:t>)</w:t>
      </w:r>
      <w:r w:rsidR="00505D0E">
        <w:t xml:space="preserve"> item descriptor in response to the Public Summary Document (PSD) from the April 2015 Medical Services Advisory Committee meeting. No changes were made to the other sections of the previous assessment report.</w:t>
      </w:r>
    </w:p>
    <w:p w14:paraId="7AB4AB07" w14:textId="77777777" w:rsidR="003D7F29" w:rsidRPr="00D90A38" w:rsidRDefault="003D7F29" w:rsidP="003D7F29">
      <w:pPr>
        <w:rPr>
          <w:color w:val="FF0000"/>
          <w:szCs w:val="24"/>
        </w:rPr>
      </w:pPr>
    </w:p>
    <w:p w14:paraId="0012132C" w14:textId="77777777" w:rsidR="00E977EE" w:rsidRDefault="00E977EE" w:rsidP="00E977EE">
      <w:pPr>
        <w:pStyle w:val="Heading1"/>
        <w:numPr>
          <w:ilvl w:val="0"/>
          <w:numId w:val="23"/>
        </w:numPr>
        <w:ind w:hanging="720"/>
      </w:pPr>
      <w:r w:rsidRPr="008D5885">
        <w:t>MSAC’s advice to the Minister</w:t>
      </w:r>
    </w:p>
    <w:p w14:paraId="50763A8D" w14:textId="77777777" w:rsidR="00E977EE" w:rsidRDefault="00E977EE" w:rsidP="00E977EE">
      <w:pPr>
        <w:tabs>
          <w:tab w:val="left" w:pos="720"/>
        </w:tabs>
        <w:ind w:left="709" w:hanging="709"/>
        <w:rPr>
          <w:b/>
          <w:szCs w:val="24"/>
        </w:rPr>
      </w:pPr>
    </w:p>
    <w:p w14:paraId="62B11C92" w14:textId="5D407C86" w:rsidR="00B46ED8" w:rsidRPr="00D44DAB" w:rsidRDefault="00B46ED8" w:rsidP="00B46ED8">
      <w:pPr>
        <w:rPr>
          <w:szCs w:val="24"/>
        </w:rPr>
      </w:pPr>
      <w:r>
        <w:t>After considering the available evidence presented in relation to safety, clinical effectiveness and cost-effectiveness</w:t>
      </w:r>
      <w:r w:rsidR="005F391A">
        <w:t>,</w:t>
      </w:r>
      <w:r>
        <w:t xml:space="preserve"> </w:t>
      </w:r>
      <w:r w:rsidRPr="00D44DAB">
        <w:rPr>
          <w:szCs w:val="24"/>
        </w:rPr>
        <w:t xml:space="preserve">MSAC supported public funding </w:t>
      </w:r>
      <w:r w:rsidR="005F391A">
        <w:t>of</w:t>
      </w:r>
      <w:r w:rsidR="005F391A" w:rsidRPr="00D44DAB">
        <w:rPr>
          <w:szCs w:val="24"/>
        </w:rPr>
        <w:t xml:space="preserve"> </w:t>
      </w:r>
      <w:r w:rsidR="005F391A">
        <w:rPr>
          <w:bCs/>
          <w:szCs w:val="24"/>
        </w:rPr>
        <w:t>a</w:t>
      </w:r>
      <w:r w:rsidR="005F391A" w:rsidRPr="00094A52">
        <w:rPr>
          <w:bCs/>
          <w:szCs w:val="24"/>
        </w:rPr>
        <w:t xml:space="preserve">ctive middle ear implants </w:t>
      </w:r>
      <w:r w:rsidR="005F391A">
        <w:rPr>
          <w:bCs/>
          <w:szCs w:val="24"/>
        </w:rPr>
        <w:t xml:space="preserve">(AMEIs) </w:t>
      </w:r>
      <w:r w:rsidR="005F391A" w:rsidRPr="00094A52">
        <w:rPr>
          <w:bCs/>
          <w:szCs w:val="24"/>
        </w:rPr>
        <w:t xml:space="preserve">for sensorineural hearing loss </w:t>
      </w:r>
      <w:r w:rsidR="005F391A">
        <w:rPr>
          <w:bCs/>
          <w:szCs w:val="24"/>
        </w:rPr>
        <w:t>(SNHL)</w:t>
      </w:r>
      <w:r>
        <w:rPr>
          <w:szCs w:val="24"/>
        </w:rPr>
        <w:t>.</w:t>
      </w:r>
      <w:r w:rsidRPr="00D44DAB">
        <w:rPr>
          <w:szCs w:val="24"/>
        </w:rPr>
        <w:t xml:space="preserve"> </w:t>
      </w:r>
      <w:r>
        <w:rPr>
          <w:szCs w:val="24"/>
        </w:rPr>
        <w:t xml:space="preserve">MSAC </w:t>
      </w:r>
      <w:r w:rsidR="00D13724">
        <w:rPr>
          <w:szCs w:val="24"/>
        </w:rPr>
        <w:t>wa</w:t>
      </w:r>
      <w:r>
        <w:rPr>
          <w:szCs w:val="24"/>
        </w:rPr>
        <w:t xml:space="preserve">s </w:t>
      </w:r>
      <w:r w:rsidRPr="00D44DAB">
        <w:rPr>
          <w:szCs w:val="24"/>
        </w:rPr>
        <w:t>satisfied that the device is likely to be cost-effective in the proposed population and the financial and budgetary implications of including AMEI on the MBS would</w:t>
      </w:r>
      <w:r>
        <w:rPr>
          <w:szCs w:val="24"/>
        </w:rPr>
        <w:t xml:space="preserve"> be reasonable. </w:t>
      </w:r>
    </w:p>
    <w:p w14:paraId="3FA2035A" w14:textId="77777777" w:rsidR="00E977EE" w:rsidRPr="000F14B4" w:rsidRDefault="00E977EE" w:rsidP="00E977EE">
      <w:pPr>
        <w:pStyle w:val="Default"/>
        <w:ind w:left="720"/>
        <w:rPr>
          <w:color w:val="FF0000"/>
        </w:rPr>
      </w:pPr>
    </w:p>
    <w:p w14:paraId="45676644" w14:textId="77777777" w:rsidR="00550354" w:rsidRDefault="00550354" w:rsidP="00550354">
      <w:pPr>
        <w:pStyle w:val="Heading1"/>
        <w:numPr>
          <w:ilvl w:val="0"/>
          <w:numId w:val="23"/>
        </w:numPr>
        <w:ind w:hanging="720"/>
      </w:pPr>
      <w:r w:rsidRPr="008D5885">
        <w:t>Summary of consideration and rationale for MSAC’s advice</w:t>
      </w:r>
      <w:r w:rsidRPr="00707064">
        <w:t xml:space="preserve"> </w:t>
      </w:r>
    </w:p>
    <w:p w14:paraId="2ACB1EFD" w14:textId="77777777" w:rsidR="00550354" w:rsidRDefault="00550354" w:rsidP="00550354">
      <w:pPr>
        <w:rPr>
          <w:szCs w:val="24"/>
        </w:rPr>
      </w:pPr>
    </w:p>
    <w:p w14:paraId="4D70930C" w14:textId="047F0021" w:rsidR="00B46ED8" w:rsidRPr="00D44DAB" w:rsidRDefault="00B46ED8" w:rsidP="00B46ED8">
      <w:pPr>
        <w:rPr>
          <w:szCs w:val="24"/>
        </w:rPr>
      </w:pPr>
      <w:r w:rsidRPr="00D44DAB">
        <w:rPr>
          <w:szCs w:val="24"/>
        </w:rPr>
        <w:t>MSAC noted that the proposed public funding of partially implantable AMEIs for SNHL had been considered by MSAC in April 2015. While MSAC acknowledged that there was an unmet clinical need in the proposed population, the application was rejected due to substantial uncertainty regarding the economic analysis conducted.</w:t>
      </w:r>
    </w:p>
    <w:p w14:paraId="72C6039B" w14:textId="77777777" w:rsidR="00B46ED8" w:rsidRPr="00D44DAB" w:rsidRDefault="00B46ED8" w:rsidP="00B46ED8">
      <w:pPr>
        <w:rPr>
          <w:szCs w:val="24"/>
        </w:rPr>
      </w:pPr>
    </w:p>
    <w:p w14:paraId="31853FC1" w14:textId="17349DD3" w:rsidR="00E453B8" w:rsidRDefault="00B46ED8" w:rsidP="00B46ED8">
      <w:pPr>
        <w:rPr>
          <w:szCs w:val="24"/>
        </w:rPr>
      </w:pPr>
      <w:r w:rsidRPr="00D44DAB">
        <w:rPr>
          <w:szCs w:val="24"/>
        </w:rPr>
        <w:t xml:space="preserve">MSAC reaffirmed that there is considerable unmet clinical need for the device in the proposed population as they are ineligible for other implants and are likely to benefit substantially as a consequence. In April 2015, MSAC recommended that children and adolescents also be included in the application, noting that despite the </w:t>
      </w:r>
      <w:r w:rsidR="00E453B8">
        <w:rPr>
          <w:szCs w:val="24"/>
        </w:rPr>
        <w:t>scarcity</w:t>
      </w:r>
      <w:r w:rsidR="00E453B8" w:rsidRPr="00D44DAB">
        <w:rPr>
          <w:szCs w:val="24"/>
        </w:rPr>
        <w:t xml:space="preserve"> </w:t>
      </w:r>
      <w:r w:rsidRPr="00D44DAB">
        <w:rPr>
          <w:szCs w:val="24"/>
        </w:rPr>
        <w:t xml:space="preserve">of data related to this population, </w:t>
      </w:r>
      <w:r w:rsidR="00E453B8">
        <w:rPr>
          <w:szCs w:val="24"/>
        </w:rPr>
        <w:t xml:space="preserve">but that </w:t>
      </w:r>
      <w:r w:rsidRPr="00D44DAB">
        <w:rPr>
          <w:szCs w:val="24"/>
        </w:rPr>
        <w:t>it was unlikely that the intervention would affect them differently</w:t>
      </w:r>
      <w:r w:rsidR="00E453B8">
        <w:rPr>
          <w:szCs w:val="24"/>
        </w:rPr>
        <w:t>, and that the clinical need was similar in this age group</w:t>
      </w:r>
      <w:r w:rsidRPr="00D44DAB">
        <w:rPr>
          <w:szCs w:val="24"/>
        </w:rPr>
        <w:t xml:space="preserve">. </w:t>
      </w:r>
    </w:p>
    <w:p w14:paraId="6D41FB62" w14:textId="77777777" w:rsidR="00B46ED8" w:rsidRPr="00D44DAB" w:rsidRDefault="00B46ED8" w:rsidP="00B46ED8">
      <w:pPr>
        <w:rPr>
          <w:szCs w:val="24"/>
        </w:rPr>
      </w:pPr>
    </w:p>
    <w:p w14:paraId="1755BEE3" w14:textId="57BFDFB7" w:rsidR="00B46ED8" w:rsidRPr="00D44DAB" w:rsidRDefault="00B46ED8" w:rsidP="00B46ED8">
      <w:pPr>
        <w:rPr>
          <w:szCs w:val="24"/>
        </w:rPr>
      </w:pPr>
      <w:r w:rsidRPr="00D44DAB">
        <w:rPr>
          <w:szCs w:val="24"/>
        </w:rPr>
        <w:lastRenderedPageBreak/>
        <w:t xml:space="preserve">MSAC noted that the </w:t>
      </w:r>
      <w:r>
        <w:rPr>
          <w:szCs w:val="24"/>
        </w:rPr>
        <w:t>resubmission</w:t>
      </w:r>
      <w:r w:rsidRPr="00D44DAB">
        <w:rPr>
          <w:szCs w:val="24"/>
        </w:rPr>
        <w:t xml:space="preserve"> did not provide any new evidence concerning the comparative safety and effectiveness of the device. MSAC reiterated that adverse events associated with AMEIs are rare and of low severity. However, uncertainty regarding the magnitude of harm associated with the need for surgery and general anaesthetic as part of the procedure, remains. </w:t>
      </w:r>
      <w:r w:rsidR="00E453B8">
        <w:rPr>
          <w:szCs w:val="24"/>
        </w:rPr>
        <w:t>E</w:t>
      </w:r>
      <w:r w:rsidRPr="00D44DAB">
        <w:rPr>
          <w:szCs w:val="24"/>
        </w:rPr>
        <w:t>vidence</w:t>
      </w:r>
      <w:r w:rsidR="00E453B8">
        <w:rPr>
          <w:szCs w:val="24"/>
        </w:rPr>
        <w:t xml:space="preserve"> of clinical effectiveness</w:t>
      </w:r>
      <w:r w:rsidRPr="00D44DAB">
        <w:rPr>
          <w:szCs w:val="24"/>
        </w:rPr>
        <w:t xml:space="preserve">, as presented in the initial </w:t>
      </w:r>
      <w:r>
        <w:rPr>
          <w:szCs w:val="24"/>
        </w:rPr>
        <w:t>submission</w:t>
      </w:r>
      <w:r w:rsidRPr="00D44DAB">
        <w:rPr>
          <w:szCs w:val="24"/>
        </w:rPr>
        <w:t>, supported the view that the technology led to superior outcomes compared to no treatment, despite MSAC noting that the evidence was of low quality, with small sample sizes and high potential for selection and outcome reporting bias.</w:t>
      </w:r>
    </w:p>
    <w:p w14:paraId="4F88CDAD" w14:textId="77777777" w:rsidR="00B46ED8" w:rsidRPr="00D44DAB" w:rsidRDefault="00B46ED8" w:rsidP="00B46ED8">
      <w:pPr>
        <w:rPr>
          <w:szCs w:val="24"/>
        </w:rPr>
      </w:pPr>
    </w:p>
    <w:p w14:paraId="4E473D10" w14:textId="76F6511C" w:rsidR="00B46ED8" w:rsidRPr="00D44DAB" w:rsidRDefault="00B46ED8" w:rsidP="00B46ED8">
      <w:pPr>
        <w:rPr>
          <w:szCs w:val="24"/>
        </w:rPr>
      </w:pPr>
      <w:r w:rsidRPr="00D44DAB">
        <w:rPr>
          <w:szCs w:val="24"/>
        </w:rPr>
        <w:t xml:space="preserve">MSAC considered the revised economic analysis presented in the resubmission and acknowledged key improvements made to address the concerns raised regarding the previous application. MSAC noted that the use of a 10-year time horizon was more appropriate than the 20-year time horizon applied previously, which was in excess of available clinical evidence. MSAC also noted that the revised analysis was based on direct health care costs only and excluded societal costs from the treatment and non-treatment arms, which was a major flaw in the previous economic evaluation. Despite these improvements, MSAC highlighted a number of inherent uncertainties in the model including the method used to estimate the QALYs and the translation of improvements in hearing gain over a 10-year time frame. MSAC noted that apart from minor structural and calibration issues, </w:t>
      </w:r>
      <w:r>
        <w:rPr>
          <w:szCs w:val="24"/>
        </w:rPr>
        <w:t xml:space="preserve">the </w:t>
      </w:r>
      <w:r w:rsidRPr="00D44DAB">
        <w:rPr>
          <w:szCs w:val="24"/>
        </w:rPr>
        <w:t>E</w:t>
      </w:r>
      <w:r>
        <w:rPr>
          <w:szCs w:val="24"/>
        </w:rPr>
        <w:t xml:space="preserve">valuation </w:t>
      </w:r>
      <w:r w:rsidRPr="00D44DAB">
        <w:rPr>
          <w:szCs w:val="24"/>
        </w:rPr>
        <w:t>S</w:t>
      </w:r>
      <w:r>
        <w:rPr>
          <w:szCs w:val="24"/>
        </w:rPr>
        <w:t>ubcommittee (ESC)</w:t>
      </w:r>
      <w:r w:rsidRPr="00D44DAB">
        <w:rPr>
          <w:szCs w:val="24"/>
        </w:rPr>
        <w:t xml:space="preserve"> had no concerns with the new economic model.</w:t>
      </w:r>
    </w:p>
    <w:p w14:paraId="1DFE7923" w14:textId="77777777" w:rsidR="00B46ED8" w:rsidRPr="00D44DAB" w:rsidRDefault="00B46ED8" w:rsidP="00B46ED8">
      <w:pPr>
        <w:rPr>
          <w:szCs w:val="24"/>
        </w:rPr>
      </w:pPr>
    </w:p>
    <w:p w14:paraId="467A03E3" w14:textId="77777777" w:rsidR="00B46ED8" w:rsidRPr="00D44DAB" w:rsidRDefault="00B46ED8" w:rsidP="00B46ED8">
      <w:pPr>
        <w:rPr>
          <w:szCs w:val="24"/>
        </w:rPr>
      </w:pPr>
      <w:r w:rsidRPr="00D44DAB">
        <w:rPr>
          <w:szCs w:val="24"/>
        </w:rPr>
        <w:t>MSAC noted that the primary cost-utility analysis which compared the Vibrant Sound Bridge (VSB) implant to no treatment, as calculated by ESC, revealed an ICER of $37,964 per QALY gained. MSAC also noted that the sensitivity analyses indicated that the economic model was relatively robust, with the largest variation in incremental cost per QALY observed when the time horizon was altered by five years in either direction to a 5-year ($46,164 per QALY) and 15-year duration ($29,687 per QALY). MSAC also noted that changing the cost of the VSB implant by 25% in either direction led to a 20% change in the ICER, although the upper limit ICER in this case was approximately $40,000 per QALY. MSAC indicated that these values remained within acceptable cost-effectiveness limits.</w:t>
      </w:r>
    </w:p>
    <w:p w14:paraId="51F402F1" w14:textId="77777777" w:rsidR="00B46ED8" w:rsidRPr="00D44DAB" w:rsidRDefault="00B46ED8" w:rsidP="00B46ED8">
      <w:pPr>
        <w:rPr>
          <w:szCs w:val="24"/>
        </w:rPr>
      </w:pPr>
    </w:p>
    <w:p w14:paraId="1921AB79" w14:textId="77777777" w:rsidR="00B46ED8" w:rsidRPr="00D44DAB" w:rsidRDefault="00B46ED8" w:rsidP="00B46ED8">
      <w:pPr>
        <w:rPr>
          <w:szCs w:val="24"/>
        </w:rPr>
      </w:pPr>
      <w:r w:rsidRPr="00D44DAB">
        <w:rPr>
          <w:szCs w:val="24"/>
        </w:rPr>
        <w:t>MSAC considered the financial impact of the implant, noting that the device is estimated to have relatively modest total cost to MBS of $278,159 and total intervention cost of $1,340,594 in 2016, projected to increase to $301,665 and $1,453,883, respectively, in 2021. MSAC noted that the reasonably substantial cost for the implantation of one VSB device at approximately $19,000, is largely driven by the cost of the implant ($7,470) and the associated processor ($6,500). MSAC stressed that the cost-effectiveness of the intervention relied upon these cost estimates. The Department noted that the technology is to be considered under a separate listing by the Prostheses List Advisory Committee (PLAC). MSAC noted that comment would be provided to PLAC to emphasise that the estimated costs for the implant and processor are the upper limit of what would be supported by MSAC as costs exceeding these estimates are likely to render the technology cost ineffective.</w:t>
      </w:r>
    </w:p>
    <w:p w14:paraId="074B128A" w14:textId="77777777" w:rsidR="00B46ED8" w:rsidRPr="00D44DAB" w:rsidRDefault="00B46ED8" w:rsidP="00B46ED8">
      <w:pPr>
        <w:rPr>
          <w:szCs w:val="24"/>
        </w:rPr>
      </w:pPr>
      <w:r>
        <w:rPr>
          <w:szCs w:val="24"/>
        </w:rPr>
        <w:t>MSAC recommended</w:t>
      </w:r>
      <w:r w:rsidRPr="00D44DAB">
        <w:rPr>
          <w:szCs w:val="24"/>
        </w:rPr>
        <w:t xml:space="preserve"> the following changes to the MBS item descriptor:</w:t>
      </w:r>
    </w:p>
    <w:p w14:paraId="6612E730" w14:textId="77777777" w:rsidR="00B46ED8" w:rsidRPr="00D44DAB" w:rsidRDefault="00B46ED8" w:rsidP="00B46ED8">
      <w:pPr>
        <w:pStyle w:val="ListParagraph"/>
        <w:numPr>
          <w:ilvl w:val="0"/>
          <w:numId w:val="30"/>
        </w:numPr>
        <w:rPr>
          <w:szCs w:val="24"/>
        </w:rPr>
      </w:pPr>
      <w:r w:rsidRPr="00D44DAB">
        <w:rPr>
          <w:szCs w:val="24"/>
        </w:rPr>
        <w:t>Modification of wording from ‘</w:t>
      </w:r>
      <w:r w:rsidRPr="00D44DAB">
        <w:rPr>
          <w:i/>
          <w:szCs w:val="24"/>
        </w:rPr>
        <w:t xml:space="preserve">insertion of, including </w:t>
      </w:r>
      <w:proofErr w:type="spellStart"/>
      <w:r w:rsidRPr="00D44DAB">
        <w:rPr>
          <w:i/>
          <w:szCs w:val="24"/>
        </w:rPr>
        <w:t>mastoidectomy</w:t>
      </w:r>
      <w:proofErr w:type="spellEnd"/>
      <w:r w:rsidRPr="00D44DAB">
        <w:rPr>
          <w:szCs w:val="24"/>
        </w:rPr>
        <w:t>’ to ‘</w:t>
      </w:r>
      <w:r w:rsidRPr="00D44DAB">
        <w:rPr>
          <w:i/>
          <w:szCs w:val="24"/>
        </w:rPr>
        <w:t xml:space="preserve">insertion via </w:t>
      </w:r>
      <w:proofErr w:type="spellStart"/>
      <w:r w:rsidRPr="00D44DAB">
        <w:rPr>
          <w:i/>
          <w:szCs w:val="24"/>
        </w:rPr>
        <w:t>mastoidectomy</w:t>
      </w:r>
      <w:proofErr w:type="spellEnd"/>
      <w:r w:rsidRPr="00D44DAB">
        <w:rPr>
          <w:szCs w:val="24"/>
        </w:rPr>
        <w:t xml:space="preserve">’ given that a partial or complete </w:t>
      </w:r>
      <w:proofErr w:type="spellStart"/>
      <w:r w:rsidRPr="00D44DAB">
        <w:rPr>
          <w:szCs w:val="24"/>
        </w:rPr>
        <w:t>mastoidectomy</w:t>
      </w:r>
      <w:proofErr w:type="spellEnd"/>
      <w:r w:rsidRPr="00D44DAB">
        <w:rPr>
          <w:szCs w:val="24"/>
        </w:rPr>
        <w:t xml:space="preserve"> is required for the procedure.</w:t>
      </w:r>
    </w:p>
    <w:p w14:paraId="7E3BF8F8" w14:textId="77777777" w:rsidR="00B46ED8" w:rsidRPr="00D44DAB" w:rsidRDefault="00B46ED8" w:rsidP="00B46ED8">
      <w:pPr>
        <w:pStyle w:val="ListParagraph"/>
        <w:numPr>
          <w:ilvl w:val="0"/>
          <w:numId w:val="30"/>
        </w:numPr>
        <w:rPr>
          <w:szCs w:val="24"/>
        </w:rPr>
      </w:pPr>
      <w:r w:rsidRPr="00D44DAB">
        <w:rPr>
          <w:szCs w:val="24"/>
        </w:rPr>
        <w:t>Removal of the listed middle and inner ear conditions as they are not exhaustive and could be misinterpreted.</w:t>
      </w:r>
    </w:p>
    <w:p w14:paraId="5DCB4ECF" w14:textId="62929302" w:rsidR="00B46ED8" w:rsidRPr="00D44DAB" w:rsidRDefault="00B46ED8" w:rsidP="00B46ED8">
      <w:pPr>
        <w:pStyle w:val="ListParagraph"/>
        <w:numPr>
          <w:ilvl w:val="0"/>
          <w:numId w:val="30"/>
        </w:numPr>
        <w:rPr>
          <w:szCs w:val="24"/>
        </w:rPr>
      </w:pPr>
      <w:r w:rsidRPr="00D44DAB">
        <w:rPr>
          <w:szCs w:val="24"/>
        </w:rPr>
        <w:t>Modification of wording from ‘</w:t>
      </w:r>
      <w:r w:rsidRPr="00D44DAB">
        <w:rPr>
          <w:i/>
          <w:szCs w:val="24"/>
        </w:rPr>
        <w:t>no history of other inner ear disorders</w:t>
      </w:r>
      <w:r w:rsidRPr="00D44DAB">
        <w:rPr>
          <w:szCs w:val="24"/>
        </w:rPr>
        <w:t>’ to ‘</w:t>
      </w:r>
      <w:r w:rsidRPr="00D44DAB">
        <w:rPr>
          <w:i/>
          <w:szCs w:val="24"/>
        </w:rPr>
        <w:t>no other inner ear disorders</w:t>
      </w:r>
      <w:r w:rsidRPr="00D44DAB">
        <w:rPr>
          <w:szCs w:val="24"/>
        </w:rPr>
        <w:t xml:space="preserve">’, thereby focussing </w:t>
      </w:r>
      <w:r w:rsidR="00E453B8">
        <w:rPr>
          <w:szCs w:val="24"/>
        </w:rPr>
        <w:t xml:space="preserve">on the </w:t>
      </w:r>
      <w:r w:rsidRPr="00D44DAB">
        <w:rPr>
          <w:szCs w:val="24"/>
        </w:rPr>
        <w:t xml:space="preserve">current </w:t>
      </w:r>
      <w:r w:rsidR="00E453B8">
        <w:rPr>
          <w:szCs w:val="24"/>
        </w:rPr>
        <w:t xml:space="preserve">health </w:t>
      </w:r>
      <w:r w:rsidRPr="00D44DAB">
        <w:rPr>
          <w:szCs w:val="24"/>
        </w:rPr>
        <w:t>state.</w:t>
      </w:r>
    </w:p>
    <w:p w14:paraId="5B9B39D5" w14:textId="77777777" w:rsidR="00550354" w:rsidRPr="00707064" w:rsidRDefault="00550354" w:rsidP="00550354">
      <w:pPr>
        <w:rPr>
          <w:szCs w:val="24"/>
        </w:rPr>
      </w:pPr>
    </w:p>
    <w:p w14:paraId="6D068A06" w14:textId="77777777" w:rsidR="00BC1364" w:rsidRPr="00D90A38" w:rsidRDefault="00BC1364" w:rsidP="007B32D1">
      <w:pPr>
        <w:pStyle w:val="Heading1"/>
        <w:numPr>
          <w:ilvl w:val="0"/>
          <w:numId w:val="23"/>
        </w:numPr>
        <w:ind w:hanging="720"/>
      </w:pPr>
      <w:r w:rsidRPr="00D90A38">
        <w:lastRenderedPageBreak/>
        <w:t>Background</w:t>
      </w:r>
    </w:p>
    <w:p w14:paraId="2EEA0CBB" w14:textId="77777777" w:rsidR="00BC1364" w:rsidRDefault="00BC1364" w:rsidP="00DD2858">
      <w:pPr>
        <w:rPr>
          <w:b/>
          <w:szCs w:val="24"/>
        </w:rPr>
      </w:pPr>
    </w:p>
    <w:p w14:paraId="4C9D3E0C" w14:textId="77777777" w:rsidR="005F391A" w:rsidRPr="00AA5447" w:rsidRDefault="005F391A" w:rsidP="005F391A">
      <w:pPr>
        <w:tabs>
          <w:tab w:val="left" w:pos="720"/>
          <w:tab w:val="left" w:pos="1140"/>
        </w:tabs>
      </w:pPr>
      <w:r w:rsidRPr="00AA5447">
        <w:t xml:space="preserve">At its April 2015 meeting, MSAC considered a request from MED-EL for public funding </w:t>
      </w:r>
      <w:r>
        <w:t>of</w:t>
      </w:r>
      <w:r w:rsidRPr="00AA5447">
        <w:t xml:space="preserve"> partially implantable AMEI for use in patients with mild to severe SNHL who</w:t>
      </w:r>
      <w:r>
        <w:t>m</w:t>
      </w:r>
      <w:r w:rsidRPr="00AA5447">
        <w:t xml:space="preserve"> cannot wear conventional hearing aids due to a number of reasons (MSAC Application 1365). </w:t>
      </w:r>
      <w:r>
        <w:t xml:space="preserve"> </w:t>
      </w:r>
      <w:r w:rsidRPr="00AA5447">
        <w:t>MSAC acknowledged the focussed eligible patient population was better targeted to an unmet clinical need for this device and accepted the clinical effectiveness claim</w:t>
      </w:r>
      <w:r>
        <w:t>,</w:t>
      </w:r>
      <w:r w:rsidRPr="00AA5447">
        <w:t xml:space="preserve"> albeit supported by low quality data. However, MSAC did not support public funding for due to substantially uncertain cost-effectiveness.</w:t>
      </w:r>
    </w:p>
    <w:p w14:paraId="1D93E333" w14:textId="77777777" w:rsidR="005F391A" w:rsidRDefault="005F391A" w:rsidP="005F391A">
      <w:pPr>
        <w:tabs>
          <w:tab w:val="left" w:pos="720"/>
          <w:tab w:val="left" w:pos="1140"/>
        </w:tabs>
      </w:pPr>
    </w:p>
    <w:p w14:paraId="4D7FE33C" w14:textId="77777777" w:rsidR="005F391A" w:rsidRDefault="005F391A" w:rsidP="005F391A">
      <w:pPr>
        <w:tabs>
          <w:tab w:val="left" w:pos="720"/>
          <w:tab w:val="left" w:pos="1140"/>
        </w:tabs>
      </w:pPr>
      <w:r w:rsidRPr="00AA5447">
        <w:t>MSAC encouraged a resubmission of the application with a more robust economic analysis. MSAC advised that any future analysis should include a simple economic modelling, utility estimates that are more applicable to the intended population, a more careful consideration of societal costs in both the treatment and no treatment arms, a full sensitivity analysis and a more realistic time horizon may be more appropriate to determine the cost effectiveness.</w:t>
      </w:r>
    </w:p>
    <w:p w14:paraId="3E3D481E" w14:textId="77777777" w:rsidR="005F391A" w:rsidRPr="007B32D1" w:rsidRDefault="005F391A" w:rsidP="005F391A"/>
    <w:p w14:paraId="70EE01EA" w14:textId="77777777" w:rsidR="005F391A" w:rsidRDefault="005F391A" w:rsidP="005F391A">
      <w:r>
        <w:t>The Public Summary Document is available at:</w:t>
      </w:r>
    </w:p>
    <w:p w14:paraId="3F7EB5D9" w14:textId="381F35E2" w:rsidR="005F391A" w:rsidRDefault="00872A28" w:rsidP="00EA5DEA">
      <w:pPr>
        <w:tabs>
          <w:tab w:val="left" w:pos="720"/>
          <w:tab w:val="left" w:pos="1140"/>
        </w:tabs>
      </w:pPr>
      <w:hyperlink r:id="rId10" w:tooltip="Link to Public Summary Document 1365" w:history="1">
        <w:r w:rsidR="005F391A" w:rsidRPr="00EE0A96">
          <w:rPr>
            <w:rStyle w:val="Hyperlink"/>
          </w:rPr>
          <w:t>http://www.msac.gov.au/internet/msac/publishing.nsf/Content/1365-public</w:t>
        </w:r>
      </w:hyperlink>
    </w:p>
    <w:p w14:paraId="1ADA595A" w14:textId="77777777" w:rsidR="00EA5DEA" w:rsidRDefault="00EA5DEA" w:rsidP="00EA5DEA"/>
    <w:p w14:paraId="16F454CC" w14:textId="77777777" w:rsidR="00BC1364" w:rsidRPr="00D90A38" w:rsidRDefault="00BC1364" w:rsidP="007B32D1">
      <w:pPr>
        <w:pStyle w:val="Heading1"/>
        <w:numPr>
          <w:ilvl w:val="0"/>
          <w:numId w:val="23"/>
        </w:numPr>
        <w:ind w:hanging="720"/>
      </w:pPr>
      <w:r w:rsidRPr="00D90A38">
        <w:t>Prerequisites to implementation of any funding advice</w:t>
      </w:r>
    </w:p>
    <w:p w14:paraId="3665CB16" w14:textId="77777777" w:rsidR="00BC1364" w:rsidRPr="00707064" w:rsidRDefault="00BC1364" w:rsidP="00DD2858">
      <w:pPr>
        <w:tabs>
          <w:tab w:val="left" w:pos="720"/>
          <w:tab w:val="left" w:pos="1140"/>
        </w:tabs>
        <w:ind w:left="706"/>
        <w:rPr>
          <w:b/>
          <w:szCs w:val="24"/>
        </w:rPr>
      </w:pPr>
    </w:p>
    <w:p w14:paraId="7A2CCE93" w14:textId="1B5DE906" w:rsidR="00EA5DEA" w:rsidRPr="00093490" w:rsidRDefault="00EA5DEA" w:rsidP="00EA5DEA">
      <w:pPr>
        <w:tabs>
          <w:tab w:val="left" w:pos="720"/>
          <w:tab w:val="left" w:pos="1140"/>
        </w:tabs>
        <w:rPr>
          <w:rFonts w:ascii="Arial" w:hAnsi="Arial" w:cs="Arial"/>
          <w:color w:val="3366FF"/>
          <w:szCs w:val="24"/>
        </w:rPr>
      </w:pPr>
      <w:r w:rsidRPr="00AA5447">
        <w:t xml:space="preserve">The </w:t>
      </w:r>
      <w:r>
        <w:t>implant</w:t>
      </w:r>
      <w:r w:rsidRPr="00AA5447">
        <w:t xml:space="preserve"> </w:t>
      </w:r>
      <w:r>
        <w:t xml:space="preserve">(Vibrant Sound Bridge (VSB)) </w:t>
      </w:r>
      <w:r w:rsidRPr="00AA5447">
        <w:t>has been registered for use in Australia since 2009 for a</w:t>
      </w:r>
      <w:r>
        <w:t>dults, adolescents and children</w:t>
      </w:r>
      <w:r w:rsidRPr="00AA5447">
        <w:t xml:space="preserve"> with mild to severe hearing impairment</w:t>
      </w:r>
      <w:r>
        <w:t>,</w:t>
      </w:r>
      <w:r w:rsidRPr="00AA5447">
        <w:t xml:space="preserve"> who do not achieve adequate benefit from traditional therapy. In addition to SNHL, T</w:t>
      </w:r>
      <w:r>
        <w:t xml:space="preserve">herapeutic </w:t>
      </w:r>
      <w:r w:rsidRPr="00AA5447">
        <w:t>G</w:t>
      </w:r>
      <w:r>
        <w:t xml:space="preserve">oods </w:t>
      </w:r>
      <w:r w:rsidRPr="00AA5447">
        <w:t>A</w:t>
      </w:r>
      <w:r>
        <w:t>dministration</w:t>
      </w:r>
      <w:r w:rsidRPr="00AA5447">
        <w:t xml:space="preserve"> approval extends to </w:t>
      </w:r>
      <w:r w:rsidR="00D13724">
        <w:t>conductive hearing loss (</w:t>
      </w:r>
      <w:r>
        <w:t>CHL</w:t>
      </w:r>
      <w:r w:rsidR="00D13724">
        <w:t>)</w:t>
      </w:r>
      <w:r w:rsidRPr="00AA5447">
        <w:t xml:space="preserve"> and </w:t>
      </w:r>
      <w:r>
        <w:t>o</w:t>
      </w:r>
      <w:r w:rsidRPr="00754131">
        <w:t>tolaryngologists deliver the implantation procedure in a hospital setting. Expert colleagues, supported by the device manufacturer, would provide training.</w:t>
      </w:r>
    </w:p>
    <w:p w14:paraId="23FDD776" w14:textId="77777777" w:rsidR="00BC1364" w:rsidRPr="00707064" w:rsidRDefault="00BC1364" w:rsidP="009E0D98">
      <w:pPr>
        <w:tabs>
          <w:tab w:val="left" w:pos="720"/>
          <w:tab w:val="left" w:pos="1140"/>
        </w:tabs>
        <w:rPr>
          <w:color w:val="0070C0"/>
          <w:szCs w:val="24"/>
        </w:rPr>
      </w:pPr>
    </w:p>
    <w:p w14:paraId="52222B29" w14:textId="7BBB096F" w:rsidR="00770183" w:rsidRPr="00770183" w:rsidRDefault="00BC1364" w:rsidP="00B104C7">
      <w:pPr>
        <w:pStyle w:val="Heading1"/>
        <w:numPr>
          <w:ilvl w:val="0"/>
          <w:numId w:val="23"/>
        </w:numPr>
        <w:ind w:hanging="720"/>
      </w:pPr>
      <w:r w:rsidRPr="007B32D1">
        <w:t>Proposal for public funding</w:t>
      </w:r>
    </w:p>
    <w:p w14:paraId="0FDCEF6A" w14:textId="77777777" w:rsidR="00BC1364" w:rsidRDefault="00BC1364" w:rsidP="00AB3BFC">
      <w:pPr>
        <w:tabs>
          <w:tab w:val="left" w:pos="720"/>
          <w:tab w:val="left" w:pos="1140"/>
        </w:tabs>
        <w:rPr>
          <w:sz w:val="23"/>
          <w:szCs w:val="23"/>
        </w:rPr>
      </w:pPr>
    </w:p>
    <w:p w14:paraId="29D960E5" w14:textId="4C14275D" w:rsidR="00EA5DEA" w:rsidRDefault="00EA5DEA" w:rsidP="00EA5DEA">
      <w:pPr>
        <w:pStyle w:val="BodyText1"/>
        <w:spacing w:before="0"/>
        <w:jc w:val="left"/>
        <w:rPr>
          <w:rFonts w:ascii="Times New Roman" w:hAnsi="Times New Roman"/>
        </w:rPr>
      </w:pPr>
      <w:r w:rsidRPr="00732053">
        <w:rPr>
          <w:rFonts w:ascii="Times New Roman" w:hAnsi="Times New Roman"/>
        </w:rPr>
        <w:t xml:space="preserve">Public funding is sought for partially implantable AMEI for use in patients with mild to severe SNHL (defined with reference to air conduction thresholds and speech perception discrimination scores) and cannot wear conventional hearing aids for a variety of medical reasons including (but not limited to) chronic otitis </w:t>
      </w:r>
      <w:proofErr w:type="spellStart"/>
      <w:r w:rsidRPr="00732053">
        <w:rPr>
          <w:rFonts w:ascii="Times New Roman" w:hAnsi="Times New Roman"/>
        </w:rPr>
        <w:t>externa</w:t>
      </w:r>
      <w:proofErr w:type="spellEnd"/>
      <w:r w:rsidRPr="00732053">
        <w:rPr>
          <w:rFonts w:ascii="Times New Roman" w:hAnsi="Times New Roman"/>
        </w:rPr>
        <w:t xml:space="preserve">, psoriasis, </w:t>
      </w:r>
      <w:proofErr w:type="spellStart"/>
      <w:r w:rsidRPr="00732053">
        <w:rPr>
          <w:rFonts w:ascii="Times New Roman" w:hAnsi="Times New Roman"/>
        </w:rPr>
        <w:t>exostosis</w:t>
      </w:r>
      <w:proofErr w:type="spellEnd"/>
      <w:r w:rsidRPr="00732053">
        <w:rPr>
          <w:rFonts w:ascii="Times New Roman" w:hAnsi="Times New Roman"/>
        </w:rPr>
        <w:t xml:space="preserve"> of the ear canal, persistent excessive cerumen blocking the ear canal, absent or deformed pinnae following skin cancer, unusual morphology affecting the ear canal, or pinna that prevent the use of conventional hearing aids. These patients are ineligible for a Cochlear implant (which is indicated for patients with severe to profound SNHL) or a bone conduction implant (which is indicated for patients with unilateral SNHL).</w:t>
      </w:r>
      <w:bookmarkStart w:id="1" w:name="_Ref428864664"/>
    </w:p>
    <w:p w14:paraId="1366EB30" w14:textId="3B9D9BE6" w:rsidR="00EA5DEA" w:rsidRDefault="00EA5DEA" w:rsidP="00EA5DEA">
      <w:pPr>
        <w:pStyle w:val="BodyText1"/>
        <w:spacing w:before="0"/>
        <w:jc w:val="left"/>
        <w:rPr>
          <w:rFonts w:ascii="Times New Roman" w:hAnsi="Times New Roman"/>
        </w:rPr>
      </w:pPr>
    </w:p>
    <w:p w14:paraId="6E595A8A" w14:textId="28729887" w:rsidR="00EA5DEA" w:rsidRDefault="00EA5DEA" w:rsidP="00EA5DEA">
      <w:pPr>
        <w:pStyle w:val="BodyText1"/>
        <w:spacing w:before="0"/>
        <w:jc w:val="left"/>
      </w:pPr>
    </w:p>
    <w:bookmarkEnd w:id="1"/>
    <w:p w14:paraId="74F3529F" w14:textId="21B89EA8" w:rsidR="00EA5DEA" w:rsidRPr="000222A5" w:rsidRDefault="00EA5DEA" w:rsidP="00EA5DEA">
      <w:pPr>
        <w:pStyle w:val="Caption"/>
        <w:keepNext/>
        <w:spacing w:after="0"/>
        <w:rPr>
          <w:rFonts w:ascii="Arial Narrow" w:hAnsi="Arial Narrow"/>
          <w:color w:val="auto"/>
          <w:sz w:val="20"/>
          <w:szCs w:val="20"/>
        </w:rPr>
      </w:pPr>
      <w:r w:rsidRPr="000222A5">
        <w:rPr>
          <w:rFonts w:ascii="Arial Narrow" w:hAnsi="Arial Narrow"/>
          <w:color w:val="auto"/>
          <w:sz w:val="20"/>
          <w:szCs w:val="20"/>
        </w:rPr>
        <w:lastRenderedPageBreak/>
        <w:t>Proposed Item Descriptor in submission 1365.1</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EA5DEA" w:rsidRPr="00754131" w14:paraId="10DEFC7C" w14:textId="74F92D54" w:rsidTr="005659B0">
        <w:trPr>
          <w:trHeight w:val="382"/>
        </w:trPr>
        <w:tc>
          <w:tcPr>
            <w:tcW w:w="9214" w:type="dxa"/>
            <w:tcBorders>
              <w:top w:val="single" w:sz="4" w:space="0" w:color="auto"/>
              <w:left w:val="single" w:sz="4" w:space="0" w:color="auto"/>
              <w:bottom w:val="single" w:sz="4" w:space="0" w:color="auto"/>
              <w:right w:val="single" w:sz="4" w:space="0" w:color="auto"/>
            </w:tcBorders>
          </w:tcPr>
          <w:p w14:paraId="35B58C95" w14:textId="43998E69" w:rsidR="00EA5DEA" w:rsidRPr="00786797" w:rsidRDefault="00EA5DEA" w:rsidP="005659B0">
            <w:pPr>
              <w:pStyle w:val="Tabletext"/>
              <w:keepLines/>
              <w:jc w:val="right"/>
              <w:rPr>
                <w:rFonts w:cs="Arial"/>
              </w:rPr>
            </w:pPr>
            <w:r w:rsidRPr="00786797">
              <w:rPr>
                <w:rFonts w:cs="Arial"/>
              </w:rPr>
              <w:t>Category 3 – Therapeutic Procedures</w:t>
            </w:r>
          </w:p>
        </w:tc>
      </w:tr>
      <w:tr w:rsidR="00EA5DEA" w:rsidRPr="00754131" w14:paraId="2E3C0A35" w14:textId="75F3C8D9" w:rsidTr="005659B0">
        <w:trPr>
          <w:trHeight w:val="382"/>
        </w:trPr>
        <w:tc>
          <w:tcPr>
            <w:tcW w:w="9214" w:type="dxa"/>
            <w:tcBorders>
              <w:top w:val="single" w:sz="4" w:space="0" w:color="auto"/>
              <w:left w:val="single" w:sz="4" w:space="0" w:color="auto"/>
              <w:bottom w:val="single" w:sz="4" w:space="0" w:color="auto"/>
              <w:right w:val="single" w:sz="4" w:space="0" w:color="auto"/>
            </w:tcBorders>
          </w:tcPr>
          <w:p w14:paraId="5588D80B" w14:textId="20E893C4" w:rsidR="00EA5DEA" w:rsidRPr="00786797" w:rsidRDefault="00EA5DEA" w:rsidP="00B104C7">
            <w:pPr>
              <w:pStyle w:val="Tabletext"/>
              <w:keepLines/>
              <w:spacing w:before="0" w:after="0"/>
              <w:rPr>
                <w:rFonts w:cs="Arial"/>
              </w:rPr>
            </w:pPr>
            <w:r w:rsidRPr="00786797">
              <w:rPr>
                <w:rFonts w:cs="Arial"/>
              </w:rPr>
              <w:t>MBS [item number]</w:t>
            </w:r>
          </w:p>
          <w:p w14:paraId="7DD50445" w14:textId="15799B2D" w:rsidR="00EA5DEA" w:rsidRPr="00786797" w:rsidRDefault="00EA5DEA" w:rsidP="00B104C7">
            <w:pPr>
              <w:pStyle w:val="Tabletext"/>
              <w:keepLines/>
              <w:spacing w:before="0" w:after="0"/>
              <w:rPr>
                <w:rFonts w:cs="Arial"/>
              </w:rPr>
            </w:pPr>
          </w:p>
          <w:p w14:paraId="7011C8F1" w14:textId="780DB5B1" w:rsidR="00EA5DEA" w:rsidRPr="00786797" w:rsidRDefault="00EA5DEA" w:rsidP="00B104C7">
            <w:pPr>
              <w:pStyle w:val="Tabletext"/>
              <w:keepLines/>
              <w:spacing w:before="0" w:after="0"/>
              <w:rPr>
                <w:rFonts w:cs="Arial"/>
              </w:rPr>
            </w:pPr>
            <w:r w:rsidRPr="00786797">
              <w:rPr>
                <w:rFonts w:cs="Arial"/>
              </w:rPr>
              <w:t>partially implantable MIDDLE EAR IMPLANT</w:t>
            </w:r>
            <w:r>
              <w:rPr>
                <w:rFonts w:cs="Arial"/>
              </w:rPr>
              <w:t xml:space="preserve">, insertion of, including </w:t>
            </w:r>
            <w:proofErr w:type="spellStart"/>
            <w:r>
              <w:rPr>
                <w:rFonts w:cs="Arial"/>
              </w:rPr>
              <w:t>mastoi</w:t>
            </w:r>
            <w:r w:rsidRPr="00786797">
              <w:rPr>
                <w:rFonts w:cs="Arial"/>
              </w:rPr>
              <w:t>dectomy</w:t>
            </w:r>
            <w:proofErr w:type="spellEnd"/>
            <w:r w:rsidRPr="00786797">
              <w:rPr>
                <w:rFonts w:cs="Arial"/>
              </w:rPr>
              <w:t>, for patients with:</w:t>
            </w:r>
          </w:p>
          <w:p w14:paraId="7556CBBF" w14:textId="41003645" w:rsidR="00EA5DEA" w:rsidRPr="00786797" w:rsidRDefault="00EA5DEA" w:rsidP="00B104C7">
            <w:pPr>
              <w:pStyle w:val="Tabletext"/>
              <w:keepLines/>
              <w:spacing w:before="0" w:after="0"/>
              <w:rPr>
                <w:rFonts w:cs="Arial"/>
              </w:rPr>
            </w:pPr>
          </w:p>
          <w:p w14:paraId="1DD34484" w14:textId="5ED5AB2D" w:rsidR="00EA5DEA" w:rsidRDefault="00EA5DEA" w:rsidP="00B104C7">
            <w:pPr>
              <w:pStyle w:val="Tabletext"/>
              <w:keepLines/>
              <w:numPr>
                <w:ilvl w:val="0"/>
                <w:numId w:val="26"/>
              </w:numPr>
              <w:spacing w:before="0" w:after="0"/>
              <w:rPr>
                <w:rFonts w:cs="Arial"/>
              </w:rPr>
            </w:pPr>
            <w:r>
              <w:rPr>
                <w:rFonts w:cs="Arial"/>
              </w:rPr>
              <w:t>sensorineural hearing loss that is stable, bilateral and symmetrical; and</w:t>
            </w:r>
          </w:p>
          <w:p w14:paraId="4CF8459B" w14:textId="6DFECBF9" w:rsidR="00EA5DEA" w:rsidRDefault="00EA5DEA" w:rsidP="00B104C7">
            <w:pPr>
              <w:pStyle w:val="Tabletext"/>
              <w:keepLines/>
              <w:numPr>
                <w:ilvl w:val="0"/>
                <w:numId w:val="26"/>
              </w:numPr>
              <w:spacing w:before="0" w:after="0"/>
              <w:rPr>
                <w:rFonts w:cs="Arial"/>
              </w:rPr>
            </w:pPr>
            <w:r>
              <w:rPr>
                <w:rFonts w:cs="Arial"/>
              </w:rPr>
              <w:t xml:space="preserve">air conduction thresholds in the mild to severe rang with </w:t>
            </w:r>
            <w:r w:rsidRPr="00093490">
              <w:rPr>
                <w:rFonts w:cs="Arial"/>
              </w:rPr>
              <w:t>PTA  below 80 dB</w:t>
            </w:r>
            <w:r>
              <w:rPr>
                <w:rFonts w:cs="Arial"/>
              </w:rPr>
              <w:t xml:space="preserve"> </w:t>
            </w:r>
            <w:r w:rsidRPr="00093490">
              <w:rPr>
                <w:rFonts w:cs="Arial"/>
              </w:rPr>
              <w:t>HL</w:t>
            </w:r>
            <w:r>
              <w:rPr>
                <w:rFonts w:cs="Arial"/>
              </w:rPr>
              <w:t>, and</w:t>
            </w:r>
          </w:p>
          <w:p w14:paraId="6B933A5A" w14:textId="501E7ECF" w:rsidR="00EA5DEA" w:rsidRDefault="00EA5DEA" w:rsidP="00B104C7">
            <w:pPr>
              <w:pStyle w:val="Tabletext"/>
              <w:keepLines/>
              <w:numPr>
                <w:ilvl w:val="0"/>
                <w:numId w:val="26"/>
              </w:numPr>
              <w:spacing w:before="0" w:after="0"/>
              <w:rPr>
                <w:rFonts w:cs="Arial"/>
              </w:rPr>
            </w:pPr>
            <w:r>
              <w:rPr>
                <w:rFonts w:cs="Arial"/>
              </w:rPr>
              <w:t xml:space="preserve">have speech perception discrimination of </w:t>
            </w:r>
            <w:r w:rsidRPr="00786797">
              <w:rPr>
                <w:rFonts w:cs="Arial"/>
                <w:u w:val="single"/>
              </w:rPr>
              <w:t>&gt;</w:t>
            </w:r>
            <w:r w:rsidRPr="00786797">
              <w:rPr>
                <w:rFonts w:cs="Arial"/>
              </w:rPr>
              <w:t xml:space="preserve"> 65% correct  with appropriately amplified sound</w:t>
            </w:r>
            <w:r>
              <w:rPr>
                <w:rFonts w:cs="Arial"/>
              </w:rPr>
              <w:t>; and</w:t>
            </w:r>
          </w:p>
          <w:p w14:paraId="0A326FE2" w14:textId="68C7910C" w:rsidR="00EA5DEA" w:rsidRDefault="00EA5DEA" w:rsidP="00B104C7">
            <w:pPr>
              <w:pStyle w:val="Tabletext"/>
              <w:keepLines/>
              <w:numPr>
                <w:ilvl w:val="0"/>
                <w:numId w:val="26"/>
              </w:numPr>
              <w:spacing w:before="0" w:after="0"/>
              <w:rPr>
                <w:rFonts w:cs="Arial"/>
              </w:rPr>
            </w:pPr>
            <w:r>
              <w:rPr>
                <w:rFonts w:cs="Arial"/>
              </w:rPr>
              <w:t>cannot wear conventional hearing aid because of outer ear pathology; and</w:t>
            </w:r>
          </w:p>
          <w:p w14:paraId="4BFAD4D8" w14:textId="31614BEE" w:rsidR="00EA5DEA" w:rsidRPr="00786797" w:rsidRDefault="00EA5DEA" w:rsidP="00B104C7">
            <w:pPr>
              <w:pStyle w:val="Tabletext"/>
              <w:keepLines/>
              <w:numPr>
                <w:ilvl w:val="0"/>
                <w:numId w:val="26"/>
              </w:numPr>
              <w:spacing w:before="0" w:after="0"/>
              <w:rPr>
                <w:rFonts w:cs="Arial"/>
              </w:rPr>
            </w:pPr>
            <w:r w:rsidRPr="00786797">
              <w:rPr>
                <w:rFonts w:cs="Arial"/>
              </w:rPr>
              <w:t xml:space="preserve">no history of other inner ear disorders such as Meniere’s </w:t>
            </w:r>
            <w:r>
              <w:rPr>
                <w:rFonts w:cs="Arial"/>
              </w:rPr>
              <w:t>syndrome; and</w:t>
            </w:r>
          </w:p>
          <w:p w14:paraId="70C42E98" w14:textId="2E4C8C7E" w:rsidR="00EA5DEA" w:rsidRPr="00786797" w:rsidRDefault="00EA5DEA" w:rsidP="00B104C7">
            <w:pPr>
              <w:pStyle w:val="Tabletext"/>
              <w:keepLines/>
              <w:numPr>
                <w:ilvl w:val="0"/>
                <w:numId w:val="26"/>
              </w:numPr>
              <w:spacing w:before="0" w:after="0"/>
              <w:rPr>
                <w:rFonts w:cs="Arial"/>
              </w:rPr>
            </w:pPr>
            <w:r w:rsidRPr="00786797">
              <w:rPr>
                <w:rFonts w:cs="Arial"/>
              </w:rPr>
              <w:t xml:space="preserve">a normal middle ear </w:t>
            </w:r>
            <w:r>
              <w:rPr>
                <w:rFonts w:cs="Arial"/>
              </w:rPr>
              <w:t xml:space="preserve"> </w:t>
            </w:r>
            <w:r w:rsidRPr="00786797">
              <w:rPr>
                <w:rFonts w:cs="Arial"/>
              </w:rPr>
              <w:t>(no history of middle ear surgery or of post-adolescen</w:t>
            </w:r>
            <w:r>
              <w:rPr>
                <w:rFonts w:cs="Arial"/>
              </w:rPr>
              <w:t xml:space="preserve">t chronic middle ear infections, </w:t>
            </w:r>
            <w:r w:rsidRPr="00786797">
              <w:rPr>
                <w:rFonts w:cs="Arial"/>
              </w:rPr>
              <w:t>and</w:t>
            </w:r>
            <w:r>
              <w:rPr>
                <w:rFonts w:cs="Arial"/>
              </w:rPr>
              <w:t xml:space="preserve"> </w:t>
            </w:r>
          </w:p>
          <w:p w14:paraId="313C6C0A" w14:textId="1CE020CA" w:rsidR="00EA5DEA" w:rsidRPr="00786797" w:rsidRDefault="00EA5DEA" w:rsidP="00B104C7">
            <w:pPr>
              <w:pStyle w:val="Tabletext"/>
              <w:keepLines/>
              <w:spacing w:before="0" w:after="0"/>
              <w:ind w:left="720"/>
              <w:rPr>
                <w:rFonts w:cs="Arial"/>
              </w:rPr>
            </w:pPr>
            <w:r w:rsidRPr="00786797">
              <w:rPr>
                <w:rFonts w:cs="Arial"/>
              </w:rPr>
              <w:t>normal tympanometry</w:t>
            </w:r>
            <w:r>
              <w:rPr>
                <w:rFonts w:cs="Arial"/>
              </w:rPr>
              <w:t xml:space="preserve">, and on audiometry </w:t>
            </w:r>
            <w:r w:rsidRPr="00786797">
              <w:rPr>
                <w:rFonts w:cs="Arial"/>
              </w:rPr>
              <w:t>the air-bone gap is &lt; 10 dB</w:t>
            </w:r>
            <w:r>
              <w:rPr>
                <w:rFonts w:cs="Arial"/>
              </w:rPr>
              <w:t xml:space="preserve"> </w:t>
            </w:r>
            <w:r w:rsidRPr="00786797">
              <w:rPr>
                <w:rFonts w:cs="Arial"/>
              </w:rPr>
              <w:t xml:space="preserve">HL </w:t>
            </w:r>
            <w:r>
              <w:rPr>
                <w:rFonts w:cs="Arial"/>
              </w:rPr>
              <w:t>at two or more of the following frequencies 0.5, 1, 2 and 4 kHz)</w:t>
            </w:r>
          </w:p>
          <w:p w14:paraId="760987FB" w14:textId="5D754A21" w:rsidR="00EA5DEA" w:rsidRPr="00786797" w:rsidRDefault="00EA5DEA" w:rsidP="00B104C7">
            <w:pPr>
              <w:pStyle w:val="Tabletext"/>
              <w:keepLines/>
              <w:spacing w:before="0" w:after="0"/>
              <w:rPr>
                <w:rFonts w:cs="Arial"/>
              </w:rPr>
            </w:pPr>
            <w:r w:rsidRPr="00786797">
              <w:rPr>
                <w:rFonts w:cs="Arial"/>
              </w:rPr>
              <w:t>(</w:t>
            </w:r>
            <w:proofErr w:type="spellStart"/>
            <w:r w:rsidRPr="00786797">
              <w:rPr>
                <w:rFonts w:cs="Arial"/>
              </w:rPr>
              <w:t>Anaes</w:t>
            </w:r>
            <w:proofErr w:type="spellEnd"/>
            <w:r w:rsidRPr="00786797">
              <w:rPr>
                <w:rFonts w:cs="Arial"/>
              </w:rPr>
              <w:t>)</w:t>
            </w:r>
          </w:p>
          <w:p w14:paraId="66B2ABE8" w14:textId="43F16A84" w:rsidR="00EA5DEA" w:rsidRPr="00786797" w:rsidRDefault="00EA5DEA" w:rsidP="00B104C7">
            <w:pPr>
              <w:pStyle w:val="Tabletext"/>
              <w:keepLines/>
              <w:spacing w:before="0" w:after="0"/>
              <w:rPr>
                <w:rFonts w:cs="Arial"/>
              </w:rPr>
            </w:pPr>
            <w:r w:rsidRPr="00786797">
              <w:rPr>
                <w:rFonts w:cs="Arial"/>
              </w:rPr>
              <w:t xml:space="preserve">Fee: $1,876.59 (based on </w:t>
            </w:r>
            <w:proofErr w:type="spellStart"/>
            <w:r w:rsidRPr="00786797">
              <w:rPr>
                <w:rFonts w:cs="Arial"/>
              </w:rPr>
              <w:t>mastoidectomy</w:t>
            </w:r>
            <w:proofErr w:type="spellEnd"/>
            <w:r w:rsidRPr="00786797">
              <w:rPr>
                <w:rFonts w:cs="Arial"/>
              </w:rPr>
              <w:t xml:space="preserve"> item).</w:t>
            </w:r>
          </w:p>
          <w:p w14:paraId="6F79C9B5" w14:textId="1F9017F5" w:rsidR="00EA5DEA" w:rsidRPr="00786797" w:rsidRDefault="00EA5DEA" w:rsidP="00B104C7">
            <w:pPr>
              <w:pStyle w:val="Tabletext"/>
              <w:keepLines/>
              <w:spacing w:before="0" w:after="0"/>
            </w:pPr>
          </w:p>
        </w:tc>
      </w:tr>
    </w:tbl>
    <w:p w14:paraId="50606AFF" w14:textId="246D2B8A" w:rsidR="00EA5DEA" w:rsidRDefault="00EA5DEA" w:rsidP="00EA5DEA"/>
    <w:p w14:paraId="7C3ABB16" w14:textId="59CD008C" w:rsidR="00EA5DEA" w:rsidRPr="000222A5" w:rsidRDefault="005D470C" w:rsidP="00EA5DEA">
      <w:pPr>
        <w:rPr>
          <w:rFonts w:ascii="Arial Narrow" w:hAnsi="Arial Narrow"/>
          <w:b/>
          <w:sz w:val="20"/>
        </w:rPr>
      </w:pPr>
      <w:r>
        <w:rPr>
          <w:rFonts w:ascii="Arial Narrow" w:hAnsi="Arial Narrow"/>
          <w:b/>
          <w:sz w:val="20"/>
        </w:rPr>
        <w:t>Proposed</w:t>
      </w:r>
      <w:r w:rsidRPr="000222A5">
        <w:rPr>
          <w:rFonts w:ascii="Arial Narrow" w:hAnsi="Arial Narrow"/>
          <w:b/>
          <w:sz w:val="20"/>
        </w:rPr>
        <w:t xml:space="preserve"> </w:t>
      </w:r>
      <w:r w:rsidR="00EA5DEA" w:rsidRPr="000222A5">
        <w:rPr>
          <w:rFonts w:ascii="Arial Narrow" w:hAnsi="Arial Narrow"/>
          <w:b/>
          <w:sz w:val="20"/>
        </w:rPr>
        <w:t xml:space="preserve">MSAC </w:t>
      </w:r>
      <w:r>
        <w:rPr>
          <w:rFonts w:ascii="Arial Narrow" w:hAnsi="Arial Narrow"/>
          <w:b/>
          <w:sz w:val="20"/>
        </w:rPr>
        <w:t xml:space="preserve">item descriptor as </w:t>
      </w:r>
      <w:r w:rsidR="00EA5DEA" w:rsidRPr="000222A5">
        <w:rPr>
          <w:rFonts w:ascii="Arial Narrow" w:hAnsi="Arial Narrow"/>
          <w:b/>
          <w:sz w:val="20"/>
        </w:rPr>
        <w:t xml:space="preserve">recommended </w:t>
      </w:r>
      <w:r>
        <w:rPr>
          <w:rFonts w:ascii="Arial Narrow" w:hAnsi="Arial Narrow"/>
          <w:b/>
          <w:sz w:val="20"/>
        </w:rPr>
        <w:t>at its</w:t>
      </w:r>
      <w:r w:rsidRPr="000222A5">
        <w:rPr>
          <w:rFonts w:ascii="Arial Narrow" w:hAnsi="Arial Narrow"/>
          <w:b/>
          <w:sz w:val="20"/>
        </w:rPr>
        <w:t xml:space="preserve"> </w:t>
      </w:r>
      <w:r w:rsidR="00EA5DEA" w:rsidRPr="000222A5">
        <w:rPr>
          <w:rFonts w:ascii="Arial Narrow" w:hAnsi="Arial Narrow"/>
          <w:b/>
          <w:sz w:val="20"/>
        </w:rPr>
        <w:t xml:space="preserve">April 2015 </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EA5DEA" w:rsidRPr="00754131" w14:paraId="473A15EA" w14:textId="2775FC24" w:rsidTr="005659B0">
        <w:trPr>
          <w:trHeight w:val="382"/>
        </w:trPr>
        <w:tc>
          <w:tcPr>
            <w:tcW w:w="9214" w:type="dxa"/>
            <w:tcBorders>
              <w:top w:val="single" w:sz="4" w:space="0" w:color="auto"/>
              <w:left w:val="single" w:sz="4" w:space="0" w:color="auto"/>
              <w:bottom w:val="single" w:sz="4" w:space="0" w:color="auto"/>
              <w:right w:val="single" w:sz="4" w:space="0" w:color="auto"/>
            </w:tcBorders>
          </w:tcPr>
          <w:p w14:paraId="7428405D" w14:textId="5936D429" w:rsidR="00EA5DEA" w:rsidRPr="00786797" w:rsidRDefault="00EA5DEA" w:rsidP="005659B0">
            <w:pPr>
              <w:pStyle w:val="Tabletext"/>
              <w:keepLines/>
              <w:jc w:val="right"/>
              <w:rPr>
                <w:rFonts w:cs="Arial"/>
              </w:rPr>
            </w:pPr>
            <w:r w:rsidRPr="00786797">
              <w:rPr>
                <w:rFonts w:cs="Arial"/>
              </w:rPr>
              <w:t>Category 3 – Therapeutic Procedures</w:t>
            </w:r>
          </w:p>
        </w:tc>
      </w:tr>
      <w:tr w:rsidR="00EA5DEA" w:rsidRPr="00754131" w14:paraId="1DA7A5EC" w14:textId="069084A3" w:rsidTr="005659B0">
        <w:trPr>
          <w:trHeight w:val="382"/>
        </w:trPr>
        <w:tc>
          <w:tcPr>
            <w:tcW w:w="9214" w:type="dxa"/>
            <w:tcBorders>
              <w:top w:val="single" w:sz="4" w:space="0" w:color="auto"/>
              <w:left w:val="single" w:sz="4" w:space="0" w:color="auto"/>
              <w:bottom w:val="single" w:sz="4" w:space="0" w:color="auto"/>
              <w:right w:val="single" w:sz="4" w:space="0" w:color="auto"/>
            </w:tcBorders>
          </w:tcPr>
          <w:p w14:paraId="1A677BAA" w14:textId="3F91181B" w:rsidR="00EA5DEA" w:rsidRPr="00786797" w:rsidRDefault="00EA5DEA" w:rsidP="00B104C7">
            <w:pPr>
              <w:pStyle w:val="Tabletext"/>
              <w:keepLines/>
              <w:spacing w:before="0" w:after="0"/>
              <w:rPr>
                <w:rFonts w:cs="Arial"/>
              </w:rPr>
            </w:pPr>
            <w:r w:rsidRPr="00786797">
              <w:rPr>
                <w:rFonts w:cs="Arial"/>
              </w:rPr>
              <w:t>MBS [item number]</w:t>
            </w:r>
          </w:p>
          <w:p w14:paraId="0EFFF171" w14:textId="3C569781" w:rsidR="00EA5DEA" w:rsidRPr="00786797" w:rsidRDefault="00EA5DEA" w:rsidP="00B104C7">
            <w:pPr>
              <w:pStyle w:val="Tabletext"/>
              <w:keepLines/>
              <w:spacing w:before="0" w:after="0"/>
              <w:rPr>
                <w:rFonts w:cs="Arial"/>
              </w:rPr>
            </w:pPr>
          </w:p>
          <w:p w14:paraId="0BDE36DF" w14:textId="0D3853A0" w:rsidR="00EA5DEA" w:rsidRPr="00786797" w:rsidRDefault="00EA5DEA" w:rsidP="00B104C7">
            <w:pPr>
              <w:pStyle w:val="Tabletext"/>
              <w:keepLines/>
              <w:spacing w:before="0" w:after="0"/>
              <w:rPr>
                <w:rFonts w:cs="Arial"/>
              </w:rPr>
            </w:pPr>
            <w:r w:rsidRPr="00786797">
              <w:rPr>
                <w:rFonts w:cs="Arial"/>
              </w:rPr>
              <w:t>MIDDLE EAR IMPLANT</w:t>
            </w:r>
            <w:r>
              <w:rPr>
                <w:rFonts w:cs="Arial"/>
              </w:rPr>
              <w:t>,</w:t>
            </w:r>
            <w:r w:rsidRPr="00786797">
              <w:rPr>
                <w:rFonts w:cs="Arial"/>
              </w:rPr>
              <w:t xml:space="preserve"> partially implantable</w:t>
            </w:r>
            <w:r>
              <w:rPr>
                <w:rFonts w:cs="Arial"/>
              </w:rPr>
              <w:t xml:space="preserve">, insertion of, including </w:t>
            </w:r>
            <w:proofErr w:type="spellStart"/>
            <w:r>
              <w:rPr>
                <w:rFonts w:cs="Arial"/>
              </w:rPr>
              <w:t>masto</w:t>
            </w:r>
            <w:r w:rsidRPr="00786797">
              <w:rPr>
                <w:rFonts w:cs="Arial"/>
              </w:rPr>
              <w:t>dectomy</w:t>
            </w:r>
            <w:proofErr w:type="spellEnd"/>
            <w:r w:rsidRPr="00786797">
              <w:rPr>
                <w:rFonts w:cs="Arial"/>
              </w:rPr>
              <w:t>, for patients with</w:t>
            </w:r>
            <w:r>
              <w:rPr>
                <w:rFonts w:cs="Arial"/>
              </w:rPr>
              <w:t xml:space="preserve"> </w:t>
            </w:r>
            <w:r w:rsidRPr="00880A7D">
              <w:rPr>
                <w:noProof/>
                <w:szCs w:val="24"/>
                <w:lang w:eastAsia="en-AU"/>
              </w:rPr>
              <w:t>stable sensorineural hearing loss with outer ear pathology that prevents the use of a conventional hearing aid and with</w:t>
            </w:r>
            <w:r w:rsidRPr="00786797">
              <w:rPr>
                <w:rFonts w:cs="Arial"/>
              </w:rPr>
              <w:t>:</w:t>
            </w:r>
          </w:p>
          <w:p w14:paraId="66EBD30A" w14:textId="44ECD9B2" w:rsidR="00EA5DEA" w:rsidRPr="00786797" w:rsidRDefault="00EA5DEA" w:rsidP="00B104C7">
            <w:pPr>
              <w:pStyle w:val="Tabletext"/>
              <w:keepLines/>
              <w:spacing w:before="0" w:after="0"/>
              <w:rPr>
                <w:rFonts w:cs="Arial"/>
              </w:rPr>
            </w:pPr>
          </w:p>
          <w:p w14:paraId="000C1229" w14:textId="3135F5CA" w:rsidR="00EA5DEA" w:rsidRPr="00786797" w:rsidRDefault="00EA5DEA" w:rsidP="00B104C7">
            <w:pPr>
              <w:pStyle w:val="Tabletext"/>
              <w:keepLines/>
              <w:numPr>
                <w:ilvl w:val="0"/>
                <w:numId w:val="26"/>
              </w:numPr>
              <w:spacing w:before="0" w:after="0"/>
              <w:rPr>
                <w:rFonts w:cs="Arial"/>
              </w:rPr>
            </w:pPr>
            <w:r w:rsidRPr="00786797">
              <w:rPr>
                <w:rFonts w:cs="Arial"/>
              </w:rPr>
              <w:t>a PTA</w:t>
            </w:r>
            <w:r w:rsidRPr="00880A7D">
              <w:rPr>
                <w:noProof/>
                <w:szCs w:val="24"/>
                <w:vertAlign w:val="subscript"/>
                <w:lang w:eastAsia="en-AU"/>
              </w:rPr>
              <w:t>4</w:t>
            </w:r>
            <w:r w:rsidRPr="00786797">
              <w:rPr>
                <w:rFonts w:cs="Arial"/>
              </w:rPr>
              <w:t xml:space="preserve"> </w:t>
            </w:r>
            <w:r w:rsidRPr="00880A7D">
              <w:rPr>
                <w:noProof/>
                <w:szCs w:val="24"/>
                <w:lang w:eastAsia="en-AU"/>
              </w:rPr>
              <w:t>&lt;</w:t>
            </w:r>
            <w:r w:rsidRPr="00786797">
              <w:rPr>
                <w:rFonts w:cs="Arial"/>
              </w:rPr>
              <w:t xml:space="preserve">80 </w:t>
            </w:r>
            <w:proofErr w:type="spellStart"/>
            <w:r w:rsidRPr="00786797">
              <w:rPr>
                <w:rFonts w:cs="Arial"/>
              </w:rPr>
              <w:t>dBHL</w:t>
            </w:r>
            <w:proofErr w:type="spellEnd"/>
          </w:p>
          <w:p w14:paraId="6A21551B" w14:textId="165D2CD9" w:rsidR="00EA5DEA" w:rsidRPr="00786797" w:rsidRDefault="00EA5DEA" w:rsidP="00B104C7">
            <w:pPr>
              <w:pStyle w:val="Tabletext"/>
              <w:keepLines/>
              <w:numPr>
                <w:ilvl w:val="0"/>
                <w:numId w:val="26"/>
              </w:numPr>
              <w:spacing w:before="0" w:after="0"/>
              <w:rPr>
                <w:rFonts w:cs="Arial"/>
              </w:rPr>
            </w:pPr>
            <w:r w:rsidRPr="00786797">
              <w:rPr>
                <w:rFonts w:cs="Arial"/>
              </w:rPr>
              <w:t xml:space="preserve">bilateral, symmetrical hearing loss with PTA thresholds in both ears within 20 </w:t>
            </w:r>
            <w:r w:rsidRPr="006F14EA">
              <w:rPr>
                <w:rFonts w:cs="Arial"/>
              </w:rPr>
              <w:t>dBHL</w:t>
            </w:r>
            <w:r w:rsidRPr="00E52F46">
              <w:rPr>
                <w:rFonts w:cs="Arial"/>
                <w:vertAlign w:val="subscript"/>
              </w:rPr>
              <w:t>0.5-4kHz</w:t>
            </w:r>
            <w:r w:rsidRPr="006F14EA">
              <w:rPr>
                <w:rFonts w:cs="Arial"/>
                <w:sz w:val="16"/>
                <w:szCs w:val="16"/>
              </w:rPr>
              <w:t xml:space="preserve"> </w:t>
            </w:r>
            <w:r w:rsidRPr="00786797">
              <w:rPr>
                <w:rFonts w:cs="Arial"/>
              </w:rPr>
              <w:t>of each other</w:t>
            </w:r>
            <w:r>
              <w:rPr>
                <w:rFonts w:cs="Arial"/>
              </w:rPr>
              <w:t>;</w:t>
            </w:r>
            <w:r w:rsidRPr="00786797">
              <w:rPr>
                <w:rFonts w:cs="Arial"/>
              </w:rPr>
              <w:t xml:space="preserve"> and</w:t>
            </w:r>
          </w:p>
          <w:p w14:paraId="1BCADF14" w14:textId="75E3B402" w:rsidR="00EA5DEA" w:rsidRPr="00786797" w:rsidRDefault="00EA5DEA" w:rsidP="00B104C7">
            <w:pPr>
              <w:pStyle w:val="Tabletext"/>
              <w:keepLines/>
              <w:numPr>
                <w:ilvl w:val="0"/>
                <w:numId w:val="26"/>
              </w:numPr>
              <w:spacing w:before="0" w:after="0"/>
              <w:rPr>
                <w:rFonts w:cs="Arial"/>
              </w:rPr>
            </w:pPr>
            <w:r w:rsidRPr="00786797">
              <w:rPr>
                <w:rFonts w:cs="Arial"/>
              </w:rPr>
              <w:t xml:space="preserve">speech perception discrimination </w:t>
            </w:r>
            <w:r w:rsidRPr="00786797">
              <w:rPr>
                <w:rFonts w:cs="Arial"/>
                <w:u w:val="single"/>
              </w:rPr>
              <w:t>&gt;</w:t>
            </w:r>
            <w:r w:rsidRPr="00786797">
              <w:rPr>
                <w:rFonts w:cs="Arial"/>
              </w:rPr>
              <w:t>65% correct  for word lists with appropriately amplified sound; and</w:t>
            </w:r>
          </w:p>
          <w:p w14:paraId="50DCC374" w14:textId="3BDB83B0" w:rsidR="00EA5DEA" w:rsidRPr="00786797" w:rsidRDefault="00EA5DEA" w:rsidP="00B104C7">
            <w:pPr>
              <w:pStyle w:val="Tabletext"/>
              <w:keepLines/>
              <w:numPr>
                <w:ilvl w:val="0"/>
                <w:numId w:val="26"/>
              </w:numPr>
              <w:spacing w:before="0" w:after="0"/>
              <w:rPr>
                <w:rFonts w:cs="Arial"/>
              </w:rPr>
            </w:pPr>
            <w:r w:rsidRPr="00786797">
              <w:rPr>
                <w:rFonts w:cs="Arial"/>
              </w:rPr>
              <w:t>a normal middle ear (no history of middle ear surgery or of post-adolescent</w:t>
            </w:r>
            <w:r>
              <w:rPr>
                <w:rFonts w:cs="Arial"/>
              </w:rPr>
              <w:t>,</w:t>
            </w:r>
            <w:r w:rsidRPr="00786797">
              <w:rPr>
                <w:rFonts w:cs="Arial"/>
              </w:rPr>
              <w:t xml:space="preserve"> chronic middle ear infections); and</w:t>
            </w:r>
          </w:p>
          <w:p w14:paraId="40431407" w14:textId="17614EED" w:rsidR="00EA5DEA" w:rsidRPr="00786797" w:rsidRDefault="00EA5DEA" w:rsidP="00B104C7">
            <w:pPr>
              <w:pStyle w:val="Tabletext"/>
              <w:keepLines/>
              <w:numPr>
                <w:ilvl w:val="0"/>
                <w:numId w:val="26"/>
              </w:numPr>
              <w:spacing w:before="0" w:after="0"/>
              <w:rPr>
                <w:rFonts w:cs="Arial"/>
              </w:rPr>
            </w:pPr>
            <w:r w:rsidRPr="00786797">
              <w:rPr>
                <w:rFonts w:cs="Arial"/>
              </w:rPr>
              <w:t>normal tympanometry</w:t>
            </w:r>
          </w:p>
          <w:p w14:paraId="6864370B" w14:textId="37353913" w:rsidR="00EA5DEA" w:rsidRPr="00786797" w:rsidRDefault="00EA5DEA" w:rsidP="00B104C7">
            <w:pPr>
              <w:pStyle w:val="Tabletext"/>
              <w:keepLines/>
              <w:numPr>
                <w:ilvl w:val="0"/>
                <w:numId w:val="26"/>
              </w:numPr>
              <w:spacing w:before="0" w:after="0"/>
              <w:rPr>
                <w:rFonts w:cs="Arial"/>
              </w:rPr>
            </w:pPr>
            <w:r w:rsidRPr="00786797">
              <w:rPr>
                <w:rFonts w:cs="Arial"/>
              </w:rPr>
              <w:t>on audiometry, the air-bone gap is &lt;10 dBHL</w:t>
            </w:r>
            <w:r w:rsidRPr="00E52F46">
              <w:rPr>
                <w:rFonts w:cs="Arial"/>
                <w:vertAlign w:val="subscript"/>
              </w:rPr>
              <w:t>0.5-4 kHz</w:t>
            </w:r>
            <w:r w:rsidRPr="00786797">
              <w:rPr>
                <w:rFonts w:cs="Arial"/>
              </w:rPr>
              <w:t xml:space="preserve"> across all frequencies; and</w:t>
            </w:r>
          </w:p>
          <w:p w14:paraId="67A08D6A" w14:textId="6BD7BBD8" w:rsidR="00EA5DEA" w:rsidRPr="00786797" w:rsidRDefault="00EA5DEA" w:rsidP="00B104C7">
            <w:pPr>
              <w:pStyle w:val="Tabletext"/>
              <w:keepLines/>
              <w:numPr>
                <w:ilvl w:val="0"/>
                <w:numId w:val="26"/>
              </w:numPr>
              <w:spacing w:before="0" w:after="0"/>
              <w:rPr>
                <w:rFonts w:cs="Arial"/>
              </w:rPr>
            </w:pPr>
            <w:r w:rsidRPr="00786797">
              <w:rPr>
                <w:rFonts w:cs="Arial"/>
              </w:rPr>
              <w:t>no history of other inner ear disorders such as Meniere’s disease</w:t>
            </w:r>
          </w:p>
          <w:p w14:paraId="155E1558" w14:textId="4E4E414F" w:rsidR="00EA5DEA" w:rsidRPr="00786797" w:rsidRDefault="00EA5DEA" w:rsidP="00B104C7">
            <w:pPr>
              <w:pStyle w:val="Tabletext"/>
              <w:keepLines/>
              <w:spacing w:before="0" w:after="0"/>
              <w:rPr>
                <w:rFonts w:cs="Arial"/>
              </w:rPr>
            </w:pPr>
          </w:p>
          <w:p w14:paraId="556591C8" w14:textId="5C9944F6" w:rsidR="00EA5DEA" w:rsidRDefault="00EA5DEA" w:rsidP="00B104C7">
            <w:pPr>
              <w:pStyle w:val="Tabletext"/>
              <w:keepLines/>
              <w:spacing w:before="0" w:after="0"/>
              <w:rPr>
                <w:rFonts w:cs="Arial"/>
              </w:rPr>
            </w:pPr>
            <w:r w:rsidRPr="00786797">
              <w:rPr>
                <w:rFonts w:cs="Arial"/>
              </w:rPr>
              <w:t>(</w:t>
            </w:r>
            <w:proofErr w:type="spellStart"/>
            <w:r w:rsidRPr="00786797">
              <w:rPr>
                <w:rFonts w:cs="Arial"/>
              </w:rPr>
              <w:t>Anaes</w:t>
            </w:r>
            <w:proofErr w:type="spellEnd"/>
            <w:r w:rsidRPr="00786797">
              <w:rPr>
                <w:rFonts w:cs="Arial"/>
              </w:rPr>
              <w:t>)</w:t>
            </w:r>
          </w:p>
          <w:p w14:paraId="34968411" w14:textId="75571C3C" w:rsidR="00EA5DEA" w:rsidRPr="00786797" w:rsidRDefault="00EA5DEA" w:rsidP="00B104C7">
            <w:pPr>
              <w:pStyle w:val="Tabletext"/>
              <w:keepLines/>
              <w:spacing w:before="0" w:after="0"/>
              <w:rPr>
                <w:rFonts w:cs="Arial"/>
              </w:rPr>
            </w:pPr>
            <w:r w:rsidRPr="00786797">
              <w:rPr>
                <w:rFonts w:cs="Arial"/>
              </w:rPr>
              <w:t xml:space="preserve">Fee: $1,876.59 (based on </w:t>
            </w:r>
            <w:proofErr w:type="spellStart"/>
            <w:r w:rsidRPr="00786797">
              <w:rPr>
                <w:rFonts w:cs="Arial"/>
              </w:rPr>
              <w:t>mastoidectomy</w:t>
            </w:r>
            <w:proofErr w:type="spellEnd"/>
            <w:r w:rsidRPr="00786797">
              <w:rPr>
                <w:rFonts w:cs="Arial"/>
              </w:rPr>
              <w:t xml:space="preserve"> item).</w:t>
            </w:r>
          </w:p>
          <w:p w14:paraId="0D5554EC" w14:textId="29E30DAE" w:rsidR="00EA5DEA" w:rsidRPr="00786797" w:rsidRDefault="00EA5DEA" w:rsidP="00B104C7">
            <w:pPr>
              <w:pStyle w:val="Tabletext"/>
              <w:keepLines/>
              <w:spacing w:before="0" w:after="0"/>
            </w:pPr>
          </w:p>
        </w:tc>
      </w:tr>
    </w:tbl>
    <w:p w14:paraId="43950D73" w14:textId="713D0C12" w:rsidR="00BC1364" w:rsidRPr="00707064" w:rsidRDefault="00BC1364" w:rsidP="00AB3BFC">
      <w:pPr>
        <w:tabs>
          <w:tab w:val="left" w:pos="720"/>
          <w:tab w:val="left" w:pos="1140"/>
        </w:tabs>
        <w:rPr>
          <w:color w:val="0070C0"/>
          <w:szCs w:val="24"/>
        </w:rPr>
      </w:pPr>
    </w:p>
    <w:p w14:paraId="4831CFE4" w14:textId="77777777" w:rsidR="00BC1364" w:rsidRPr="007B32D1" w:rsidRDefault="00BC1364" w:rsidP="007B32D1">
      <w:pPr>
        <w:pStyle w:val="Heading1"/>
        <w:numPr>
          <w:ilvl w:val="0"/>
          <w:numId w:val="23"/>
        </w:numPr>
        <w:ind w:hanging="720"/>
      </w:pPr>
      <w:r w:rsidRPr="007B32D1">
        <w:t xml:space="preserve">Summary of </w:t>
      </w:r>
      <w:r w:rsidR="003D7F29">
        <w:t>Public Consultation</w:t>
      </w:r>
      <w:r w:rsidRPr="007B32D1">
        <w:t xml:space="preserve"> Feedback</w:t>
      </w:r>
      <w:r w:rsidR="003D7F29">
        <w:t>/Consumer Issues</w:t>
      </w:r>
    </w:p>
    <w:p w14:paraId="3A0132DF" w14:textId="77777777" w:rsidR="00BC1364" w:rsidRDefault="00BC1364" w:rsidP="00DD2858">
      <w:pPr>
        <w:rPr>
          <w:b/>
          <w:szCs w:val="24"/>
        </w:rPr>
      </w:pPr>
    </w:p>
    <w:p w14:paraId="5B097512" w14:textId="77777777" w:rsidR="00EA5DEA" w:rsidRPr="007B57AE" w:rsidRDefault="00EA5DEA" w:rsidP="00EA5DEA">
      <w:pPr>
        <w:tabs>
          <w:tab w:val="left" w:pos="709"/>
        </w:tabs>
        <w:rPr>
          <w:szCs w:val="24"/>
        </w:rPr>
      </w:pPr>
      <w:r w:rsidRPr="007B57AE">
        <w:rPr>
          <w:iCs/>
          <w:szCs w:val="24"/>
        </w:rPr>
        <w:t xml:space="preserve">Consumers support access </w:t>
      </w:r>
      <w:r w:rsidRPr="007B57AE">
        <w:rPr>
          <w:szCs w:val="24"/>
        </w:rPr>
        <w:t xml:space="preserve">to this device and procedure if the safety &amp; quality assessment is correct and it provides an option for people who currently have none. Consumers </w:t>
      </w:r>
      <w:r w:rsidRPr="007B57AE">
        <w:rPr>
          <w:iCs/>
          <w:szCs w:val="24"/>
        </w:rPr>
        <w:t xml:space="preserve">support </w:t>
      </w:r>
      <w:r w:rsidRPr="007B57AE">
        <w:rPr>
          <w:szCs w:val="24"/>
        </w:rPr>
        <w:t xml:space="preserve">the inclusion of children and adolescents if clinically relevant, and </w:t>
      </w:r>
      <w:r w:rsidRPr="007B57AE">
        <w:rPr>
          <w:iCs/>
          <w:szCs w:val="24"/>
        </w:rPr>
        <w:t xml:space="preserve">supports the </w:t>
      </w:r>
      <w:r w:rsidRPr="007B57AE">
        <w:rPr>
          <w:szCs w:val="24"/>
        </w:rPr>
        <w:t xml:space="preserve">use of international data if it is the best available.  However, there is </w:t>
      </w:r>
      <w:r w:rsidRPr="007B57AE">
        <w:rPr>
          <w:iCs/>
          <w:szCs w:val="24"/>
        </w:rPr>
        <w:t xml:space="preserve">concern </w:t>
      </w:r>
      <w:r w:rsidRPr="007B57AE">
        <w:rPr>
          <w:szCs w:val="24"/>
        </w:rPr>
        <w:t>that lack of resolution of cost issues is delaying access to the service.</w:t>
      </w:r>
    </w:p>
    <w:p w14:paraId="14DD0823" w14:textId="77777777" w:rsidR="00BC1364" w:rsidRPr="00707064" w:rsidRDefault="00BC1364" w:rsidP="00DD2858">
      <w:pPr>
        <w:rPr>
          <w:b/>
          <w:szCs w:val="24"/>
        </w:rPr>
      </w:pPr>
    </w:p>
    <w:p w14:paraId="7E8DDCF6" w14:textId="77777777" w:rsidR="00BC1364" w:rsidRDefault="00BC1364" w:rsidP="007B32D1">
      <w:pPr>
        <w:pStyle w:val="Heading1"/>
        <w:numPr>
          <w:ilvl w:val="0"/>
          <w:numId w:val="23"/>
        </w:numPr>
        <w:ind w:hanging="720"/>
      </w:pPr>
      <w:r w:rsidRPr="00D90A38">
        <w:t>Proposed intervention’s place in clinical management</w:t>
      </w:r>
    </w:p>
    <w:p w14:paraId="2362B6B1" w14:textId="77777777" w:rsidR="00BC1364" w:rsidRDefault="00BC1364" w:rsidP="00DD2858">
      <w:pPr>
        <w:rPr>
          <w:color w:val="3366FF"/>
          <w:szCs w:val="24"/>
        </w:rPr>
      </w:pPr>
    </w:p>
    <w:p w14:paraId="1D075861" w14:textId="289AF0A6" w:rsidR="00EA5DEA" w:rsidRPr="00D56CF3" w:rsidRDefault="00EA5DEA" w:rsidP="00EA5DEA">
      <w:pPr>
        <w:tabs>
          <w:tab w:val="left" w:pos="720"/>
          <w:tab w:val="left" w:pos="1140"/>
        </w:tabs>
        <w:rPr>
          <w:szCs w:val="24"/>
        </w:rPr>
      </w:pPr>
      <w:r w:rsidRPr="002E5422">
        <w:rPr>
          <w:szCs w:val="24"/>
        </w:rPr>
        <w:t>This treatment is proposed as an additional option to the current practice for a sub-population of patients that are currently left untreated.</w:t>
      </w:r>
      <w:r>
        <w:rPr>
          <w:szCs w:val="24"/>
        </w:rPr>
        <w:t xml:space="preserve">  The clinical management algorithm is shown below. </w:t>
      </w:r>
      <w:r w:rsidRPr="00D56CF3">
        <w:rPr>
          <w:szCs w:val="24"/>
        </w:rPr>
        <w:t>The critique of the resubmission considered that, though the probability of undergoing more than two attempts for a successful AMEI implantation is small, the model provides no mechanism to limit use beyond second-line</w:t>
      </w:r>
      <w:r>
        <w:rPr>
          <w:szCs w:val="24"/>
        </w:rPr>
        <w:t xml:space="preserve"> treatment</w:t>
      </w:r>
      <w:r w:rsidRPr="00D56CF3">
        <w:rPr>
          <w:szCs w:val="24"/>
        </w:rPr>
        <w:t xml:space="preserve">. This is unlikely to alter the conclusions to be drawn from the evaluation. </w:t>
      </w:r>
    </w:p>
    <w:p w14:paraId="3DD63DEE" w14:textId="77777777" w:rsidR="00EA5DEA" w:rsidRDefault="00EA5DEA" w:rsidP="00EA5DEA">
      <w:pPr>
        <w:rPr>
          <w:rFonts w:ascii="Arial Narrow" w:hAnsi="Arial Narrow"/>
          <w:sz w:val="20"/>
        </w:rPr>
      </w:pPr>
      <w:bookmarkStart w:id="2" w:name="_Toc405463438"/>
      <w:bookmarkStart w:id="3" w:name="_Toc421771588"/>
    </w:p>
    <w:p w14:paraId="6B4CEC1B" w14:textId="191916BB" w:rsidR="00EA5DEA" w:rsidRDefault="00EA5DEA" w:rsidP="00EA5DEA">
      <w:pPr>
        <w:rPr>
          <w:rFonts w:ascii="Arial Narrow" w:hAnsi="Arial Narrow"/>
          <w:b/>
          <w:bCs/>
          <w:sz w:val="20"/>
        </w:rPr>
      </w:pPr>
      <w:r>
        <w:rPr>
          <w:rFonts w:ascii="Arial Narrow" w:hAnsi="Arial Narrow"/>
          <w:sz w:val="20"/>
        </w:rPr>
        <w:br w:type="page"/>
      </w:r>
    </w:p>
    <w:p w14:paraId="010AC41E" w14:textId="77777777" w:rsidR="00EA5DEA" w:rsidRPr="000222A5" w:rsidRDefault="00EA5DEA" w:rsidP="00EA5DEA">
      <w:pPr>
        <w:pStyle w:val="Caption"/>
        <w:spacing w:after="0"/>
        <w:rPr>
          <w:rFonts w:ascii="Arial Narrow" w:hAnsi="Arial Narrow"/>
          <w:color w:val="auto"/>
          <w:sz w:val="20"/>
          <w:szCs w:val="20"/>
        </w:rPr>
      </w:pPr>
      <w:r w:rsidRPr="000222A5">
        <w:rPr>
          <w:rFonts w:ascii="Arial Narrow" w:hAnsi="Arial Narrow"/>
          <w:color w:val="auto"/>
          <w:sz w:val="20"/>
          <w:szCs w:val="20"/>
        </w:rPr>
        <w:lastRenderedPageBreak/>
        <w:t>Proposed</w:t>
      </w:r>
      <w:r>
        <w:rPr>
          <w:rFonts w:ascii="Arial Narrow" w:hAnsi="Arial Narrow"/>
          <w:color w:val="auto"/>
          <w:sz w:val="20"/>
          <w:szCs w:val="20"/>
        </w:rPr>
        <w:t xml:space="preserve"> clinical management</w:t>
      </w:r>
      <w:r w:rsidRPr="000222A5">
        <w:rPr>
          <w:rFonts w:ascii="Arial Narrow" w:hAnsi="Arial Narrow"/>
          <w:color w:val="auto"/>
          <w:sz w:val="20"/>
          <w:szCs w:val="20"/>
        </w:rPr>
        <w:t xml:space="preserve"> algorithm </w:t>
      </w:r>
      <w:bookmarkEnd w:id="2"/>
      <w:bookmarkEnd w:id="3"/>
    </w:p>
    <w:p w14:paraId="15127391" w14:textId="77777777" w:rsidR="00EA5DEA" w:rsidRPr="009A1A2E" w:rsidRDefault="00EA5DEA" w:rsidP="00EA5DEA">
      <w:pPr>
        <w:pStyle w:val="StyleExecSumm"/>
        <w:keepNext/>
        <w:spacing w:line="240" w:lineRule="auto"/>
        <w:jc w:val="center"/>
        <w:rPr>
          <w:rFonts w:cs="Arial"/>
        </w:rPr>
      </w:pPr>
      <w:r w:rsidRPr="009A1A2E">
        <w:rPr>
          <w:noProof/>
        </w:rPr>
        <w:drawing>
          <wp:inline distT="0" distB="0" distL="0" distR="0" wp14:anchorId="129E8A3E" wp14:editId="7E097416">
            <wp:extent cx="5010150" cy="6946531"/>
            <wp:effectExtent l="0" t="0" r="0" b="6985"/>
            <wp:docPr id="5" name="Grafik 5" title="Proposed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010150" cy="6946531"/>
                    </a:xfrm>
                    <a:prstGeom prst="rect">
                      <a:avLst/>
                    </a:prstGeom>
                  </pic:spPr>
                </pic:pic>
              </a:graphicData>
            </a:graphic>
          </wp:inline>
        </w:drawing>
      </w:r>
    </w:p>
    <w:p w14:paraId="7FE82BC8" w14:textId="77777777" w:rsidR="00EA5DEA" w:rsidRDefault="00EA5DEA" w:rsidP="00EA5DEA">
      <w:r>
        <w:br w:type="page"/>
      </w:r>
    </w:p>
    <w:p w14:paraId="08E4A683" w14:textId="77777777" w:rsidR="00BC1364" w:rsidRPr="008D5885" w:rsidRDefault="00BC1364" w:rsidP="007B32D1">
      <w:pPr>
        <w:pStyle w:val="Heading1"/>
        <w:numPr>
          <w:ilvl w:val="0"/>
          <w:numId w:val="23"/>
        </w:numPr>
        <w:ind w:hanging="720"/>
      </w:pPr>
      <w:r w:rsidRPr="008D5885">
        <w:lastRenderedPageBreak/>
        <w:t xml:space="preserve">Comparator </w:t>
      </w:r>
    </w:p>
    <w:p w14:paraId="46D49B6C" w14:textId="77777777" w:rsidR="00BC1364" w:rsidRDefault="00BC1364" w:rsidP="00DD2858">
      <w:pPr>
        <w:rPr>
          <w:b/>
          <w:szCs w:val="24"/>
        </w:rPr>
      </w:pPr>
    </w:p>
    <w:p w14:paraId="655B6209" w14:textId="7289C678" w:rsidR="00EA5DEA" w:rsidRDefault="00EA5DEA" w:rsidP="00EA5DEA">
      <w:pPr>
        <w:tabs>
          <w:tab w:val="left" w:pos="720"/>
          <w:tab w:val="left" w:pos="1140"/>
        </w:tabs>
        <w:rPr>
          <w:szCs w:val="24"/>
        </w:rPr>
      </w:pPr>
      <w:r w:rsidRPr="00D56CF3">
        <w:rPr>
          <w:szCs w:val="24"/>
        </w:rPr>
        <w:t>In the April 2015 PSD, MSAC agreed that the appropriate comparator for the proposed subgroup of patients with SNHL is no treatment. MSAC also agreed with the decision to extend the evaluation to other the partially implanted devices, as well as fully implantable middle ear devices.</w:t>
      </w:r>
      <w:r>
        <w:rPr>
          <w:szCs w:val="24"/>
        </w:rPr>
        <w:t xml:space="preserve"> </w:t>
      </w:r>
    </w:p>
    <w:p w14:paraId="60137716" w14:textId="24297381" w:rsidR="00BC1364" w:rsidRPr="00707064" w:rsidRDefault="00BC1364" w:rsidP="00DD2858">
      <w:pPr>
        <w:rPr>
          <w:b/>
          <w:szCs w:val="24"/>
        </w:rPr>
      </w:pPr>
    </w:p>
    <w:p w14:paraId="65CC7F06" w14:textId="77777777" w:rsidR="00BC1364" w:rsidRPr="008D5885" w:rsidRDefault="00BC1364" w:rsidP="007B32D1">
      <w:pPr>
        <w:pStyle w:val="Heading1"/>
        <w:numPr>
          <w:ilvl w:val="0"/>
          <w:numId w:val="23"/>
        </w:numPr>
        <w:ind w:hanging="720"/>
      </w:pPr>
      <w:r w:rsidRPr="008D5885">
        <w:t>Comparative safety</w:t>
      </w:r>
    </w:p>
    <w:p w14:paraId="713208EE" w14:textId="77777777" w:rsidR="00BC1364" w:rsidRDefault="00BC1364" w:rsidP="00DD2858">
      <w:pPr>
        <w:pStyle w:val="ListParagraph"/>
        <w:ind w:left="0"/>
        <w:rPr>
          <w:b/>
          <w:szCs w:val="24"/>
        </w:rPr>
      </w:pPr>
    </w:p>
    <w:p w14:paraId="278D870D" w14:textId="6540D7CE" w:rsidR="00EA5DEA" w:rsidRDefault="00EA5DEA" w:rsidP="00EA5DEA">
      <w:pPr>
        <w:tabs>
          <w:tab w:val="left" w:pos="720"/>
        </w:tabs>
        <w:rPr>
          <w:szCs w:val="24"/>
        </w:rPr>
      </w:pPr>
      <w:r>
        <w:rPr>
          <w:szCs w:val="24"/>
        </w:rPr>
        <w:t>T</w:t>
      </w:r>
      <w:r w:rsidRPr="00441837">
        <w:rPr>
          <w:szCs w:val="24"/>
        </w:rPr>
        <w:t xml:space="preserve">he critique noted that, in the April 2015 PSD, MSAC indicated that there were seven studies cited in the </w:t>
      </w:r>
      <w:r>
        <w:rPr>
          <w:szCs w:val="24"/>
        </w:rPr>
        <w:t>a</w:t>
      </w:r>
      <w:r w:rsidRPr="00441837">
        <w:rPr>
          <w:szCs w:val="24"/>
        </w:rPr>
        <w:t xml:space="preserve">ssessment </w:t>
      </w:r>
      <w:r>
        <w:rPr>
          <w:szCs w:val="24"/>
        </w:rPr>
        <w:t>r</w:t>
      </w:r>
      <w:r w:rsidRPr="00441837">
        <w:rPr>
          <w:szCs w:val="24"/>
        </w:rPr>
        <w:t xml:space="preserve">eport </w:t>
      </w:r>
      <w:r>
        <w:rPr>
          <w:szCs w:val="24"/>
        </w:rPr>
        <w:t>regarding</w:t>
      </w:r>
      <w:r w:rsidRPr="00441837">
        <w:rPr>
          <w:szCs w:val="24"/>
        </w:rPr>
        <w:t xml:space="preserve"> safety. MSAC considered the evidence and noted that adverse events were rare and of low severity. Technical complications were also noted to be relatively rare. MSAC noted that the requirement of surgery and general anaesthetic means that AMEI implantation was associated with greater harm than no treatment, with some uncertainty around the magnitude of that harm.</w:t>
      </w:r>
    </w:p>
    <w:p w14:paraId="116F59A5" w14:textId="77777777" w:rsidR="00EA5DEA" w:rsidRPr="00BF74DD" w:rsidRDefault="00EA5DEA" w:rsidP="00EA5DEA">
      <w:pPr>
        <w:ind w:left="720"/>
        <w:rPr>
          <w:i/>
        </w:rPr>
      </w:pPr>
    </w:p>
    <w:p w14:paraId="37725CA4" w14:textId="77777777" w:rsidR="00BC1364" w:rsidRPr="008D5885" w:rsidRDefault="00BC1364" w:rsidP="007B32D1">
      <w:pPr>
        <w:pStyle w:val="Heading1"/>
        <w:numPr>
          <w:ilvl w:val="0"/>
          <w:numId w:val="23"/>
        </w:numPr>
        <w:ind w:hanging="720"/>
      </w:pPr>
      <w:r w:rsidRPr="008D5885">
        <w:t>Comparative effectiveness</w:t>
      </w:r>
    </w:p>
    <w:p w14:paraId="3958DD8A" w14:textId="77777777" w:rsidR="00BC1364" w:rsidRDefault="00BC1364" w:rsidP="00DD2858">
      <w:pPr>
        <w:rPr>
          <w:b/>
        </w:rPr>
      </w:pPr>
    </w:p>
    <w:p w14:paraId="0E79E615" w14:textId="62CF8282" w:rsidR="00EA5DEA" w:rsidRPr="006F14EA" w:rsidRDefault="00EA5DEA">
      <w:pPr>
        <w:pStyle w:val="NoSpacing"/>
        <w:rPr>
          <w:i/>
        </w:rPr>
      </w:pPr>
      <w:r w:rsidRPr="006310A7">
        <w:t>In the April 2015 PSD, MSAC considered that the clinical evidence did show a superior outcome for treatment compared to no treatment. Almost all studies considered by MSAC achieved a clinically relevant change of 10 decibels (dB) or greater.  MSAC noted that the data supporting clinical effectiveness were predominantly low quality, with small numbers of study subjects and some overlap between studies</w:t>
      </w:r>
    </w:p>
    <w:p w14:paraId="4426FEF8" w14:textId="77777777" w:rsidR="00BC1364" w:rsidRPr="000F14B4" w:rsidRDefault="00BC1364" w:rsidP="00DD2858">
      <w:pPr>
        <w:rPr>
          <w:b/>
          <w:color w:val="FF0000"/>
          <w:szCs w:val="24"/>
        </w:rPr>
      </w:pPr>
    </w:p>
    <w:p w14:paraId="2710370D" w14:textId="77777777" w:rsidR="00BC1364" w:rsidRDefault="00BC1364" w:rsidP="007B32D1">
      <w:pPr>
        <w:pStyle w:val="Heading1"/>
        <w:numPr>
          <w:ilvl w:val="0"/>
          <w:numId w:val="23"/>
        </w:numPr>
        <w:ind w:hanging="720"/>
      </w:pPr>
      <w:r w:rsidRPr="008D5885">
        <w:t>Economic evaluation</w:t>
      </w:r>
    </w:p>
    <w:p w14:paraId="341CC816" w14:textId="77777777" w:rsidR="00BC1364" w:rsidRDefault="00BC1364" w:rsidP="00DD2858">
      <w:pPr>
        <w:rPr>
          <w:b/>
          <w:szCs w:val="24"/>
        </w:rPr>
      </w:pPr>
    </w:p>
    <w:p w14:paraId="4F34D014" w14:textId="08C08BF0" w:rsidR="00EA5DEA" w:rsidRPr="00FD277F" w:rsidRDefault="00EA5DEA" w:rsidP="00EA5DEA">
      <w:pPr>
        <w:pStyle w:val="NoSpacing"/>
      </w:pPr>
      <w:r w:rsidRPr="00FD277F">
        <w:t xml:space="preserve">The </w:t>
      </w:r>
      <w:r>
        <w:t xml:space="preserve">resubmission </w:t>
      </w:r>
      <w:r w:rsidRPr="00FD277F">
        <w:t>present</w:t>
      </w:r>
      <w:r>
        <w:t>ed</w:t>
      </w:r>
      <w:r w:rsidRPr="00FD277F">
        <w:t xml:space="preserve"> two </w:t>
      </w:r>
      <w:r w:rsidRPr="005904AC">
        <w:t xml:space="preserve">model-based (Markov) economic </w:t>
      </w:r>
      <w:r w:rsidRPr="00FD277F">
        <w:t>evaluations:</w:t>
      </w:r>
    </w:p>
    <w:p w14:paraId="381F722C" w14:textId="6F5236A2" w:rsidR="00EA5DEA" w:rsidRPr="00FD277F" w:rsidRDefault="00EA5DEA" w:rsidP="00B104C7">
      <w:pPr>
        <w:pStyle w:val="NoSpacing"/>
        <w:numPr>
          <w:ilvl w:val="0"/>
          <w:numId w:val="31"/>
        </w:numPr>
      </w:pPr>
      <w:r>
        <w:t xml:space="preserve">Primary analysis: </w:t>
      </w:r>
      <w:r w:rsidRPr="00FD277F">
        <w:t xml:space="preserve">a cost-utility analysis </w:t>
      </w:r>
      <w:r>
        <w:t xml:space="preserve">comparing </w:t>
      </w:r>
      <w:r w:rsidRPr="00FD277F">
        <w:t>VSB</w:t>
      </w:r>
      <w:r>
        <w:t xml:space="preserve"> versus no treatment: </w:t>
      </w:r>
    </w:p>
    <w:p w14:paraId="296BD2D5" w14:textId="77777777" w:rsidR="00EA5DEA" w:rsidRPr="00FD277F" w:rsidRDefault="00EA5DEA" w:rsidP="00EA5DEA">
      <w:pPr>
        <w:pStyle w:val="NoSpacing"/>
        <w:numPr>
          <w:ilvl w:val="1"/>
          <w:numId w:val="27"/>
        </w:numPr>
        <w:ind w:left="1276" w:hanging="425"/>
      </w:pPr>
      <w:r w:rsidRPr="00FD277F">
        <w:t>Analysis was conducted over a 10-year timeframe</w:t>
      </w:r>
    </w:p>
    <w:p w14:paraId="28840ED8" w14:textId="77777777" w:rsidR="00EA5DEA" w:rsidRDefault="00EA5DEA" w:rsidP="00EA5DEA">
      <w:pPr>
        <w:pStyle w:val="NoSpacing"/>
        <w:numPr>
          <w:ilvl w:val="1"/>
          <w:numId w:val="27"/>
        </w:numPr>
        <w:ind w:left="1276" w:hanging="425"/>
      </w:pPr>
      <w:r>
        <w:t>Rely</w:t>
      </w:r>
      <w:r w:rsidRPr="00FD277F">
        <w:t xml:space="preserve"> on non-randomised data</w:t>
      </w:r>
    </w:p>
    <w:p w14:paraId="6D3A49A9" w14:textId="4006EA99" w:rsidR="00EA5DEA" w:rsidRDefault="00EA5DEA" w:rsidP="00EA5DEA">
      <w:pPr>
        <w:pStyle w:val="NoSpacing"/>
        <w:numPr>
          <w:ilvl w:val="1"/>
          <w:numId w:val="27"/>
        </w:numPr>
        <w:ind w:left="1276" w:hanging="425"/>
      </w:pPr>
      <w:r>
        <w:t xml:space="preserve">Total </w:t>
      </w:r>
      <w:r w:rsidR="004A2B03">
        <w:t>c</w:t>
      </w:r>
      <w:r>
        <w:t>ost to the MBS $278,159 (2016) [new item $133,263+associated items $144,895]</w:t>
      </w:r>
    </w:p>
    <w:p w14:paraId="7028C663" w14:textId="77777777" w:rsidR="00EA5DEA" w:rsidRPr="00FD277F" w:rsidRDefault="00EA5DEA" w:rsidP="00EA5DEA">
      <w:pPr>
        <w:pStyle w:val="NoSpacing"/>
        <w:numPr>
          <w:ilvl w:val="1"/>
          <w:numId w:val="27"/>
        </w:numPr>
        <w:ind w:left="1276" w:hanging="425"/>
      </w:pPr>
      <w:r>
        <w:t>Overall total cost of intervention $1,340,594 (2016)</w:t>
      </w:r>
    </w:p>
    <w:p w14:paraId="674FB6AE" w14:textId="77777777" w:rsidR="00EA5DEA" w:rsidRPr="00FD277F" w:rsidRDefault="00EA5DEA" w:rsidP="00EA5DEA">
      <w:pPr>
        <w:pStyle w:val="NoSpacing"/>
        <w:ind w:left="1080"/>
      </w:pPr>
    </w:p>
    <w:p w14:paraId="78200EA5" w14:textId="77777777" w:rsidR="00EA5DEA" w:rsidRPr="00FD277F" w:rsidRDefault="00EA5DEA" w:rsidP="00B104C7">
      <w:pPr>
        <w:pStyle w:val="NoSpacing"/>
        <w:numPr>
          <w:ilvl w:val="0"/>
          <w:numId w:val="31"/>
        </w:numPr>
      </w:pPr>
      <w:r>
        <w:t xml:space="preserve">Secondary analysis: </w:t>
      </w:r>
      <w:r w:rsidRPr="00FD277F">
        <w:t xml:space="preserve">a cost-effectiveness analysis </w:t>
      </w:r>
      <w:r>
        <w:t xml:space="preserve">comparing </w:t>
      </w:r>
      <w:r w:rsidRPr="00FD277F">
        <w:t xml:space="preserve">VSB </w:t>
      </w:r>
      <w:r>
        <w:t xml:space="preserve">versus </w:t>
      </w:r>
      <w:proofErr w:type="spellStart"/>
      <w:r>
        <w:t>Maxum</w:t>
      </w:r>
      <w:proofErr w:type="spellEnd"/>
      <w:r>
        <w:t>/</w:t>
      </w:r>
      <w:proofErr w:type="spellStart"/>
      <w:r>
        <w:t>Soundtec</w:t>
      </w:r>
      <w:proofErr w:type="spellEnd"/>
      <w:r>
        <w:t xml:space="preserve"> :)</w:t>
      </w:r>
    </w:p>
    <w:p w14:paraId="00DEBD31" w14:textId="77777777" w:rsidR="00EA5DEA" w:rsidRPr="00FD277F" w:rsidRDefault="00EA5DEA" w:rsidP="00EA5DEA">
      <w:pPr>
        <w:pStyle w:val="NoSpacing"/>
        <w:numPr>
          <w:ilvl w:val="1"/>
          <w:numId w:val="27"/>
        </w:numPr>
        <w:ind w:left="1276" w:hanging="425"/>
      </w:pPr>
      <w:r>
        <w:t xml:space="preserve">The ICER is presented as an incremental cost per </w:t>
      </w:r>
      <w:r w:rsidRPr="000D6B25">
        <w:t xml:space="preserve">point improvement in </w:t>
      </w:r>
      <w:r>
        <w:t xml:space="preserve">the </w:t>
      </w:r>
      <w:r w:rsidRPr="000D6B25">
        <w:t xml:space="preserve">APHAB Global Score </w:t>
      </w:r>
      <w:r>
        <w:t>(repressing</w:t>
      </w:r>
      <w:r w:rsidRPr="00FD277F">
        <w:t xml:space="preserve"> patient perceived benefit</w:t>
      </w:r>
      <w:r>
        <w:t>)</w:t>
      </w:r>
    </w:p>
    <w:p w14:paraId="7C0CADFB" w14:textId="77777777" w:rsidR="00EA5DEA" w:rsidRPr="00FD277F" w:rsidRDefault="00EA5DEA" w:rsidP="00EA5DEA">
      <w:pPr>
        <w:pStyle w:val="NoSpacing"/>
        <w:numPr>
          <w:ilvl w:val="1"/>
          <w:numId w:val="27"/>
        </w:numPr>
        <w:ind w:left="1276" w:hanging="425"/>
      </w:pPr>
      <w:r w:rsidRPr="00FD277F">
        <w:t>Analysis was conducted over a 10-year timeframe</w:t>
      </w:r>
    </w:p>
    <w:p w14:paraId="0D7B6455" w14:textId="77777777" w:rsidR="00EA5DEA" w:rsidRDefault="00EA5DEA" w:rsidP="00EA5DEA">
      <w:pPr>
        <w:pStyle w:val="NoSpacing"/>
        <w:numPr>
          <w:ilvl w:val="1"/>
          <w:numId w:val="27"/>
        </w:numPr>
        <w:ind w:left="1276" w:hanging="425"/>
      </w:pPr>
      <w:r w:rsidRPr="00FD277F">
        <w:t>R</w:t>
      </w:r>
      <w:r>
        <w:t>el</w:t>
      </w:r>
      <w:r w:rsidRPr="00FD277F">
        <w:t>y on non-randomised data</w:t>
      </w:r>
    </w:p>
    <w:p w14:paraId="51C4D058" w14:textId="77777777" w:rsidR="00EA5DEA" w:rsidRDefault="00EA5DEA" w:rsidP="00EA5DEA">
      <w:pPr>
        <w:pStyle w:val="NoSpacing"/>
        <w:numPr>
          <w:ilvl w:val="1"/>
          <w:numId w:val="27"/>
        </w:numPr>
        <w:ind w:left="1276" w:hanging="425"/>
      </w:pPr>
      <w:r>
        <w:t>Total Cost to MBS $248,811 (2016) [new item $133,263+associated items $115,548}</w:t>
      </w:r>
    </w:p>
    <w:p w14:paraId="0679940B" w14:textId="77777777" w:rsidR="00EA5DEA" w:rsidRPr="00FD277F" w:rsidRDefault="00EA5DEA" w:rsidP="00EA5DEA">
      <w:pPr>
        <w:pStyle w:val="NoSpacing"/>
        <w:numPr>
          <w:ilvl w:val="1"/>
          <w:numId w:val="27"/>
        </w:numPr>
        <w:ind w:left="1276" w:hanging="425"/>
      </w:pPr>
      <w:r>
        <w:t>Overall total cost of the intervention $743,642</w:t>
      </w:r>
    </w:p>
    <w:p w14:paraId="013115D5" w14:textId="77777777" w:rsidR="00EA5DEA" w:rsidRDefault="00EA5DEA" w:rsidP="00EA5DEA">
      <w:pPr>
        <w:pStyle w:val="NoSpacing"/>
      </w:pPr>
    </w:p>
    <w:p w14:paraId="15748400" w14:textId="4F124336" w:rsidR="008A5650" w:rsidRDefault="008A5650" w:rsidP="00EA5DEA">
      <w:pPr>
        <w:pStyle w:val="NoSpacing"/>
      </w:pPr>
      <w:r>
        <w:t xml:space="preserve">The model </w:t>
      </w:r>
      <w:r w:rsidR="00E83AC5">
        <w:t>wa</w:t>
      </w:r>
      <w:r>
        <w:t xml:space="preserve">s a state-transition model representing the pathways by which a person might or might not receive an AMEI and the clinical events that may follow. For VSB versus no treatment, the ICER was presented as an incremental cost per QALY. For VSB versus </w:t>
      </w:r>
      <w:proofErr w:type="spellStart"/>
      <w:r>
        <w:t>Maxum</w:t>
      </w:r>
      <w:proofErr w:type="spellEnd"/>
      <w:r>
        <w:t>/</w:t>
      </w:r>
      <w:proofErr w:type="spellStart"/>
      <w:r>
        <w:t>Soundtec</w:t>
      </w:r>
      <w:proofErr w:type="spellEnd"/>
      <w:r>
        <w:t>, an incremental cost per point improvement in APHAB Global Score was calculated.</w:t>
      </w:r>
      <w:r w:rsidR="00513A3E">
        <w:t xml:space="preserve"> In each case, the model used a 10-year time horizon</w:t>
      </w:r>
      <w:r w:rsidR="00513A3E" w:rsidRPr="000F0D96">
        <w:rPr>
          <w:rStyle w:val="Emphasis"/>
        </w:rPr>
        <w:t>.</w:t>
      </w:r>
    </w:p>
    <w:p w14:paraId="2C577852" w14:textId="77777777" w:rsidR="008A5650" w:rsidRDefault="008A5650" w:rsidP="00EA5DEA">
      <w:pPr>
        <w:pStyle w:val="NoSpacing"/>
      </w:pPr>
    </w:p>
    <w:p w14:paraId="531F49D2" w14:textId="6462D243" w:rsidR="00EA5DEA" w:rsidRDefault="00EA5DEA" w:rsidP="00EA5DEA">
      <w:pPr>
        <w:pStyle w:val="NoSpacing"/>
      </w:pPr>
      <w:r>
        <w:t>The critique noted that the cost utility</w:t>
      </w:r>
      <w:r w:rsidR="008A5650">
        <w:t xml:space="preserve"> analysis of VSB versus no treatment</w:t>
      </w:r>
      <w:r>
        <w:t xml:space="preserve"> is the most informative as the findings of secondary analysis are </w:t>
      </w:r>
      <w:r w:rsidRPr="000D6B25">
        <w:t>more difficult to interpret</w:t>
      </w:r>
      <w:r>
        <w:t xml:space="preserve">, </w:t>
      </w:r>
      <w:r w:rsidRPr="000D6B25">
        <w:t xml:space="preserve">although it is </w:t>
      </w:r>
      <w:r w:rsidRPr="000D6B25">
        <w:lastRenderedPageBreak/>
        <w:t xml:space="preserve">acknowledged that no </w:t>
      </w:r>
      <w:r>
        <w:t xml:space="preserve">utility </w:t>
      </w:r>
      <w:r w:rsidRPr="000D6B25">
        <w:t xml:space="preserve">data were sourced </w:t>
      </w:r>
      <w:r>
        <w:t xml:space="preserve">in studies evaluating different partially implantable AMEIs. </w:t>
      </w:r>
    </w:p>
    <w:p w14:paraId="0583AD98" w14:textId="77777777" w:rsidR="008A5650" w:rsidRDefault="008A5650" w:rsidP="00EA5DEA">
      <w:pPr>
        <w:pStyle w:val="NoSpacing"/>
      </w:pPr>
    </w:p>
    <w:p w14:paraId="3DCC2FAD" w14:textId="7811F650" w:rsidR="009C1976" w:rsidRDefault="009C1976" w:rsidP="00B104C7">
      <w:pPr>
        <w:pStyle w:val="BodyText1"/>
        <w:spacing w:before="0"/>
        <w:jc w:val="left"/>
        <w:rPr>
          <w:rFonts w:ascii="Times New Roman" w:hAnsi="Times New Roman"/>
        </w:rPr>
      </w:pPr>
      <w:r w:rsidRPr="00B104C7">
        <w:rPr>
          <w:rFonts w:ascii="Times New Roman" w:hAnsi="Times New Roman"/>
        </w:rPr>
        <w:t xml:space="preserve">Table </w:t>
      </w:r>
      <w:r w:rsidR="00E83AC5">
        <w:rPr>
          <w:rFonts w:ascii="Times New Roman" w:hAnsi="Times New Roman"/>
        </w:rPr>
        <w:t>1</w:t>
      </w:r>
      <w:r w:rsidRPr="00B104C7">
        <w:rPr>
          <w:rFonts w:ascii="Times New Roman" w:hAnsi="Times New Roman"/>
        </w:rPr>
        <w:t xml:space="preserve"> summarises the results of the</w:t>
      </w:r>
      <w:r w:rsidRPr="009C1976">
        <w:rPr>
          <w:rFonts w:ascii="Times New Roman" w:hAnsi="Times New Roman"/>
        </w:rPr>
        <w:t xml:space="preserve"> </w:t>
      </w:r>
      <w:r w:rsidRPr="00D03F4E">
        <w:rPr>
          <w:rFonts w:ascii="Times New Roman" w:hAnsi="Times New Roman"/>
        </w:rPr>
        <w:t xml:space="preserve">cost-utility </w:t>
      </w:r>
      <w:r>
        <w:rPr>
          <w:rFonts w:ascii="Times New Roman" w:hAnsi="Times New Roman"/>
        </w:rPr>
        <w:t>analysis of VSB versus no t</w:t>
      </w:r>
      <w:r w:rsidRPr="00D03F4E">
        <w:rPr>
          <w:rFonts w:ascii="Times New Roman" w:hAnsi="Times New Roman"/>
        </w:rPr>
        <w:t>reatment</w:t>
      </w:r>
      <w:r w:rsidRPr="009C1976">
        <w:rPr>
          <w:rFonts w:ascii="Times New Roman" w:hAnsi="Times New Roman"/>
        </w:rPr>
        <w:t xml:space="preserve"> </w:t>
      </w:r>
      <w:r w:rsidRPr="00B104C7">
        <w:rPr>
          <w:rFonts w:ascii="Times New Roman" w:hAnsi="Times New Roman"/>
        </w:rPr>
        <w:t xml:space="preserve">over the 10-year timeframe. </w:t>
      </w:r>
    </w:p>
    <w:p w14:paraId="43202527" w14:textId="77777777" w:rsidR="009C1976" w:rsidRDefault="009C1976" w:rsidP="00B104C7">
      <w:pPr>
        <w:pStyle w:val="BodyText1"/>
        <w:spacing w:before="0"/>
        <w:jc w:val="left"/>
      </w:pPr>
    </w:p>
    <w:p w14:paraId="3ECDBFEF" w14:textId="37F5F98B" w:rsidR="009C1976" w:rsidRPr="00B104C7" w:rsidRDefault="009C1976" w:rsidP="00B104C7">
      <w:pPr>
        <w:pStyle w:val="Caption"/>
        <w:spacing w:after="0"/>
        <w:rPr>
          <w:rFonts w:ascii="Arial" w:hAnsi="Arial" w:cs="Arial"/>
          <w:color w:val="auto"/>
          <w:sz w:val="20"/>
          <w:szCs w:val="20"/>
          <w:lang w:val="en-GB"/>
        </w:rPr>
      </w:pPr>
      <w:r w:rsidRPr="00B104C7">
        <w:rPr>
          <w:rFonts w:ascii="Arial" w:hAnsi="Arial" w:cs="Arial"/>
          <w:color w:val="auto"/>
          <w:sz w:val="20"/>
          <w:szCs w:val="20"/>
        </w:rPr>
        <w:t xml:space="preserve">Table </w:t>
      </w:r>
      <w:r w:rsidR="00E83AC5" w:rsidRPr="00B104C7">
        <w:rPr>
          <w:rFonts w:ascii="Arial" w:hAnsi="Arial" w:cs="Arial"/>
          <w:color w:val="auto"/>
          <w:sz w:val="20"/>
          <w:szCs w:val="20"/>
        </w:rPr>
        <w:t>1</w:t>
      </w:r>
      <w:r w:rsidRPr="00B104C7">
        <w:rPr>
          <w:rFonts w:ascii="Arial" w:hAnsi="Arial" w:cs="Arial"/>
          <w:color w:val="auto"/>
          <w:sz w:val="20"/>
          <w:szCs w:val="20"/>
        </w:rPr>
        <w:t xml:space="preserve">: </w:t>
      </w:r>
      <w:r w:rsidRPr="00B104C7">
        <w:rPr>
          <w:rFonts w:ascii="Arial" w:hAnsi="Arial" w:cs="Arial"/>
          <w:color w:val="auto"/>
          <w:sz w:val="20"/>
          <w:szCs w:val="20"/>
          <w:lang w:val="en-GB"/>
        </w:rPr>
        <w:t>Base case results produced by the state-transition model comparing VSB versus No intervention</w:t>
      </w:r>
    </w:p>
    <w:tbl>
      <w:tblPr>
        <w:tblW w:w="8992" w:type="dxa"/>
        <w:jc w:val="center"/>
        <w:tblLayout w:type="fixed"/>
        <w:tblLook w:val="04A0" w:firstRow="1" w:lastRow="0" w:firstColumn="1" w:lastColumn="0" w:noHBand="0" w:noVBand="1"/>
        <w:tblCaption w:val="Table ES-2: Base case results produced by the state-transition model comparing VSB versus No intervention"/>
        <w:tblDescription w:val="Summary of the results of the economic evaluation of the proposed intervention over the 10-year timeframe,"/>
      </w:tblPr>
      <w:tblGrid>
        <w:gridCol w:w="1691"/>
        <w:gridCol w:w="1460"/>
        <w:gridCol w:w="1460"/>
        <w:gridCol w:w="1460"/>
        <w:gridCol w:w="1460"/>
        <w:gridCol w:w="1461"/>
      </w:tblGrid>
      <w:tr w:rsidR="00E83AC5" w:rsidRPr="00E83AC5" w14:paraId="5A67E095" w14:textId="77777777" w:rsidTr="005659B0">
        <w:trPr>
          <w:trHeight w:val="231"/>
          <w:tblHeader/>
          <w:jc w:val="center"/>
        </w:trPr>
        <w:tc>
          <w:tcPr>
            <w:tcW w:w="1691" w:type="dxa"/>
            <w:tcBorders>
              <w:top w:val="single" w:sz="8" w:space="0" w:color="auto"/>
              <w:left w:val="single" w:sz="8" w:space="0" w:color="auto"/>
              <w:bottom w:val="single" w:sz="4" w:space="0" w:color="auto"/>
              <w:right w:val="single" w:sz="4" w:space="0" w:color="auto"/>
            </w:tcBorders>
            <w:shd w:val="clear" w:color="auto" w:fill="auto"/>
            <w:hideMark/>
          </w:tcPr>
          <w:p w14:paraId="764916A7" w14:textId="77777777" w:rsidR="009C1976" w:rsidRPr="00B104C7" w:rsidRDefault="009C1976" w:rsidP="005659B0">
            <w:pPr>
              <w:pStyle w:val="Tabletext"/>
              <w:spacing w:before="20" w:after="20"/>
              <w:rPr>
                <w:rFonts w:ascii="Arial" w:hAnsi="Arial" w:cs="Arial"/>
                <w:b/>
                <w:lang w:val="en-US"/>
              </w:rPr>
            </w:pPr>
            <w:r w:rsidRPr="00B104C7">
              <w:rPr>
                <w:rFonts w:ascii="Arial" w:hAnsi="Arial" w:cs="Arial"/>
                <w:b/>
                <w:lang w:val="en-US"/>
              </w:rPr>
              <w:t>Strategy</w:t>
            </w:r>
          </w:p>
        </w:tc>
        <w:tc>
          <w:tcPr>
            <w:tcW w:w="1460" w:type="dxa"/>
            <w:tcBorders>
              <w:top w:val="single" w:sz="8" w:space="0" w:color="auto"/>
              <w:left w:val="nil"/>
              <w:bottom w:val="single" w:sz="4" w:space="0" w:color="auto"/>
              <w:right w:val="single" w:sz="4" w:space="0" w:color="auto"/>
            </w:tcBorders>
            <w:shd w:val="clear" w:color="auto" w:fill="auto"/>
            <w:hideMark/>
          </w:tcPr>
          <w:p w14:paraId="6CF6F4E8" w14:textId="77777777" w:rsidR="009C1976" w:rsidRPr="00B104C7" w:rsidRDefault="009C1976" w:rsidP="005659B0">
            <w:pPr>
              <w:pStyle w:val="Tabletext"/>
              <w:spacing w:before="20" w:after="20"/>
              <w:jc w:val="right"/>
              <w:rPr>
                <w:rFonts w:ascii="Arial" w:hAnsi="Arial" w:cs="Arial"/>
                <w:b/>
                <w:lang w:val="en-US"/>
              </w:rPr>
            </w:pPr>
            <w:r w:rsidRPr="00B104C7">
              <w:rPr>
                <w:rFonts w:ascii="Arial" w:hAnsi="Arial" w:cs="Arial"/>
                <w:b/>
                <w:lang w:val="en-US"/>
              </w:rPr>
              <w:t>Total cost</w:t>
            </w:r>
          </w:p>
        </w:tc>
        <w:tc>
          <w:tcPr>
            <w:tcW w:w="1460" w:type="dxa"/>
            <w:tcBorders>
              <w:top w:val="single" w:sz="8" w:space="0" w:color="auto"/>
              <w:left w:val="nil"/>
              <w:bottom w:val="single" w:sz="4" w:space="0" w:color="auto"/>
              <w:right w:val="single" w:sz="4" w:space="0" w:color="auto"/>
            </w:tcBorders>
            <w:shd w:val="clear" w:color="auto" w:fill="auto"/>
            <w:hideMark/>
          </w:tcPr>
          <w:p w14:paraId="591E6C3B" w14:textId="77777777" w:rsidR="009C1976" w:rsidRPr="00B104C7" w:rsidRDefault="009C1976" w:rsidP="005659B0">
            <w:pPr>
              <w:pStyle w:val="Tabletext"/>
              <w:spacing w:before="20" w:after="20"/>
              <w:jc w:val="right"/>
              <w:rPr>
                <w:rFonts w:ascii="Arial" w:hAnsi="Arial" w:cs="Arial"/>
                <w:b/>
                <w:lang w:val="en-US"/>
              </w:rPr>
            </w:pPr>
            <w:r w:rsidRPr="00B104C7">
              <w:rPr>
                <w:rFonts w:ascii="Arial" w:hAnsi="Arial" w:cs="Arial"/>
                <w:b/>
                <w:lang w:val="en-US"/>
              </w:rPr>
              <w:t xml:space="preserve">Incremental cost </w:t>
            </w:r>
          </w:p>
        </w:tc>
        <w:tc>
          <w:tcPr>
            <w:tcW w:w="1460" w:type="dxa"/>
            <w:tcBorders>
              <w:top w:val="single" w:sz="8" w:space="0" w:color="auto"/>
              <w:left w:val="nil"/>
              <w:bottom w:val="single" w:sz="4" w:space="0" w:color="auto"/>
              <w:right w:val="single" w:sz="4" w:space="0" w:color="auto"/>
            </w:tcBorders>
            <w:shd w:val="clear" w:color="auto" w:fill="auto"/>
            <w:hideMark/>
          </w:tcPr>
          <w:p w14:paraId="7F2AE853" w14:textId="77777777" w:rsidR="009C1976" w:rsidRPr="00B104C7" w:rsidRDefault="009C1976" w:rsidP="005659B0">
            <w:pPr>
              <w:pStyle w:val="Tabletext"/>
              <w:spacing w:before="20" w:after="20"/>
              <w:jc w:val="right"/>
              <w:rPr>
                <w:rFonts w:ascii="Arial" w:hAnsi="Arial" w:cs="Arial"/>
                <w:b/>
                <w:lang w:val="en-US"/>
              </w:rPr>
            </w:pPr>
            <w:r w:rsidRPr="00B104C7">
              <w:rPr>
                <w:rFonts w:ascii="Arial" w:hAnsi="Arial" w:cs="Arial"/>
                <w:b/>
                <w:lang w:val="en-US"/>
              </w:rPr>
              <w:t>QALY</w:t>
            </w:r>
          </w:p>
        </w:tc>
        <w:tc>
          <w:tcPr>
            <w:tcW w:w="1460" w:type="dxa"/>
            <w:tcBorders>
              <w:top w:val="single" w:sz="8" w:space="0" w:color="auto"/>
              <w:left w:val="nil"/>
              <w:bottom w:val="single" w:sz="4" w:space="0" w:color="auto"/>
              <w:right w:val="single" w:sz="4" w:space="0" w:color="auto"/>
            </w:tcBorders>
            <w:shd w:val="clear" w:color="auto" w:fill="auto"/>
            <w:hideMark/>
          </w:tcPr>
          <w:p w14:paraId="2C1FB0A3" w14:textId="77777777" w:rsidR="009C1976" w:rsidRPr="00B104C7" w:rsidRDefault="009C1976" w:rsidP="005659B0">
            <w:pPr>
              <w:pStyle w:val="Tabletext"/>
              <w:spacing w:before="20" w:after="20"/>
              <w:jc w:val="right"/>
              <w:rPr>
                <w:rFonts w:ascii="Arial" w:hAnsi="Arial" w:cs="Arial"/>
                <w:b/>
                <w:lang w:val="en-US"/>
              </w:rPr>
            </w:pPr>
            <w:r w:rsidRPr="00B104C7">
              <w:rPr>
                <w:rFonts w:ascii="Arial" w:hAnsi="Arial" w:cs="Arial"/>
                <w:b/>
                <w:lang w:val="en-US"/>
              </w:rPr>
              <w:t>Incremental QALY</w:t>
            </w:r>
          </w:p>
        </w:tc>
        <w:tc>
          <w:tcPr>
            <w:tcW w:w="1461" w:type="dxa"/>
            <w:tcBorders>
              <w:top w:val="single" w:sz="8" w:space="0" w:color="auto"/>
              <w:left w:val="nil"/>
              <w:bottom w:val="single" w:sz="4" w:space="0" w:color="auto"/>
              <w:right w:val="single" w:sz="8" w:space="0" w:color="auto"/>
            </w:tcBorders>
            <w:shd w:val="clear" w:color="auto" w:fill="auto"/>
            <w:hideMark/>
          </w:tcPr>
          <w:p w14:paraId="56C83A0D" w14:textId="77777777" w:rsidR="009C1976" w:rsidRPr="00B104C7" w:rsidRDefault="009C1976" w:rsidP="005659B0">
            <w:pPr>
              <w:pStyle w:val="Tabletext"/>
              <w:spacing w:before="20" w:after="20"/>
              <w:jc w:val="right"/>
              <w:rPr>
                <w:rFonts w:ascii="Arial" w:hAnsi="Arial" w:cs="Arial"/>
                <w:b/>
                <w:lang w:val="en-US"/>
              </w:rPr>
            </w:pPr>
            <w:r w:rsidRPr="00B104C7">
              <w:rPr>
                <w:rFonts w:ascii="Arial" w:hAnsi="Arial" w:cs="Arial"/>
                <w:b/>
                <w:lang w:val="en-US"/>
              </w:rPr>
              <w:t>ICER ($/QALY)</w:t>
            </w:r>
          </w:p>
        </w:tc>
      </w:tr>
      <w:tr w:rsidR="009C1976" w:rsidRPr="009C1976" w14:paraId="18176C59" w14:textId="77777777" w:rsidTr="005659B0">
        <w:trPr>
          <w:trHeight w:val="177"/>
          <w:jc w:val="center"/>
        </w:trPr>
        <w:tc>
          <w:tcPr>
            <w:tcW w:w="1691" w:type="dxa"/>
            <w:tcBorders>
              <w:top w:val="nil"/>
              <w:left w:val="single" w:sz="8" w:space="0" w:color="auto"/>
              <w:bottom w:val="single" w:sz="4" w:space="0" w:color="auto"/>
              <w:right w:val="single" w:sz="4" w:space="0" w:color="auto"/>
            </w:tcBorders>
            <w:shd w:val="clear" w:color="auto" w:fill="auto"/>
            <w:noWrap/>
            <w:hideMark/>
          </w:tcPr>
          <w:p w14:paraId="5E1FA87E" w14:textId="77777777" w:rsidR="009C1976" w:rsidRPr="00B104C7" w:rsidRDefault="009C1976" w:rsidP="005659B0">
            <w:pPr>
              <w:pStyle w:val="Tabletext"/>
              <w:spacing w:before="20" w:after="20"/>
              <w:rPr>
                <w:rFonts w:ascii="Arial" w:hAnsi="Arial" w:cs="Arial"/>
                <w:lang w:val="en-US"/>
              </w:rPr>
            </w:pPr>
            <w:r w:rsidRPr="00B104C7">
              <w:rPr>
                <w:rFonts w:ascii="Arial" w:hAnsi="Arial" w:cs="Arial"/>
                <w:lang w:val="en-US"/>
              </w:rPr>
              <w:t>No intervention</w:t>
            </w:r>
          </w:p>
        </w:tc>
        <w:tc>
          <w:tcPr>
            <w:tcW w:w="1460" w:type="dxa"/>
            <w:tcBorders>
              <w:top w:val="nil"/>
              <w:left w:val="nil"/>
              <w:bottom w:val="single" w:sz="8" w:space="0" w:color="auto"/>
              <w:right w:val="single" w:sz="4" w:space="0" w:color="auto"/>
            </w:tcBorders>
            <w:shd w:val="clear" w:color="auto" w:fill="auto"/>
            <w:noWrap/>
            <w:hideMark/>
          </w:tcPr>
          <w:p w14:paraId="7F8FC6FB" w14:textId="77777777" w:rsidR="009C1976" w:rsidRPr="00B104C7" w:rsidRDefault="009C1976" w:rsidP="005659B0">
            <w:pPr>
              <w:pStyle w:val="Tabletext"/>
              <w:spacing w:before="20" w:after="20"/>
              <w:jc w:val="right"/>
              <w:rPr>
                <w:rFonts w:ascii="Arial" w:hAnsi="Arial" w:cs="Arial"/>
                <w:lang w:val="en-US"/>
              </w:rPr>
            </w:pPr>
            <w:r w:rsidRPr="00B104C7">
              <w:rPr>
                <w:rFonts w:ascii="Arial" w:hAnsi="Arial" w:cs="Arial"/>
              </w:rPr>
              <w:t>$839.48</w:t>
            </w:r>
          </w:p>
        </w:tc>
        <w:tc>
          <w:tcPr>
            <w:tcW w:w="1460" w:type="dxa"/>
            <w:tcBorders>
              <w:top w:val="nil"/>
              <w:left w:val="nil"/>
              <w:bottom w:val="single" w:sz="8" w:space="0" w:color="auto"/>
              <w:right w:val="single" w:sz="4" w:space="0" w:color="auto"/>
            </w:tcBorders>
            <w:shd w:val="clear" w:color="auto" w:fill="auto"/>
            <w:noWrap/>
            <w:hideMark/>
          </w:tcPr>
          <w:p w14:paraId="49D189E3" w14:textId="77777777" w:rsidR="009C1976" w:rsidRPr="00B104C7" w:rsidRDefault="009C1976" w:rsidP="005659B0">
            <w:pPr>
              <w:pStyle w:val="Tabletext"/>
              <w:spacing w:before="20" w:after="20"/>
              <w:jc w:val="right"/>
              <w:rPr>
                <w:rFonts w:ascii="Arial" w:hAnsi="Arial" w:cs="Arial"/>
                <w:lang w:val="en-US"/>
              </w:rPr>
            </w:pPr>
          </w:p>
        </w:tc>
        <w:tc>
          <w:tcPr>
            <w:tcW w:w="1460" w:type="dxa"/>
            <w:tcBorders>
              <w:top w:val="nil"/>
              <w:left w:val="nil"/>
              <w:bottom w:val="single" w:sz="4" w:space="0" w:color="auto"/>
              <w:right w:val="single" w:sz="4" w:space="0" w:color="auto"/>
            </w:tcBorders>
            <w:shd w:val="clear" w:color="auto" w:fill="auto"/>
            <w:noWrap/>
            <w:hideMark/>
          </w:tcPr>
          <w:p w14:paraId="06A3A94D" w14:textId="77777777" w:rsidR="009C1976" w:rsidRPr="00B104C7" w:rsidRDefault="009C1976" w:rsidP="005659B0">
            <w:pPr>
              <w:pStyle w:val="Tabletext"/>
              <w:spacing w:before="20" w:after="20"/>
              <w:jc w:val="right"/>
              <w:rPr>
                <w:rFonts w:ascii="Arial" w:hAnsi="Arial" w:cs="Arial"/>
                <w:lang w:val="en-US"/>
              </w:rPr>
            </w:pPr>
            <w:r w:rsidRPr="00B104C7">
              <w:rPr>
                <w:rFonts w:ascii="Arial" w:hAnsi="Arial" w:cs="Arial"/>
              </w:rPr>
              <w:t>4.49</w:t>
            </w:r>
          </w:p>
        </w:tc>
        <w:tc>
          <w:tcPr>
            <w:tcW w:w="1460" w:type="dxa"/>
            <w:tcBorders>
              <w:top w:val="nil"/>
              <w:left w:val="nil"/>
              <w:bottom w:val="single" w:sz="4" w:space="0" w:color="auto"/>
              <w:right w:val="single" w:sz="4" w:space="0" w:color="auto"/>
            </w:tcBorders>
            <w:shd w:val="clear" w:color="auto" w:fill="auto"/>
            <w:noWrap/>
            <w:hideMark/>
          </w:tcPr>
          <w:p w14:paraId="4FA2AEA9" w14:textId="77777777" w:rsidR="009C1976" w:rsidRPr="00B104C7" w:rsidRDefault="009C1976" w:rsidP="005659B0">
            <w:pPr>
              <w:pStyle w:val="Tabletext"/>
              <w:spacing w:before="20" w:after="20"/>
              <w:jc w:val="right"/>
              <w:rPr>
                <w:rFonts w:ascii="Arial" w:hAnsi="Arial" w:cs="Arial"/>
                <w:lang w:val="en-US"/>
              </w:rPr>
            </w:pPr>
          </w:p>
        </w:tc>
        <w:tc>
          <w:tcPr>
            <w:tcW w:w="1461" w:type="dxa"/>
            <w:tcBorders>
              <w:top w:val="nil"/>
              <w:left w:val="nil"/>
              <w:bottom w:val="single" w:sz="8" w:space="0" w:color="auto"/>
              <w:right w:val="single" w:sz="4" w:space="0" w:color="auto"/>
            </w:tcBorders>
            <w:shd w:val="clear" w:color="auto" w:fill="auto"/>
            <w:noWrap/>
            <w:hideMark/>
          </w:tcPr>
          <w:p w14:paraId="2F13725F" w14:textId="77777777" w:rsidR="009C1976" w:rsidRPr="00B104C7" w:rsidRDefault="009C1976" w:rsidP="005659B0">
            <w:pPr>
              <w:pStyle w:val="Tabletext"/>
              <w:spacing w:before="20" w:after="20"/>
              <w:jc w:val="right"/>
              <w:rPr>
                <w:rFonts w:ascii="Arial" w:hAnsi="Arial" w:cs="Arial"/>
                <w:lang w:val="en-US"/>
              </w:rPr>
            </w:pPr>
            <w:r w:rsidRPr="00B104C7">
              <w:rPr>
                <w:rFonts w:ascii="Arial" w:hAnsi="Arial" w:cs="Arial"/>
              </w:rPr>
              <w:t xml:space="preserve">  </w:t>
            </w:r>
          </w:p>
        </w:tc>
      </w:tr>
      <w:tr w:rsidR="009C1976" w:rsidRPr="009C1976" w14:paraId="62230031" w14:textId="77777777" w:rsidTr="005659B0">
        <w:trPr>
          <w:trHeight w:val="71"/>
          <w:jc w:val="center"/>
        </w:trPr>
        <w:tc>
          <w:tcPr>
            <w:tcW w:w="1691" w:type="dxa"/>
            <w:tcBorders>
              <w:top w:val="nil"/>
              <w:left w:val="single" w:sz="8" w:space="0" w:color="auto"/>
              <w:bottom w:val="single" w:sz="8" w:space="0" w:color="auto"/>
              <w:right w:val="single" w:sz="4" w:space="0" w:color="auto"/>
            </w:tcBorders>
            <w:shd w:val="clear" w:color="auto" w:fill="auto"/>
            <w:noWrap/>
            <w:hideMark/>
          </w:tcPr>
          <w:p w14:paraId="55A450E5" w14:textId="77777777" w:rsidR="009C1976" w:rsidRPr="00B104C7" w:rsidRDefault="009C1976" w:rsidP="005659B0">
            <w:pPr>
              <w:pStyle w:val="Tabletext"/>
              <w:spacing w:before="20" w:after="20"/>
              <w:rPr>
                <w:rFonts w:ascii="Arial" w:hAnsi="Arial" w:cs="Arial"/>
                <w:lang w:val="en-US"/>
              </w:rPr>
            </w:pPr>
            <w:r w:rsidRPr="00B104C7">
              <w:rPr>
                <w:rFonts w:ascii="Arial" w:hAnsi="Arial" w:cs="Arial"/>
                <w:lang w:val="en-US"/>
              </w:rPr>
              <w:t>VSB implantation</w:t>
            </w:r>
          </w:p>
        </w:tc>
        <w:tc>
          <w:tcPr>
            <w:tcW w:w="1460" w:type="dxa"/>
            <w:tcBorders>
              <w:top w:val="single" w:sz="4" w:space="0" w:color="auto"/>
              <w:left w:val="nil"/>
              <w:bottom w:val="single" w:sz="8" w:space="0" w:color="auto"/>
              <w:right w:val="single" w:sz="4" w:space="0" w:color="auto"/>
            </w:tcBorders>
            <w:shd w:val="clear" w:color="auto" w:fill="auto"/>
            <w:noWrap/>
            <w:hideMark/>
          </w:tcPr>
          <w:p w14:paraId="1BC054BC" w14:textId="77777777" w:rsidR="009C1976" w:rsidRPr="00B104C7" w:rsidRDefault="009C1976" w:rsidP="005659B0">
            <w:pPr>
              <w:pStyle w:val="Tabletext"/>
              <w:spacing w:before="20" w:after="20"/>
              <w:jc w:val="right"/>
              <w:rPr>
                <w:rFonts w:ascii="Arial" w:hAnsi="Arial" w:cs="Arial"/>
                <w:lang w:val="en-US"/>
              </w:rPr>
            </w:pPr>
            <w:r w:rsidRPr="00B104C7">
              <w:rPr>
                <w:rFonts w:ascii="Arial" w:hAnsi="Arial" w:cs="Arial"/>
              </w:rPr>
              <w:t>$24,848.98</w:t>
            </w:r>
          </w:p>
        </w:tc>
        <w:tc>
          <w:tcPr>
            <w:tcW w:w="1460" w:type="dxa"/>
            <w:tcBorders>
              <w:top w:val="single" w:sz="4" w:space="0" w:color="auto"/>
              <w:left w:val="nil"/>
              <w:bottom w:val="single" w:sz="8" w:space="0" w:color="auto"/>
              <w:right w:val="single" w:sz="4" w:space="0" w:color="auto"/>
            </w:tcBorders>
            <w:shd w:val="clear" w:color="auto" w:fill="auto"/>
            <w:noWrap/>
            <w:hideMark/>
          </w:tcPr>
          <w:p w14:paraId="3C7F6738" w14:textId="77777777" w:rsidR="009C1976" w:rsidRPr="00B104C7" w:rsidRDefault="009C1976" w:rsidP="005659B0">
            <w:pPr>
              <w:pStyle w:val="Tabletext"/>
              <w:spacing w:before="20" w:after="20"/>
              <w:jc w:val="right"/>
              <w:rPr>
                <w:rFonts w:ascii="Arial" w:hAnsi="Arial" w:cs="Arial"/>
                <w:lang w:val="en-US"/>
              </w:rPr>
            </w:pPr>
            <w:r w:rsidRPr="00B104C7">
              <w:rPr>
                <w:rFonts w:ascii="Arial" w:hAnsi="Arial" w:cs="Arial"/>
              </w:rPr>
              <w:t>$24,009.50</w:t>
            </w:r>
          </w:p>
        </w:tc>
        <w:tc>
          <w:tcPr>
            <w:tcW w:w="1460" w:type="dxa"/>
            <w:tcBorders>
              <w:top w:val="nil"/>
              <w:left w:val="nil"/>
              <w:bottom w:val="single" w:sz="8" w:space="0" w:color="auto"/>
              <w:right w:val="single" w:sz="4" w:space="0" w:color="auto"/>
            </w:tcBorders>
            <w:shd w:val="clear" w:color="auto" w:fill="auto"/>
            <w:noWrap/>
            <w:hideMark/>
          </w:tcPr>
          <w:p w14:paraId="7EA7AEA6" w14:textId="77777777" w:rsidR="009C1976" w:rsidRPr="00B104C7" w:rsidRDefault="009C1976" w:rsidP="005659B0">
            <w:pPr>
              <w:pStyle w:val="Tabletext"/>
              <w:spacing w:before="20" w:after="20"/>
              <w:jc w:val="right"/>
              <w:rPr>
                <w:rFonts w:ascii="Arial" w:hAnsi="Arial" w:cs="Arial"/>
                <w:lang w:val="en-US"/>
              </w:rPr>
            </w:pPr>
            <w:r w:rsidRPr="00B104C7">
              <w:rPr>
                <w:rFonts w:ascii="Arial" w:hAnsi="Arial" w:cs="Arial"/>
              </w:rPr>
              <w:t>5.20</w:t>
            </w:r>
          </w:p>
        </w:tc>
        <w:tc>
          <w:tcPr>
            <w:tcW w:w="1460" w:type="dxa"/>
            <w:tcBorders>
              <w:top w:val="nil"/>
              <w:left w:val="nil"/>
              <w:bottom w:val="single" w:sz="8" w:space="0" w:color="auto"/>
              <w:right w:val="single" w:sz="4" w:space="0" w:color="auto"/>
            </w:tcBorders>
            <w:shd w:val="clear" w:color="auto" w:fill="auto"/>
            <w:noWrap/>
            <w:hideMark/>
          </w:tcPr>
          <w:p w14:paraId="01E4184F" w14:textId="77777777" w:rsidR="009C1976" w:rsidRPr="00B104C7" w:rsidRDefault="009C1976" w:rsidP="005659B0">
            <w:pPr>
              <w:pStyle w:val="Tabletext"/>
              <w:spacing w:before="20" w:after="20"/>
              <w:jc w:val="right"/>
              <w:rPr>
                <w:rFonts w:ascii="Arial" w:hAnsi="Arial" w:cs="Arial"/>
                <w:lang w:val="en-US"/>
              </w:rPr>
            </w:pPr>
            <w:r w:rsidRPr="00B104C7">
              <w:rPr>
                <w:rFonts w:ascii="Arial" w:hAnsi="Arial" w:cs="Arial"/>
              </w:rPr>
              <w:t>0.71</w:t>
            </w:r>
          </w:p>
        </w:tc>
        <w:tc>
          <w:tcPr>
            <w:tcW w:w="1461" w:type="dxa"/>
            <w:tcBorders>
              <w:top w:val="single" w:sz="4" w:space="0" w:color="auto"/>
              <w:left w:val="nil"/>
              <w:bottom w:val="single" w:sz="8" w:space="0" w:color="auto"/>
              <w:right w:val="single" w:sz="4" w:space="0" w:color="auto"/>
            </w:tcBorders>
            <w:shd w:val="clear" w:color="auto" w:fill="auto"/>
            <w:noWrap/>
            <w:hideMark/>
          </w:tcPr>
          <w:p w14:paraId="268547DF" w14:textId="77777777" w:rsidR="009C1976" w:rsidRPr="00B104C7" w:rsidRDefault="009C1976" w:rsidP="005659B0">
            <w:pPr>
              <w:pStyle w:val="Tabletext"/>
              <w:spacing w:before="20" w:after="20"/>
              <w:jc w:val="right"/>
              <w:rPr>
                <w:rFonts w:ascii="Arial" w:hAnsi="Arial" w:cs="Arial"/>
                <w:lang w:val="en-US"/>
              </w:rPr>
            </w:pPr>
            <w:r w:rsidRPr="00B104C7">
              <w:rPr>
                <w:rFonts w:ascii="Arial" w:hAnsi="Arial" w:cs="Arial"/>
              </w:rPr>
              <w:t>$33,717.99</w:t>
            </w:r>
          </w:p>
        </w:tc>
      </w:tr>
    </w:tbl>
    <w:p w14:paraId="73CB41E5" w14:textId="77777777" w:rsidR="009C1976" w:rsidRPr="00B104C7" w:rsidRDefault="009C1976" w:rsidP="009C1976">
      <w:pPr>
        <w:pStyle w:val="Tablefootnotes"/>
        <w:rPr>
          <w:rFonts w:ascii="Arial" w:hAnsi="Arial"/>
          <w:sz w:val="16"/>
          <w:szCs w:val="16"/>
        </w:rPr>
      </w:pPr>
      <w:r w:rsidRPr="00B104C7">
        <w:rPr>
          <w:rFonts w:ascii="Arial" w:hAnsi="Arial"/>
          <w:sz w:val="16"/>
          <w:szCs w:val="16"/>
        </w:rPr>
        <w:t>Source: Calculated during the Critique</w:t>
      </w:r>
    </w:p>
    <w:p w14:paraId="57ABF62F" w14:textId="77777777" w:rsidR="009C1976" w:rsidRPr="00B104C7" w:rsidRDefault="009C1976" w:rsidP="009C1976">
      <w:pPr>
        <w:pStyle w:val="Tablefootnoteslast"/>
        <w:rPr>
          <w:rFonts w:ascii="Arial" w:hAnsi="Arial"/>
          <w:sz w:val="16"/>
          <w:szCs w:val="16"/>
        </w:rPr>
      </w:pPr>
      <w:r w:rsidRPr="00B104C7">
        <w:rPr>
          <w:rFonts w:ascii="Arial" w:hAnsi="Arial"/>
          <w:sz w:val="16"/>
          <w:szCs w:val="16"/>
        </w:rPr>
        <w:t xml:space="preserve">Abbreviations: ICER, incremental cost-effectiveness ratio; QALY, quality adjusted life year; VSB, Vibrant </w:t>
      </w:r>
      <w:proofErr w:type="spellStart"/>
      <w:r w:rsidRPr="00B104C7">
        <w:rPr>
          <w:rFonts w:ascii="Arial" w:hAnsi="Arial"/>
          <w:sz w:val="16"/>
          <w:szCs w:val="16"/>
        </w:rPr>
        <w:t>Soundbridge</w:t>
      </w:r>
      <w:proofErr w:type="spellEnd"/>
    </w:p>
    <w:p w14:paraId="2258C321" w14:textId="0B94C08E" w:rsidR="00513A3E" w:rsidRDefault="00513A3E">
      <w:pPr>
        <w:pStyle w:val="BodyText1"/>
        <w:spacing w:before="0"/>
        <w:jc w:val="left"/>
        <w:rPr>
          <w:rFonts w:ascii="Times New Roman" w:hAnsi="Times New Roman"/>
        </w:rPr>
      </w:pPr>
      <w:bookmarkStart w:id="4" w:name="_Ref308745675"/>
      <w:r w:rsidRPr="00D03F4E">
        <w:rPr>
          <w:rFonts w:ascii="Times New Roman" w:hAnsi="Times New Roman"/>
        </w:rPr>
        <w:t xml:space="preserve">Table </w:t>
      </w:r>
      <w:r>
        <w:rPr>
          <w:rFonts w:ascii="Times New Roman" w:hAnsi="Times New Roman"/>
        </w:rPr>
        <w:t>2</w:t>
      </w:r>
      <w:r w:rsidRPr="00D03F4E">
        <w:rPr>
          <w:rFonts w:ascii="Times New Roman" w:hAnsi="Times New Roman"/>
        </w:rPr>
        <w:t xml:space="preserve"> summarises the results of the</w:t>
      </w:r>
      <w:r w:rsidRPr="009C1976">
        <w:rPr>
          <w:rFonts w:ascii="Times New Roman" w:hAnsi="Times New Roman"/>
        </w:rPr>
        <w:t xml:space="preserve"> </w:t>
      </w:r>
      <w:r w:rsidRPr="00D03F4E">
        <w:rPr>
          <w:rFonts w:ascii="Times New Roman" w:hAnsi="Times New Roman"/>
        </w:rPr>
        <w:t>cost-</w:t>
      </w:r>
      <w:r>
        <w:rPr>
          <w:rFonts w:ascii="Times New Roman" w:hAnsi="Times New Roman"/>
        </w:rPr>
        <w:t>effectiveness</w:t>
      </w:r>
      <w:r w:rsidRPr="00D03F4E">
        <w:rPr>
          <w:rFonts w:ascii="Times New Roman" w:hAnsi="Times New Roman"/>
        </w:rPr>
        <w:t xml:space="preserve"> </w:t>
      </w:r>
      <w:r>
        <w:rPr>
          <w:rFonts w:ascii="Times New Roman" w:hAnsi="Times New Roman"/>
        </w:rPr>
        <w:t xml:space="preserve">analysis of VSB versus </w:t>
      </w:r>
      <w:proofErr w:type="spellStart"/>
      <w:r>
        <w:rPr>
          <w:rFonts w:ascii="Times New Roman" w:hAnsi="Times New Roman"/>
        </w:rPr>
        <w:t>Maxum</w:t>
      </w:r>
      <w:proofErr w:type="spellEnd"/>
      <w:r>
        <w:rPr>
          <w:rFonts w:ascii="Times New Roman" w:hAnsi="Times New Roman"/>
        </w:rPr>
        <w:t>/</w:t>
      </w:r>
      <w:proofErr w:type="spellStart"/>
      <w:r>
        <w:rPr>
          <w:rFonts w:ascii="Times New Roman" w:hAnsi="Times New Roman"/>
        </w:rPr>
        <w:t>Soundtec</w:t>
      </w:r>
      <w:proofErr w:type="spellEnd"/>
      <w:r w:rsidRPr="009C1976">
        <w:rPr>
          <w:rFonts w:ascii="Times New Roman" w:hAnsi="Times New Roman"/>
        </w:rPr>
        <w:t xml:space="preserve"> </w:t>
      </w:r>
      <w:r w:rsidRPr="00D03F4E">
        <w:rPr>
          <w:rFonts w:ascii="Times New Roman" w:hAnsi="Times New Roman"/>
        </w:rPr>
        <w:t xml:space="preserve">over the 10-year timeframe. </w:t>
      </w:r>
    </w:p>
    <w:p w14:paraId="2337AA4D" w14:textId="77777777" w:rsidR="00513A3E" w:rsidRDefault="00513A3E" w:rsidP="00B104C7">
      <w:pPr>
        <w:pStyle w:val="Caption"/>
        <w:spacing w:after="0"/>
      </w:pPr>
    </w:p>
    <w:p w14:paraId="538579A6" w14:textId="4A397179" w:rsidR="00513A3E" w:rsidRPr="00B104C7" w:rsidRDefault="00513A3E" w:rsidP="00B104C7">
      <w:pPr>
        <w:pStyle w:val="Caption"/>
        <w:spacing w:after="0"/>
        <w:rPr>
          <w:rFonts w:ascii="Arial" w:hAnsi="Arial" w:cs="Arial"/>
          <w:color w:val="auto"/>
          <w:sz w:val="20"/>
          <w:szCs w:val="20"/>
          <w:lang w:val="en-GB"/>
        </w:rPr>
      </w:pPr>
      <w:r w:rsidRPr="00B104C7">
        <w:rPr>
          <w:rFonts w:ascii="Arial" w:hAnsi="Arial" w:cs="Arial"/>
          <w:color w:val="auto"/>
          <w:sz w:val="20"/>
          <w:szCs w:val="20"/>
        </w:rPr>
        <w:t xml:space="preserve">Table </w:t>
      </w:r>
      <w:bookmarkEnd w:id="4"/>
      <w:r w:rsidRPr="00B104C7">
        <w:rPr>
          <w:rFonts w:ascii="Arial" w:hAnsi="Arial" w:cs="Arial"/>
          <w:color w:val="auto"/>
          <w:sz w:val="20"/>
          <w:szCs w:val="20"/>
        </w:rPr>
        <w:t xml:space="preserve">2: </w:t>
      </w:r>
      <w:r w:rsidRPr="00B104C7">
        <w:rPr>
          <w:rFonts w:ascii="Arial" w:hAnsi="Arial" w:cs="Arial"/>
          <w:color w:val="auto"/>
          <w:sz w:val="20"/>
          <w:szCs w:val="20"/>
          <w:lang w:val="en-GB"/>
        </w:rPr>
        <w:t xml:space="preserve">Base case results produced by the state-transition model comparing VSB versus </w:t>
      </w:r>
      <w:proofErr w:type="spellStart"/>
      <w:r w:rsidRPr="00B104C7">
        <w:rPr>
          <w:rFonts w:ascii="Arial" w:hAnsi="Arial" w:cs="Arial"/>
          <w:color w:val="auto"/>
          <w:sz w:val="20"/>
          <w:szCs w:val="20"/>
          <w:lang w:val="en-GB"/>
        </w:rPr>
        <w:t>Maxum</w:t>
      </w:r>
      <w:proofErr w:type="spellEnd"/>
      <w:r w:rsidRPr="00B104C7">
        <w:rPr>
          <w:rFonts w:ascii="Arial" w:hAnsi="Arial" w:cs="Arial"/>
          <w:color w:val="auto"/>
          <w:sz w:val="20"/>
          <w:szCs w:val="20"/>
          <w:lang w:val="en-GB"/>
        </w:rPr>
        <w:t>/</w:t>
      </w:r>
      <w:proofErr w:type="spellStart"/>
      <w:r w:rsidRPr="00B104C7">
        <w:rPr>
          <w:rFonts w:ascii="Arial" w:hAnsi="Arial" w:cs="Arial"/>
          <w:color w:val="auto"/>
          <w:sz w:val="20"/>
          <w:szCs w:val="20"/>
          <w:lang w:val="en-GB"/>
        </w:rPr>
        <w:t>Soundtec</w:t>
      </w:r>
      <w:proofErr w:type="spellEnd"/>
    </w:p>
    <w:tbl>
      <w:tblPr>
        <w:tblW w:w="9127" w:type="dxa"/>
        <w:jc w:val="center"/>
        <w:tblInd w:w="102" w:type="dxa"/>
        <w:tblLayout w:type="fixed"/>
        <w:tblLook w:val="04A0" w:firstRow="1" w:lastRow="0" w:firstColumn="1" w:lastColumn="0" w:noHBand="0" w:noVBand="1"/>
        <w:tblCaption w:val="Table D 17: Base case results produced by the state-transition model comparing VSB versus Maxum/Soundtec"/>
        <w:tblDescription w:val="Base case results produced by the state-transition model for a cohort of individuals with SNHL with/without medical condition entering the model at age 53  (VSB versus Maxum/Soundtec))"/>
      </w:tblPr>
      <w:tblGrid>
        <w:gridCol w:w="1894"/>
        <w:gridCol w:w="1276"/>
        <w:gridCol w:w="1559"/>
        <w:gridCol w:w="1396"/>
        <w:gridCol w:w="1439"/>
        <w:gridCol w:w="1563"/>
      </w:tblGrid>
      <w:tr w:rsidR="00513A3E" w:rsidRPr="00513A3E" w14:paraId="1B0C03FE" w14:textId="77777777" w:rsidTr="00985677">
        <w:trPr>
          <w:trHeight w:val="87"/>
          <w:tblHeader/>
          <w:jc w:val="center"/>
        </w:trPr>
        <w:tc>
          <w:tcPr>
            <w:tcW w:w="1894" w:type="dxa"/>
            <w:tcBorders>
              <w:top w:val="single" w:sz="8" w:space="0" w:color="auto"/>
              <w:left w:val="single" w:sz="8" w:space="0" w:color="auto"/>
              <w:bottom w:val="single" w:sz="4" w:space="0" w:color="auto"/>
              <w:right w:val="single" w:sz="4" w:space="0" w:color="auto"/>
            </w:tcBorders>
            <w:shd w:val="clear" w:color="auto" w:fill="auto"/>
            <w:hideMark/>
          </w:tcPr>
          <w:p w14:paraId="4298AF98" w14:textId="77777777" w:rsidR="00513A3E" w:rsidRPr="00B104C7" w:rsidRDefault="00513A3E" w:rsidP="005659B0">
            <w:pPr>
              <w:pStyle w:val="Tabletext"/>
              <w:spacing w:before="20" w:after="20"/>
              <w:rPr>
                <w:rFonts w:ascii="Arial" w:hAnsi="Arial" w:cs="Arial"/>
                <w:b/>
                <w:lang w:val="en-US"/>
              </w:rPr>
            </w:pPr>
            <w:r w:rsidRPr="00B104C7">
              <w:rPr>
                <w:rFonts w:ascii="Arial" w:hAnsi="Arial" w:cs="Arial"/>
                <w:b/>
                <w:lang w:val="en-US"/>
              </w:rPr>
              <w:t>Strategy</w:t>
            </w:r>
          </w:p>
        </w:tc>
        <w:tc>
          <w:tcPr>
            <w:tcW w:w="1276" w:type="dxa"/>
            <w:tcBorders>
              <w:top w:val="single" w:sz="8" w:space="0" w:color="auto"/>
              <w:left w:val="nil"/>
              <w:bottom w:val="single" w:sz="4" w:space="0" w:color="auto"/>
              <w:right w:val="single" w:sz="4" w:space="0" w:color="auto"/>
            </w:tcBorders>
            <w:shd w:val="clear" w:color="auto" w:fill="auto"/>
            <w:hideMark/>
          </w:tcPr>
          <w:p w14:paraId="76952F56" w14:textId="77777777" w:rsidR="00513A3E" w:rsidRPr="00B104C7" w:rsidRDefault="00513A3E" w:rsidP="005659B0">
            <w:pPr>
              <w:pStyle w:val="Tabletext"/>
              <w:spacing w:before="20" w:after="20"/>
              <w:jc w:val="right"/>
              <w:rPr>
                <w:rFonts w:ascii="Arial" w:hAnsi="Arial" w:cs="Arial"/>
                <w:b/>
                <w:lang w:val="en-US"/>
              </w:rPr>
            </w:pPr>
            <w:r w:rsidRPr="00B104C7">
              <w:rPr>
                <w:rFonts w:ascii="Arial" w:hAnsi="Arial" w:cs="Arial"/>
                <w:b/>
                <w:lang w:val="en-US"/>
              </w:rPr>
              <w:t>Total cost</w:t>
            </w:r>
          </w:p>
        </w:tc>
        <w:tc>
          <w:tcPr>
            <w:tcW w:w="1559" w:type="dxa"/>
            <w:tcBorders>
              <w:top w:val="single" w:sz="8" w:space="0" w:color="auto"/>
              <w:left w:val="nil"/>
              <w:bottom w:val="single" w:sz="4" w:space="0" w:color="auto"/>
              <w:right w:val="single" w:sz="4" w:space="0" w:color="auto"/>
            </w:tcBorders>
            <w:shd w:val="clear" w:color="auto" w:fill="auto"/>
            <w:hideMark/>
          </w:tcPr>
          <w:p w14:paraId="5445DD45" w14:textId="77777777" w:rsidR="00513A3E" w:rsidRPr="00B104C7" w:rsidRDefault="00513A3E" w:rsidP="005659B0">
            <w:pPr>
              <w:pStyle w:val="Tabletext"/>
              <w:spacing w:before="20" w:after="20"/>
              <w:jc w:val="right"/>
              <w:rPr>
                <w:rFonts w:ascii="Arial" w:hAnsi="Arial" w:cs="Arial"/>
                <w:b/>
                <w:lang w:val="en-US"/>
              </w:rPr>
            </w:pPr>
            <w:r w:rsidRPr="00B104C7">
              <w:rPr>
                <w:rFonts w:ascii="Arial" w:hAnsi="Arial" w:cs="Arial"/>
                <w:b/>
                <w:lang w:val="en-US"/>
              </w:rPr>
              <w:t xml:space="preserve">Incremental cost </w:t>
            </w:r>
          </w:p>
        </w:tc>
        <w:tc>
          <w:tcPr>
            <w:tcW w:w="1396" w:type="dxa"/>
            <w:tcBorders>
              <w:top w:val="single" w:sz="8" w:space="0" w:color="auto"/>
              <w:left w:val="nil"/>
              <w:bottom w:val="single" w:sz="4" w:space="0" w:color="auto"/>
              <w:right w:val="single" w:sz="4" w:space="0" w:color="auto"/>
            </w:tcBorders>
            <w:shd w:val="clear" w:color="auto" w:fill="auto"/>
            <w:hideMark/>
          </w:tcPr>
          <w:p w14:paraId="1746709E" w14:textId="77777777" w:rsidR="00513A3E" w:rsidRPr="00B104C7" w:rsidRDefault="00513A3E" w:rsidP="005659B0">
            <w:pPr>
              <w:pStyle w:val="Tabletext"/>
              <w:spacing w:before="20" w:after="20"/>
              <w:jc w:val="right"/>
              <w:rPr>
                <w:rFonts w:ascii="Arial" w:hAnsi="Arial" w:cs="Arial"/>
                <w:b/>
                <w:lang w:val="en-US"/>
              </w:rPr>
            </w:pPr>
            <w:r w:rsidRPr="00B104C7">
              <w:rPr>
                <w:rFonts w:ascii="Arial" w:hAnsi="Arial" w:cs="Arial"/>
                <w:b/>
                <w:lang w:val="en-US"/>
              </w:rPr>
              <w:t>APHAB Global Score</w:t>
            </w:r>
          </w:p>
        </w:tc>
        <w:tc>
          <w:tcPr>
            <w:tcW w:w="1439" w:type="dxa"/>
            <w:tcBorders>
              <w:top w:val="single" w:sz="8" w:space="0" w:color="auto"/>
              <w:left w:val="nil"/>
              <w:bottom w:val="single" w:sz="4" w:space="0" w:color="auto"/>
              <w:right w:val="single" w:sz="4" w:space="0" w:color="auto"/>
            </w:tcBorders>
            <w:shd w:val="clear" w:color="auto" w:fill="auto"/>
            <w:hideMark/>
          </w:tcPr>
          <w:p w14:paraId="045B1AFE" w14:textId="77777777" w:rsidR="00513A3E" w:rsidRPr="00B104C7" w:rsidRDefault="00513A3E" w:rsidP="005659B0">
            <w:pPr>
              <w:pStyle w:val="Tabletext"/>
              <w:spacing w:before="20" w:after="20"/>
              <w:jc w:val="right"/>
              <w:rPr>
                <w:rFonts w:ascii="Arial" w:hAnsi="Arial" w:cs="Arial"/>
                <w:b/>
                <w:lang w:val="en-US"/>
              </w:rPr>
            </w:pPr>
            <w:r w:rsidRPr="00B104C7">
              <w:rPr>
                <w:rFonts w:ascii="Arial" w:hAnsi="Arial" w:cs="Arial"/>
                <w:b/>
                <w:lang w:val="en-US"/>
              </w:rPr>
              <w:t>Incremental APHAB Global Score</w:t>
            </w:r>
          </w:p>
        </w:tc>
        <w:tc>
          <w:tcPr>
            <w:tcW w:w="1563" w:type="dxa"/>
            <w:tcBorders>
              <w:top w:val="single" w:sz="8" w:space="0" w:color="auto"/>
              <w:left w:val="nil"/>
              <w:bottom w:val="single" w:sz="4" w:space="0" w:color="auto"/>
              <w:right w:val="single" w:sz="8" w:space="0" w:color="auto"/>
            </w:tcBorders>
            <w:shd w:val="clear" w:color="auto" w:fill="auto"/>
            <w:hideMark/>
          </w:tcPr>
          <w:p w14:paraId="36274197" w14:textId="77777777" w:rsidR="00513A3E" w:rsidRPr="00B104C7" w:rsidRDefault="00513A3E" w:rsidP="005659B0">
            <w:pPr>
              <w:pStyle w:val="Tabletext"/>
              <w:spacing w:before="20" w:after="20"/>
              <w:jc w:val="right"/>
              <w:rPr>
                <w:rFonts w:ascii="Arial" w:hAnsi="Arial" w:cs="Arial"/>
                <w:b/>
                <w:lang w:val="en-US"/>
              </w:rPr>
            </w:pPr>
            <w:r w:rsidRPr="00B104C7">
              <w:rPr>
                <w:rFonts w:ascii="Arial" w:hAnsi="Arial" w:cs="Arial"/>
                <w:b/>
                <w:lang w:val="en-US"/>
              </w:rPr>
              <w:t>ICER ($/APHAB)</w:t>
            </w:r>
          </w:p>
        </w:tc>
      </w:tr>
      <w:tr w:rsidR="00513A3E" w:rsidRPr="00513A3E" w14:paraId="0B23663C" w14:textId="77777777" w:rsidTr="00985677">
        <w:trPr>
          <w:trHeight w:val="92"/>
          <w:jc w:val="center"/>
        </w:trPr>
        <w:tc>
          <w:tcPr>
            <w:tcW w:w="1894" w:type="dxa"/>
            <w:tcBorders>
              <w:top w:val="nil"/>
              <w:left w:val="single" w:sz="8" w:space="0" w:color="auto"/>
              <w:bottom w:val="single" w:sz="4" w:space="0" w:color="auto"/>
              <w:right w:val="single" w:sz="4" w:space="0" w:color="auto"/>
            </w:tcBorders>
            <w:shd w:val="clear" w:color="auto" w:fill="auto"/>
            <w:noWrap/>
            <w:hideMark/>
          </w:tcPr>
          <w:p w14:paraId="3701DB59" w14:textId="77777777" w:rsidR="00513A3E" w:rsidRPr="00B104C7" w:rsidRDefault="00513A3E" w:rsidP="005659B0">
            <w:pPr>
              <w:pStyle w:val="Tabletext"/>
              <w:spacing w:before="20" w:after="20"/>
              <w:rPr>
                <w:rFonts w:ascii="Arial" w:hAnsi="Arial" w:cs="Arial"/>
                <w:lang w:val="en-US"/>
              </w:rPr>
            </w:pPr>
            <w:proofErr w:type="spellStart"/>
            <w:r w:rsidRPr="00B104C7">
              <w:rPr>
                <w:rFonts w:ascii="Arial" w:hAnsi="Arial" w:cs="Arial"/>
                <w:lang w:val="en-US"/>
              </w:rPr>
              <w:t>Maxum</w:t>
            </w:r>
            <w:proofErr w:type="spellEnd"/>
            <w:r w:rsidRPr="00B104C7">
              <w:rPr>
                <w:rFonts w:ascii="Arial" w:hAnsi="Arial" w:cs="Arial"/>
                <w:lang w:val="en-US"/>
              </w:rPr>
              <w:t>/</w:t>
            </w:r>
            <w:proofErr w:type="spellStart"/>
            <w:r w:rsidRPr="00B104C7">
              <w:rPr>
                <w:rFonts w:ascii="Arial" w:hAnsi="Arial" w:cs="Arial"/>
                <w:lang w:val="en-US"/>
              </w:rPr>
              <w:t>Soundtec</w:t>
            </w:r>
            <w:proofErr w:type="spellEnd"/>
            <w:r w:rsidRPr="00B104C7">
              <w:rPr>
                <w:rFonts w:ascii="Arial" w:hAnsi="Arial" w:cs="Arial"/>
                <w:lang w:val="en-US"/>
              </w:rPr>
              <w:t xml:space="preserve"> implantation</w:t>
            </w:r>
          </w:p>
        </w:tc>
        <w:tc>
          <w:tcPr>
            <w:tcW w:w="1276" w:type="dxa"/>
            <w:tcBorders>
              <w:top w:val="nil"/>
              <w:left w:val="nil"/>
              <w:bottom w:val="single" w:sz="8" w:space="0" w:color="auto"/>
              <w:right w:val="single" w:sz="4" w:space="0" w:color="auto"/>
            </w:tcBorders>
            <w:shd w:val="clear" w:color="auto" w:fill="auto"/>
            <w:noWrap/>
            <w:hideMark/>
          </w:tcPr>
          <w:p w14:paraId="5D48C863" w14:textId="77777777" w:rsidR="00513A3E" w:rsidRPr="00B104C7" w:rsidRDefault="00513A3E" w:rsidP="005659B0">
            <w:pPr>
              <w:pStyle w:val="Tabletext"/>
              <w:spacing w:before="20" w:after="20"/>
              <w:jc w:val="right"/>
              <w:rPr>
                <w:rFonts w:ascii="Arial" w:hAnsi="Arial" w:cs="Arial"/>
                <w:lang w:val="en-US"/>
              </w:rPr>
            </w:pPr>
            <w:r w:rsidRPr="00B104C7">
              <w:rPr>
                <w:rFonts w:ascii="Arial" w:hAnsi="Arial" w:cs="Arial"/>
              </w:rPr>
              <w:t>$13,816.30</w:t>
            </w:r>
          </w:p>
        </w:tc>
        <w:tc>
          <w:tcPr>
            <w:tcW w:w="1559" w:type="dxa"/>
            <w:tcBorders>
              <w:top w:val="nil"/>
              <w:left w:val="nil"/>
              <w:bottom w:val="single" w:sz="8" w:space="0" w:color="auto"/>
              <w:right w:val="single" w:sz="4" w:space="0" w:color="auto"/>
            </w:tcBorders>
            <w:shd w:val="clear" w:color="auto" w:fill="auto"/>
            <w:noWrap/>
            <w:hideMark/>
          </w:tcPr>
          <w:p w14:paraId="4C3C5CC0" w14:textId="77777777" w:rsidR="00513A3E" w:rsidRPr="00B104C7" w:rsidRDefault="00513A3E" w:rsidP="005659B0">
            <w:pPr>
              <w:pStyle w:val="Tabletext"/>
              <w:spacing w:before="20" w:after="20"/>
              <w:jc w:val="right"/>
              <w:rPr>
                <w:rFonts w:ascii="Arial" w:hAnsi="Arial" w:cs="Arial"/>
                <w:lang w:val="en-US"/>
              </w:rPr>
            </w:pPr>
          </w:p>
        </w:tc>
        <w:tc>
          <w:tcPr>
            <w:tcW w:w="1396" w:type="dxa"/>
            <w:tcBorders>
              <w:top w:val="nil"/>
              <w:left w:val="nil"/>
              <w:bottom w:val="single" w:sz="4" w:space="0" w:color="auto"/>
              <w:right w:val="single" w:sz="4" w:space="0" w:color="auto"/>
            </w:tcBorders>
            <w:shd w:val="clear" w:color="auto" w:fill="auto"/>
            <w:noWrap/>
            <w:hideMark/>
          </w:tcPr>
          <w:p w14:paraId="42BF02F9" w14:textId="77777777" w:rsidR="00513A3E" w:rsidRPr="00B104C7" w:rsidRDefault="00513A3E" w:rsidP="005659B0">
            <w:pPr>
              <w:pStyle w:val="Tabletext"/>
              <w:spacing w:before="20" w:after="20"/>
              <w:jc w:val="right"/>
              <w:rPr>
                <w:rFonts w:ascii="Arial" w:hAnsi="Arial" w:cs="Arial"/>
                <w:lang w:val="en-US"/>
              </w:rPr>
            </w:pPr>
            <w:r w:rsidRPr="00B104C7">
              <w:rPr>
                <w:rFonts w:ascii="Arial" w:hAnsi="Arial" w:cs="Arial"/>
              </w:rPr>
              <w:t>400.8</w:t>
            </w:r>
          </w:p>
        </w:tc>
        <w:tc>
          <w:tcPr>
            <w:tcW w:w="1439" w:type="dxa"/>
            <w:tcBorders>
              <w:top w:val="nil"/>
              <w:left w:val="nil"/>
              <w:bottom w:val="single" w:sz="4" w:space="0" w:color="auto"/>
              <w:right w:val="single" w:sz="4" w:space="0" w:color="auto"/>
            </w:tcBorders>
            <w:shd w:val="clear" w:color="auto" w:fill="auto"/>
            <w:noWrap/>
            <w:hideMark/>
          </w:tcPr>
          <w:p w14:paraId="34E1E067" w14:textId="77777777" w:rsidR="00513A3E" w:rsidRPr="00B104C7" w:rsidRDefault="00513A3E" w:rsidP="005659B0">
            <w:pPr>
              <w:pStyle w:val="Tabletext"/>
              <w:spacing w:before="20" w:after="20"/>
              <w:jc w:val="right"/>
              <w:rPr>
                <w:rFonts w:ascii="Arial" w:hAnsi="Arial" w:cs="Arial"/>
                <w:lang w:val="en-US"/>
              </w:rPr>
            </w:pPr>
          </w:p>
        </w:tc>
        <w:tc>
          <w:tcPr>
            <w:tcW w:w="1563" w:type="dxa"/>
            <w:tcBorders>
              <w:top w:val="nil"/>
              <w:left w:val="nil"/>
              <w:bottom w:val="single" w:sz="8" w:space="0" w:color="auto"/>
              <w:right w:val="single" w:sz="4" w:space="0" w:color="auto"/>
            </w:tcBorders>
            <w:shd w:val="clear" w:color="auto" w:fill="auto"/>
            <w:noWrap/>
            <w:hideMark/>
          </w:tcPr>
          <w:p w14:paraId="586A9001" w14:textId="77777777" w:rsidR="00513A3E" w:rsidRPr="00B104C7" w:rsidRDefault="00513A3E" w:rsidP="005659B0">
            <w:pPr>
              <w:pStyle w:val="Tabletext"/>
              <w:spacing w:before="20" w:after="20"/>
              <w:jc w:val="right"/>
              <w:rPr>
                <w:rFonts w:ascii="Arial" w:hAnsi="Arial" w:cs="Arial"/>
                <w:lang w:val="en-US"/>
              </w:rPr>
            </w:pPr>
            <w:r w:rsidRPr="00B104C7">
              <w:rPr>
                <w:rFonts w:ascii="Arial" w:hAnsi="Arial" w:cs="Arial"/>
              </w:rPr>
              <w:t xml:space="preserve">  </w:t>
            </w:r>
          </w:p>
        </w:tc>
      </w:tr>
      <w:tr w:rsidR="00513A3E" w:rsidRPr="00513A3E" w14:paraId="39DCCEF5" w14:textId="77777777" w:rsidTr="00985677">
        <w:trPr>
          <w:trHeight w:val="60"/>
          <w:jc w:val="center"/>
        </w:trPr>
        <w:tc>
          <w:tcPr>
            <w:tcW w:w="1894" w:type="dxa"/>
            <w:tcBorders>
              <w:top w:val="nil"/>
              <w:left w:val="single" w:sz="8" w:space="0" w:color="auto"/>
              <w:bottom w:val="single" w:sz="8" w:space="0" w:color="auto"/>
              <w:right w:val="single" w:sz="4" w:space="0" w:color="auto"/>
            </w:tcBorders>
            <w:shd w:val="clear" w:color="auto" w:fill="auto"/>
            <w:noWrap/>
            <w:hideMark/>
          </w:tcPr>
          <w:p w14:paraId="6815C68A" w14:textId="77777777" w:rsidR="00513A3E" w:rsidRPr="00B104C7" w:rsidRDefault="00513A3E" w:rsidP="005659B0">
            <w:pPr>
              <w:pStyle w:val="Tabletext"/>
              <w:spacing w:before="20" w:after="20"/>
              <w:rPr>
                <w:rFonts w:ascii="Arial" w:hAnsi="Arial" w:cs="Arial"/>
                <w:lang w:val="en-US"/>
              </w:rPr>
            </w:pPr>
            <w:r w:rsidRPr="00B104C7">
              <w:rPr>
                <w:rFonts w:ascii="Arial" w:hAnsi="Arial" w:cs="Arial"/>
                <w:lang w:val="en-US"/>
              </w:rPr>
              <w:t>VSB implantation</w:t>
            </w:r>
          </w:p>
        </w:tc>
        <w:tc>
          <w:tcPr>
            <w:tcW w:w="1276" w:type="dxa"/>
            <w:tcBorders>
              <w:top w:val="single" w:sz="4" w:space="0" w:color="auto"/>
              <w:left w:val="nil"/>
              <w:bottom w:val="single" w:sz="8" w:space="0" w:color="auto"/>
              <w:right w:val="single" w:sz="4" w:space="0" w:color="auto"/>
            </w:tcBorders>
            <w:shd w:val="clear" w:color="auto" w:fill="auto"/>
            <w:noWrap/>
            <w:hideMark/>
          </w:tcPr>
          <w:p w14:paraId="266E858F" w14:textId="77777777" w:rsidR="00513A3E" w:rsidRPr="00B104C7" w:rsidRDefault="00513A3E" w:rsidP="005659B0">
            <w:pPr>
              <w:pStyle w:val="Tabletext"/>
              <w:spacing w:before="20" w:after="20"/>
              <w:jc w:val="right"/>
              <w:rPr>
                <w:rFonts w:ascii="Arial" w:hAnsi="Arial" w:cs="Arial"/>
                <w:lang w:val="en-US"/>
              </w:rPr>
            </w:pPr>
            <w:r w:rsidRPr="00B104C7">
              <w:rPr>
                <w:rFonts w:ascii="Arial" w:hAnsi="Arial" w:cs="Arial"/>
              </w:rPr>
              <w:t>$24,848.98</w:t>
            </w:r>
          </w:p>
        </w:tc>
        <w:tc>
          <w:tcPr>
            <w:tcW w:w="1559" w:type="dxa"/>
            <w:tcBorders>
              <w:top w:val="single" w:sz="4" w:space="0" w:color="auto"/>
              <w:left w:val="nil"/>
              <w:bottom w:val="single" w:sz="8" w:space="0" w:color="auto"/>
              <w:right w:val="single" w:sz="4" w:space="0" w:color="auto"/>
            </w:tcBorders>
            <w:shd w:val="clear" w:color="auto" w:fill="auto"/>
            <w:noWrap/>
            <w:hideMark/>
          </w:tcPr>
          <w:p w14:paraId="7906883A" w14:textId="77777777" w:rsidR="00513A3E" w:rsidRPr="00B104C7" w:rsidRDefault="00513A3E" w:rsidP="005659B0">
            <w:pPr>
              <w:pStyle w:val="Tabletext"/>
              <w:spacing w:before="20" w:after="20"/>
              <w:jc w:val="right"/>
              <w:rPr>
                <w:rFonts w:ascii="Arial" w:hAnsi="Arial" w:cs="Arial"/>
                <w:lang w:val="en-US"/>
              </w:rPr>
            </w:pPr>
            <w:r w:rsidRPr="00B104C7">
              <w:rPr>
                <w:rFonts w:ascii="Arial" w:hAnsi="Arial" w:cs="Arial"/>
              </w:rPr>
              <w:t>$11,032.26</w:t>
            </w:r>
          </w:p>
        </w:tc>
        <w:tc>
          <w:tcPr>
            <w:tcW w:w="1396" w:type="dxa"/>
            <w:tcBorders>
              <w:top w:val="nil"/>
              <w:left w:val="nil"/>
              <w:bottom w:val="single" w:sz="8" w:space="0" w:color="auto"/>
              <w:right w:val="single" w:sz="4" w:space="0" w:color="auto"/>
            </w:tcBorders>
            <w:shd w:val="clear" w:color="auto" w:fill="auto"/>
            <w:noWrap/>
            <w:hideMark/>
          </w:tcPr>
          <w:p w14:paraId="0AA50BA4" w14:textId="77777777" w:rsidR="00513A3E" w:rsidRPr="00B104C7" w:rsidRDefault="00513A3E" w:rsidP="005659B0">
            <w:pPr>
              <w:pStyle w:val="Tabletext"/>
              <w:spacing w:before="20" w:after="20"/>
              <w:jc w:val="right"/>
              <w:rPr>
                <w:rFonts w:ascii="Arial" w:hAnsi="Arial" w:cs="Arial"/>
                <w:lang w:val="en-US"/>
              </w:rPr>
            </w:pPr>
            <w:r w:rsidRPr="00B104C7">
              <w:rPr>
                <w:rFonts w:ascii="Arial" w:hAnsi="Arial" w:cs="Arial"/>
              </w:rPr>
              <w:t>300.0</w:t>
            </w:r>
          </w:p>
        </w:tc>
        <w:tc>
          <w:tcPr>
            <w:tcW w:w="1439" w:type="dxa"/>
            <w:tcBorders>
              <w:top w:val="nil"/>
              <w:left w:val="nil"/>
              <w:bottom w:val="single" w:sz="8" w:space="0" w:color="auto"/>
              <w:right w:val="single" w:sz="4" w:space="0" w:color="auto"/>
            </w:tcBorders>
            <w:shd w:val="clear" w:color="auto" w:fill="auto"/>
            <w:noWrap/>
            <w:hideMark/>
          </w:tcPr>
          <w:p w14:paraId="78BC3BB6" w14:textId="77777777" w:rsidR="00513A3E" w:rsidRPr="00B104C7" w:rsidRDefault="00513A3E" w:rsidP="005659B0">
            <w:pPr>
              <w:pStyle w:val="Tabletext"/>
              <w:spacing w:before="20" w:after="20"/>
              <w:jc w:val="right"/>
              <w:rPr>
                <w:rFonts w:ascii="Arial" w:hAnsi="Arial" w:cs="Arial"/>
                <w:lang w:val="en-US"/>
              </w:rPr>
            </w:pPr>
            <w:r w:rsidRPr="00B104C7">
              <w:rPr>
                <w:rFonts w:ascii="Arial" w:hAnsi="Arial" w:cs="Arial"/>
              </w:rPr>
              <w:t>-100.8</w:t>
            </w:r>
          </w:p>
        </w:tc>
        <w:tc>
          <w:tcPr>
            <w:tcW w:w="1563" w:type="dxa"/>
            <w:tcBorders>
              <w:top w:val="single" w:sz="4" w:space="0" w:color="auto"/>
              <w:left w:val="nil"/>
              <w:bottom w:val="single" w:sz="8" w:space="0" w:color="auto"/>
              <w:right w:val="single" w:sz="4" w:space="0" w:color="auto"/>
            </w:tcBorders>
            <w:shd w:val="clear" w:color="auto" w:fill="auto"/>
            <w:noWrap/>
            <w:hideMark/>
          </w:tcPr>
          <w:p w14:paraId="684BAA9A" w14:textId="77777777" w:rsidR="00513A3E" w:rsidRPr="00B104C7" w:rsidRDefault="00513A3E" w:rsidP="005659B0">
            <w:pPr>
              <w:pStyle w:val="Tabletext"/>
              <w:spacing w:before="20" w:after="20"/>
              <w:jc w:val="right"/>
              <w:rPr>
                <w:rFonts w:ascii="Arial" w:hAnsi="Arial" w:cs="Arial"/>
                <w:lang w:val="en-US"/>
              </w:rPr>
            </w:pPr>
            <w:r w:rsidRPr="00B104C7">
              <w:rPr>
                <w:rFonts w:ascii="Arial" w:hAnsi="Arial" w:cs="Arial"/>
              </w:rPr>
              <w:t>$109.46</w:t>
            </w:r>
          </w:p>
        </w:tc>
      </w:tr>
    </w:tbl>
    <w:p w14:paraId="66FC4DE4" w14:textId="77777777" w:rsidR="00513A3E" w:rsidRPr="00B104C7" w:rsidRDefault="00513A3E" w:rsidP="00513A3E">
      <w:pPr>
        <w:pStyle w:val="Tablefootnotes"/>
        <w:rPr>
          <w:rFonts w:ascii="Arial" w:hAnsi="Arial"/>
          <w:sz w:val="16"/>
          <w:szCs w:val="16"/>
        </w:rPr>
      </w:pPr>
      <w:r w:rsidRPr="00B104C7">
        <w:rPr>
          <w:rFonts w:ascii="Arial" w:hAnsi="Arial"/>
          <w:sz w:val="16"/>
          <w:szCs w:val="16"/>
        </w:rPr>
        <w:t>Source: Calculated during the Critique</w:t>
      </w:r>
    </w:p>
    <w:p w14:paraId="78450934" w14:textId="77777777" w:rsidR="00513A3E" w:rsidRPr="00B104C7" w:rsidRDefault="00513A3E" w:rsidP="00513A3E">
      <w:pPr>
        <w:pStyle w:val="Tablefootnotes"/>
        <w:rPr>
          <w:rFonts w:ascii="Arial" w:hAnsi="Arial"/>
          <w:sz w:val="16"/>
          <w:szCs w:val="16"/>
        </w:rPr>
      </w:pPr>
      <w:r w:rsidRPr="00B104C7">
        <w:rPr>
          <w:rFonts w:ascii="Arial" w:hAnsi="Arial"/>
          <w:sz w:val="16"/>
          <w:szCs w:val="16"/>
        </w:rPr>
        <w:t xml:space="preserve">Abbreviations: APHAB, Abbreviated Profile of Hearing Aid Benefit; ICER, incremental cost-effectiveness ratio; VSB, Vibrant </w:t>
      </w:r>
      <w:proofErr w:type="spellStart"/>
      <w:r w:rsidRPr="00B104C7">
        <w:rPr>
          <w:rFonts w:ascii="Arial" w:hAnsi="Arial"/>
          <w:sz w:val="16"/>
          <w:szCs w:val="16"/>
        </w:rPr>
        <w:t>Soundbridge</w:t>
      </w:r>
      <w:proofErr w:type="spellEnd"/>
    </w:p>
    <w:p w14:paraId="0B7F06E1" w14:textId="77777777" w:rsidR="00513A3E" w:rsidRPr="00B104C7" w:rsidRDefault="00513A3E" w:rsidP="00513A3E">
      <w:pPr>
        <w:pStyle w:val="Tablefootnoteslast"/>
        <w:rPr>
          <w:rFonts w:ascii="Arial" w:hAnsi="Arial"/>
          <w:sz w:val="16"/>
          <w:szCs w:val="16"/>
        </w:rPr>
      </w:pPr>
      <w:r w:rsidRPr="00B104C7">
        <w:rPr>
          <w:rFonts w:ascii="Arial" w:hAnsi="Arial"/>
          <w:sz w:val="16"/>
          <w:szCs w:val="16"/>
        </w:rPr>
        <w:t>Notes: The APHAB Global Score is scored such that lower scores represent better outcomes. For this reason, a negative incremental score represents a relative benefit.</w:t>
      </w:r>
    </w:p>
    <w:p w14:paraId="27A76202" w14:textId="4CE5A7B8" w:rsidR="00CE7201" w:rsidRDefault="009C1976" w:rsidP="009C1976">
      <w:pPr>
        <w:pStyle w:val="NoSpacing"/>
      </w:pPr>
      <w:r>
        <w:t>Sensitivity analyses showed the base case model to be reasonably robust, with all univariate analyses resulting in a ratio of less than $50,000 per QALY.</w:t>
      </w:r>
    </w:p>
    <w:p w14:paraId="55ABDFDC" w14:textId="77777777" w:rsidR="00DD2B2C" w:rsidRDefault="00DD2B2C" w:rsidP="009C1976">
      <w:pPr>
        <w:pStyle w:val="NoSpacing"/>
      </w:pPr>
    </w:p>
    <w:p w14:paraId="58945B7B" w14:textId="3F3EEA0E" w:rsidR="00DD2B2C" w:rsidRDefault="007A5A3F" w:rsidP="00DD2B2C">
      <w:pPr>
        <w:pStyle w:val="NoSpacing"/>
      </w:pPr>
      <w:r w:rsidRPr="00D44DAB">
        <w:t xml:space="preserve">MSAC noted that </w:t>
      </w:r>
      <w:r>
        <w:t xml:space="preserve">ESC recalculated </w:t>
      </w:r>
      <w:r w:rsidRPr="00D44DAB">
        <w:t>the primary cost-utility analysis whi</w:t>
      </w:r>
      <w:r>
        <w:t xml:space="preserve">ch compared the </w:t>
      </w:r>
      <w:r w:rsidRPr="00D44DAB">
        <w:t>VSB implant to no treatment</w:t>
      </w:r>
      <w:r>
        <w:t xml:space="preserve"> </w:t>
      </w:r>
      <w:r w:rsidRPr="00D44DAB">
        <w:t xml:space="preserve">as </w:t>
      </w:r>
      <w:r>
        <w:t>shown in Table 3</w:t>
      </w:r>
      <w:r w:rsidRPr="00D44DAB">
        <w:t>.</w:t>
      </w:r>
    </w:p>
    <w:p w14:paraId="581B0E58" w14:textId="77777777" w:rsidR="007A5A3F" w:rsidRDefault="007A5A3F" w:rsidP="00DD2B2C">
      <w:pPr>
        <w:pStyle w:val="NoSpacing"/>
        <w:rPr>
          <w:sz w:val="20"/>
          <w:szCs w:val="20"/>
        </w:rPr>
      </w:pPr>
    </w:p>
    <w:p w14:paraId="045ACA4C" w14:textId="24132223" w:rsidR="007A5A3F" w:rsidRPr="00B104C7" w:rsidRDefault="007A5A3F" w:rsidP="007A5A3F">
      <w:pPr>
        <w:pStyle w:val="Caption"/>
        <w:spacing w:after="0"/>
        <w:rPr>
          <w:rFonts w:ascii="Arial" w:hAnsi="Arial" w:cs="Arial"/>
          <w:color w:val="auto"/>
          <w:sz w:val="20"/>
          <w:szCs w:val="20"/>
          <w:lang w:val="en-GB"/>
        </w:rPr>
      </w:pPr>
      <w:r w:rsidRPr="00B104C7">
        <w:rPr>
          <w:rFonts w:ascii="Arial" w:hAnsi="Arial" w:cs="Arial"/>
          <w:color w:val="auto"/>
          <w:sz w:val="20"/>
          <w:szCs w:val="20"/>
        </w:rPr>
        <w:t xml:space="preserve">Table </w:t>
      </w:r>
      <w:r>
        <w:rPr>
          <w:rFonts w:ascii="Arial" w:hAnsi="Arial" w:cs="Arial"/>
          <w:color w:val="auto"/>
          <w:sz w:val="20"/>
          <w:szCs w:val="20"/>
        </w:rPr>
        <w:t>3</w:t>
      </w:r>
      <w:r w:rsidRPr="00B104C7">
        <w:rPr>
          <w:rFonts w:ascii="Arial" w:hAnsi="Arial" w:cs="Arial"/>
          <w:color w:val="auto"/>
          <w:sz w:val="20"/>
          <w:szCs w:val="20"/>
        </w:rPr>
        <w:t xml:space="preserve">: </w:t>
      </w:r>
      <w:r w:rsidRPr="00B104C7">
        <w:rPr>
          <w:rFonts w:ascii="Arial" w:hAnsi="Arial" w:cs="Arial"/>
          <w:color w:val="auto"/>
          <w:sz w:val="20"/>
          <w:szCs w:val="20"/>
          <w:lang w:val="en-GB"/>
        </w:rPr>
        <w:t>Base case results comparing VSB versus No intervention</w:t>
      </w:r>
    </w:p>
    <w:tbl>
      <w:tblPr>
        <w:tblW w:w="0" w:type="auto"/>
        <w:tblInd w:w="144" w:type="dxa"/>
        <w:tblLayout w:type="fixed"/>
        <w:tblCellMar>
          <w:left w:w="0" w:type="dxa"/>
          <w:right w:w="0" w:type="dxa"/>
        </w:tblCellMar>
        <w:tblLook w:val="0420" w:firstRow="1" w:lastRow="0" w:firstColumn="0" w:lastColumn="0" w:noHBand="0" w:noVBand="1"/>
      </w:tblPr>
      <w:tblGrid>
        <w:gridCol w:w="1560"/>
        <w:gridCol w:w="1134"/>
        <w:gridCol w:w="1417"/>
        <w:gridCol w:w="1217"/>
        <w:gridCol w:w="1477"/>
        <w:gridCol w:w="1417"/>
      </w:tblGrid>
      <w:tr w:rsidR="00DD2B2C" w:rsidRPr="007A5A3F" w14:paraId="50E53A29" w14:textId="77777777" w:rsidTr="00985677">
        <w:trPr>
          <w:trHeight w:val="513"/>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490A5A6" w14:textId="77777777" w:rsidR="00DD2B2C" w:rsidRPr="00985677" w:rsidRDefault="00DD2B2C" w:rsidP="001859F2">
            <w:pPr>
              <w:rPr>
                <w:rFonts w:ascii="Arial" w:hAnsi="Arial" w:cs="Arial"/>
                <w:sz w:val="20"/>
              </w:rPr>
            </w:pPr>
            <w:r w:rsidRPr="00985677">
              <w:rPr>
                <w:rFonts w:ascii="Arial" w:hAnsi="Arial" w:cs="Arial"/>
                <w:b/>
                <w:bCs/>
                <w:color w:val="000000" w:themeColor="text1"/>
                <w:kern w:val="24"/>
                <w:sz w:val="20"/>
              </w:rPr>
              <w:t>Intervention</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C2FA11A" w14:textId="77777777" w:rsidR="00DD2B2C" w:rsidRPr="00985677" w:rsidRDefault="00DD2B2C" w:rsidP="001859F2">
            <w:pPr>
              <w:rPr>
                <w:rFonts w:ascii="Arial" w:hAnsi="Arial" w:cs="Arial"/>
                <w:sz w:val="20"/>
              </w:rPr>
            </w:pPr>
            <w:r w:rsidRPr="00985677">
              <w:rPr>
                <w:rFonts w:ascii="Arial" w:hAnsi="Arial" w:cs="Arial"/>
                <w:b/>
                <w:bCs/>
                <w:color w:val="000000" w:themeColor="text1"/>
                <w:kern w:val="24"/>
                <w:sz w:val="20"/>
              </w:rPr>
              <w:t>Total cost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A444D71" w14:textId="77777777" w:rsidR="00DD2B2C" w:rsidRPr="00985677" w:rsidRDefault="00DD2B2C" w:rsidP="001859F2">
            <w:pPr>
              <w:rPr>
                <w:rFonts w:ascii="Arial" w:hAnsi="Arial" w:cs="Arial"/>
                <w:sz w:val="20"/>
              </w:rPr>
            </w:pPr>
            <w:r w:rsidRPr="00985677">
              <w:rPr>
                <w:rFonts w:ascii="Arial" w:hAnsi="Arial" w:cs="Arial"/>
                <w:b/>
                <w:bCs/>
                <w:color w:val="000000" w:themeColor="text1"/>
                <w:kern w:val="24"/>
                <w:sz w:val="20"/>
              </w:rPr>
              <w:t>Incremental</w:t>
            </w:r>
          </w:p>
          <w:p w14:paraId="095BD094" w14:textId="77777777" w:rsidR="00DD2B2C" w:rsidRPr="00985677" w:rsidRDefault="00DD2B2C" w:rsidP="001859F2">
            <w:pPr>
              <w:rPr>
                <w:rFonts w:ascii="Arial" w:hAnsi="Arial" w:cs="Arial"/>
                <w:sz w:val="20"/>
              </w:rPr>
            </w:pPr>
            <w:r w:rsidRPr="00985677">
              <w:rPr>
                <w:rFonts w:ascii="Arial" w:hAnsi="Arial" w:cs="Arial"/>
                <w:b/>
                <w:bCs/>
                <w:color w:val="000000" w:themeColor="text1"/>
                <w:kern w:val="24"/>
                <w:sz w:val="20"/>
              </w:rPr>
              <w:t>cost</w:t>
            </w:r>
          </w:p>
        </w:tc>
        <w:tc>
          <w:tcPr>
            <w:tcW w:w="121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25D8027" w14:textId="77777777" w:rsidR="00DD2B2C" w:rsidRPr="00985677" w:rsidRDefault="00DD2B2C" w:rsidP="001859F2">
            <w:pPr>
              <w:rPr>
                <w:rFonts w:ascii="Arial" w:hAnsi="Arial" w:cs="Arial"/>
                <w:sz w:val="20"/>
              </w:rPr>
            </w:pPr>
            <w:r w:rsidRPr="00985677">
              <w:rPr>
                <w:rFonts w:ascii="Arial" w:hAnsi="Arial" w:cs="Arial"/>
                <w:b/>
                <w:bCs/>
                <w:color w:val="000000" w:themeColor="text1"/>
                <w:kern w:val="24"/>
                <w:sz w:val="20"/>
              </w:rPr>
              <w:t>QALYs</w:t>
            </w:r>
          </w:p>
        </w:tc>
        <w:tc>
          <w:tcPr>
            <w:tcW w:w="14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80A2F75" w14:textId="77777777" w:rsidR="00DD2B2C" w:rsidRPr="00985677" w:rsidRDefault="00DD2B2C" w:rsidP="001859F2">
            <w:pPr>
              <w:rPr>
                <w:rFonts w:ascii="Arial" w:hAnsi="Arial" w:cs="Arial"/>
                <w:sz w:val="20"/>
              </w:rPr>
            </w:pPr>
            <w:r w:rsidRPr="00985677">
              <w:rPr>
                <w:rFonts w:ascii="Arial" w:hAnsi="Arial" w:cs="Arial"/>
                <w:b/>
                <w:bCs/>
                <w:color w:val="000000" w:themeColor="text1"/>
                <w:kern w:val="24"/>
                <w:sz w:val="20"/>
              </w:rPr>
              <w:t>Incremental QALYs</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9CB8CCC" w14:textId="77777777" w:rsidR="00DD2B2C" w:rsidRPr="00985677" w:rsidRDefault="00DD2B2C" w:rsidP="001859F2">
            <w:pPr>
              <w:rPr>
                <w:rFonts w:ascii="Arial" w:hAnsi="Arial" w:cs="Arial"/>
                <w:sz w:val="20"/>
              </w:rPr>
            </w:pPr>
            <w:r w:rsidRPr="00985677">
              <w:rPr>
                <w:rFonts w:ascii="Arial" w:hAnsi="Arial" w:cs="Arial"/>
                <w:b/>
                <w:bCs/>
                <w:color w:val="000000" w:themeColor="text1"/>
                <w:kern w:val="24"/>
                <w:sz w:val="20"/>
              </w:rPr>
              <w:t>ICER ($/QALY)</w:t>
            </w:r>
          </w:p>
        </w:tc>
      </w:tr>
      <w:tr w:rsidR="00DD2B2C" w:rsidRPr="007A5A3F" w14:paraId="6359BED5" w14:textId="77777777" w:rsidTr="00985677">
        <w:trPr>
          <w:trHeight w:val="402"/>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4F51EC0" w14:textId="77777777" w:rsidR="00DD2B2C" w:rsidRPr="00985677" w:rsidRDefault="00DD2B2C" w:rsidP="001859F2">
            <w:pPr>
              <w:rPr>
                <w:rFonts w:ascii="Arial" w:hAnsi="Arial" w:cs="Arial"/>
                <w:sz w:val="20"/>
              </w:rPr>
            </w:pPr>
            <w:r w:rsidRPr="00985677">
              <w:rPr>
                <w:rFonts w:ascii="Arial" w:hAnsi="Arial" w:cs="Arial"/>
                <w:color w:val="000000" w:themeColor="text1"/>
                <w:kern w:val="24"/>
                <w:sz w:val="20"/>
              </w:rPr>
              <w:t xml:space="preserve">No treatment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AA955C9" w14:textId="77777777" w:rsidR="00DD2B2C" w:rsidRPr="00985677" w:rsidRDefault="00DD2B2C" w:rsidP="001859F2">
            <w:pPr>
              <w:jc w:val="center"/>
              <w:rPr>
                <w:rFonts w:ascii="Arial" w:hAnsi="Arial" w:cs="Arial"/>
                <w:sz w:val="20"/>
              </w:rPr>
            </w:pPr>
            <w:r w:rsidRPr="00985677">
              <w:rPr>
                <w:rFonts w:ascii="Arial" w:hAnsi="Arial" w:cs="Arial"/>
                <w:color w:val="000000" w:themeColor="text1"/>
                <w:kern w:val="24"/>
                <w:sz w:val="20"/>
              </w:rPr>
              <w:t>$1,441</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D4CD609" w14:textId="77777777" w:rsidR="00DD2B2C" w:rsidRPr="00985677" w:rsidRDefault="00DD2B2C" w:rsidP="001859F2">
            <w:pPr>
              <w:jc w:val="center"/>
              <w:rPr>
                <w:rFonts w:ascii="Arial" w:hAnsi="Arial" w:cs="Arial"/>
                <w:color w:val="000000" w:themeColor="text1"/>
                <w:kern w:val="24"/>
                <w:sz w:val="20"/>
              </w:rPr>
            </w:pPr>
          </w:p>
          <w:p w14:paraId="67BC0530" w14:textId="77777777" w:rsidR="00DD2B2C" w:rsidRPr="00985677" w:rsidRDefault="00DD2B2C" w:rsidP="001859F2">
            <w:pPr>
              <w:jc w:val="center"/>
              <w:rPr>
                <w:rFonts w:ascii="Arial" w:hAnsi="Arial" w:cs="Arial"/>
                <w:color w:val="000000" w:themeColor="text1"/>
                <w:kern w:val="24"/>
                <w:sz w:val="20"/>
              </w:rPr>
            </w:pPr>
          </w:p>
          <w:p w14:paraId="331FEE2F" w14:textId="77777777" w:rsidR="00DD2B2C" w:rsidRPr="00985677" w:rsidRDefault="00DD2B2C" w:rsidP="001859F2">
            <w:pPr>
              <w:jc w:val="center"/>
              <w:rPr>
                <w:rFonts w:ascii="Arial" w:hAnsi="Arial" w:cs="Arial"/>
                <w:sz w:val="20"/>
              </w:rPr>
            </w:pPr>
            <w:r w:rsidRPr="00985677">
              <w:rPr>
                <w:rFonts w:ascii="Arial" w:hAnsi="Arial" w:cs="Arial"/>
                <w:color w:val="000000" w:themeColor="text1"/>
                <w:kern w:val="24"/>
                <w:sz w:val="20"/>
              </w:rPr>
              <w:t>22,175</w:t>
            </w:r>
          </w:p>
        </w:tc>
        <w:tc>
          <w:tcPr>
            <w:tcW w:w="121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B01628E" w14:textId="77777777" w:rsidR="00DD2B2C" w:rsidRPr="00985677" w:rsidRDefault="00DD2B2C" w:rsidP="001859F2">
            <w:pPr>
              <w:jc w:val="center"/>
              <w:rPr>
                <w:rFonts w:ascii="Arial" w:hAnsi="Arial" w:cs="Arial"/>
                <w:sz w:val="20"/>
              </w:rPr>
            </w:pPr>
            <w:r w:rsidRPr="00985677">
              <w:rPr>
                <w:rFonts w:ascii="Arial" w:hAnsi="Arial" w:cs="Arial"/>
                <w:color w:val="000000" w:themeColor="text1"/>
                <w:kern w:val="24"/>
                <w:sz w:val="20"/>
              </w:rPr>
              <w:t>3.68</w:t>
            </w:r>
          </w:p>
        </w:tc>
        <w:tc>
          <w:tcPr>
            <w:tcW w:w="14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F2EC77D" w14:textId="77777777" w:rsidR="00DD2B2C" w:rsidRPr="00985677" w:rsidRDefault="00DD2B2C" w:rsidP="001859F2">
            <w:pPr>
              <w:jc w:val="center"/>
              <w:rPr>
                <w:rFonts w:ascii="Arial" w:hAnsi="Arial" w:cs="Arial"/>
                <w:color w:val="000000" w:themeColor="text1"/>
                <w:kern w:val="24"/>
                <w:sz w:val="20"/>
              </w:rPr>
            </w:pPr>
          </w:p>
          <w:p w14:paraId="30A7E173" w14:textId="77777777" w:rsidR="00DD2B2C" w:rsidRPr="00985677" w:rsidRDefault="00DD2B2C" w:rsidP="001859F2">
            <w:pPr>
              <w:jc w:val="center"/>
              <w:rPr>
                <w:rFonts w:ascii="Arial" w:hAnsi="Arial" w:cs="Arial"/>
                <w:color w:val="000000" w:themeColor="text1"/>
                <w:kern w:val="24"/>
                <w:sz w:val="20"/>
              </w:rPr>
            </w:pPr>
          </w:p>
          <w:p w14:paraId="3380C6DB" w14:textId="77777777" w:rsidR="00DD2B2C" w:rsidRPr="00985677" w:rsidRDefault="00DD2B2C" w:rsidP="001859F2">
            <w:pPr>
              <w:jc w:val="center"/>
              <w:rPr>
                <w:rFonts w:ascii="Arial" w:hAnsi="Arial" w:cs="Arial"/>
                <w:sz w:val="20"/>
              </w:rPr>
            </w:pPr>
            <w:r w:rsidRPr="00985677">
              <w:rPr>
                <w:rFonts w:ascii="Arial" w:hAnsi="Arial" w:cs="Arial"/>
                <w:color w:val="000000" w:themeColor="text1"/>
                <w:kern w:val="24"/>
                <w:sz w:val="20"/>
              </w:rPr>
              <w:t>0.58</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E597D5F" w14:textId="77777777" w:rsidR="00DD2B2C" w:rsidRPr="00985677" w:rsidRDefault="00DD2B2C" w:rsidP="001859F2">
            <w:pPr>
              <w:jc w:val="center"/>
              <w:rPr>
                <w:rFonts w:ascii="Arial" w:hAnsi="Arial" w:cs="Arial"/>
                <w:b/>
                <w:bCs/>
                <w:color w:val="000000" w:themeColor="text1"/>
                <w:kern w:val="24"/>
                <w:sz w:val="20"/>
              </w:rPr>
            </w:pPr>
          </w:p>
          <w:p w14:paraId="7A2BA017" w14:textId="77777777" w:rsidR="00DD2B2C" w:rsidRPr="00985677" w:rsidRDefault="00DD2B2C" w:rsidP="001859F2">
            <w:pPr>
              <w:jc w:val="center"/>
              <w:rPr>
                <w:rFonts w:ascii="Arial" w:hAnsi="Arial" w:cs="Arial"/>
                <w:b/>
                <w:bCs/>
                <w:color w:val="000000" w:themeColor="text1"/>
                <w:kern w:val="24"/>
                <w:sz w:val="20"/>
              </w:rPr>
            </w:pPr>
          </w:p>
          <w:p w14:paraId="76A998D9" w14:textId="77777777" w:rsidR="00DD2B2C" w:rsidRPr="00985677" w:rsidRDefault="00DD2B2C" w:rsidP="001859F2">
            <w:pPr>
              <w:jc w:val="center"/>
              <w:rPr>
                <w:rFonts w:ascii="Arial" w:hAnsi="Arial" w:cs="Arial"/>
                <w:sz w:val="20"/>
              </w:rPr>
            </w:pPr>
            <w:r w:rsidRPr="00985677">
              <w:rPr>
                <w:rFonts w:ascii="Arial" w:hAnsi="Arial" w:cs="Arial"/>
                <w:b/>
                <w:bCs/>
                <w:color w:val="000000" w:themeColor="text1"/>
                <w:kern w:val="24"/>
                <w:sz w:val="20"/>
              </w:rPr>
              <w:t>37,963.98</w:t>
            </w:r>
          </w:p>
        </w:tc>
      </w:tr>
      <w:tr w:rsidR="00DD2B2C" w:rsidRPr="007A5A3F" w14:paraId="7226E10B" w14:textId="77777777" w:rsidTr="00985677">
        <w:trPr>
          <w:trHeight w:val="418"/>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4FAD0EB" w14:textId="77777777" w:rsidR="00DD2B2C" w:rsidRPr="00985677" w:rsidRDefault="00DD2B2C" w:rsidP="001859F2">
            <w:pPr>
              <w:rPr>
                <w:rFonts w:ascii="Arial" w:hAnsi="Arial" w:cs="Arial"/>
                <w:sz w:val="20"/>
              </w:rPr>
            </w:pPr>
            <w:r w:rsidRPr="00985677">
              <w:rPr>
                <w:rFonts w:ascii="Arial" w:hAnsi="Arial" w:cs="Arial"/>
                <w:color w:val="000000" w:themeColor="text1"/>
                <w:kern w:val="24"/>
                <w:sz w:val="20"/>
              </w:rPr>
              <w:t>VSB</w:t>
            </w:r>
          </w:p>
          <w:p w14:paraId="252D6B30" w14:textId="77777777" w:rsidR="00DD2B2C" w:rsidRPr="00985677" w:rsidRDefault="00DD2B2C" w:rsidP="001859F2">
            <w:pPr>
              <w:rPr>
                <w:rFonts w:ascii="Arial" w:hAnsi="Arial" w:cs="Arial"/>
                <w:sz w:val="20"/>
              </w:rPr>
            </w:pPr>
            <w:r w:rsidRPr="00985677">
              <w:rPr>
                <w:rFonts w:ascii="Arial" w:hAnsi="Arial" w:cs="Arial"/>
                <w:color w:val="000000" w:themeColor="text1"/>
                <w:kern w:val="24"/>
                <w:sz w:val="20"/>
              </w:rPr>
              <w:t>implantation</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A75E388" w14:textId="77777777" w:rsidR="00DD2B2C" w:rsidRPr="00985677" w:rsidRDefault="00DD2B2C" w:rsidP="001859F2">
            <w:pPr>
              <w:jc w:val="center"/>
              <w:rPr>
                <w:rFonts w:ascii="Arial" w:hAnsi="Arial" w:cs="Arial"/>
                <w:sz w:val="20"/>
              </w:rPr>
            </w:pPr>
            <w:r w:rsidRPr="00985677">
              <w:rPr>
                <w:rFonts w:ascii="Arial" w:hAnsi="Arial" w:cs="Arial"/>
                <w:color w:val="000000" w:themeColor="text1"/>
                <w:kern w:val="24"/>
                <w:sz w:val="20"/>
              </w:rPr>
              <w:t>$23,616</w:t>
            </w: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77A6C31A" w14:textId="77777777" w:rsidR="00DD2B2C" w:rsidRPr="00985677" w:rsidRDefault="00DD2B2C" w:rsidP="001859F2">
            <w:pPr>
              <w:rPr>
                <w:rFonts w:ascii="Arial" w:hAnsi="Arial" w:cs="Arial"/>
                <w:sz w:val="20"/>
              </w:rPr>
            </w:pPr>
          </w:p>
        </w:tc>
        <w:tc>
          <w:tcPr>
            <w:tcW w:w="121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397AF76" w14:textId="77777777" w:rsidR="00DD2B2C" w:rsidRPr="00985677" w:rsidRDefault="00DD2B2C" w:rsidP="001859F2">
            <w:pPr>
              <w:jc w:val="center"/>
              <w:rPr>
                <w:rFonts w:ascii="Arial" w:hAnsi="Arial" w:cs="Arial"/>
                <w:sz w:val="20"/>
              </w:rPr>
            </w:pPr>
            <w:r w:rsidRPr="00985677">
              <w:rPr>
                <w:rFonts w:ascii="Arial" w:hAnsi="Arial" w:cs="Arial"/>
                <w:color w:val="000000" w:themeColor="text1"/>
                <w:kern w:val="24"/>
                <w:sz w:val="20"/>
              </w:rPr>
              <w:t>4.26</w:t>
            </w:r>
          </w:p>
        </w:tc>
        <w:tc>
          <w:tcPr>
            <w:tcW w:w="1477" w:type="dxa"/>
            <w:vMerge/>
            <w:tcBorders>
              <w:top w:val="single" w:sz="8" w:space="0" w:color="000000"/>
              <w:left w:val="single" w:sz="8" w:space="0" w:color="000000"/>
              <w:bottom w:val="single" w:sz="8" w:space="0" w:color="000000"/>
              <w:right w:val="single" w:sz="8" w:space="0" w:color="000000"/>
            </w:tcBorders>
            <w:vAlign w:val="center"/>
            <w:hideMark/>
          </w:tcPr>
          <w:p w14:paraId="7D3314CF" w14:textId="77777777" w:rsidR="00DD2B2C" w:rsidRPr="00985677" w:rsidRDefault="00DD2B2C" w:rsidP="001859F2">
            <w:pPr>
              <w:rPr>
                <w:rFonts w:ascii="Arial" w:hAnsi="Arial" w:cs="Arial"/>
                <w:sz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2BB24C53" w14:textId="77777777" w:rsidR="00DD2B2C" w:rsidRPr="00985677" w:rsidRDefault="00DD2B2C" w:rsidP="001859F2">
            <w:pPr>
              <w:rPr>
                <w:rFonts w:ascii="Arial" w:hAnsi="Arial" w:cs="Arial"/>
                <w:sz w:val="20"/>
              </w:rPr>
            </w:pPr>
          </w:p>
        </w:tc>
      </w:tr>
    </w:tbl>
    <w:p w14:paraId="6FFA538D" w14:textId="7642D614" w:rsidR="007A5A3F" w:rsidRPr="00B104C7" w:rsidRDefault="007A5A3F" w:rsidP="007A5A3F">
      <w:pPr>
        <w:pStyle w:val="Tablefootnotes"/>
        <w:rPr>
          <w:rFonts w:ascii="Arial" w:hAnsi="Arial"/>
          <w:sz w:val="16"/>
          <w:szCs w:val="16"/>
        </w:rPr>
      </w:pPr>
      <w:r w:rsidRPr="00B104C7">
        <w:rPr>
          <w:rFonts w:ascii="Arial" w:hAnsi="Arial"/>
          <w:sz w:val="16"/>
          <w:szCs w:val="16"/>
        </w:rPr>
        <w:t xml:space="preserve">Source: Calculated </w:t>
      </w:r>
      <w:r>
        <w:rPr>
          <w:rFonts w:ascii="Arial" w:hAnsi="Arial"/>
          <w:sz w:val="16"/>
          <w:szCs w:val="16"/>
        </w:rPr>
        <w:t>by ESC</w:t>
      </w:r>
    </w:p>
    <w:p w14:paraId="2160198F" w14:textId="057642BE" w:rsidR="00CE7201" w:rsidRDefault="00CE7201">
      <w:pPr>
        <w:rPr>
          <w:szCs w:val="24"/>
          <w:lang w:eastAsia="en-US"/>
        </w:rPr>
      </w:pPr>
    </w:p>
    <w:p w14:paraId="673B9A09" w14:textId="77777777" w:rsidR="00BC1364" w:rsidRDefault="00BC1364" w:rsidP="007B32D1">
      <w:pPr>
        <w:pStyle w:val="Heading1"/>
        <w:numPr>
          <w:ilvl w:val="0"/>
          <w:numId w:val="23"/>
        </w:numPr>
        <w:ind w:hanging="720"/>
      </w:pPr>
      <w:r w:rsidRPr="008D5885">
        <w:t>Financial/budgetary impacts</w:t>
      </w:r>
    </w:p>
    <w:p w14:paraId="74912C13" w14:textId="77777777" w:rsidR="00BC1364" w:rsidRDefault="00BC1364" w:rsidP="00D340DE">
      <w:pPr>
        <w:pStyle w:val="Default"/>
      </w:pPr>
    </w:p>
    <w:p w14:paraId="7859FA7A" w14:textId="5519B39B" w:rsidR="00A40DF9" w:rsidRDefault="00A40DF9">
      <w:r w:rsidRPr="009A1A2E">
        <w:t xml:space="preserve">The </w:t>
      </w:r>
      <w:r>
        <w:t>estimated</w:t>
      </w:r>
      <w:r w:rsidRPr="009A1A2E">
        <w:t xml:space="preserve"> </w:t>
      </w:r>
      <w:r>
        <w:t xml:space="preserve">service </w:t>
      </w:r>
      <w:r w:rsidRPr="009A1A2E">
        <w:t>numbers associated with the inse</w:t>
      </w:r>
      <w:r>
        <w:t>rtion of partially implantable middle ear i</w:t>
      </w:r>
      <w:r w:rsidRPr="009A1A2E">
        <w:t>mplants in 201</w:t>
      </w:r>
      <w:r>
        <w:t>7</w:t>
      </w:r>
      <w:r w:rsidRPr="009A1A2E">
        <w:t>–202</w:t>
      </w:r>
      <w:r>
        <w:t>1</w:t>
      </w:r>
      <w:r w:rsidRPr="009A1A2E">
        <w:t xml:space="preserve"> are </w:t>
      </w:r>
      <w:r>
        <w:t xml:space="preserve">shown in Table </w:t>
      </w:r>
      <w:r w:rsidR="007B0FF1">
        <w:t>4</w:t>
      </w:r>
      <w:r w:rsidRPr="009A1A2E">
        <w:t>.</w:t>
      </w:r>
    </w:p>
    <w:p w14:paraId="2FA7B2FA" w14:textId="77777777" w:rsidR="005659B0" w:rsidRDefault="005659B0" w:rsidP="00B104C7">
      <w:pPr>
        <w:pStyle w:val="Caption"/>
        <w:spacing w:after="0"/>
        <w:rPr>
          <w:rFonts w:ascii="Arial" w:hAnsi="Arial" w:cs="Arial"/>
          <w:color w:val="auto"/>
          <w:sz w:val="20"/>
          <w:szCs w:val="20"/>
        </w:rPr>
      </w:pPr>
      <w:bookmarkStart w:id="5" w:name="_Ref430941316"/>
      <w:bookmarkStart w:id="6" w:name="_Toc431917521"/>
    </w:p>
    <w:p w14:paraId="36718AF9" w14:textId="77777777" w:rsidR="007A5A3F" w:rsidRDefault="007A5A3F">
      <w:pPr>
        <w:rPr>
          <w:rFonts w:ascii="Arial" w:hAnsi="Arial" w:cs="Arial"/>
          <w:b/>
          <w:bCs/>
          <w:sz w:val="20"/>
        </w:rPr>
      </w:pPr>
      <w:r>
        <w:rPr>
          <w:rFonts w:ascii="Arial" w:hAnsi="Arial" w:cs="Arial"/>
          <w:sz w:val="20"/>
        </w:rPr>
        <w:br w:type="page"/>
      </w:r>
    </w:p>
    <w:p w14:paraId="3C163FB1" w14:textId="560C2FC0" w:rsidR="005659B0" w:rsidRPr="00B104C7" w:rsidRDefault="005659B0" w:rsidP="00B104C7">
      <w:pPr>
        <w:pStyle w:val="Caption"/>
        <w:spacing w:after="0"/>
        <w:rPr>
          <w:rFonts w:ascii="Arial" w:hAnsi="Arial" w:cs="Arial"/>
          <w:color w:val="auto"/>
          <w:sz w:val="20"/>
          <w:szCs w:val="20"/>
        </w:rPr>
      </w:pPr>
      <w:r w:rsidRPr="00B104C7">
        <w:rPr>
          <w:rFonts w:ascii="Arial" w:hAnsi="Arial" w:cs="Arial"/>
          <w:color w:val="auto"/>
          <w:sz w:val="20"/>
          <w:szCs w:val="20"/>
        </w:rPr>
        <w:lastRenderedPageBreak/>
        <w:t xml:space="preserve">Table </w:t>
      </w:r>
      <w:bookmarkEnd w:id="5"/>
      <w:r w:rsidR="007B0FF1">
        <w:rPr>
          <w:rFonts w:ascii="Arial" w:hAnsi="Arial" w:cs="Arial"/>
          <w:color w:val="auto"/>
          <w:sz w:val="20"/>
          <w:szCs w:val="20"/>
        </w:rPr>
        <w:t>4</w:t>
      </w:r>
      <w:r>
        <w:rPr>
          <w:rFonts w:ascii="Arial" w:hAnsi="Arial" w:cs="Arial"/>
          <w:color w:val="auto"/>
          <w:sz w:val="20"/>
          <w:szCs w:val="20"/>
        </w:rPr>
        <w:t>:</w:t>
      </w:r>
      <w:r w:rsidRPr="00B104C7">
        <w:rPr>
          <w:rFonts w:ascii="Arial" w:hAnsi="Arial" w:cs="Arial"/>
          <w:color w:val="auto"/>
          <w:sz w:val="20"/>
          <w:szCs w:val="20"/>
        </w:rPr>
        <w:t xml:space="preserve"> Estimated eligible population of patients</w:t>
      </w:r>
      <w:bookmarkEnd w:id="6"/>
    </w:p>
    <w:tbl>
      <w:tblPr>
        <w:tblW w:w="9200" w:type="dxa"/>
        <w:jc w:val="center"/>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1171"/>
        <w:gridCol w:w="1275"/>
        <w:gridCol w:w="1218"/>
        <w:gridCol w:w="1106"/>
        <w:gridCol w:w="1188"/>
        <w:gridCol w:w="1106"/>
      </w:tblGrid>
      <w:tr w:rsidR="005659B0" w:rsidRPr="005659B0" w14:paraId="334E71C6" w14:textId="77777777" w:rsidTr="00B104C7">
        <w:trPr>
          <w:trHeight w:val="555"/>
          <w:jc w:val="center"/>
        </w:trPr>
        <w:tc>
          <w:tcPr>
            <w:tcW w:w="2132" w:type="dxa"/>
            <w:shd w:val="clear" w:color="auto" w:fill="auto"/>
            <w:vAlign w:val="center"/>
            <w:hideMark/>
          </w:tcPr>
          <w:p w14:paraId="6F71CEE1" w14:textId="77777777" w:rsidR="005659B0" w:rsidRPr="00B104C7" w:rsidRDefault="005659B0">
            <w:pPr>
              <w:rPr>
                <w:rFonts w:ascii="Arial" w:hAnsi="Arial" w:cs="Arial"/>
                <w:b/>
                <w:bCs/>
                <w:color w:val="000000"/>
                <w:sz w:val="20"/>
                <w:lang w:val="en-US" w:eastAsia="en-US"/>
              </w:rPr>
            </w:pPr>
            <w:r w:rsidRPr="00B104C7">
              <w:rPr>
                <w:rFonts w:ascii="Arial" w:hAnsi="Arial" w:cs="Arial"/>
                <w:b/>
                <w:bCs/>
                <w:color w:val="000000"/>
                <w:sz w:val="20"/>
                <w:lang w:val="en-US" w:eastAsia="en-US"/>
              </w:rPr>
              <w:t>Description</w:t>
            </w:r>
          </w:p>
        </w:tc>
        <w:tc>
          <w:tcPr>
            <w:tcW w:w="1171" w:type="dxa"/>
            <w:shd w:val="clear" w:color="auto" w:fill="auto"/>
            <w:vAlign w:val="center"/>
            <w:hideMark/>
          </w:tcPr>
          <w:p w14:paraId="205FB856" w14:textId="77777777" w:rsidR="005659B0" w:rsidRPr="00B104C7" w:rsidRDefault="005659B0">
            <w:pPr>
              <w:jc w:val="center"/>
              <w:rPr>
                <w:rFonts w:ascii="Arial" w:hAnsi="Arial" w:cs="Arial"/>
                <w:b/>
                <w:bCs/>
                <w:color w:val="000000"/>
                <w:sz w:val="20"/>
                <w:lang w:val="en-US" w:eastAsia="en-US"/>
              </w:rPr>
            </w:pPr>
            <w:r w:rsidRPr="00B104C7">
              <w:rPr>
                <w:rFonts w:ascii="Arial" w:hAnsi="Arial" w:cs="Arial"/>
                <w:b/>
                <w:bCs/>
                <w:color w:val="000000"/>
                <w:sz w:val="20"/>
                <w:lang w:val="en-US" w:eastAsia="en-US"/>
              </w:rPr>
              <w:t>current (2016)</w:t>
            </w:r>
          </w:p>
        </w:tc>
        <w:tc>
          <w:tcPr>
            <w:tcW w:w="1275" w:type="dxa"/>
            <w:shd w:val="clear" w:color="auto" w:fill="auto"/>
            <w:vAlign w:val="center"/>
            <w:hideMark/>
          </w:tcPr>
          <w:p w14:paraId="132F819A" w14:textId="77777777" w:rsidR="005659B0" w:rsidRPr="00B104C7" w:rsidRDefault="005659B0">
            <w:pPr>
              <w:jc w:val="center"/>
              <w:rPr>
                <w:rFonts w:ascii="Arial" w:hAnsi="Arial" w:cs="Arial"/>
                <w:b/>
                <w:bCs/>
                <w:color w:val="000000"/>
                <w:sz w:val="20"/>
                <w:lang w:val="en-US" w:eastAsia="en-US"/>
              </w:rPr>
            </w:pPr>
            <w:r w:rsidRPr="00B104C7">
              <w:rPr>
                <w:rFonts w:ascii="Arial" w:hAnsi="Arial" w:cs="Arial"/>
                <w:b/>
                <w:bCs/>
                <w:color w:val="000000"/>
                <w:sz w:val="20"/>
                <w:lang w:val="en-US" w:eastAsia="en-US"/>
              </w:rPr>
              <w:t>2017</w:t>
            </w:r>
          </w:p>
        </w:tc>
        <w:tc>
          <w:tcPr>
            <w:tcW w:w="1218" w:type="dxa"/>
            <w:shd w:val="clear" w:color="auto" w:fill="auto"/>
            <w:vAlign w:val="center"/>
            <w:hideMark/>
          </w:tcPr>
          <w:p w14:paraId="208BB9ED" w14:textId="77777777" w:rsidR="005659B0" w:rsidRPr="00B104C7" w:rsidRDefault="005659B0">
            <w:pPr>
              <w:jc w:val="center"/>
              <w:rPr>
                <w:rFonts w:ascii="Arial" w:hAnsi="Arial" w:cs="Arial"/>
                <w:b/>
                <w:bCs/>
                <w:color w:val="000000"/>
                <w:sz w:val="20"/>
                <w:lang w:val="en-US" w:eastAsia="en-US"/>
              </w:rPr>
            </w:pPr>
            <w:r w:rsidRPr="00B104C7">
              <w:rPr>
                <w:rFonts w:ascii="Arial" w:hAnsi="Arial" w:cs="Arial"/>
                <w:b/>
                <w:bCs/>
                <w:color w:val="000000"/>
                <w:sz w:val="20"/>
                <w:lang w:val="en-US" w:eastAsia="en-US"/>
              </w:rPr>
              <w:t>2018</w:t>
            </w:r>
          </w:p>
        </w:tc>
        <w:tc>
          <w:tcPr>
            <w:tcW w:w="1106" w:type="dxa"/>
            <w:shd w:val="clear" w:color="auto" w:fill="auto"/>
            <w:vAlign w:val="center"/>
            <w:hideMark/>
          </w:tcPr>
          <w:p w14:paraId="2B688FCB" w14:textId="77777777" w:rsidR="005659B0" w:rsidRPr="00B104C7" w:rsidRDefault="005659B0">
            <w:pPr>
              <w:jc w:val="center"/>
              <w:rPr>
                <w:rFonts w:ascii="Arial" w:hAnsi="Arial" w:cs="Arial"/>
                <w:b/>
                <w:bCs/>
                <w:color w:val="000000"/>
                <w:sz w:val="20"/>
                <w:lang w:val="en-US" w:eastAsia="en-US"/>
              </w:rPr>
            </w:pPr>
            <w:r w:rsidRPr="00B104C7">
              <w:rPr>
                <w:rFonts w:ascii="Arial" w:hAnsi="Arial" w:cs="Arial"/>
                <w:b/>
                <w:bCs/>
                <w:color w:val="000000"/>
                <w:sz w:val="20"/>
                <w:lang w:val="en-US" w:eastAsia="en-US"/>
              </w:rPr>
              <w:t>2019</w:t>
            </w:r>
          </w:p>
        </w:tc>
        <w:tc>
          <w:tcPr>
            <w:tcW w:w="1188" w:type="dxa"/>
            <w:shd w:val="clear" w:color="auto" w:fill="auto"/>
            <w:vAlign w:val="center"/>
            <w:hideMark/>
          </w:tcPr>
          <w:p w14:paraId="6561184A" w14:textId="77777777" w:rsidR="005659B0" w:rsidRPr="00B104C7" w:rsidRDefault="005659B0">
            <w:pPr>
              <w:jc w:val="center"/>
              <w:rPr>
                <w:rFonts w:ascii="Arial" w:hAnsi="Arial" w:cs="Arial"/>
                <w:b/>
                <w:bCs/>
                <w:color w:val="000000"/>
                <w:sz w:val="20"/>
                <w:lang w:val="en-US" w:eastAsia="en-US"/>
              </w:rPr>
            </w:pPr>
            <w:r w:rsidRPr="00B104C7">
              <w:rPr>
                <w:rFonts w:ascii="Arial" w:hAnsi="Arial" w:cs="Arial"/>
                <w:b/>
                <w:bCs/>
                <w:color w:val="000000"/>
                <w:sz w:val="20"/>
                <w:lang w:val="en-US" w:eastAsia="en-US"/>
              </w:rPr>
              <w:t>2020</w:t>
            </w:r>
          </w:p>
        </w:tc>
        <w:tc>
          <w:tcPr>
            <w:tcW w:w="1106" w:type="dxa"/>
            <w:shd w:val="clear" w:color="auto" w:fill="auto"/>
            <w:vAlign w:val="center"/>
            <w:hideMark/>
          </w:tcPr>
          <w:p w14:paraId="58EDBBE7" w14:textId="77777777" w:rsidR="005659B0" w:rsidRPr="00B104C7" w:rsidRDefault="005659B0">
            <w:pPr>
              <w:jc w:val="center"/>
              <w:rPr>
                <w:rFonts w:ascii="Arial" w:hAnsi="Arial" w:cs="Arial"/>
                <w:b/>
                <w:bCs/>
                <w:color w:val="000000"/>
                <w:sz w:val="20"/>
                <w:lang w:val="en-US" w:eastAsia="en-US"/>
              </w:rPr>
            </w:pPr>
            <w:r w:rsidRPr="00B104C7">
              <w:rPr>
                <w:rFonts w:ascii="Arial" w:hAnsi="Arial" w:cs="Arial"/>
                <w:b/>
                <w:bCs/>
                <w:color w:val="000000"/>
                <w:sz w:val="20"/>
                <w:lang w:val="en-US" w:eastAsia="en-US"/>
              </w:rPr>
              <w:t>2021</w:t>
            </w:r>
          </w:p>
        </w:tc>
      </w:tr>
      <w:tr w:rsidR="005659B0" w:rsidRPr="005659B0" w14:paraId="11111F00" w14:textId="77777777" w:rsidTr="00B104C7">
        <w:trPr>
          <w:trHeight w:val="900"/>
          <w:jc w:val="center"/>
        </w:trPr>
        <w:tc>
          <w:tcPr>
            <w:tcW w:w="2136" w:type="dxa"/>
            <w:shd w:val="clear" w:color="auto" w:fill="auto"/>
            <w:vAlign w:val="center"/>
            <w:hideMark/>
          </w:tcPr>
          <w:p w14:paraId="1BD4A0C4" w14:textId="77777777" w:rsidR="005659B0" w:rsidRPr="00B104C7" w:rsidRDefault="005659B0">
            <w:pPr>
              <w:rPr>
                <w:rFonts w:ascii="Arial" w:hAnsi="Arial" w:cs="Arial"/>
                <w:color w:val="000000"/>
                <w:sz w:val="20"/>
                <w:lang w:val="en-US" w:eastAsia="en-US"/>
              </w:rPr>
            </w:pPr>
            <w:r w:rsidRPr="00B104C7">
              <w:rPr>
                <w:rFonts w:ascii="Arial" w:hAnsi="Arial" w:cs="Arial"/>
                <w:color w:val="000000"/>
                <w:sz w:val="20"/>
                <w:lang w:val="en-US" w:eastAsia="en-US"/>
              </w:rPr>
              <w:t>Estimated number of Australian adults eligible for implantation</w:t>
            </w:r>
          </w:p>
        </w:tc>
        <w:tc>
          <w:tcPr>
            <w:tcW w:w="1171" w:type="dxa"/>
            <w:shd w:val="clear" w:color="auto" w:fill="auto"/>
            <w:vAlign w:val="center"/>
            <w:hideMark/>
          </w:tcPr>
          <w:p w14:paraId="6DED7AB5" w14:textId="77777777" w:rsidR="005659B0" w:rsidRPr="00B104C7" w:rsidRDefault="005659B0">
            <w:pPr>
              <w:jc w:val="center"/>
              <w:rPr>
                <w:rFonts w:ascii="Arial" w:hAnsi="Arial" w:cs="Arial"/>
                <w:color w:val="000000"/>
                <w:sz w:val="20"/>
                <w:lang w:val="en-US" w:eastAsia="en-US"/>
              </w:rPr>
            </w:pPr>
            <w:r w:rsidRPr="00B104C7">
              <w:rPr>
                <w:rFonts w:ascii="Arial" w:hAnsi="Arial" w:cs="Arial"/>
                <w:color w:val="000000"/>
                <w:sz w:val="20"/>
                <w:lang w:val="en-US" w:eastAsia="en-US"/>
              </w:rPr>
              <w:t>855</w:t>
            </w:r>
          </w:p>
        </w:tc>
        <w:tc>
          <w:tcPr>
            <w:tcW w:w="1275" w:type="dxa"/>
            <w:shd w:val="clear" w:color="auto" w:fill="auto"/>
            <w:vAlign w:val="center"/>
            <w:hideMark/>
          </w:tcPr>
          <w:p w14:paraId="4A89546F" w14:textId="77777777" w:rsidR="005659B0" w:rsidRPr="00B104C7" w:rsidRDefault="005659B0">
            <w:pPr>
              <w:jc w:val="center"/>
              <w:rPr>
                <w:rFonts w:ascii="Arial" w:hAnsi="Arial" w:cs="Arial"/>
                <w:color w:val="000000"/>
                <w:sz w:val="20"/>
                <w:lang w:val="en-US" w:eastAsia="en-US"/>
              </w:rPr>
            </w:pPr>
            <w:r w:rsidRPr="00B104C7">
              <w:rPr>
                <w:rFonts w:ascii="Arial" w:hAnsi="Arial" w:cs="Arial"/>
                <w:color w:val="000000"/>
                <w:sz w:val="20"/>
                <w:lang w:val="en-US" w:eastAsia="en-US"/>
              </w:rPr>
              <w:t>870</w:t>
            </w:r>
          </w:p>
        </w:tc>
        <w:tc>
          <w:tcPr>
            <w:tcW w:w="1218" w:type="dxa"/>
            <w:shd w:val="clear" w:color="auto" w:fill="auto"/>
            <w:vAlign w:val="center"/>
            <w:hideMark/>
          </w:tcPr>
          <w:p w14:paraId="117908B5" w14:textId="77777777" w:rsidR="005659B0" w:rsidRPr="00B104C7" w:rsidRDefault="005659B0">
            <w:pPr>
              <w:jc w:val="center"/>
              <w:rPr>
                <w:rFonts w:ascii="Arial" w:hAnsi="Arial" w:cs="Arial"/>
                <w:color w:val="000000"/>
                <w:sz w:val="20"/>
                <w:lang w:val="en-US" w:eastAsia="en-US"/>
              </w:rPr>
            </w:pPr>
            <w:r w:rsidRPr="00B104C7">
              <w:rPr>
                <w:rFonts w:ascii="Arial" w:hAnsi="Arial" w:cs="Arial"/>
                <w:color w:val="000000"/>
                <w:sz w:val="20"/>
                <w:lang w:val="en-US" w:eastAsia="en-US"/>
              </w:rPr>
              <w:t>884</w:t>
            </w:r>
          </w:p>
        </w:tc>
        <w:tc>
          <w:tcPr>
            <w:tcW w:w="1106" w:type="dxa"/>
            <w:shd w:val="clear" w:color="auto" w:fill="auto"/>
            <w:vAlign w:val="center"/>
            <w:hideMark/>
          </w:tcPr>
          <w:p w14:paraId="6B4FCE2F" w14:textId="77777777" w:rsidR="005659B0" w:rsidRPr="00B104C7" w:rsidRDefault="005659B0">
            <w:pPr>
              <w:jc w:val="center"/>
              <w:rPr>
                <w:rFonts w:ascii="Arial" w:hAnsi="Arial" w:cs="Arial"/>
                <w:color w:val="000000"/>
                <w:sz w:val="20"/>
                <w:lang w:val="en-US" w:eastAsia="en-US"/>
              </w:rPr>
            </w:pPr>
            <w:r w:rsidRPr="00B104C7">
              <w:rPr>
                <w:rFonts w:ascii="Arial" w:hAnsi="Arial" w:cs="Arial"/>
                <w:color w:val="000000"/>
                <w:sz w:val="20"/>
                <w:lang w:val="en-US" w:eastAsia="en-US"/>
              </w:rPr>
              <w:t>899</w:t>
            </w:r>
          </w:p>
        </w:tc>
        <w:tc>
          <w:tcPr>
            <w:tcW w:w="1188" w:type="dxa"/>
            <w:shd w:val="clear" w:color="auto" w:fill="auto"/>
            <w:vAlign w:val="center"/>
            <w:hideMark/>
          </w:tcPr>
          <w:p w14:paraId="6FA5D762" w14:textId="77777777" w:rsidR="005659B0" w:rsidRPr="00B104C7" w:rsidRDefault="005659B0">
            <w:pPr>
              <w:jc w:val="center"/>
              <w:rPr>
                <w:rFonts w:ascii="Arial" w:hAnsi="Arial" w:cs="Arial"/>
                <w:color w:val="000000"/>
                <w:sz w:val="20"/>
                <w:lang w:val="en-US" w:eastAsia="en-US"/>
              </w:rPr>
            </w:pPr>
            <w:r w:rsidRPr="00B104C7">
              <w:rPr>
                <w:rFonts w:ascii="Arial" w:hAnsi="Arial" w:cs="Arial"/>
                <w:color w:val="000000"/>
                <w:sz w:val="20"/>
                <w:lang w:val="en-US" w:eastAsia="en-US"/>
              </w:rPr>
              <w:t>914</w:t>
            </w:r>
          </w:p>
        </w:tc>
        <w:tc>
          <w:tcPr>
            <w:tcW w:w="1106" w:type="dxa"/>
            <w:shd w:val="clear" w:color="auto" w:fill="auto"/>
            <w:vAlign w:val="center"/>
            <w:hideMark/>
          </w:tcPr>
          <w:p w14:paraId="4844C39C" w14:textId="77777777" w:rsidR="005659B0" w:rsidRPr="00B104C7" w:rsidRDefault="005659B0">
            <w:pPr>
              <w:jc w:val="center"/>
              <w:rPr>
                <w:rFonts w:ascii="Arial" w:hAnsi="Arial" w:cs="Arial"/>
                <w:color w:val="000000"/>
                <w:sz w:val="20"/>
                <w:lang w:val="en-US" w:eastAsia="en-US"/>
              </w:rPr>
            </w:pPr>
            <w:r w:rsidRPr="00B104C7">
              <w:rPr>
                <w:rFonts w:ascii="Arial" w:hAnsi="Arial" w:cs="Arial"/>
                <w:color w:val="000000"/>
                <w:sz w:val="20"/>
                <w:lang w:val="en-US" w:eastAsia="en-US"/>
              </w:rPr>
              <w:t>929</w:t>
            </w:r>
          </w:p>
        </w:tc>
      </w:tr>
      <w:tr w:rsidR="005659B0" w:rsidRPr="00107925" w14:paraId="7D5C4D5A" w14:textId="77777777" w:rsidTr="00B104C7">
        <w:trPr>
          <w:trHeight w:val="720"/>
          <w:jc w:val="center"/>
        </w:trPr>
        <w:tc>
          <w:tcPr>
            <w:tcW w:w="2136" w:type="dxa"/>
            <w:shd w:val="clear" w:color="auto" w:fill="auto"/>
            <w:vAlign w:val="center"/>
            <w:hideMark/>
          </w:tcPr>
          <w:p w14:paraId="32726A0C" w14:textId="650C9B1E" w:rsidR="005659B0" w:rsidRPr="00B104C7" w:rsidRDefault="005659B0">
            <w:pPr>
              <w:rPr>
                <w:rFonts w:ascii="Arial" w:hAnsi="Arial" w:cs="Arial"/>
                <w:color w:val="000000"/>
                <w:sz w:val="20"/>
                <w:lang w:val="en-US" w:eastAsia="en-US"/>
              </w:rPr>
            </w:pPr>
            <w:r w:rsidRPr="00107925">
              <w:rPr>
                <w:rFonts w:ascii="Arial" w:hAnsi="Arial" w:cs="Arial"/>
                <w:color w:val="000000"/>
                <w:sz w:val="20"/>
                <w:lang w:val="en-US" w:eastAsia="en-US"/>
              </w:rPr>
              <w:t>Estimated</w:t>
            </w:r>
            <w:r w:rsidRPr="00B104C7">
              <w:rPr>
                <w:rFonts w:ascii="Arial" w:hAnsi="Arial" w:cs="Arial"/>
                <w:color w:val="000000"/>
                <w:sz w:val="20"/>
                <w:lang w:val="en-US" w:eastAsia="en-US"/>
              </w:rPr>
              <w:t xml:space="preserve"> number of services per year</w:t>
            </w:r>
          </w:p>
        </w:tc>
        <w:tc>
          <w:tcPr>
            <w:tcW w:w="1171" w:type="dxa"/>
            <w:shd w:val="clear" w:color="auto" w:fill="auto"/>
            <w:vAlign w:val="center"/>
            <w:hideMark/>
          </w:tcPr>
          <w:p w14:paraId="441F7559" w14:textId="77777777" w:rsidR="005659B0" w:rsidRPr="00B104C7" w:rsidRDefault="005659B0">
            <w:pPr>
              <w:jc w:val="center"/>
              <w:rPr>
                <w:rFonts w:ascii="Arial" w:hAnsi="Arial" w:cs="Arial"/>
                <w:bCs/>
                <w:color w:val="000000"/>
                <w:sz w:val="20"/>
                <w:lang w:val="en-US" w:eastAsia="en-US"/>
              </w:rPr>
            </w:pPr>
            <w:r w:rsidRPr="00B104C7">
              <w:rPr>
                <w:rFonts w:ascii="Arial" w:hAnsi="Arial" w:cs="Arial"/>
                <w:bCs/>
                <w:color w:val="000000"/>
                <w:sz w:val="20"/>
                <w:lang w:val="en-US" w:eastAsia="en-US"/>
              </w:rPr>
              <w:t>71</w:t>
            </w:r>
          </w:p>
        </w:tc>
        <w:tc>
          <w:tcPr>
            <w:tcW w:w="1275" w:type="dxa"/>
            <w:shd w:val="clear" w:color="auto" w:fill="auto"/>
            <w:vAlign w:val="center"/>
            <w:hideMark/>
          </w:tcPr>
          <w:p w14:paraId="05E5B97E" w14:textId="77777777" w:rsidR="005659B0" w:rsidRPr="00B104C7" w:rsidRDefault="005659B0">
            <w:pPr>
              <w:jc w:val="center"/>
              <w:rPr>
                <w:rFonts w:ascii="Arial" w:hAnsi="Arial" w:cs="Arial"/>
                <w:bCs/>
                <w:color w:val="000000"/>
                <w:sz w:val="20"/>
                <w:lang w:val="en-US" w:eastAsia="en-US"/>
              </w:rPr>
            </w:pPr>
            <w:r w:rsidRPr="00B104C7">
              <w:rPr>
                <w:rFonts w:ascii="Arial" w:hAnsi="Arial" w:cs="Arial"/>
                <w:bCs/>
                <w:color w:val="000000"/>
                <w:sz w:val="20"/>
                <w:lang w:val="en-US" w:eastAsia="en-US"/>
              </w:rPr>
              <w:t>72</w:t>
            </w:r>
          </w:p>
        </w:tc>
        <w:tc>
          <w:tcPr>
            <w:tcW w:w="1218" w:type="dxa"/>
            <w:shd w:val="clear" w:color="auto" w:fill="auto"/>
            <w:vAlign w:val="center"/>
            <w:hideMark/>
          </w:tcPr>
          <w:p w14:paraId="5909C84D" w14:textId="77777777" w:rsidR="005659B0" w:rsidRPr="00B104C7" w:rsidRDefault="005659B0">
            <w:pPr>
              <w:jc w:val="center"/>
              <w:rPr>
                <w:rFonts w:ascii="Arial" w:hAnsi="Arial" w:cs="Arial"/>
                <w:bCs/>
                <w:color w:val="000000"/>
                <w:sz w:val="20"/>
                <w:lang w:val="en-US" w:eastAsia="en-US"/>
              </w:rPr>
            </w:pPr>
            <w:r w:rsidRPr="00B104C7">
              <w:rPr>
                <w:rFonts w:ascii="Arial" w:hAnsi="Arial" w:cs="Arial"/>
                <w:bCs/>
                <w:color w:val="000000"/>
                <w:sz w:val="20"/>
                <w:lang w:val="en-US" w:eastAsia="en-US"/>
              </w:rPr>
              <w:t>74</w:t>
            </w:r>
          </w:p>
        </w:tc>
        <w:tc>
          <w:tcPr>
            <w:tcW w:w="1106" w:type="dxa"/>
            <w:shd w:val="clear" w:color="auto" w:fill="auto"/>
            <w:vAlign w:val="center"/>
            <w:hideMark/>
          </w:tcPr>
          <w:p w14:paraId="67560E48" w14:textId="77777777" w:rsidR="005659B0" w:rsidRPr="00B104C7" w:rsidRDefault="005659B0">
            <w:pPr>
              <w:jc w:val="center"/>
              <w:rPr>
                <w:rFonts w:ascii="Arial" w:hAnsi="Arial" w:cs="Arial"/>
                <w:bCs/>
                <w:color w:val="000000"/>
                <w:sz w:val="20"/>
                <w:lang w:val="en-US" w:eastAsia="en-US"/>
              </w:rPr>
            </w:pPr>
            <w:r w:rsidRPr="00B104C7">
              <w:rPr>
                <w:rFonts w:ascii="Arial" w:hAnsi="Arial" w:cs="Arial"/>
                <w:bCs/>
                <w:color w:val="000000"/>
                <w:sz w:val="20"/>
                <w:lang w:val="en-US" w:eastAsia="en-US"/>
              </w:rPr>
              <w:t>75</w:t>
            </w:r>
          </w:p>
        </w:tc>
        <w:tc>
          <w:tcPr>
            <w:tcW w:w="1188" w:type="dxa"/>
            <w:shd w:val="clear" w:color="auto" w:fill="auto"/>
            <w:vAlign w:val="center"/>
            <w:hideMark/>
          </w:tcPr>
          <w:p w14:paraId="6B6ED7F7" w14:textId="77777777" w:rsidR="005659B0" w:rsidRPr="00B104C7" w:rsidRDefault="005659B0">
            <w:pPr>
              <w:jc w:val="center"/>
              <w:rPr>
                <w:rFonts w:ascii="Arial" w:hAnsi="Arial" w:cs="Arial"/>
                <w:bCs/>
                <w:color w:val="000000"/>
                <w:sz w:val="20"/>
                <w:lang w:val="en-US" w:eastAsia="en-US"/>
              </w:rPr>
            </w:pPr>
            <w:r w:rsidRPr="00B104C7">
              <w:rPr>
                <w:rFonts w:ascii="Arial" w:hAnsi="Arial" w:cs="Arial"/>
                <w:bCs/>
                <w:color w:val="000000"/>
                <w:sz w:val="20"/>
                <w:lang w:val="en-US" w:eastAsia="en-US"/>
              </w:rPr>
              <w:t>76</w:t>
            </w:r>
          </w:p>
        </w:tc>
        <w:tc>
          <w:tcPr>
            <w:tcW w:w="1106" w:type="dxa"/>
            <w:shd w:val="clear" w:color="auto" w:fill="auto"/>
            <w:vAlign w:val="center"/>
            <w:hideMark/>
          </w:tcPr>
          <w:p w14:paraId="16600995" w14:textId="77777777" w:rsidR="005659B0" w:rsidRPr="00B104C7" w:rsidRDefault="005659B0">
            <w:pPr>
              <w:jc w:val="center"/>
              <w:rPr>
                <w:rFonts w:ascii="Arial" w:hAnsi="Arial" w:cs="Arial"/>
                <w:bCs/>
                <w:color w:val="000000"/>
                <w:sz w:val="20"/>
                <w:lang w:val="en-US" w:eastAsia="en-US"/>
              </w:rPr>
            </w:pPr>
            <w:r w:rsidRPr="00B104C7">
              <w:rPr>
                <w:rFonts w:ascii="Arial" w:hAnsi="Arial" w:cs="Arial"/>
                <w:bCs/>
                <w:color w:val="000000"/>
                <w:sz w:val="20"/>
                <w:lang w:val="en-US" w:eastAsia="en-US"/>
              </w:rPr>
              <w:t>77</w:t>
            </w:r>
          </w:p>
        </w:tc>
      </w:tr>
    </w:tbl>
    <w:p w14:paraId="6302CCFA" w14:textId="77777777" w:rsidR="00A40DF9" w:rsidRDefault="00A40DF9">
      <w:pPr>
        <w:rPr>
          <w:lang w:val="en-GB"/>
        </w:rPr>
      </w:pPr>
    </w:p>
    <w:p w14:paraId="06223EF2" w14:textId="4A5EABA4" w:rsidR="005659B0" w:rsidRDefault="005659B0">
      <w:r>
        <w:t xml:space="preserve">The estimated overall net financial impact to the MBS of the proposed listing, including associated items, is shown in Table </w:t>
      </w:r>
      <w:r w:rsidR="007B0FF1">
        <w:t>5</w:t>
      </w:r>
      <w:r>
        <w:t>.</w:t>
      </w:r>
    </w:p>
    <w:p w14:paraId="7110F29D" w14:textId="77777777" w:rsidR="005659B0" w:rsidRDefault="005659B0"/>
    <w:p w14:paraId="2E4D2E49" w14:textId="2CEB9B1B" w:rsidR="005659B0" w:rsidRPr="004D294A" w:rsidRDefault="005659B0" w:rsidP="00B104C7">
      <w:pPr>
        <w:pStyle w:val="Tablecaption"/>
        <w:spacing w:before="0" w:after="0"/>
        <w:rPr>
          <w:rFonts w:ascii="Arial" w:hAnsi="Arial" w:cs="Arial"/>
          <w:lang w:val="en-AU"/>
        </w:rPr>
      </w:pPr>
      <w:bookmarkStart w:id="7" w:name="_Ref430954314"/>
      <w:bookmarkStart w:id="8" w:name="_Toc431917529"/>
      <w:r w:rsidRPr="004D294A">
        <w:rPr>
          <w:rFonts w:ascii="Arial" w:hAnsi="Arial" w:cs="Arial"/>
          <w:lang w:val="en-AU"/>
        </w:rPr>
        <w:t xml:space="preserve">Table </w:t>
      </w:r>
      <w:bookmarkEnd w:id="7"/>
      <w:r w:rsidR="007B0FF1">
        <w:rPr>
          <w:rFonts w:ascii="Arial" w:hAnsi="Arial" w:cs="Arial"/>
          <w:lang w:val="en-AU"/>
        </w:rPr>
        <w:t>5</w:t>
      </w:r>
      <w:r w:rsidR="00033978">
        <w:rPr>
          <w:rFonts w:ascii="Arial" w:hAnsi="Arial" w:cs="Arial"/>
          <w:lang w:val="en-AU"/>
        </w:rPr>
        <w:t>:</w:t>
      </w:r>
      <w:r w:rsidRPr="004D294A">
        <w:rPr>
          <w:rFonts w:ascii="Arial" w:hAnsi="Arial" w:cs="Arial"/>
          <w:lang w:val="en-AU"/>
        </w:rPr>
        <w:t xml:space="preserve"> Estimated </w:t>
      </w:r>
      <w:r>
        <w:rPr>
          <w:rFonts w:ascii="Arial" w:hAnsi="Arial" w:cs="Arial"/>
          <w:lang w:val="en-AU"/>
        </w:rPr>
        <w:t>total costs</w:t>
      </w:r>
      <w:r w:rsidR="007A0BB5">
        <w:rPr>
          <w:rFonts w:ascii="Arial" w:hAnsi="Arial" w:cs="Arial"/>
          <w:lang w:val="en-AU"/>
        </w:rPr>
        <w:t xml:space="preserve"> </w:t>
      </w:r>
      <w:r>
        <w:rPr>
          <w:rFonts w:ascii="Arial" w:hAnsi="Arial" w:cs="Arial"/>
          <w:lang w:val="en-AU"/>
        </w:rPr>
        <w:t>for</w:t>
      </w:r>
      <w:r w:rsidR="00107925">
        <w:rPr>
          <w:rFonts w:ascii="Arial" w:hAnsi="Arial" w:cs="Arial"/>
          <w:lang w:val="en-AU"/>
        </w:rPr>
        <w:t xml:space="preserve"> the VSB </w:t>
      </w:r>
      <w:r>
        <w:rPr>
          <w:rFonts w:ascii="Arial" w:hAnsi="Arial" w:cs="Arial"/>
          <w:lang w:val="en-AU"/>
        </w:rPr>
        <w:t>device</w:t>
      </w:r>
      <w:bookmarkEnd w:id="8"/>
    </w:p>
    <w:tbl>
      <w:tblPr>
        <w:tblW w:w="9200" w:type="dxa"/>
        <w:jc w:val="center"/>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1217"/>
        <w:gridCol w:w="1255"/>
        <w:gridCol w:w="1218"/>
        <w:gridCol w:w="1217"/>
        <w:gridCol w:w="1217"/>
        <w:gridCol w:w="1217"/>
      </w:tblGrid>
      <w:tr w:rsidR="00413A9F" w:rsidRPr="00107925" w14:paraId="21332146" w14:textId="77777777" w:rsidTr="00D03F4E">
        <w:trPr>
          <w:trHeight w:val="555"/>
          <w:jc w:val="center"/>
        </w:trPr>
        <w:tc>
          <w:tcPr>
            <w:tcW w:w="2132" w:type="dxa"/>
            <w:shd w:val="clear" w:color="auto" w:fill="auto"/>
            <w:vAlign w:val="center"/>
            <w:hideMark/>
          </w:tcPr>
          <w:p w14:paraId="335763E2" w14:textId="77777777" w:rsidR="00107925" w:rsidRPr="00107925" w:rsidRDefault="00107925" w:rsidP="00D03F4E">
            <w:pPr>
              <w:rPr>
                <w:rFonts w:ascii="Arial" w:hAnsi="Arial" w:cs="Arial"/>
                <w:b/>
                <w:bCs/>
                <w:color w:val="000000"/>
                <w:sz w:val="20"/>
                <w:lang w:val="en-US" w:eastAsia="en-US"/>
              </w:rPr>
            </w:pPr>
            <w:r w:rsidRPr="00107925">
              <w:rPr>
                <w:rFonts w:ascii="Arial" w:hAnsi="Arial" w:cs="Arial"/>
                <w:b/>
                <w:bCs/>
                <w:color w:val="000000"/>
                <w:sz w:val="20"/>
                <w:lang w:val="en-US" w:eastAsia="en-US"/>
              </w:rPr>
              <w:t>Description</w:t>
            </w:r>
          </w:p>
        </w:tc>
        <w:tc>
          <w:tcPr>
            <w:tcW w:w="1171" w:type="dxa"/>
            <w:shd w:val="clear" w:color="auto" w:fill="auto"/>
            <w:vAlign w:val="center"/>
            <w:hideMark/>
          </w:tcPr>
          <w:p w14:paraId="3A9FA8DF" w14:textId="77777777" w:rsidR="00107925" w:rsidRPr="00107925" w:rsidRDefault="00107925" w:rsidP="00D03F4E">
            <w:pPr>
              <w:jc w:val="center"/>
              <w:rPr>
                <w:rFonts w:ascii="Arial" w:hAnsi="Arial" w:cs="Arial"/>
                <w:b/>
                <w:bCs/>
                <w:color w:val="000000"/>
                <w:sz w:val="20"/>
                <w:lang w:val="en-US" w:eastAsia="en-US"/>
              </w:rPr>
            </w:pPr>
            <w:r w:rsidRPr="00107925">
              <w:rPr>
                <w:rFonts w:ascii="Arial" w:hAnsi="Arial" w:cs="Arial"/>
                <w:b/>
                <w:bCs/>
                <w:color w:val="000000"/>
                <w:sz w:val="20"/>
                <w:lang w:val="en-US" w:eastAsia="en-US"/>
              </w:rPr>
              <w:t>current (2016)</w:t>
            </w:r>
          </w:p>
        </w:tc>
        <w:tc>
          <w:tcPr>
            <w:tcW w:w="1275" w:type="dxa"/>
            <w:shd w:val="clear" w:color="auto" w:fill="auto"/>
            <w:vAlign w:val="center"/>
            <w:hideMark/>
          </w:tcPr>
          <w:p w14:paraId="1A1E4FB3" w14:textId="77777777" w:rsidR="00107925" w:rsidRPr="00107925" w:rsidRDefault="00107925" w:rsidP="00D03F4E">
            <w:pPr>
              <w:jc w:val="center"/>
              <w:rPr>
                <w:rFonts w:ascii="Arial" w:hAnsi="Arial" w:cs="Arial"/>
                <w:b/>
                <w:bCs/>
                <w:color w:val="000000"/>
                <w:sz w:val="20"/>
                <w:lang w:val="en-US" w:eastAsia="en-US"/>
              </w:rPr>
            </w:pPr>
            <w:r w:rsidRPr="00107925">
              <w:rPr>
                <w:rFonts w:ascii="Arial" w:hAnsi="Arial" w:cs="Arial"/>
                <w:b/>
                <w:bCs/>
                <w:color w:val="000000"/>
                <w:sz w:val="20"/>
                <w:lang w:val="en-US" w:eastAsia="en-US"/>
              </w:rPr>
              <w:t>2017</w:t>
            </w:r>
          </w:p>
        </w:tc>
        <w:tc>
          <w:tcPr>
            <w:tcW w:w="1218" w:type="dxa"/>
            <w:shd w:val="clear" w:color="auto" w:fill="auto"/>
            <w:vAlign w:val="center"/>
            <w:hideMark/>
          </w:tcPr>
          <w:p w14:paraId="17E453F5" w14:textId="77777777" w:rsidR="00107925" w:rsidRPr="00107925" w:rsidRDefault="00107925" w:rsidP="00D03F4E">
            <w:pPr>
              <w:jc w:val="center"/>
              <w:rPr>
                <w:rFonts w:ascii="Arial" w:hAnsi="Arial" w:cs="Arial"/>
                <w:b/>
                <w:bCs/>
                <w:color w:val="000000"/>
                <w:sz w:val="20"/>
                <w:lang w:val="en-US" w:eastAsia="en-US"/>
              </w:rPr>
            </w:pPr>
            <w:r w:rsidRPr="00107925">
              <w:rPr>
                <w:rFonts w:ascii="Arial" w:hAnsi="Arial" w:cs="Arial"/>
                <w:b/>
                <w:bCs/>
                <w:color w:val="000000"/>
                <w:sz w:val="20"/>
                <w:lang w:val="en-US" w:eastAsia="en-US"/>
              </w:rPr>
              <w:t>2018</w:t>
            </w:r>
          </w:p>
        </w:tc>
        <w:tc>
          <w:tcPr>
            <w:tcW w:w="1106" w:type="dxa"/>
            <w:shd w:val="clear" w:color="auto" w:fill="auto"/>
            <w:vAlign w:val="center"/>
            <w:hideMark/>
          </w:tcPr>
          <w:p w14:paraId="2D758DE2" w14:textId="77777777" w:rsidR="00107925" w:rsidRPr="00107925" w:rsidRDefault="00107925" w:rsidP="00D03F4E">
            <w:pPr>
              <w:jc w:val="center"/>
              <w:rPr>
                <w:rFonts w:ascii="Arial" w:hAnsi="Arial" w:cs="Arial"/>
                <w:b/>
                <w:bCs/>
                <w:color w:val="000000"/>
                <w:sz w:val="20"/>
                <w:lang w:val="en-US" w:eastAsia="en-US"/>
              </w:rPr>
            </w:pPr>
            <w:r w:rsidRPr="00107925">
              <w:rPr>
                <w:rFonts w:ascii="Arial" w:hAnsi="Arial" w:cs="Arial"/>
                <w:b/>
                <w:bCs/>
                <w:color w:val="000000"/>
                <w:sz w:val="20"/>
                <w:lang w:val="en-US" w:eastAsia="en-US"/>
              </w:rPr>
              <w:t>2019</w:t>
            </w:r>
          </w:p>
        </w:tc>
        <w:tc>
          <w:tcPr>
            <w:tcW w:w="1188" w:type="dxa"/>
            <w:shd w:val="clear" w:color="auto" w:fill="auto"/>
            <w:vAlign w:val="center"/>
            <w:hideMark/>
          </w:tcPr>
          <w:p w14:paraId="11D0F391" w14:textId="77777777" w:rsidR="00107925" w:rsidRPr="00107925" w:rsidRDefault="00107925" w:rsidP="00D03F4E">
            <w:pPr>
              <w:jc w:val="center"/>
              <w:rPr>
                <w:rFonts w:ascii="Arial" w:hAnsi="Arial" w:cs="Arial"/>
                <w:b/>
                <w:bCs/>
                <w:color w:val="000000"/>
                <w:sz w:val="20"/>
                <w:lang w:val="en-US" w:eastAsia="en-US"/>
              </w:rPr>
            </w:pPr>
            <w:r w:rsidRPr="00107925">
              <w:rPr>
                <w:rFonts w:ascii="Arial" w:hAnsi="Arial" w:cs="Arial"/>
                <w:b/>
                <w:bCs/>
                <w:color w:val="000000"/>
                <w:sz w:val="20"/>
                <w:lang w:val="en-US" w:eastAsia="en-US"/>
              </w:rPr>
              <w:t>2020</w:t>
            </w:r>
          </w:p>
        </w:tc>
        <w:tc>
          <w:tcPr>
            <w:tcW w:w="1106" w:type="dxa"/>
            <w:shd w:val="clear" w:color="auto" w:fill="auto"/>
            <w:vAlign w:val="center"/>
            <w:hideMark/>
          </w:tcPr>
          <w:p w14:paraId="181CBAB3" w14:textId="77777777" w:rsidR="00107925" w:rsidRPr="00107925" w:rsidRDefault="00107925" w:rsidP="00D03F4E">
            <w:pPr>
              <w:jc w:val="center"/>
              <w:rPr>
                <w:rFonts w:ascii="Arial" w:hAnsi="Arial" w:cs="Arial"/>
                <w:b/>
                <w:bCs/>
                <w:color w:val="000000"/>
                <w:sz w:val="20"/>
                <w:lang w:val="en-US" w:eastAsia="en-US"/>
              </w:rPr>
            </w:pPr>
            <w:r w:rsidRPr="00107925">
              <w:rPr>
                <w:rFonts w:ascii="Arial" w:hAnsi="Arial" w:cs="Arial"/>
                <w:b/>
                <w:bCs/>
                <w:color w:val="000000"/>
                <w:sz w:val="20"/>
                <w:lang w:val="en-US" w:eastAsia="en-US"/>
              </w:rPr>
              <w:t>2021</w:t>
            </w:r>
          </w:p>
        </w:tc>
      </w:tr>
      <w:tr w:rsidR="00413A9F" w:rsidRPr="00107925" w14:paraId="32280BE6" w14:textId="77777777" w:rsidTr="00D03F4E">
        <w:trPr>
          <w:trHeight w:val="900"/>
          <w:jc w:val="center"/>
        </w:trPr>
        <w:tc>
          <w:tcPr>
            <w:tcW w:w="2136" w:type="dxa"/>
            <w:shd w:val="clear" w:color="auto" w:fill="auto"/>
            <w:vAlign w:val="center"/>
            <w:hideMark/>
          </w:tcPr>
          <w:p w14:paraId="41902F67" w14:textId="3F300052" w:rsidR="00107925" w:rsidRPr="00107925" w:rsidRDefault="00107925" w:rsidP="00D03F4E">
            <w:pPr>
              <w:rPr>
                <w:rFonts w:ascii="Arial" w:hAnsi="Arial" w:cs="Arial"/>
                <w:color w:val="000000"/>
                <w:sz w:val="20"/>
                <w:lang w:val="en-US" w:eastAsia="en-US"/>
              </w:rPr>
            </w:pPr>
            <w:r w:rsidRPr="00107925">
              <w:rPr>
                <w:rFonts w:ascii="Arial" w:hAnsi="Arial" w:cs="Arial"/>
                <w:color w:val="000000"/>
                <w:sz w:val="20"/>
                <w:lang w:val="en-US" w:eastAsia="en-US"/>
              </w:rPr>
              <w:t>Total costs to the MBS</w:t>
            </w:r>
          </w:p>
        </w:tc>
        <w:tc>
          <w:tcPr>
            <w:tcW w:w="1171" w:type="dxa"/>
            <w:shd w:val="clear" w:color="auto" w:fill="auto"/>
            <w:vAlign w:val="center"/>
            <w:hideMark/>
          </w:tcPr>
          <w:p w14:paraId="53776C5E" w14:textId="53B295DE" w:rsidR="00107925" w:rsidRPr="00107925" w:rsidRDefault="00107925" w:rsidP="00B104C7">
            <w:pPr>
              <w:rPr>
                <w:rFonts w:ascii="Arial" w:hAnsi="Arial" w:cs="Arial"/>
                <w:color w:val="000000"/>
                <w:sz w:val="20"/>
                <w:lang w:val="en-US" w:eastAsia="en-US"/>
              </w:rPr>
            </w:pPr>
            <w:r w:rsidRPr="00B104C7">
              <w:rPr>
                <w:rFonts w:ascii="Arial" w:hAnsi="Arial" w:cs="Arial"/>
                <w:bCs/>
                <w:color w:val="000000"/>
                <w:sz w:val="20"/>
                <w:lang w:val="en-US" w:eastAsia="en-US"/>
              </w:rPr>
              <w:t>$</w:t>
            </w:r>
            <w:r w:rsidR="007A0BB5">
              <w:rPr>
                <w:rFonts w:ascii="Arial" w:hAnsi="Arial" w:cs="Arial"/>
                <w:bCs/>
                <w:color w:val="000000"/>
                <w:sz w:val="20"/>
                <w:lang w:val="en-US" w:eastAsia="en-US"/>
              </w:rPr>
              <w:t>278,1</w:t>
            </w:r>
            <w:r w:rsidRPr="00B104C7">
              <w:rPr>
                <w:rFonts w:ascii="Arial" w:hAnsi="Arial" w:cs="Arial"/>
                <w:bCs/>
                <w:color w:val="000000"/>
                <w:sz w:val="20"/>
                <w:lang w:val="en-US" w:eastAsia="en-US"/>
              </w:rPr>
              <w:t>59</w:t>
            </w:r>
          </w:p>
        </w:tc>
        <w:tc>
          <w:tcPr>
            <w:tcW w:w="1275" w:type="dxa"/>
            <w:shd w:val="clear" w:color="auto" w:fill="auto"/>
            <w:vAlign w:val="center"/>
            <w:hideMark/>
          </w:tcPr>
          <w:p w14:paraId="278525D8" w14:textId="5BBFC31B" w:rsidR="00107925" w:rsidRPr="00107925" w:rsidRDefault="00107925">
            <w:pPr>
              <w:jc w:val="center"/>
              <w:rPr>
                <w:rFonts w:ascii="Arial" w:hAnsi="Arial" w:cs="Arial"/>
                <w:color w:val="000000"/>
                <w:sz w:val="20"/>
                <w:lang w:val="en-US" w:eastAsia="en-US"/>
              </w:rPr>
            </w:pPr>
            <w:r w:rsidRPr="00B104C7">
              <w:rPr>
                <w:rFonts w:ascii="Arial" w:hAnsi="Arial" w:cs="Arial"/>
                <w:bCs/>
                <w:color w:val="000000"/>
                <w:sz w:val="20"/>
                <w:lang w:val="en-US" w:eastAsia="en-US"/>
              </w:rPr>
              <w:t>$</w:t>
            </w:r>
            <w:r w:rsidR="007A0BB5">
              <w:rPr>
                <w:rFonts w:ascii="Arial" w:hAnsi="Arial" w:cs="Arial"/>
                <w:bCs/>
                <w:color w:val="000000"/>
                <w:sz w:val="20"/>
                <w:lang w:val="en-US" w:eastAsia="en-US"/>
              </w:rPr>
              <w:t>28,</w:t>
            </w:r>
            <w:r w:rsidRPr="00B104C7">
              <w:rPr>
                <w:rFonts w:ascii="Arial" w:hAnsi="Arial" w:cs="Arial"/>
                <w:bCs/>
                <w:color w:val="000000"/>
                <w:sz w:val="20"/>
                <w:lang w:val="en-US" w:eastAsia="en-US"/>
              </w:rPr>
              <w:t>077</w:t>
            </w:r>
          </w:p>
        </w:tc>
        <w:tc>
          <w:tcPr>
            <w:tcW w:w="1218" w:type="dxa"/>
            <w:shd w:val="clear" w:color="auto" w:fill="auto"/>
            <w:vAlign w:val="center"/>
            <w:hideMark/>
          </w:tcPr>
          <w:p w14:paraId="3A09A530" w14:textId="7E49E566" w:rsidR="00107925" w:rsidRPr="00107925" w:rsidRDefault="00107925" w:rsidP="00D03F4E">
            <w:pPr>
              <w:jc w:val="center"/>
              <w:rPr>
                <w:rFonts w:ascii="Arial" w:hAnsi="Arial" w:cs="Arial"/>
                <w:color w:val="000000"/>
                <w:sz w:val="20"/>
                <w:lang w:val="en-US" w:eastAsia="en-US"/>
              </w:rPr>
            </w:pPr>
            <w:r w:rsidRPr="00B104C7">
              <w:rPr>
                <w:rFonts w:ascii="Arial" w:hAnsi="Arial" w:cs="Arial"/>
                <w:bCs/>
                <w:color w:val="000000"/>
                <w:sz w:val="20"/>
                <w:lang w:val="en-US" w:eastAsia="en-US"/>
              </w:rPr>
              <w:t>$</w:t>
            </w:r>
            <w:r w:rsidR="007A0BB5">
              <w:rPr>
                <w:rFonts w:ascii="Arial" w:hAnsi="Arial" w:cs="Arial"/>
                <w:bCs/>
                <w:color w:val="000000"/>
                <w:sz w:val="20"/>
                <w:lang w:val="en-US" w:eastAsia="en-US"/>
              </w:rPr>
              <w:t>289,</w:t>
            </w:r>
            <w:r w:rsidRPr="00B104C7">
              <w:rPr>
                <w:rFonts w:ascii="Arial" w:hAnsi="Arial" w:cs="Arial"/>
                <w:bCs/>
                <w:color w:val="000000"/>
                <w:sz w:val="20"/>
                <w:lang w:val="en-US" w:eastAsia="en-US"/>
              </w:rPr>
              <w:t>912</w:t>
            </w:r>
          </w:p>
        </w:tc>
        <w:tc>
          <w:tcPr>
            <w:tcW w:w="1106" w:type="dxa"/>
            <w:shd w:val="clear" w:color="auto" w:fill="auto"/>
            <w:vAlign w:val="center"/>
            <w:hideMark/>
          </w:tcPr>
          <w:p w14:paraId="1F12F47C" w14:textId="2FC8BCA8" w:rsidR="00107925" w:rsidRPr="00107925" w:rsidRDefault="00107925" w:rsidP="00D03F4E">
            <w:pPr>
              <w:jc w:val="center"/>
              <w:rPr>
                <w:rFonts w:ascii="Arial" w:hAnsi="Arial" w:cs="Arial"/>
                <w:color w:val="000000"/>
                <w:sz w:val="20"/>
                <w:lang w:val="en-US" w:eastAsia="en-US"/>
              </w:rPr>
            </w:pPr>
            <w:r w:rsidRPr="00B104C7">
              <w:rPr>
                <w:rFonts w:ascii="Arial" w:hAnsi="Arial" w:cs="Arial"/>
                <w:bCs/>
                <w:color w:val="000000"/>
                <w:sz w:val="20"/>
                <w:lang w:val="en-US" w:eastAsia="en-US"/>
              </w:rPr>
              <w:t xml:space="preserve"> $</w:t>
            </w:r>
            <w:r w:rsidR="007A0BB5">
              <w:rPr>
                <w:rFonts w:ascii="Arial" w:hAnsi="Arial" w:cs="Arial"/>
                <w:bCs/>
                <w:color w:val="000000"/>
                <w:sz w:val="20"/>
                <w:lang w:val="en-US" w:eastAsia="en-US"/>
              </w:rPr>
              <w:t>293,</w:t>
            </w:r>
            <w:r w:rsidRPr="00B104C7">
              <w:rPr>
                <w:rFonts w:ascii="Arial" w:hAnsi="Arial" w:cs="Arial"/>
                <w:bCs/>
                <w:color w:val="000000"/>
                <w:sz w:val="20"/>
                <w:lang w:val="en-US" w:eastAsia="en-US"/>
              </w:rPr>
              <w:t>830</w:t>
            </w:r>
          </w:p>
        </w:tc>
        <w:tc>
          <w:tcPr>
            <w:tcW w:w="1188" w:type="dxa"/>
            <w:shd w:val="clear" w:color="auto" w:fill="auto"/>
            <w:vAlign w:val="center"/>
            <w:hideMark/>
          </w:tcPr>
          <w:p w14:paraId="353A0EEA" w14:textId="3A0CBB31" w:rsidR="00107925" w:rsidRPr="00107925" w:rsidRDefault="00107925" w:rsidP="00D03F4E">
            <w:pPr>
              <w:jc w:val="center"/>
              <w:rPr>
                <w:rFonts w:ascii="Arial" w:hAnsi="Arial" w:cs="Arial"/>
                <w:color w:val="000000"/>
                <w:sz w:val="20"/>
                <w:lang w:val="en-US" w:eastAsia="en-US"/>
              </w:rPr>
            </w:pPr>
            <w:r w:rsidRPr="00B104C7">
              <w:rPr>
                <w:rFonts w:ascii="Arial" w:hAnsi="Arial" w:cs="Arial"/>
                <w:bCs/>
                <w:color w:val="000000"/>
                <w:sz w:val="20"/>
                <w:lang w:val="en-US" w:eastAsia="en-US"/>
              </w:rPr>
              <w:t xml:space="preserve"> $</w:t>
            </w:r>
            <w:r w:rsidR="007A0BB5">
              <w:rPr>
                <w:rFonts w:ascii="Arial" w:hAnsi="Arial" w:cs="Arial"/>
                <w:bCs/>
                <w:color w:val="000000"/>
                <w:sz w:val="20"/>
                <w:lang w:val="en-US" w:eastAsia="en-US"/>
              </w:rPr>
              <w:t>297,</w:t>
            </w:r>
            <w:r w:rsidRPr="00B104C7">
              <w:rPr>
                <w:rFonts w:ascii="Arial" w:hAnsi="Arial" w:cs="Arial"/>
                <w:bCs/>
                <w:color w:val="000000"/>
                <w:sz w:val="20"/>
                <w:lang w:val="en-US" w:eastAsia="en-US"/>
              </w:rPr>
              <w:t>748</w:t>
            </w:r>
          </w:p>
        </w:tc>
        <w:tc>
          <w:tcPr>
            <w:tcW w:w="1106" w:type="dxa"/>
            <w:shd w:val="clear" w:color="auto" w:fill="auto"/>
            <w:vAlign w:val="center"/>
            <w:hideMark/>
          </w:tcPr>
          <w:p w14:paraId="0F5B06FF" w14:textId="54A217C3" w:rsidR="00107925" w:rsidRPr="00107925" w:rsidRDefault="00107925" w:rsidP="00D03F4E">
            <w:pPr>
              <w:jc w:val="center"/>
              <w:rPr>
                <w:rFonts w:ascii="Arial" w:hAnsi="Arial" w:cs="Arial"/>
                <w:color w:val="000000"/>
                <w:sz w:val="20"/>
                <w:lang w:val="en-US" w:eastAsia="en-US"/>
              </w:rPr>
            </w:pPr>
            <w:r w:rsidRPr="00B104C7">
              <w:rPr>
                <w:rFonts w:ascii="Arial" w:hAnsi="Arial" w:cs="Arial"/>
                <w:bCs/>
                <w:color w:val="000000"/>
                <w:sz w:val="20"/>
                <w:lang w:val="en-US" w:eastAsia="en-US"/>
              </w:rPr>
              <w:t xml:space="preserve"> $</w:t>
            </w:r>
            <w:r w:rsidR="007A0BB5">
              <w:rPr>
                <w:rFonts w:ascii="Arial" w:hAnsi="Arial" w:cs="Arial"/>
                <w:bCs/>
                <w:color w:val="000000"/>
                <w:sz w:val="20"/>
                <w:lang w:val="en-US" w:eastAsia="en-US"/>
              </w:rPr>
              <w:t>301,</w:t>
            </w:r>
            <w:r w:rsidRPr="00B104C7">
              <w:rPr>
                <w:rFonts w:ascii="Arial" w:hAnsi="Arial" w:cs="Arial"/>
                <w:bCs/>
                <w:color w:val="000000"/>
                <w:sz w:val="20"/>
                <w:lang w:val="en-US" w:eastAsia="en-US"/>
              </w:rPr>
              <w:t>665</w:t>
            </w:r>
          </w:p>
        </w:tc>
      </w:tr>
      <w:tr w:rsidR="00413A9F" w:rsidRPr="007A0BB5" w14:paraId="5232DE2A" w14:textId="77777777" w:rsidTr="00D03F4E">
        <w:trPr>
          <w:trHeight w:val="900"/>
          <w:jc w:val="center"/>
        </w:trPr>
        <w:tc>
          <w:tcPr>
            <w:tcW w:w="2136" w:type="dxa"/>
            <w:shd w:val="clear" w:color="auto" w:fill="auto"/>
            <w:vAlign w:val="center"/>
          </w:tcPr>
          <w:p w14:paraId="353E44DD" w14:textId="0481E4A7" w:rsidR="007A0BB5" w:rsidRPr="007A0BB5" w:rsidRDefault="007A0BB5" w:rsidP="00D03F4E">
            <w:pPr>
              <w:rPr>
                <w:rFonts w:ascii="Arial" w:hAnsi="Arial" w:cs="Arial"/>
                <w:color w:val="000000"/>
                <w:sz w:val="20"/>
                <w:lang w:val="en-US" w:eastAsia="en-US"/>
              </w:rPr>
            </w:pPr>
            <w:r w:rsidRPr="007A0BB5">
              <w:rPr>
                <w:rFonts w:ascii="Arial" w:hAnsi="Arial" w:cs="Arial"/>
                <w:color w:val="000000"/>
                <w:sz w:val="20"/>
                <w:lang w:val="en-US" w:eastAsia="en-US"/>
              </w:rPr>
              <w:t xml:space="preserve">Overall total costs </w:t>
            </w:r>
          </w:p>
        </w:tc>
        <w:tc>
          <w:tcPr>
            <w:tcW w:w="1171" w:type="dxa"/>
            <w:shd w:val="clear" w:color="auto" w:fill="auto"/>
            <w:vAlign w:val="center"/>
          </w:tcPr>
          <w:p w14:paraId="30E4AF6C" w14:textId="14137691" w:rsidR="007A0BB5" w:rsidRPr="007A0BB5" w:rsidRDefault="007A0BB5">
            <w:pPr>
              <w:rPr>
                <w:rFonts w:ascii="Arial" w:hAnsi="Arial" w:cs="Arial"/>
                <w:bCs/>
                <w:color w:val="000000"/>
                <w:sz w:val="20"/>
                <w:lang w:val="en-US" w:eastAsia="en-US"/>
              </w:rPr>
            </w:pPr>
            <w:r>
              <w:rPr>
                <w:rFonts w:ascii="Arial" w:hAnsi="Arial" w:cs="Arial"/>
                <w:bCs/>
                <w:color w:val="000000"/>
                <w:sz w:val="20"/>
              </w:rPr>
              <w:t>$1,</w:t>
            </w:r>
            <w:r w:rsidRPr="00B104C7">
              <w:rPr>
                <w:rFonts w:ascii="Arial" w:hAnsi="Arial" w:cs="Arial"/>
                <w:bCs/>
                <w:color w:val="000000"/>
                <w:sz w:val="20"/>
              </w:rPr>
              <w:t>340</w:t>
            </w:r>
            <w:r>
              <w:rPr>
                <w:rFonts w:ascii="Arial" w:hAnsi="Arial" w:cs="Arial"/>
                <w:bCs/>
                <w:color w:val="000000"/>
                <w:sz w:val="20"/>
              </w:rPr>
              <w:t>,</w:t>
            </w:r>
            <w:r w:rsidRPr="00B104C7">
              <w:rPr>
                <w:rFonts w:ascii="Arial" w:hAnsi="Arial" w:cs="Arial"/>
                <w:bCs/>
                <w:color w:val="000000"/>
                <w:sz w:val="20"/>
              </w:rPr>
              <w:t>594</w:t>
            </w:r>
          </w:p>
        </w:tc>
        <w:tc>
          <w:tcPr>
            <w:tcW w:w="1275" w:type="dxa"/>
            <w:shd w:val="clear" w:color="auto" w:fill="auto"/>
            <w:vAlign w:val="center"/>
          </w:tcPr>
          <w:p w14:paraId="502A939B" w14:textId="445A3B4B" w:rsidR="007A0BB5" w:rsidRPr="007A0BB5" w:rsidRDefault="00413A9F" w:rsidP="00D03F4E">
            <w:pPr>
              <w:jc w:val="center"/>
              <w:rPr>
                <w:rFonts w:ascii="Arial" w:hAnsi="Arial" w:cs="Arial"/>
                <w:bCs/>
                <w:color w:val="000000"/>
                <w:sz w:val="20"/>
                <w:lang w:val="en-US" w:eastAsia="en-US"/>
              </w:rPr>
            </w:pPr>
            <w:r>
              <w:rPr>
                <w:rFonts w:ascii="Arial" w:hAnsi="Arial" w:cs="Arial"/>
                <w:bCs/>
                <w:color w:val="000000"/>
                <w:sz w:val="20"/>
              </w:rPr>
              <w:t>$1,359,</w:t>
            </w:r>
            <w:r w:rsidR="007A0BB5" w:rsidRPr="00B104C7">
              <w:rPr>
                <w:rFonts w:ascii="Arial" w:hAnsi="Arial" w:cs="Arial"/>
                <w:bCs/>
                <w:color w:val="000000"/>
                <w:sz w:val="20"/>
              </w:rPr>
              <w:t>475</w:t>
            </w:r>
          </w:p>
        </w:tc>
        <w:tc>
          <w:tcPr>
            <w:tcW w:w="1218" w:type="dxa"/>
            <w:shd w:val="clear" w:color="auto" w:fill="auto"/>
            <w:vAlign w:val="center"/>
          </w:tcPr>
          <w:p w14:paraId="0C6D8531" w14:textId="6E2774FE" w:rsidR="007A0BB5" w:rsidRPr="007A0BB5" w:rsidRDefault="00413A9F" w:rsidP="00D03F4E">
            <w:pPr>
              <w:jc w:val="center"/>
              <w:rPr>
                <w:rFonts w:ascii="Arial" w:hAnsi="Arial" w:cs="Arial"/>
                <w:bCs/>
                <w:color w:val="000000"/>
                <w:sz w:val="20"/>
                <w:lang w:val="en-US" w:eastAsia="en-US"/>
              </w:rPr>
            </w:pPr>
            <w:r>
              <w:rPr>
                <w:rFonts w:ascii="Arial" w:hAnsi="Arial" w:cs="Arial"/>
                <w:bCs/>
                <w:color w:val="000000"/>
                <w:sz w:val="20"/>
              </w:rPr>
              <w:t>$1,397,</w:t>
            </w:r>
            <w:r w:rsidR="007A0BB5" w:rsidRPr="00B104C7">
              <w:rPr>
                <w:rFonts w:ascii="Arial" w:hAnsi="Arial" w:cs="Arial"/>
                <w:bCs/>
                <w:color w:val="000000"/>
                <w:sz w:val="20"/>
              </w:rPr>
              <w:t>239</w:t>
            </w:r>
          </w:p>
        </w:tc>
        <w:tc>
          <w:tcPr>
            <w:tcW w:w="1106" w:type="dxa"/>
            <w:shd w:val="clear" w:color="auto" w:fill="auto"/>
            <w:vAlign w:val="center"/>
          </w:tcPr>
          <w:p w14:paraId="609B6125" w14:textId="1CE6A632" w:rsidR="007A0BB5" w:rsidRPr="007A0BB5" w:rsidRDefault="00413A9F" w:rsidP="00D03F4E">
            <w:pPr>
              <w:jc w:val="center"/>
              <w:rPr>
                <w:rFonts w:ascii="Arial" w:hAnsi="Arial" w:cs="Arial"/>
                <w:bCs/>
                <w:color w:val="000000"/>
                <w:sz w:val="20"/>
                <w:lang w:val="en-US" w:eastAsia="en-US"/>
              </w:rPr>
            </w:pPr>
            <w:r>
              <w:rPr>
                <w:rFonts w:ascii="Arial" w:hAnsi="Arial" w:cs="Arial"/>
                <w:bCs/>
                <w:color w:val="000000"/>
                <w:sz w:val="20"/>
              </w:rPr>
              <w:t>$1,416,</w:t>
            </w:r>
            <w:r w:rsidR="007A0BB5" w:rsidRPr="00B104C7">
              <w:rPr>
                <w:rFonts w:ascii="Arial" w:hAnsi="Arial" w:cs="Arial"/>
                <w:bCs/>
                <w:color w:val="000000"/>
                <w:sz w:val="20"/>
              </w:rPr>
              <w:t>120</w:t>
            </w:r>
          </w:p>
        </w:tc>
        <w:tc>
          <w:tcPr>
            <w:tcW w:w="1188" w:type="dxa"/>
            <w:shd w:val="clear" w:color="auto" w:fill="auto"/>
            <w:vAlign w:val="center"/>
          </w:tcPr>
          <w:p w14:paraId="43EAB90F" w14:textId="5EB67E96" w:rsidR="007A0BB5" w:rsidRPr="007A0BB5" w:rsidRDefault="00413A9F" w:rsidP="00D03F4E">
            <w:pPr>
              <w:jc w:val="center"/>
              <w:rPr>
                <w:rFonts w:ascii="Arial" w:hAnsi="Arial" w:cs="Arial"/>
                <w:bCs/>
                <w:color w:val="000000"/>
                <w:sz w:val="20"/>
                <w:lang w:val="en-US" w:eastAsia="en-US"/>
              </w:rPr>
            </w:pPr>
            <w:r>
              <w:rPr>
                <w:rFonts w:ascii="Arial" w:hAnsi="Arial" w:cs="Arial"/>
                <w:bCs/>
                <w:color w:val="000000"/>
                <w:sz w:val="20"/>
              </w:rPr>
              <w:t>$1,435,</w:t>
            </w:r>
            <w:r w:rsidR="007A0BB5" w:rsidRPr="00B104C7">
              <w:rPr>
                <w:rFonts w:ascii="Arial" w:hAnsi="Arial" w:cs="Arial"/>
                <w:bCs/>
                <w:color w:val="000000"/>
                <w:sz w:val="20"/>
              </w:rPr>
              <w:t>002</w:t>
            </w:r>
          </w:p>
        </w:tc>
        <w:tc>
          <w:tcPr>
            <w:tcW w:w="1106" w:type="dxa"/>
            <w:shd w:val="clear" w:color="auto" w:fill="auto"/>
            <w:vAlign w:val="center"/>
          </w:tcPr>
          <w:p w14:paraId="1ECA4E84" w14:textId="7DEF2037" w:rsidR="007A0BB5" w:rsidRPr="007A0BB5" w:rsidRDefault="00413A9F" w:rsidP="00D03F4E">
            <w:pPr>
              <w:jc w:val="center"/>
              <w:rPr>
                <w:rFonts w:ascii="Arial" w:hAnsi="Arial" w:cs="Arial"/>
                <w:bCs/>
                <w:color w:val="000000"/>
                <w:sz w:val="20"/>
                <w:lang w:val="en-US" w:eastAsia="en-US"/>
              </w:rPr>
            </w:pPr>
            <w:r>
              <w:rPr>
                <w:rFonts w:ascii="Arial" w:hAnsi="Arial" w:cs="Arial"/>
                <w:bCs/>
                <w:color w:val="000000"/>
                <w:sz w:val="20"/>
              </w:rPr>
              <w:t>$1,453,</w:t>
            </w:r>
            <w:r w:rsidR="007A0BB5" w:rsidRPr="00B104C7">
              <w:rPr>
                <w:rFonts w:ascii="Arial" w:hAnsi="Arial" w:cs="Arial"/>
                <w:bCs/>
                <w:color w:val="000000"/>
                <w:sz w:val="20"/>
              </w:rPr>
              <w:t>883</w:t>
            </w:r>
          </w:p>
        </w:tc>
      </w:tr>
    </w:tbl>
    <w:p w14:paraId="6694AF2B" w14:textId="77777777" w:rsidR="005659B0" w:rsidRDefault="005659B0" w:rsidP="00EA5DEA"/>
    <w:p w14:paraId="0054C8D2" w14:textId="65AA1D31" w:rsidR="00EA5DEA" w:rsidRDefault="00CE7201" w:rsidP="00EA5DEA">
      <w:pPr>
        <w:rPr>
          <w:lang w:val="en-GB"/>
        </w:rPr>
      </w:pPr>
      <w:r>
        <w:rPr>
          <w:lang w:val="en-GB"/>
        </w:rPr>
        <w:t xml:space="preserve">Table </w:t>
      </w:r>
      <w:r w:rsidR="007B0FF1">
        <w:rPr>
          <w:lang w:val="en-GB"/>
        </w:rPr>
        <w:t>6</w:t>
      </w:r>
      <w:r w:rsidR="00EA5DEA">
        <w:rPr>
          <w:lang w:val="en-GB"/>
        </w:rPr>
        <w:t xml:space="preserve"> presents the </w:t>
      </w:r>
      <w:r w:rsidR="005659B0">
        <w:rPr>
          <w:lang w:val="en-GB"/>
        </w:rPr>
        <w:t>total cost</w:t>
      </w:r>
      <w:r w:rsidR="00EA5DEA">
        <w:rPr>
          <w:lang w:val="en-GB"/>
        </w:rPr>
        <w:t xml:space="preserve"> of successful implantation, which was supplied </w:t>
      </w:r>
      <w:r w:rsidR="005659B0">
        <w:rPr>
          <w:lang w:val="en-GB"/>
        </w:rPr>
        <w:t>in the</w:t>
      </w:r>
      <w:r w:rsidR="00EA5DEA">
        <w:rPr>
          <w:lang w:val="en-GB"/>
        </w:rPr>
        <w:t xml:space="preserve"> resubmission and amended during the critique process.</w:t>
      </w:r>
      <w:r w:rsidR="00260EC2">
        <w:rPr>
          <w:lang w:val="en-GB"/>
        </w:rPr>
        <w:t xml:space="preserve"> </w:t>
      </w:r>
      <w:r w:rsidR="00260EC2">
        <w:t>These costs comprise consumables, pre-operational, operational and post-operational costs.</w:t>
      </w:r>
    </w:p>
    <w:p w14:paraId="64FDD6BC" w14:textId="77777777" w:rsidR="005659B0" w:rsidRDefault="005659B0">
      <w:pPr>
        <w:rPr>
          <w:rFonts w:ascii="Arial Narrow" w:hAnsi="Arial Narrow"/>
          <w:b/>
          <w:sz w:val="20"/>
          <w:lang w:val="en-GB"/>
        </w:rPr>
      </w:pPr>
      <w:r>
        <w:rPr>
          <w:rFonts w:ascii="Arial Narrow" w:hAnsi="Arial Narrow"/>
          <w:b/>
          <w:sz w:val="20"/>
          <w:lang w:val="en-GB"/>
        </w:rPr>
        <w:br w:type="page"/>
      </w:r>
    </w:p>
    <w:p w14:paraId="58F69426" w14:textId="4A2EDE75" w:rsidR="00EA5DEA" w:rsidRPr="006B2C33" w:rsidRDefault="00EA5DEA" w:rsidP="00EA5DEA">
      <w:pPr>
        <w:rPr>
          <w:rFonts w:ascii="Arial Narrow" w:hAnsi="Arial Narrow"/>
          <w:b/>
          <w:sz w:val="20"/>
          <w:lang w:val="en-GB"/>
        </w:rPr>
      </w:pPr>
      <w:r w:rsidRPr="006B2C33">
        <w:rPr>
          <w:rFonts w:ascii="Arial Narrow" w:hAnsi="Arial Narrow"/>
          <w:b/>
          <w:sz w:val="20"/>
          <w:lang w:val="en-GB"/>
        </w:rPr>
        <w:lastRenderedPageBreak/>
        <w:t>T</w:t>
      </w:r>
      <w:r w:rsidR="00CE7201">
        <w:rPr>
          <w:rFonts w:ascii="Arial Narrow" w:hAnsi="Arial Narrow"/>
          <w:b/>
          <w:sz w:val="20"/>
          <w:lang w:val="en-GB"/>
        </w:rPr>
        <w:t xml:space="preserve">able </w:t>
      </w:r>
      <w:r w:rsidR="007B0FF1">
        <w:rPr>
          <w:rFonts w:ascii="Arial Narrow" w:hAnsi="Arial Narrow"/>
          <w:b/>
          <w:sz w:val="20"/>
          <w:lang w:val="en-GB"/>
        </w:rPr>
        <w:t>6</w:t>
      </w:r>
      <w:r w:rsidR="00CE7201">
        <w:rPr>
          <w:rFonts w:ascii="Arial Narrow" w:hAnsi="Arial Narrow"/>
          <w:b/>
          <w:sz w:val="20"/>
          <w:lang w:val="en-GB"/>
        </w:rPr>
        <w:t>: T</w:t>
      </w:r>
      <w:r w:rsidRPr="006B2C33">
        <w:rPr>
          <w:rFonts w:ascii="Arial Narrow" w:hAnsi="Arial Narrow"/>
          <w:b/>
          <w:sz w:val="20"/>
          <w:lang w:val="en-GB"/>
        </w:rPr>
        <w:t>otal costs per patient for successful VSB implantation in the first 6 month</w:t>
      </w:r>
    </w:p>
    <w:tbl>
      <w:tblPr>
        <w:tblW w:w="5000" w:type="pct"/>
        <w:tblLook w:val="04A0" w:firstRow="1" w:lastRow="0" w:firstColumn="1" w:lastColumn="0" w:noHBand="0" w:noVBand="1"/>
        <w:tblCaption w:val="Table D 7: Total costs per patient for successful VSB implantation in the first 6 month"/>
        <w:tblDescription w:val="Total costs per patient for successful VSB implantation in the first 6 months"/>
      </w:tblPr>
      <w:tblGrid>
        <w:gridCol w:w="3736"/>
        <w:gridCol w:w="2195"/>
        <w:gridCol w:w="627"/>
        <w:gridCol w:w="1312"/>
        <w:gridCol w:w="1372"/>
      </w:tblGrid>
      <w:tr w:rsidR="00EA5DEA" w:rsidRPr="004E1198" w14:paraId="24997059" w14:textId="77777777" w:rsidTr="005659B0">
        <w:trPr>
          <w:trHeight w:val="255"/>
          <w:tblHeader/>
        </w:trPr>
        <w:tc>
          <w:tcPr>
            <w:tcW w:w="2021"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69E659A" w14:textId="77777777" w:rsidR="00EA5DEA" w:rsidRPr="002E301A" w:rsidRDefault="00EA5DEA" w:rsidP="005659B0">
            <w:pPr>
              <w:pStyle w:val="Tabletext"/>
              <w:rPr>
                <w:b/>
                <w:lang w:val="en-US"/>
              </w:rPr>
            </w:pPr>
            <w:r w:rsidRPr="002E301A">
              <w:rPr>
                <w:b/>
                <w:lang w:val="en-US"/>
              </w:rPr>
              <w:t>VSB</w:t>
            </w:r>
          </w:p>
        </w:tc>
        <w:tc>
          <w:tcPr>
            <w:tcW w:w="1188" w:type="pct"/>
            <w:tcBorders>
              <w:top w:val="single" w:sz="8" w:space="0" w:color="auto"/>
              <w:left w:val="nil"/>
              <w:bottom w:val="single" w:sz="4" w:space="0" w:color="auto"/>
              <w:right w:val="single" w:sz="4" w:space="0" w:color="auto"/>
            </w:tcBorders>
            <w:shd w:val="clear" w:color="auto" w:fill="auto"/>
            <w:noWrap/>
            <w:vAlign w:val="center"/>
            <w:hideMark/>
          </w:tcPr>
          <w:p w14:paraId="05AC78BA" w14:textId="77777777" w:rsidR="00EA5DEA" w:rsidRPr="002E301A" w:rsidRDefault="00EA5DEA" w:rsidP="005659B0">
            <w:pPr>
              <w:pStyle w:val="Tabletext"/>
              <w:rPr>
                <w:b/>
                <w:lang w:val="en-US"/>
              </w:rPr>
            </w:pPr>
            <w:r w:rsidRPr="002E301A">
              <w:rPr>
                <w:b/>
                <w:lang w:val="en-US"/>
              </w:rPr>
              <w:t>Source of unit cost</w:t>
            </w:r>
          </w:p>
        </w:tc>
        <w:tc>
          <w:tcPr>
            <w:tcW w:w="339" w:type="pct"/>
            <w:tcBorders>
              <w:top w:val="single" w:sz="8" w:space="0" w:color="auto"/>
              <w:left w:val="nil"/>
              <w:bottom w:val="single" w:sz="4" w:space="0" w:color="auto"/>
              <w:right w:val="single" w:sz="4" w:space="0" w:color="auto"/>
            </w:tcBorders>
            <w:shd w:val="clear" w:color="auto" w:fill="auto"/>
            <w:noWrap/>
            <w:vAlign w:val="center"/>
            <w:hideMark/>
          </w:tcPr>
          <w:p w14:paraId="44A01864" w14:textId="77777777" w:rsidR="00EA5DEA" w:rsidRPr="002E301A" w:rsidRDefault="00EA5DEA" w:rsidP="005659B0">
            <w:pPr>
              <w:pStyle w:val="Tabletext"/>
              <w:rPr>
                <w:b/>
                <w:lang w:val="en-US"/>
              </w:rPr>
            </w:pPr>
            <w:r w:rsidRPr="002E301A">
              <w:rPr>
                <w:b/>
                <w:lang w:val="en-US"/>
              </w:rPr>
              <w:t>Units</w:t>
            </w:r>
          </w:p>
        </w:tc>
        <w:tc>
          <w:tcPr>
            <w:tcW w:w="710" w:type="pct"/>
            <w:tcBorders>
              <w:top w:val="single" w:sz="8" w:space="0" w:color="auto"/>
              <w:left w:val="nil"/>
              <w:bottom w:val="single" w:sz="4" w:space="0" w:color="auto"/>
              <w:right w:val="single" w:sz="4" w:space="0" w:color="auto"/>
            </w:tcBorders>
            <w:shd w:val="clear" w:color="auto" w:fill="auto"/>
            <w:noWrap/>
            <w:vAlign w:val="center"/>
            <w:hideMark/>
          </w:tcPr>
          <w:p w14:paraId="4CD47D3C" w14:textId="77777777" w:rsidR="00EA5DEA" w:rsidRPr="002E301A" w:rsidRDefault="00EA5DEA" w:rsidP="005659B0">
            <w:pPr>
              <w:pStyle w:val="Tabletext"/>
              <w:rPr>
                <w:b/>
                <w:lang w:val="en-US"/>
              </w:rPr>
            </w:pPr>
            <w:r w:rsidRPr="002E301A">
              <w:rPr>
                <w:b/>
                <w:lang w:val="en-US"/>
              </w:rPr>
              <w:t>Unit cost ($)</w:t>
            </w:r>
          </w:p>
        </w:tc>
        <w:tc>
          <w:tcPr>
            <w:tcW w:w="742" w:type="pct"/>
            <w:tcBorders>
              <w:top w:val="single" w:sz="8" w:space="0" w:color="auto"/>
              <w:left w:val="nil"/>
              <w:bottom w:val="single" w:sz="4" w:space="0" w:color="auto"/>
              <w:right w:val="single" w:sz="8" w:space="0" w:color="auto"/>
            </w:tcBorders>
            <w:shd w:val="clear" w:color="auto" w:fill="auto"/>
            <w:noWrap/>
            <w:vAlign w:val="center"/>
            <w:hideMark/>
          </w:tcPr>
          <w:p w14:paraId="0ED53686" w14:textId="77777777" w:rsidR="00EA5DEA" w:rsidRPr="002E301A" w:rsidRDefault="00EA5DEA" w:rsidP="005659B0">
            <w:pPr>
              <w:pStyle w:val="Tabletext"/>
              <w:rPr>
                <w:b/>
                <w:lang w:val="en-US"/>
              </w:rPr>
            </w:pPr>
            <w:r w:rsidRPr="002E301A">
              <w:rPr>
                <w:b/>
                <w:lang w:val="en-US"/>
              </w:rPr>
              <w:t>Total</w:t>
            </w:r>
            <w:r>
              <w:rPr>
                <w:b/>
                <w:lang w:val="en-US"/>
              </w:rPr>
              <w:t xml:space="preserve"> ($)</w:t>
            </w:r>
          </w:p>
        </w:tc>
      </w:tr>
      <w:tr w:rsidR="00EA5DEA" w:rsidRPr="004E1198" w14:paraId="67F18B68" w14:textId="77777777" w:rsidTr="005659B0">
        <w:trPr>
          <w:trHeight w:val="255"/>
        </w:trPr>
        <w:tc>
          <w:tcPr>
            <w:tcW w:w="5000" w:type="pct"/>
            <w:gridSpan w:val="5"/>
            <w:tcBorders>
              <w:top w:val="nil"/>
              <w:left w:val="single" w:sz="8" w:space="0" w:color="auto"/>
              <w:bottom w:val="single" w:sz="4" w:space="0" w:color="auto"/>
              <w:right w:val="single" w:sz="8" w:space="0" w:color="auto"/>
            </w:tcBorders>
            <w:shd w:val="clear" w:color="auto" w:fill="auto"/>
            <w:noWrap/>
            <w:vAlign w:val="center"/>
            <w:hideMark/>
          </w:tcPr>
          <w:p w14:paraId="2D77CC9E" w14:textId="77777777" w:rsidR="00EA5DEA" w:rsidRPr="004E1198" w:rsidRDefault="00EA5DEA" w:rsidP="005659B0">
            <w:pPr>
              <w:pStyle w:val="Tabletext"/>
              <w:rPr>
                <w:lang w:val="en-US"/>
              </w:rPr>
            </w:pPr>
            <w:r w:rsidRPr="004E1198">
              <w:rPr>
                <w:lang w:val="en-US"/>
              </w:rPr>
              <w:t>Consumables</w:t>
            </w:r>
          </w:p>
        </w:tc>
      </w:tr>
      <w:tr w:rsidR="00EA5DEA" w:rsidRPr="004E1198" w14:paraId="2DFAB7F5" w14:textId="77777777" w:rsidTr="005659B0">
        <w:trPr>
          <w:trHeight w:val="255"/>
        </w:trPr>
        <w:tc>
          <w:tcPr>
            <w:tcW w:w="2021" w:type="pct"/>
            <w:tcBorders>
              <w:top w:val="nil"/>
              <w:left w:val="single" w:sz="8" w:space="0" w:color="auto"/>
              <w:bottom w:val="single" w:sz="4" w:space="0" w:color="auto"/>
              <w:right w:val="single" w:sz="4" w:space="0" w:color="auto"/>
            </w:tcBorders>
            <w:shd w:val="clear" w:color="auto" w:fill="auto"/>
            <w:noWrap/>
            <w:vAlign w:val="bottom"/>
            <w:hideMark/>
          </w:tcPr>
          <w:p w14:paraId="387E15F5" w14:textId="77777777" w:rsidR="00EA5DEA" w:rsidRPr="004E1198" w:rsidRDefault="00EA5DEA" w:rsidP="005659B0">
            <w:pPr>
              <w:pStyle w:val="Tabletext"/>
              <w:rPr>
                <w:lang w:val="en-US"/>
              </w:rPr>
            </w:pPr>
            <w:r w:rsidRPr="004E1198">
              <w:rPr>
                <w:lang w:val="en-US"/>
              </w:rPr>
              <w:t>Implant</w:t>
            </w:r>
          </w:p>
        </w:tc>
        <w:tc>
          <w:tcPr>
            <w:tcW w:w="1188" w:type="pct"/>
            <w:tcBorders>
              <w:top w:val="nil"/>
              <w:left w:val="nil"/>
              <w:bottom w:val="single" w:sz="4" w:space="0" w:color="auto"/>
              <w:right w:val="single" w:sz="4" w:space="0" w:color="auto"/>
            </w:tcBorders>
            <w:shd w:val="clear" w:color="auto" w:fill="auto"/>
            <w:noWrap/>
            <w:vAlign w:val="center"/>
            <w:hideMark/>
          </w:tcPr>
          <w:p w14:paraId="581D3789" w14:textId="77777777" w:rsidR="00EA5DEA" w:rsidRPr="004E1198" w:rsidRDefault="00EA5DEA" w:rsidP="005659B0">
            <w:pPr>
              <w:pStyle w:val="Tabletext"/>
              <w:rPr>
                <w:lang w:val="en-US"/>
              </w:rPr>
            </w:pPr>
            <w:r w:rsidRPr="004E1198">
              <w:rPr>
                <w:lang w:val="en-US"/>
              </w:rPr>
              <w:t>Manufacturer</w:t>
            </w:r>
          </w:p>
        </w:tc>
        <w:tc>
          <w:tcPr>
            <w:tcW w:w="339" w:type="pct"/>
            <w:tcBorders>
              <w:top w:val="nil"/>
              <w:left w:val="nil"/>
              <w:bottom w:val="single" w:sz="4" w:space="0" w:color="auto"/>
              <w:right w:val="single" w:sz="4" w:space="0" w:color="auto"/>
            </w:tcBorders>
            <w:shd w:val="clear" w:color="auto" w:fill="auto"/>
            <w:noWrap/>
            <w:vAlign w:val="center"/>
            <w:hideMark/>
          </w:tcPr>
          <w:p w14:paraId="73E8734F" w14:textId="77777777" w:rsidR="00EA5DEA" w:rsidRPr="004E1198" w:rsidRDefault="00EA5DEA" w:rsidP="005659B0">
            <w:pPr>
              <w:pStyle w:val="Tabletext"/>
              <w:rPr>
                <w:lang w:val="en-US"/>
              </w:rPr>
            </w:pPr>
            <w:r w:rsidRPr="004E1198">
              <w:rPr>
                <w:lang w:val="en-US"/>
              </w:rPr>
              <w:t>1</w:t>
            </w:r>
          </w:p>
        </w:tc>
        <w:tc>
          <w:tcPr>
            <w:tcW w:w="710" w:type="pct"/>
            <w:tcBorders>
              <w:top w:val="nil"/>
              <w:left w:val="nil"/>
              <w:bottom w:val="single" w:sz="4" w:space="0" w:color="auto"/>
              <w:right w:val="single" w:sz="4" w:space="0" w:color="auto"/>
            </w:tcBorders>
            <w:shd w:val="clear" w:color="auto" w:fill="auto"/>
            <w:noWrap/>
            <w:vAlign w:val="bottom"/>
            <w:hideMark/>
          </w:tcPr>
          <w:p w14:paraId="379C9729" w14:textId="77777777" w:rsidR="00EA5DEA" w:rsidRPr="004E1198" w:rsidRDefault="00EA5DEA" w:rsidP="005659B0">
            <w:pPr>
              <w:pStyle w:val="Tabletext"/>
              <w:rPr>
                <w:lang w:val="en-US"/>
              </w:rPr>
            </w:pPr>
            <w:r w:rsidRPr="004E1198">
              <w:rPr>
                <w:lang w:val="en-US"/>
              </w:rPr>
              <w:t>7470</w:t>
            </w:r>
            <w:r>
              <w:rPr>
                <w:lang w:val="en-US"/>
              </w:rPr>
              <w:t>.</w:t>
            </w:r>
            <w:r w:rsidRPr="004E1198">
              <w:rPr>
                <w:lang w:val="en-US"/>
              </w:rPr>
              <w:t xml:space="preserve">00 </w:t>
            </w:r>
          </w:p>
        </w:tc>
        <w:tc>
          <w:tcPr>
            <w:tcW w:w="742" w:type="pct"/>
            <w:tcBorders>
              <w:top w:val="nil"/>
              <w:left w:val="nil"/>
              <w:bottom w:val="single" w:sz="4" w:space="0" w:color="auto"/>
              <w:right w:val="single" w:sz="8" w:space="0" w:color="auto"/>
            </w:tcBorders>
            <w:shd w:val="clear" w:color="auto" w:fill="auto"/>
            <w:noWrap/>
            <w:vAlign w:val="bottom"/>
            <w:hideMark/>
          </w:tcPr>
          <w:p w14:paraId="0D5FC44F" w14:textId="77777777" w:rsidR="00EA5DEA" w:rsidRPr="004E1198" w:rsidRDefault="00EA5DEA" w:rsidP="005659B0">
            <w:pPr>
              <w:pStyle w:val="Tabletext"/>
              <w:rPr>
                <w:lang w:val="en-US"/>
              </w:rPr>
            </w:pPr>
            <w:r w:rsidRPr="004E1198">
              <w:rPr>
                <w:lang w:val="en-US"/>
              </w:rPr>
              <w:t>7470</w:t>
            </w:r>
            <w:r>
              <w:rPr>
                <w:lang w:val="en-US"/>
              </w:rPr>
              <w:t>.</w:t>
            </w:r>
            <w:r w:rsidRPr="004E1198">
              <w:rPr>
                <w:lang w:val="en-US"/>
              </w:rPr>
              <w:t xml:space="preserve">00 </w:t>
            </w:r>
          </w:p>
        </w:tc>
      </w:tr>
      <w:tr w:rsidR="00EA5DEA" w:rsidRPr="004E1198" w14:paraId="257ADDE6" w14:textId="77777777" w:rsidTr="005659B0">
        <w:trPr>
          <w:trHeight w:val="255"/>
        </w:trPr>
        <w:tc>
          <w:tcPr>
            <w:tcW w:w="2021" w:type="pct"/>
            <w:tcBorders>
              <w:top w:val="nil"/>
              <w:left w:val="single" w:sz="8" w:space="0" w:color="auto"/>
              <w:bottom w:val="single" w:sz="4" w:space="0" w:color="auto"/>
              <w:right w:val="single" w:sz="4" w:space="0" w:color="auto"/>
            </w:tcBorders>
            <w:shd w:val="clear" w:color="auto" w:fill="auto"/>
            <w:noWrap/>
            <w:vAlign w:val="bottom"/>
            <w:hideMark/>
          </w:tcPr>
          <w:p w14:paraId="067000C2" w14:textId="77777777" w:rsidR="00EA5DEA" w:rsidRPr="004E1198" w:rsidRDefault="00EA5DEA" w:rsidP="005659B0">
            <w:pPr>
              <w:pStyle w:val="Tabletext"/>
              <w:rPr>
                <w:lang w:val="en-US"/>
              </w:rPr>
            </w:pPr>
            <w:r w:rsidRPr="004E1198">
              <w:rPr>
                <w:lang w:val="en-US"/>
              </w:rPr>
              <w:t>Processor</w:t>
            </w:r>
          </w:p>
        </w:tc>
        <w:tc>
          <w:tcPr>
            <w:tcW w:w="1188" w:type="pct"/>
            <w:tcBorders>
              <w:top w:val="nil"/>
              <w:left w:val="nil"/>
              <w:bottom w:val="single" w:sz="4" w:space="0" w:color="auto"/>
              <w:right w:val="single" w:sz="4" w:space="0" w:color="auto"/>
            </w:tcBorders>
            <w:shd w:val="clear" w:color="auto" w:fill="auto"/>
            <w:noWrap/>
            <w:vAlign w:val="center"/>
            <w:hideMark/>
          </w:tcPr>
          <w:p w14:paraId="11D9C249" w14:textId="77777777" w:rsidR="00EA5DEA" w:rsidRPr="004E1198" w:rsidRDefault="00EA5DEA" w:rsidP="005659B0">
            <w:pPr>
              <w:pStyle w:val="Tabletext"/>
              <w:rPr>
                <w:lang w:val="en-US"/>
              </w:rPr>
            </w:pPr>
            <w:r w:rsidRPr="004E1198">
              <w:rPr>
                <w:lang w:val="en-US"/>
              </w:rPr>
              <w:t>Manufacturer</w:t>
            </w:r>
          </w:p>
        </w:tc>
        <w:tc>
          <w:tcPr>
            <w:tcW w:w="339" w:type="pct"/>
            <w:tcBorders>
              <w:top w:val="nil"/>
              <w:left w:val="nil"/>
              <w:bottom w:val="single" w:sz="4" w:space="0" w:color="auto"/>
              <w:right w:val="single" w:sz="4" w:space="0" w:color="auto"/>
            </w:tcBorders>
            <w:shd w:val="clear" w:color="auto" w:fill="auto"/>
            <w:noWrap/>
            <w:vAlign w:val="center"/>
            <w:hideMark/>
          </w:tcPr>
          <w:p w14:paraId="69FF19A6" w14:textId="77777777" w:rsidR="00EA5DEA" w:rsidRPr="004E1198" w:rsidRDefault="00EA5DEA" w:rsidP="005659B0">
            <w:pPr>
              <w:pStyle w:val="Tabletext"/>
              <w:rPr>
                <w:lang w:val="en-US"/>
              </w:rPr>
            </w:pPr>
            <w:r w:rsidRPr="004E1198">
              <w:rPr>
                <w:lang w:val="en-US"/>
              </w:rPr>
              <w:t>1</w:t>
            </w:r>
          </w:p>
        </w:tc>
        <w:tc>
          <w:tcPr>
            <w:tcW w:w="710" w:type="pct"/>
            <w:tcBorders>
              <w:top w:val="nil"/>
              <w:left w:val="nil"/>
              <w:bottom w:val="single" w:sz="4" w:space="0" w:color="auto"/>
              <w:right w:val="single" w:sz="4" w:space="0" w:color="auto"/>
            </w:tcBorders>
            <w:shd w:val="clear" w:color="auto" w:fill="auto"/>
            <w:noWrap/>
            <w:vAlign w:val="bottom"/>
            <w:hideMark/>
          </w:tcPr>
          <w:p w14:paraId="7A87D8CE" w14:textId="77777777" w:rsidR="00EA5DEA" w:rsidRPr="004E1198" w:rsidRDefault="00EA5DEA" w:rsidP="005659B0">
            <w:pPr>
              <w:pStyle w:val="Tabletext"/>
              <w:rPr>
                <w:lang w:val="en-US"/>
              </w:rPr>
            </w:pPr>
            <w:r w:rsidRPr="004E1198">
              <w:rPr>
                <w:lang w:val="en-US"/>
              </w:rPr>
              <w:t>6500</w:t>
            </w:r>
            <w:r>
              <w:rPr>
                <w:lang w:val="en-US"/>
              </w:rPr>
              <w:t>.</w:t>
            </w:r>
            <w:r w:rsidRPr="004E1198">
              <w:rPr>
                <w:lang w:val="en-US"/>
              </w:rPr>
              <w:t xml:space="preserve">00 </w:t>
            </w:r>
          </w:p>
        </w:tc>
        <w:tc>
          <w:tcPr>
            <w:tcW w:w="742" w:type="pct"/>
            <w:tcBorders>
              <w:top w:val="nil"/>
              <w:left w:val="nil"/>
              <w:bottom w:val="single" w:sz="4" w:space="0" w:color="auto"/>
              <w:right w:val="single" w:sz="8" w:space="0" w:color="auto"/>
            </w:tcBorders>
            <w:shd w:val="clear" w:color="auto" w:fill="auto"/>
            <w:noWrap/>
            <w:vAlign w:val="bottom"/>
            <w:hideMark/>
          </w:tcPr>
          <w:p w14:paraId="48955F6E" w14:textId="77777777" w:rsidR="00EA5DEA" w:rsidRPr="004E1198" w:rsidRDefault="00EA5DEA" w:rsidP="005659B0">
            <w:pPr>
              <w:pStyle w:val="Tabletext"/>
              <w:rPr>
                <w:lang w:val="en-US"/>
              </w:rPr>
            </w:pPr>
            <w:r w:rsidRPr="004E1198">
              <w:rPr>
                <w:lang w:val="en-US"/>
              </w:rPr>
              <w:t>6500</w:t>
            </w:r>
            <w:r>
              <w:rPr>
                <w:lang w:val="en-US"/>
              </w:rPr>
              <w:t>.</w:t>
            </w:r>
            <w:r w:rsidRPr="004E1198">
              <w:rPr>
                <w:lang w:val="en-US"/>
              </w:rPr>
              <w:t xml:space="preserve">00 </w:t>
            </w:r>
          </w:p>
        </w:tc>
      </w:tr>
      <w:tr w:rsidR="00EA5DEA" w:rsidRPr="004E1198" w14:paraId="01FF3F66" w14:textId="77777777" w:rsidTr="005659B0">
        <w:trPr>
          <w:trHeight w:val="255"/>
        </w:trPr>
        <w:tc>
          <w:tcPr>
            <w:tcW w:w="5000" w:type="pct"/>
            <w:gridSpan w:val="5"/>
            <w:tcBorders>
              <w:top w:val="nil"/>
              <w:left w:val="single" w:sz="8" w:space="0" w:color="auto"/>
              <w:bottom w:val="single" w:sz="4" w:space="0" w:color="auto"/>
              <w:right w:val="single" w:sz="8" w:space="0" w:color="auto"/>
            </w:tcBorders>
            <w:shd w:val="clear" w:color="auto" w:fill="auto"/>
            <w:noWrap/>
            <w:vAlign w:val="bottom"/>
            <w:hideMark/>
          </w:tcPr>
          <w:p w14:paraId="759F7959" w14:textId="77777777" w:rsidR="00EA5DEA" w:rsidRPr="004E1198" w:rsidRDefault="00EA5DEA" w:rsidP="005659B0">
            <w:pPr>
              <w:pStyle w:val="Tabletext"/>
              <w:rPr>
                <w:lang w:val="en-US"/>
              </w:rPr>
            </w:pPr>
            <w:r w:rsidRPr="004E1198">
              <w:rPr>
                <w:i/>
                <w:iCs/>
                <w:lang w:val="en-US"/>
              </w:rPr>
              <w:t>Pre operational</w:t>
            </w:r>
          </w:p>
        </w:tc>
      </w:tr>
      <w:tr w:rsidR="00EA5DEA" w:rsidRPr="004E1198" w14:paraId="0F1690C3" w14:textId="77777777" w:rsidTr="005659B0">
        <w:trPr>
          <w:trHeight w:val="24"/>
        </w:trPr>
        <w:tc>
          <w:tcPr>
            <w:tcW w:w="2021" w:type="pct"/>
            <w:tcBorders>
              <w:top w:val="nil"/>
              <w:left w:val="single" w:sz="8" w:space="0" w:color="auto"/>
              <w:bottom w:val="single" w:sz="4" w:space="0" w:color="auto"/>
              <w:right w:val="single" w:sz="4" w:space="0" w:color="auto"/>
            </w:tcBorders>
            <w:shd w:val="clear" w:color="auto" w:fill="auto"/>
            <w:noWrap/>
            <w:vAlign w:val="bottom"/>
            <w:hideMark/>
          </w:tcPr>
          <w:p w14:paraId="382FED78" w14:textId="77777777" w:rsidR="00EA5DEA" w:rsidRPr="004E1198" w:rsidRDefault="00EA5DEA" w:rsidP="005659B0">
            <w:pPr>
              <w:pStyle w:val="Tabletext"/>
              <w:rPr>
                <w:lang w:val="en-US"/>
              </w:rPr>
            </w:pPr>
            <w:r w:rsidRPr="004E1198">
              <w:rPr>
                <w:lang w:val="en-US"/>
              </w:rPr>
              <w:t>ENT specialist</w:t>
            </w:r>
          </w:p>
        </w:tc>
        <w:tc>
          <w:tcPr>
            <w:tcW w:w="1188" w:type="pct"/>
            <w:tcBorders>
              <w:top w:val="nil"/>
              <w:left w:val="nil"/>
              <w:bottom w:val="single" w:sz="4" w:space="0" w:color="auto"/>
              <w:right w:val="single" w:sz="4" w:space="0" w:color="auto"/>
            </w:tcBorders>
            <w:shd w:val="clear" w:color="auto" w:fill="auto"/>
            <w:noWrap/>
            <w:vAlign w:val="center"/>
            <w:hideMark/>
          </w:tcPr>
          <w:p w14:paraId="21B5DE07" w14:textId="77777777" w:rsidR="00EA5DEA" w:rsidRPr="004E1198" w:rsidRDefault="00EA5DEA" w:rsidP="005659B0">
            <w:pPr>
              <w:pStyle w:val="Tabletext"/>
              <w:rPr>
                <w:lang w:val="en-US"/>
              </w:rPr>
            </w:pPr>
            <w:r w:rsidRPr="004E1198">
              <w:rPr>
                <w:lang w:val="en-US"/>
              </w:rPr>
              <w:t>MBS item 104</w:t>
            </w:r>
          </w:p>
        </w:tc>
        <w:tc>
          <w:tcPr>
            <w:tcW w:w="339" w:type="pct"/>
            <w:tcBorders>
              <w:top w:val="nil"/>
              <w:left w:val="nil"/>
              <w:bottom w:val="single" w:sz="4" w:space="0" w:color="auto"/>
              <w:right w:val="single" w:sz="4" w:space="0" w:color="auto"/>
            </w:tcBorders>
            <w:shd w:val="clear" w:color="auto" w:fill="auto"/>
            <w:noWrap/>
            <w:vAlign w:val="center"/>
            <w:hideMark/>
          </w:tcPr>
          <w:p w14:paraId="59137D52" w14:textId="77777777" w:rsidR="00EA5DEA" w:rsidRPr="004E1198" w:rsidRDefault="00EA5DEA" w:rsidP="005659B0">
            <w:pPr>
              <w:pStyle w:val="Tabletext"/>
              <w:rPr>
                <w:lang w:val="en-US"/>
              </w:rPr>
            </w:pPr>
            <w:r w:rsidRPr="004E1198">
              <w:rPr>
                <w:lang w:val="en-US"/>
              </w:rPr>
              <w:t>2</w:t>
            </w:r>
          </w:p>
        </w:tc>
        <w:tc>
          <w:tcPr>
            <w:tcW w:w="710" w:type="pct"/>
            <w:tcBorders>
              <w:top w:val="nil"/>
              <w:left w:val="nil"/>
              <w:bottom w:val="single" w:sz="4" w:space="0" w:color="auto"/>
              <w:right w:val="single" w:sz="4" w:space="0" w:color="auto"/>
            </w:tcBorders>
            <w:shd w:val="clear" w:color="auto" w:fill="auto"/>
            <w:noWrap/>
            <w:vAlign w:val="bottom"/>
            <w:hideMark/>
          </w:tcPr>
          <w:p w14:paraId="5BBB9744" w14:textId="77777777" w:rsidR="00EA5DEA" w:rsidRPr="004E1198" w:rsidRDefault="00EA5DEA" w:rsidP="005659B0">
            <w:pPr>
              <w:pStyle w:val="Tabletext"/>
              <w:rPr>
                <w:lang w:val="en-US"/>
              </w:rPr>
            </w:pPr>
            <w:r w:rsidRPr="004E1198">
              <w:rPr>
                <w:lang w:val="en-US"/>
              </w:rPr>
              <w:t>85</w:t>
            </w:r>
            <w:r>
              <w:rPr>
                <w:lang w:val="en-US"/>
              </w:rPr>
              <w:t>.</w:t>
            </w:r>
            <w:r w:rsidRPr="004E1198">
              <w:rPr>
                <w:lang w:val="en-US"/>
              </w:rPr>
              <w:t xml:space="preserve">55 </w:t>
            </w:r>
          </w:p>
        </w:tc>
        <w:tc>
          <w:tcPr>
            <w:tcW w:w="742" w:type="pct"/>
            <w:tcBorders>
              <w:top w:val="nil"/>
              <w:left w:val="nil"/>
              <w:bottom w:val="single" w:sz="4" w:space="0" w:color="auto"/>
              <w:right w:val="single" w:sz="8" w:space="0" w:color="auto"/>
            </w:tcBorders>
            <w:shd w:val="clear" w:color="auto" w:fill="auto"/>
            <w:noWrap/>
            <w:vAlign w:val="bottom"/>
            <w:hideMark/>
          </w:tcPr>
          <w:p w14:paraId="46A6FBCC" w14:textId="77777777" w:rsidR="00EA5DEA" w:rsidRPr="004E1198" w:rsidRDefault="00EA5DEA" w:rsidP="005659B0">
            <w:pPr>
              <w:pStyle w:val="Tabletext"/>
              <w:rPr>
                <w:lang w:val="en-US"/>
              </w:rPr>
            </w:pPr>
            <w:r w:rsidRPr="004E1198">
              <w:rPr>
                <w:lang w:val="en-US"/>
              </w:rPr>
              <w:t>171</w:t>
            </w:r>
            <w:r>
              <w:rPr>
                <w:lang w:val="en-US"/>
              </w:rPr>
              <w:t>.</w:t>
            </w:r>
            <w:r w:rsidRPr="004E1198">
              <w:rPr>
                <w:lang w:val="en-US"/>
              </w:rPr>
              <w:t xml:space="preserve">10 </w:t>
            </w:r>
          </w:p>
        </w:tc>
      </w:tr>
      <w:tr w:rsidR="00EA5DEA" w:rsidRPr="004E1198" w14:paraId="4772D52C" w14:textId="77777777" w:rsidTr="005659B0">
        <w:trPr>
          <w:trHeight w:val="24"/>
        </w:trPr>
        <w:tc>
          <w:tcPr>
            <w:tcW w:w="2021" w:type="pct"/>
            <w:tcBorders>
              <w:top w:val="nil"/>
              <w:left w:val="single" w:sz="8" w:space="0" w:color="auto"/>
              <w:bottom w:val="single" w:sz="4" w:space="0" w:color="auto"/>
              <w:right w:val="single" w:sz="4" w:space="0" w:color="auto"/>
            </w:tcBorders>
            <w:shd w:val="clear" w:color="auto" w:fill="auto"/>
            <w:noWrap/>
            <w:vAlign w:val="bottom"/>
            <w:hideMark/>
          </w:tcPr>
          <w:p w14:paraId="6FBC3F89" w14:textId="77777777" w:rsidR="00EA5DEA" w:rsidRPr="004E1198" w:rsidRDefault="00EA5DEA" w:rsidP="005659B0">
            <w:pPr>
              <w:pStyle w:val="Tabletext"/>
              <w:rPr>
                <w:lang w:val="en-US"/>
              </w:rPr>
            </w:pPr>
            <w:proofErr w:type="spellStart"/>
            <w:r w:rsidRPr="004E1198">
              <w:rPr>
                <w:lang w:val="en-US"/>
              </w:rPr>
              <w:t>Anaesthesia</w:t>
            </w:r>
            <w:proofErr w:type="spellEnd"/>
            <w:r w:rsidRPr="004E1198">
              <w:rPr>
                <w:lang w:val="en-US"/>
              </w:rPr>
              <w:t xml:space="preserve"> prep</w:t>
            </w:r>
          </w:p>
        </w:tc>
        <w:tc>
          <w:tcPr>
            <w:tcW w:w="1188" w:type="pct"/>
            <w:tcBorders>
              <w:top w:val="nil"/>
              <w:left w:val="nil"/>
              <w:bottom w:val="single" w:sz="4" w:space="0" w:color="auto"/>
              <w:right w:val="single" w:sz="4" w:space="0" w:color="auto"/>
            </w:tcBorders>
            <w:shd w:val="clear" w:color="auto" w:fill="auto"/>
            <w:noWrap/>
            <w:vAlign w:val="center"/>
            <w:hideMark/>
          </w:tcPr>
          <w:p w14:paraId="23DE5B8A" w14:textId="77777777" w:rsidR="00EA5DEA" w:rsidRPr="004E1198" w:rsidRDefault="00EA5DEA" w:rsidP="005659B0">
            <w:pPr>
              <w:pStyle w:val="Tabletext"/>
              <w:rPr>
                <w:lang w:val="en-US"/>
              </w:rPr>
            </w:pPr>
            <w:r w:rsidRPr="004E1198">
              <w:rPr>
                <w:lang w:val="en-US"/>
              </w:rPr>
              <w:t>MBS item 17610</w:t>
            </w:r>
          </w:p>
        </w:tc>
        <w:tc>
          <w:tcPr>
            <w:tcW w:w="339" w:type="pct"/>
            <w:tcBorders>
              <w:top w:val="nil"/>
              <w:left w:val="nil"/>
              <w:bottom w:val="single" w:sz="4" w:space="0" w:color="auto"/>
              <w:right w:val="single" w:sz="4" w:space="0" w:color="auto"/>
            </w:tcBorders>
            <w:shd w:val="clear" w:color="auto" w:fill="auto"/>
            <w:noWrap/>
            <w:vAlign w:val="center"/>
            <w:hideMark/>
          </w:tcPr>
          <w:p w14:paraId="246A7ED9" w14:textId="77777777" w:rsidR="00EA5DEA" w:rsidRPr="004E1198" w:rsidRDefault="00EA5DEA" w:rsidP="005659B0">
            <w:pPr>
              <w:pStyle w:val="Tabletext"/>
              <w:rPr>
                <w:lang w:val="en-US"/>
              </w:rPr>
            </w:pPr>
            <w:r w:rsidRPr="004E1198">
              <w:rPr>
                <w:lang w:val="en-US"/>
              </w:rPr>
              <w:t>1</w:t>
            </w:r>
          </w:p>
        </w:tc>
        <w:tc>
          <w:tcPr>
            <w:tcW w:w="710" w:type="pct"/>
            <w:tcBorders>
              <w:top w:val="nil"/>
              <w:left w:val="nil"/>
              <w:bottom w:val="single" w:sz="4" w:space="0" w:color="auto"/>
              <w:right w:val="single" w:sz="4" w:space="0" w:color="auto"/>
            </w:tcBorders>
            <w:shd w:val="clear" w:color="auto" w:fill="auto"/>
            <w:noWrap/>
            <w:vAlign w:val="bottom"/>
            <w:hideMark/>
          </w:tcPr>
          <w:p w14:paraId="249109C6" w14:textId="77777777" w:rsidR="00EA5DEA" w:rsidRPr="004E1198" w:rsidRDefault="00EA5DEA" w:rsidP="005659B0">
            <w:pPr>
              <w:pStyle w:val="Tabletext"/>
              <w:rPr>
                <w:lang w:val="en-US"/>
              </w:rPr>
            </w:pPr>
            <w:r>
              <w:rPr>
                <w:lang w:val="en-US"/>
              </w:rPr>
              <w:t>43.00</w:t>
            </w:r>
          </w:p>
        </w:tc>
        <w:tc>
          <w:tcPr>
            <w:tcW w:w="742" w:type="pct"/>
            <w:tcBorders>
              <w:top w:val="nil"/>
              <w:left w:val="nil"/>
              <w:bottom w:val="single" w:sz="4" w:space="0" w:color="auto"/>
              <w:right w:val="single" w:sz="8" w:space="0" w:color="auto"/>
            </w:tcBorders>
            <w:shd w:val="clear" w:color="auto" w:fill="auto"/>
            <w:noWrap/>
            <w:vAlign w:val="bottom"/>
            <w:hideMark/>
          </w:tcPr>
          <w:p w14:paraId="6B30BA95" w14:textId="77777777" w:rsidR="00EA5DEA" w:rsidRPr="004E1198" w:rsidRDefault="00EA5DEA" w:rsidP="005659B0">
            <w:pPr>
              <w:pStyle w:val="Tabletext"/>
              <w:rPr>
                <w:lang w:val="en-US"/>
              </w:rPr>
            </w:pPr>
            <w:r>
              <w:rPr>
                <w:lang w:val="en-US"/>
              </w:rPr>
              <w:t>43.00</w:t>
            </w:r>
          </w:p>
        </w:tc>
      </w:tr>
      <w:tr w:rsidR="00EA5DEA" w:rsidRPr="004E1198" w14:paraId="5E9638FD" w14:textId="77777777" w:rsidTr="005659B0">
        <w:trPr>
          <w:trHeight w:val="24"/>
        </w:trPr>
        <w:tc>
          <w:tcPr>
            <w:tcW w:w="2021" w:type="pct"/>
            <w:tcBorders>
              <w:top w:val="nil"/>
              <w:left w:val="single" w:sz="8" w:space="0" w:color="auto"/>
              <w:bottom w:val="single" w:sz="4" w:space="0" w:color="auto"/>
              <w:right w:val="single" w:sz="4" w:space="0" w:color="auto"/>
            </w:tcBorders>
            <w:shd w:val="clear" w:color="auto" w:fill="auto"/>
            <w:noWrap/>
            <w:vAlign w:val="bottom"/>
            <w:hideMark/>
          </w:tcPr>
          <w:p w14:paraId="1B68DA52" w14:textId="77777777" w:rsidR="00EA5DEA" w:rsidRPr="004E1198" w:rsidRDefault="00EA5DEA" w:rsidP="005659B0">
            <w:pPr>
              <w:pStyle w:val="Tabletext"/>
              <w:rPr>
                <w:lang w:val="en-US"/>
              </w:rPr>
            </w:pPr>
            <w:r w:rsidRPr="004E1198">
              <w:rPr>
                <w:lang w:val="en-US"/>
              </w:rPr>
              <w:t>Audiogram (ENT)</w:t>
            </w:r>
          </w:p>
        </w:tc>
        <w:tc>
          <w:tcPr>
            <w:tcW w:w="1188" w:type="pct"/>
            <w:tcBorders>
              <w:top w:val="nil"/>
              <w:left w:val="nil"/>
              <w:bottom w:val="single" w:sz="4" w:space="0" w:color="auto"/>
              <w:right w:val="single" w:sz="4" w:space="0" w:color="auto"/>
            </w:tcBorders>
            <w:shd w:val="clear" w:color="auto" w:fill="auto"/>
            <w:noWrap/>
            <w:vAlign w:val="center"/>
            <w:hideMark/>
          </w:tcPr>
          <w:p w14:paraId="208C2D65" w14:textId="77777777" w:rsidR="00EA5DEA" w:rsidRPr="004E1198" w:rsidRDefault="00EA5DEA" w:rsidP="005659B0">
            <w:pPr>
              <w:pStyle w:val="Tabletext"/>
              <w:rPr>
                <w:lang w:val="en-US"/>
              </w:rPr>
            </w:pPr>
            <w:r w:rsidRPr="004E1198">
              <w:rPr>
                <w:lang w:val="en-US"/>
              </w:rPr>
              <w:t>MBS item 11315</w:t>
            </w:r>
          </w:p>
        </w:tc>
        <w:tc>
          <w:tcPr>
            <w:tcW w:w="339" w:type="pct"/>
            <w:tcBorders>
              <w:top w:val="nil"/>
              <w:left w:val="nil"/>
              <w:bottom w:val="single" w:sz="4" w:space="0" w:color="auto"/>
              <w:right w:val="single" w:sz="4" w:space="0" w:color="auto"/>
            </w:tcBorders>
            <w:shd w:val="clear" w:color="auto" w:fill="auto"/>
            <w:noWrap/>
            <w:vAlign w:val="center"/>
            <w:hideMark/>
          </w:tcPr>
          <w:p w14:paraId="3CB6389C" w14:textId="77777777" w:rsidR="00EA5DEA" w:rsidRPr="004E1198" w:rsidRDefault="00EA5DEA" w:rsidP="005659B0">
            <w:pPr>
              <w:pStyle w:val="Tabletext"/>
              <w:rPr>
                <w:lang w:val="en-US"/>
              </w:rPr>
            </w:pPr>
            <w:r w:rsidRPr="004E1198">
              <w:rPr>
                <w:lang w:val="en-US"/>
              </w:rPr>
              <w:t>1</w:t>
            </w:r>
          </w:p>
        </w:tc>
        <w:tc>
          <w:tcPr>
            <w:tcW w:w="710" w:type="pct"/>
            <w:tcBorders>
              <w:top w:val="nil"/>
              <w:left w:val="nil"/>
              <w:bottom w:val="single" w:sz="4" w:space="0" w:color="auto"/>
              <w:right w:val="single" w:sz="4" w:space="0" w:color="auto"/>
            </w:tcBorders>
            <w:shd w:val="clear" w:color="auto" w:fill="auto"/>
            <w:noWrap/>
            <w:vAlign w:val="bottom"/>
            <w:hideMark/>
          </w:tcPr>
          <w:p w14:paraId="35A68600" w14:textId="77777777" w:rsidR="00EA5DEA" w:rsidRPr="004E1198" w:rsidRDefault="00EA5DEA" w:rsidP="005659B0">
            <w:pPr>
              <w:pStyle w:val="Tabletext"/>
              <w:rPr>
                <w:lang w:val="en-US"/>
              </w:rPr>
            </w:pPr>
            <w:r w:rsidRPr="004E1198">
              <w:rPr>
                <w:lang w:val="en-US"/>
              </w:rPr>
              <w:t>49</w:t>
            </w:r>
            <w:r>
              <w:rPr>
                <w:lang w:val="en-US"/>
              </w:rPr>
              <w:t>.</w:t>
            </w:r>
            <w:r w:rsidRPr="004E1198">
              <w:rPr>
                <w:lang w:val="en-US"/>
              </w:rPr>
              <w:t xml:space="preserve">20 </w:t>
            </w:r>
          </w:p>
        </w:tc>
        <w:tc>
          <w:tcPr>
            <w:tcW w:w="742" w:type="pct"/>
            <w:tcBorders>
              <w:top w:val="nil"/>
              <w:left w:val="nil"/>
              <w:bottom w:val="single" w:sz="4" w:space="0" w:color="auto"/>
              <w:right w:val="single" w:sz="8" w:space="0" w:color="auto"/>
            </w:tcBorders>
            <w:shd w:val="clear" w:color="auto" w:fill="auto"/>
            <w:noWrap/>
            <w:vAlign w:val="bottom"/>
            <w:hideMark/>
          </w:tcPr>
          <w:p w14:paraId="506F72DC" w14:textId="77777777" w:rsidR="00EA5DEA" w:rsidRPr="004E1198" w:rsidRDefault="00EA5DEA" w:rsidP="005659B0">
            <w:pPr>
              <w:pStyle w:val="Tabletext"/>
              <w:rPr>
                <w:lang w:val="en-US"/>
              </w:rPr>
            </w:pPr>
            <w:r w:rsidRPr="004E1198">
              <w:rPr>
                <w:lang w:val="en-US"/>
              </w:rPr>
              <w:t>49</w:t>
            </w:r>
            <w:r>
              <w:rPr>
                <w:lang w:val="en-US"/>
              </w:rPr>
              <w:t>.</w:t>
            </w:r>
            <w:r w:rsidRPr="004E1198">
              <w:rPr>
                <w:lang w:val="en-US"/>
              </w:rPr>
              <w:t xml:space="preserve">20 </w:t>
            </w:r>
          </w:p>
        </w:tc>
      </w:tr>
      <w:tr w:rsidR="00EA5DEA" w:rsidRPr="004E1198" w14:paraId="0DA5D26A" w14:textId="77777777" w:rsidTr="005659B0">
        <w:trPr>
          <w:trHeight w:val="24"/>
        </w:trPr>
        <w:tc>
          <w:tcPr>
            <w:tcW w:w="2021" w:type="pct"/>
            <w:tcBorders>
              <w:top w:val="nil"/>
              <w:left w:val="single" w:sz="8" w:space="0" w:color="auto"/>
              <w:bottom w:val="single" w:sz="4" w:space="0" w:color="auto"/>
              <w:right w:val="single" w:sz="4" w:space="0" w:color="auto"/>
            </w:tcBorders>
            <w:shd w:val="clear" w:color="auto" w:fill="auto"/>
            <w:noWrap/>
            <w:vAlign w:val="bottom"/>
            <w:hideMark/>
          </w:tcPr>
          <w:p w14:paraId="44151E4C" w14:textId="77777777" w:rsidR="00EA5DEA" w:rsidRPr="004E1198" w:rsidRDefault="00EA5DEA" w:rsidP="005659B0">
            <w:pPr>
              <w:pStyle w:val="Tabletext"/>
              <w:rPr>
                <w:lang w:val="en-US"/>
              </w:rPr>
            </w:pPr>
            <w:r w:rsidRPr="004E1198">
              <w:rPr>
                <w:lang w:val="en-US"/>
              </w:rPr>
              <w:t>Impedance audiogram (ENT)</w:t>
            </w:r>
          </w:p>
        </w:tc>
        <w:tc>
          <w:tcPr>
            <w:tcW w:w="1188" w:type="pct"/>
            <w:tcBorders>
              <w:top w:val="nil"/>
              <w:left w:val="nil"/>
              <w:bottom w:val="single" w:sz="4" w:space="0" w:color="auto"/>
              <w:right w:val="single" w:sz="4" w:space="0" w:color="auto"/>
            </w:tcBorders>
            <w:shd w:val="clear" w:color="auto" w:fill="auto"/>
            <w:noWrap/>
            <w:vAlign w:val="center"/>
            <w:hideMark/>
          </w:tcPr>
          <w:p w14:paraId="79382206" w14:textId="77777777" w:rsidR="00EA5DEA" w:rsidRPr="004E1198" w:rsidRDefault="00EA5DEA" w:rsidP="005659B0">
            <w:pPr>
              <w:pStyle w:val="Tabletext"/>
              <w:rPr>
                <w:lang w:val="en-US"/>
              </w:rPr>
            </w:pPr>
            <w:r w:rsidRPr="004E1198">
              <w:rPr>
                <w:lang w:val="en-US"/>
              </w:rPr>
              <w:t>MBS item 11327</w:t>
            </w:r>
          </w:p>
        </w:tc>
        <w:tc>
          <w:tcPr>
            <w:tcW w:w="339" w:type="pct"/>
            <w:tcBorders>
              <w:top w:val="nil"/>
              <w:left w:val="nil"/>
              <w:bottom w:val="single" w:sz="4" w:space="0" w:color="auto"/>
              <w:right w:val="single" w:sz="4" w:space="0" w:color="auto"/>
            </w:tcBorders>
            <w:shd w:val="clear" w:color="auto" w:fill="auto"/>
            <w:noWrap/>
            <w:vAlign w:val="center"/>
            <w:hideMark/>
          </w:tcPr>
          <w:p w14:paraId="797E26E7" w14:textId="77777777" w:rsidR="00EA5DEA" w:rsidRPr="004E1198" w:rsidRDefault="00EA5DEA" w:rsidP="005659B0">
            <w:pPr>
              <w:pStyle w:val="Tabletext"/>
              <w:rPr>
                <w:lang w:val="en-US"/>
              </w:rPr>
            </w:pPr>
            <w:r w:rsidRPr="004E1198">
              <w:rPr>
                <w:lang w:val="en-US"/>
              </w:rPr>
              <w:t>1</w:t>
            </w:r>
          </w:p>
        </w:tc>
        <w:tc>
          <w:tcPr>
            <w:tcW w:w="710" w:type="pct"/>
            <w:tcBorders>
              <w:top w:val="nil"/>
              <w:left w:val="nil"/>
              <w:bottom w:val="single" w:sz="4" w:space="0" w:color="auto"/>
              <w:right w:val="single" w:sz="4" w:space="0" w:color="auto"/>
            </w:tcBorders>
            <w:shd w:val="clear" w:color="auto" w:fill="auto"/>
            <w:noWrap/>
            <w:vAlign w:val="bottom"/>
            <w:hideMark/>
          </w:tcPr>
          <w:p w14:paraId="77A76D51" w14:textId="77777777" w:rsidR="00EA5DEA" w:rsidRPr="004E1198" w:rsidRDefault="00EA5DEA" w:rsidP="005659B0">
            <w:pPr>
              <w:pStyle w:val="Tabletext"/>
              <w:rPr>
                <w:lang w:val="en-US"/>
              </w:rPr>
            </w:pPr>
            <w:r w:rsidRPr="004E1198">
              <w:rPr>
                <w:lang w:val="en-US"/>
              </w:rPr>
              <w:t>19</w:t>
            </w:r>
            <w:r>
              <w:rPr>
                <w:lang w:val="en-US"/>
              </w:rPr>
              <w:t>.</w:t>
            </w:r>
            <w:r w:rsidRPr="004E1198">
              <w:rPr>
                <w:lang w:val="en-US"/>
              </w:rPr>
              <w:t xml:space="preserve">75 </w:t>
            </w:r>
          </w:p>
        </w:tc>
        <w:tc>
          <w:tcPr>
            <w:tcW w:w="742" w:type="pct"/>
            <w:tcBorders>
              <w:top w:val="nil"/>
              <w:left w:val="nil"/>
              <w:bottom w:val="single" w:sz="4" w:space="0" w:color="auto"/>
              <w:right w:val="single" w:sz="8" w:space="0" w:color="auto"/>
            </w:tcBorders>
            <w:shd w:val="clear" w:color="auto" w:fill="auto"/>
            <w:noWrap/>
            <w:vAlign w:val="bottom"/>
            <w:hideMark/>
          </w:tcPr>
          <w:p w14:paraId="6D19B0F0" w14:textId="77777777" w:rsidR="00EA5DEA" w:rsidRPr="004E1198" w:rsidRDefault="00EA5DEA" w:rsidP="005659B0">
            <w:pPr>
              <w:pStyle w:val="Tabletext"/>
              <w:rPr>
                <w:lang w:val="en-US"/>
              </w:rPr>
            </w:pPr>
            <w:r w:rsidRPr="004E1198">
              <w:rPr>
                <w:lang w:val="en-US"/>
              </w:rPr>
              <w:t>19</w:t>
            </w:r>
            <w:r>
              <w:rPr>
                <w:lang w:val="en-US"/>
              </w:rPr>
              <w:t>.</w:t>
            </w:r>
            <w:r w:rsidRPr="004E1198">
              <w:rPr>
                <w:lang w:val="en-US"/>
              </w:rPr>
              <w:t xml:space="preserve">75 </w:t>
            </w:r>
          </w:p>
        </w:tc>
      </w:tr>
      <w:tr w:rsidR="00EA5DEA" w:rsidRPr="004E1198" w14:paraId="5DAFF8AB" w14:textId="77777777" w:rsidTr="005659B0">
        <w:trPr>
          <w:trHeight w:val="24"/>
        </w:trPr>
        <w:tc>
          <w:tcPr>
            <w:tcW w:w="2021" w:type="pct"/>
            <w:tcBorders>
              <w:top w:val="nil"/>
              <w:left w:val="single" w:sz="8" w:space="0" w:color="auto"/>
              <w:bottom w:val="single" w:sz="4" w:space="0" w:color="auto"/>
              <w:right w:val="single" w:sz="4" w:space="0" w:color="auto"/>
            </w:tcBorders>
            <w:shd w:val="clear" w:color="auto" w:fill="auto"/>
            <w:noWrap/>
            <w:vAlign w:val="bottom"/>
            <w:hideMark/>
          </w:tcPr>
          <w:p w14:paraId="2D85DD4A" w14:textId="77777777" w:rsidR="00EA5DEA" w:rsidRPr="004E1198" w:rsidRDefault="00EA5DEA" w:rsidP="005659B0">
            <w:pPr>
              <w:pStyle w:val="Tabletext"/>
              <w:rPr>
                <w:lang w:val="en-US"/>
              </w:rPr>
            </w:pPr>
            <w:r w:rsidRPr="004E1198">
              <w:rPr>
                <w:lang w:val="en-US"/>
              </w:rPr>
              <w:t>Impedance additional to audiogram (Audiologist)</w:t>
            </w:r>
          </w:p>
        </w:tc>
        <w:tc>
          <w:tcPr>
            <w:tcW w:w="1188" w:type="pct"/>
            <w:tcBorders>
              <w:top w:val="nil"/>
              <w:left w:val="nil"/>
              <w:bottom w:val="single" w:sz="4" w:space="0" w:color="auto"/>
              <w:right w:val="single" w:sz="4" w:space="0" w:color="auto"/>
            </w:tcBorders>
            <w:shd w:val="clear" w:color="auto" w:fill="auto"/>
            <w:noWrap/>
            <w:vAlign w:val="center"/>
            <w:hideMark/>
          </w:tcPr>
          <w:p w14:paraId="03871CE1" w14:textId="77777777" w:rsidR="00EA5DEA" w:rsidRPr="004E1198" w:rsidRDefault="00EA5DEA" w:rsidP="005659B0">
            <w:pPr>
              <w:pStyle w:val="Tabletext"/>
              <w:rPr>
                <w:lang w:val="en-US"/>
              </w:rPr>
            </w:pPr>
            <w:r w:rsidRPr="004E1198">
              <w:rPr>
                <w:lang w:val="en-US"/>
              </w:rPr>
              <w:t>MBS item 82327</w:t>
            </w:r>
          </w:p>
        </w:tc>
        <w:tc>
          <w:tcPr>
            <w:tcW w:w="339" w:type="pct"/>
            <w:tcBorders>
              <w:top w:val="nil"/>
              <w:left w:val="nil"/>
              <w:bottom w:val="single" w:sz="4" w:space="0" w:color="auto"/>
              <w:right w:val="single" w:sz="4" w:space="0" w:color="auto"/>
            </w:tcBorders>
            <w:shd w:val="clear" w:color="auto" w:fill="auto"/>
            <w:noWrap/>
            <w:vAlign w:val="center"/>
            <w:hideMark/>
          </w:tcPr>
          <w:p w14:paraId="716B91AB" w14:textId="77777777" w:rsidR="00EA5DEA" w:rsidRPr="004E1198" w:rsidRDefault="00EA5DEA" w:rsidP="005659B0">
            <w:pPr>
              <w:pStyle w:val="Tabletext"/>
              <w:rPr>
                <w:lang w:val="en-US"/>
              </w:rPr>
            </w:pPr>
            <w:r w:rsidRPr="004E1198">
              <w:rPr>
                <w:lang w:val="en-US"/>
              </w:rPr>
              <w:t>1</w:t>
            </w:r>
          </w:p>
        </w:tc>
        <w:tc>
          <w:tcPr>
            <w:tcW w:w="710" w:type="pct"/>
            <w:tcBorders>
              <w:top w:val="nil"/>
              <w:left w:val="nil"/>
              <w:bottom w:val="single" w:sz="4" w:space="0" w:color="auto"/>
              <w:right w:val="single" w:sz="4" w:space="0" w:color="auto"/>
            </w:tcBorders>
            <w:shd w:val="clear" w:color="auto" w:fill="auto"/>
            <w:noWrap/>
            <w:vAlign w:val="bottom"/>
            <w:hideMark/>
          </w:tcPr>
          <w:p w14:paraId="46C03439" w14:textId="77777777" w:rsidR="00EA5DEA" w:rsidRPr="004E1198" w:rsidRDefault="00EA5DEA" w:rsidP="005659B0">
            <w:pPr>
              <w:pStyle w:val="Tabletext"/>
              <w:rPr>
                <w:lang w:val="en-US"/>
              </w:rPr>
            </w:pPr>
            <w:r w:rsidRPr="004E1198">
              <w:rPr>
                <w:lang w:val="en-US"/>
              </w:rPr>
              <w:t>15</w:t>
            </w:r>
            <w:r>
              <w:rPr>
                <w:lang w:val="en-US"/>
              </w:rPr>
              <w:t>.</w:t>
            </w:r>
            <w:r w:rsidRPr="004E1198">
              <w:rPr>
                <w:lang w:val="en-US"/>
              </w:rPr>
              <w:t xml:space="preserve">80 </w:t>
            </w:r>
          </w:p>
        </w:tc>
        <w:tc>
          <w:tcPr>
            <w:tcW w:w="742" w:type="pct"/>
            <w:tcBorders>
              <w:top w:val="nil"/>
              <w:left w:val="nil"/>
              <w:bottom w:val="single" w:sz="4" w:space="0" w:color="auto"/>
              <w:right w:val="single" w:sz="8" w:space="0" w:color="auto"/>
            </w:tcBorders>
            <w:shd w:val="clear" w:color="auto" w:fill="auto"/>
            <w:noWrap/>
            <w:vAlign w:val="bottom"/>
            <w:hideMark/>
          </w:tcPr>
          <w:p w14:paraId="56A04626" w14:textId="77777777" w:rsidR="00EA5DEA" w:rsidRPr="004E1198" w:rsidRDefault="00EA5DEA" w:rsidP="005659B0">
            <w:pPr>
              <w:pStyle w:val="Tabletext"/>
              <w:rPr>
                <w:lang w:val="en-US"/>
              </w:rPr>
            </w:pPr>
            <w:r w:rsidRPr="004E1198">
              <w:rPr>
                <w:lang w:val="en-US"/>
              </w:rPr>
              <w:t>15</w:t>
            </w:r>
            <w:r>
              <w:rPr>
                <w:lang w:val="en-US"/>
              </w:rPr>
              <w:t>.</w:t>
            </w:r>
            <w:r w:rsidRPr="004E1198">
              <w:rPr>
                <w:lang w:val="en-US"/>
              </w:rPr>
              <w:t xml:space="preserve">80 </w:t>
            </w:r>
          </w:p>
        </w:tc>
      </w:tr>
      <w:tr w:rsidR="00EA5DEA" w:rsidRPr="004E1198" w14:paraId="3B897718" w14:textId="77777777" w:rsidTr="005659B0">
        <w:trPr>
          <w:trHeight w:val="24"/>
        </w:trPr>
        <w:tc>
          <w:tcPr>
            <w:tcW w:w="2021" w:type="pct"/>
            <w:tcBorders>
              <w:top w:val="nil"/>
              <w:left w:val="single" w:sz="8" w:space="0" w:color="auto"/>
              <w:bottom w:val="single" w:sz="4" w:space="0" w:color="auto"/>
              <w:right w:val="single" w:sz="4" w:space="0" w:color="auto"/>
            </w:tcBorders>
            <w:shd w:val="clear" w:color="auto" w:fill="auto"/>
            <w:noWrap/>
            <w:vAlign w:val="bottom"/>
            <w:hideMark/>
          </w:tcPr>
          <w:p w14:paraId="42E3A24B" w14:textId="77777777" w:rsidR="00EA5DEA" w:rsidRPr="004E1198" w:rsidRDefault="00EA5DEA" w:rsidP="005659B0">
            <w:pPr>
              <w:pStyle w:val="Tabletext"/>
              <w:rPr>
                <w:lang w:val="en-US"/>
              </w:rPr>
            </w:pPr>
            <w:r w:rsidRPr="004E1198">
              <w:rPr>
                <w:lang w:val="en-US"/>
              </w:rPr>
              <w:t>Surgery consultation</w:t>
            </w:r>
          </w:p>
        </w:tc>
        <w:tc>
          <w:tcPr>
            <w:tcW w:w="1188" w:type="pct"/>
            <w:tcBorders>
              <w:top w:val="nil"/>
              <w:left w:val="nil"/>
              <w:bottom w:val="single" w:sz="4" w:space="0" w:color="auto"/>
              <w:right w:val="single" w:sz="4" w:space="0" w:color="auto"/>
            </w:tcBorders>
            <w:shd w:val="clear" w:color="auto" w:fill="auto"/>
            <w:noWrap/>
            <w:vAlign w:val="center"/>
            <w:hideMark/>
          </w:tcPr>
          <w:p w14:paraId="31D5FFD9" w14:textId="77777777" w:rsidR="00EA5DEA" w:rsidRPr="004E1198" w:rsidRDefault="00EA5DEA" w:rsidP="005659B0">
            <w:pPr>
              <w:pStyle w:val="Tabletext"/>
              <w:rPr>
                <w:lang w:val="en-US"/>
              </w:rPr>
            </w:pPr>
            <w:r w:rsidRPr="004E1198">
              <w:rPr>
                <w:lang w:val="en-US"/>
              </w:rPr>
              <w:t>MSB item 17615</w:t>
            </w:r>
          </w:p>
        </w:tc>
        <w:tc>
          <w:tcPr>
            <w:tcW w:w="339" w:type="pct"/>
            <w:tcBorders>
              <w:top w:val="nil"/>
              <w:left w:val="nil"/>
              <w:bottom w:val="single" w:sz="4" w:space="0" w:color="auto"/>
              <w:right w:val="single" w:sz="4" w:space="0" w:color="auto"/>
            </w:tcBorders>
            <w:shd w:val="clear" w:color="auto" w:fill="auto"/>
            <w:noWrap/>
            <w:vAlign w:val="center"/>
            <w:hideMark/>
          </w:tcPr>
          <w:p w14:paraId="79C4F12F" w14:textId="77777777" w:rsidR="00EA5DEA" w:rsidRPr="004E1198" w:rsidRDefault="00EA5DEA" w:rsidP="005659B0">
            <w:pPr>
              <w:pStyle w:val="Tabletext"/>
              <w:rPr>
                <w:lang w:val="en-US"/>
              </w:rPr>
            </w:pPr>
            <w:r w:rsidRPr="004E1198">
              <w:rPr>
                <w:lang w:val="en-US"/>
              </w:rPr>
              <w:t>1</w:t>
            </w:r>
          </w:p>
        </w:tc>
        <w:tc>
          <w:tcPr>
            <w:tcW w:w="710" w:type="pct"/>
            <w:tcBorders>
              <w:top w:val="nil"/>
              <w:left w:val="nil"/>
              <w:bottom w:val="single" w:sz="4" w:space="0" w:color="auto"/>
              <w:right w:val="single" w:sz="4" w:space="0" w:color="auto"/>
            </w:tcBorders>
            <w:shd w:val="clear" w:color="auto" w:fill="auto"/>
            <w:noWrap/>
            <w:vAlign w:val="bottom"/>
            <w:hideMark/>
          </w:tcPr>
          <w:p w14:paraId="1365919C" w14:textId="77777777" w:rsidR="00EA5DEA" w:rsidRPr="004E1198" w:rsidRDefault="00EA5DEA" w:rsidP="005659B0">
            <w:pPr>
              <w:pStyle w:val="Tabletext"/>
              <w:rPr>
                <w:lang w:val="en-US"/>
              </w:rPr>
            </w:pPr>
            <w:r>
              <w:rPr>
                <w:lang w:val="en-US"/>
              </w:rPr>
              <w:t>85.55</w:t>
            </w:r>
          </w:p>
        </w:tc>
        <w:tc>
          <w:tcPr>
            <w:tcW w:w="742" w:type="pct"/>
            <w:tcBorders>
              <w:top w:val="nil"/>
              <w:left w:val="nil"/>
              <w:bottom w:val="single" w:sz="4" w:space="0" w:color="auto"/>
              <w:right w:val="single" w:sz="8" w:space="0" w:color="auto"/>
            </w:tcBorders>
            <w:shd w:val="clear" w:color="auto" w:fill="auto"/>
            <w:noWrap/>
            <w:vAlign w:val="bottom"/>
            <w:hideMark/>
          </w:tcPr>
          <w:p w14:paraId="3A8FD920" w14:textId="77777777" w:rsidR="00EA5DEA" w:rsidRPr="004E1198" w:rsidRDefault="00EA5DEA" w:rsidP="005659B0">
            <w:pPr>
              <w:pStyle w:val="Tabletext"/>
              <w:rPr>
                <w:lang w:val="en-US"/>
              </w:rPr>
            </w:pPr>
            <w:r>
              <w:rPr>
                <w:lang w:val="en-US"/>
              </w:rPr>
              <w:t>85.55</w:t>
            </w:r>
          </w:p>
        </w:tc>
      </w:tr>
      <w:tr w:rsidR="00EA5DEA" w:rsidRPr="004E1198" w14:paraId="00EDE6EC" w14:textId="77777777" w:rsidTr="005659B0">
        <w:trPr>
          <w:trHeight w:val="24"/>
        </w:trPr>
        <w:tc>
          <w:tcPr>
            <w:tcW w:w="2021" w:type="pct"/>
            <w:tcBorders>
              <w:top w:val="nil"/>
              <w:left w:val="single" w:sz="8" w:space="0" w:color="auto"/>
              <w:bottom w:val="single" w:sz="4" w:space="0" w:color="auto"/>
              <w:right w:val="single" w:sz="4" w:space="0" w:color="auto"/>
            </w:tcBorders>
            <w:shd w:val="clear" w:color="auto" w:fill="auto"/>
            <w:noWrap/>
            <w:hideMark/>
          </w:tcPr>
          <w:p w14:paraId="23AA9EB9" w14:textId="77777777" w:rsidR="00EA5DEA" w:rsidRPr="004E1198" w:rsidRDefault="00EA5DEA" w:rsidP="005659B0">
            <w:pPr>
              <w:pStyle w:val="Tabletext"/>
              <w:rPr>
                <w:lang w:val="en-US"/>
              </w:rPr>
            </w:pPr>
            <w:r w:rsidRPr="004E1198">
              <w:rPr>
                <w:lang w:val="en-US"/>
              </w:rPr>
              <w:t>Counse</w:t>
            </w:r>
            <w:r>
              <w:rPr>
                <w:lang w:val="en-US"/>
              </w:rPr>
              <w:t>lling &amp; mental assessment</w:t>
            </w:r>
          </w:p>
        </w:tc>
        <w:tc>
          <w:tcPr>
            <w:tcW w:w="1188" w:type="pct"/>
            <w:tcBorders>
              <w:top w:val="nil"/>
              <w:left w:val="nil"/>
              <w:bottom w:val="single" w:sz="4" w:space="0" w:color="auto"/>
              <w:right w:val="single" w:sz="4" w:space="0" w:color="auto"/>
            </w:tcBorders>
            <w:shd w:val="clear" w:color="auto" w:fill="auto"/>
            <w:hideMark/>
          </w:tcPr>
          <w:p w14:paraId="6397F23A" w14:textId="77777777" w:rsidR="00EA5DEA" w:rsidRPr="004E1198" w:rsidRDefault="00EA5DEA" w:rsidP="005659B0">
            <w:pPr>
              <w:pStyle w:val="Tabletext"/>
              <w:rPr>
                <w:lang w:val="en-US"/>
              </w:rPr>
            </w:pPr>
            <w:r w:rsidRPr="004E1198">
              <w:rPr>
                <w:lang w:val="en-US"/>
              </w:rPr>
              <w:t>DVA fee schedule item US03</w:t>
            </w:r>
          </w:p>
        </w:tc>
        <w:tc>
          <w:tcPr>
            <w:tcW w:w="339" w:type="pct"/>
            <w:tcBorders>
              <w:top w:val="nil"/>
              <w:left w:val="nil"/>
              <w:bottom w:val="single" w:sz="4" w:space="0" w:color="auto"/>
              <w:right w:val="single" w:sz="4" w:space="0" w:color="auto"/>
            </w:tcBorders>
            <w:shd w:val="clear" w:color="auto" w:fill="auto"/>
            <w:noWrap/>
            <w:hideMark/>
          </w:tcPr>
          <w:p w14:paraId="57347ECC" w14:textId="77777777" w:rsidR="00EA5DEA" w:rsidRPr="004E1198" w:rsidRDefault="00EA5DEA" w:rsidP="005659B0">
            <w:pPr>
              <w:pStyle w:val="Tabletext"/>
              <w:rPr>
                <w:lang w:val="en-US"/>
              </w:rPr>
            </w:pPr>
            <w:r w:rsidRPr="004E1198">
              <w:rPr>
                <w:lang w:val="en-US"/>
              </w:rPr>
              <w:t>1</w:t>
            </w:r>
          </w:p>
        </w:tc>
        <w:tc>
          <w:tcPr>
            <w:tcW w:w="710" w:type="pct"/>
            <w:tcBorders>
              <w:top w:val="nil"/>
              <w:left w:val="nil"/>
              <w:bottom w:val="single" w:sz="4" w:space="0" w:color="auto"/>
              <w:right w:val="single" w:sz="4" w:space="0" w:color="auto"/>
            </w:tcBorders>
            <w:shd w:val="clear" w:color="auto" w:fill="auto"/>
            <w:noWrap/>
            <w:hideMark/>
          </w:tcPr>
          <w:p w14:paraId="13F14F40" w14:textId="77777777" w:rsidR="00EA5DEA" w:rsidRPr="004E1198" w:rsidRDefault="00EA5DEA" w:rsidP="005659B0">
            <w:pPr>
              <w:pStyle w:val="Tabletext"/>
              <w:rPr>
                <w:lang w:val="en-US"/>
              </w:rPr>
            </w:pPr>
            <w:r>
              <w:rPr>
                <w:lang w:val="en-US"/>
              </w:rPr>
              <w:t>126.75</w:t>
            </w:r>
          </w:p>
        </w:tc>
        <w:tc>
          <w:tcPr>
            <w:tcW w:w="742" w:type="pct"/>
            <w:tcBorders>
              <w:top w:val="nil"/>
              <w:left w:val="nil"/>
              <w:bottom w:val="single" w:sz="4" w:space="0" w:color="auto"/>
              <w:right w:val="single" w:sz="8" w:space="0" w:color="auto"/>
            </w:tcBorders>
            <w:shd w:val="clear" w:color="auto" w:fill="auto"/>
            <w:noWrap/>
            <w:hideMark/>
          </w:tcPr>
          <w:p w14:paraId="2B79F662" w14:textId="77777777" w:rsidR="00EA5DEA" w:rsidRPr="004E1198" w:rsidRDefault="00EA5DEA" w:rsidP="005659B0">
            <w:pPr>
              <w:pStyle w:val="Tabletext"/>
              <w:rPr>
                <w:lang w:val="en-US"/>
              </w:rPr>
            </w:pPr>
            <w:r>
              <w:rPr>
                <w:lang w:val="en-US"/>
              </w:rPr>
              <w:t>126.75</w:t>
            </w:r>
          </w:p>
        </w:tc>
      </w:tr>
      <w:tr w:rsidR="00EA5DEA" w:rsidRPr="004E1198" w14:paraId="2C9EA195" w14:textId="77777777" w:rsidTr="005659B0">
        <w:trPr>
          <w:trHeight w:val="255"/>
        </w:trPr>
        <w:tc>
          <w:tcPr>
            <w:tcW w:w="3548" w:type="pct"/>
            <w:gridSpan w:val="3"/>
            <w:tcBorders>
              <w:top w:val="nil"/>
              <w:left w:val="single" w:sz="8" w:space="0" w:color="auto"/>
              <w:bottom w:val="single" w:sz="4" w:space="0" w:color="auto"/>
              <w:right w:val="single" w:sz="4" w:space="0" w:color="auto"/>
            </w:tcBorders>
            <w:shd w:val="clear" w:color="000000" w:fill="auto"/>
            <w:noWrap/>
            <w:vAlign w:val="bottom"/>
            <w:hideMark/>
          </w:tcPr>
          <w:p w14:paraId="41C08CA1" w14:textId="77777777" w:rsidR="00EA5DEA" w:rsidRPr="004E1198" w:rsidRDefault="00EA5DEA" w:rsidP="005659B0">
            <w:pPr>
              <w:pStyle w:val="Tabletext"/>
              <w:rPr>
                <w:lang w:val="en-US"/>
              </w:rPr>
            </w:pPr>
            <w:r>
              <w:rPr>
                <w:lang w:val="en-US"/>
              </w:rPr>
              <w:t>S</w:t>
            </w:r>
            <w:r w:rsidRPr="004E1198">
              <w:rPr>
                <w:lang w:val="en-US"/>
              </w:rPr>
              <w:t>ubtotal</w:t>
            </w:r>
          </w:p>
        </w:tc>
        <w:tc>
          <w:tcPr>
            <w:tcW w:w="710" w:type="pct"/>
            <w:tcBorders>
              <w:top w:val="nil"/>
              <w:left w:val="nil"/>
              <w:bottom w:val="single" w:sz="4" w:space="0" w:color="auto"/>
              <w:right w:val="single" w:sz="4" w:space="0" w:color="auto"/>
            </w:tcBorders>
            <w:shd w:val="clear" w:color="000000" w:fill="auto"/>
            <w:noWrap/>
            <w:vAlign w:val="bottom"/>
            <w:hideMark/>
          </w:tcPr>
          <w:p w14:paraId="12DFCC5E" w14:textId="77777777" w:rsidR="00EA5DEA" w:rsidRPr="004E1198" w:rsidRDefault="00EA5DEA" w:rsidP="005659B0">
            <w:pPr>
              <w:pStyle w:val="Tabletext"/>
              <w:rPr>
                <w:lang w:val="en-US"/>
              </w:rPr>
            </w:pPr>
            <w:r>
              <w:rPr>
                <w:lang w:val="en-US"/>
              </w:rPr>
              <w:t>425.60</w:t>
            </w:r>
          </w:p>
        </w:tc>
        <w:tc>
          <w:tcPr>
            <w:tcW w:w="742" w:type="pct"/>
            <w:tcBorders>
              <w:top w:val="nil"/>
              <w:left w:val="nil"/>
              <w:bottom w:val="single" w:sz="4" w:space="0" w:color="auto"/>
              <w:right w:val="single" w:sz="8" w:space="0" w:color="auto"/>
            </w:tcBorders>
            <w:shd w:val="clear" w:color="000000" w:fill="auto"/>
            <w:noWrap/>
            <w:vAlign w:val="bottom"/>
            <w:hideMark/>
          </w:tcPr>
          <w:p w14:paraId="2EAFE2DA" w14:textId="77777777" w:rsidR="00EA5DEA" w:rsidRPr="004E1198" w:rsidRDefault="00EA5DEA" w:rsidP="005659B0">
            <w:pPr>
              <w:pStyle w:val="Tabletext"/>
              <w:rPr>
                <w:lang w:val="en-US"/>
              </w:rPr>
            </w:pPr>
            <w:r w:rsidRPr="004E1198">
              <w:rPr>
                <w:lang w:val="en-US"/>
              </w:rPr>
              <w:t>511</w:t>
            </w:r>
            <w:r>
              <w:rPr>
                <w:lang w:val="en-US"/>
              </w:rPr>
              <w:t>.</w:t>
            </w:r>
            <w:r w:rsidRPr="004E1198">
              <w:rPr>
                <w:lang w:val="en-US"/>
              </w:rPr>
              <w:t xml:space="preserve">15 </w:t>
            </w:r>
          </w:p>
        </w:tc>
      </w:tr>
      <w:tr w:rsidR="00EA5DEA" w:rsidRPr="004E1198" w14:paraId="73DA2038" w14:textId="77777777" w:rsidTr="005659B0">
        <w:trPr>
          <w:trHeight w:val="255"/>
        </w:trPr>
        <w:tc>
          <w:tcPr>
            <w:tcW w:w="5000" w:type="pct"/>
            <w:gridSpan w:val="5"/>
            <w:tcBorders>
              <w:top w:val="nil"/>
              <w:left w:val="single" w:sz="8" w:space="0" w:color="auto"/>
              <w:bottom w:val="single" w:sz="4" w:space="0" w:color="auto"/>
              <w:right w:val="single" w:sz="8" w:space="0" w:color="auto"/>
            </w:tcBorders>
            <w:shd w:val="clear" w:color="auto" w:fill="auto"/>
            <w:noWrap/>
            <w:vAlign w:val="bottom"/>
            <w:hideMark/>
          </w:tcPr>
          <w:p w14:paraId="5CA9A98B" w14:textId="77777777" w:rsidR="00EA5DEA" w:rsidRPr="00290F5B" w:rsidRDefault="00EA5DEA" w:rsidP="005659B0">
            <w:pPr>
              <w:pStyle w:val="Tabletext"/>
              <w:rPr>
                <w:i/>
                <w:iCs/>
                <w:lang w:val="en-US"/>
              </w:rPr>
            </w:pPr>
            <w:r w:rsidRPr="004E1198">
              <w:rPr>
                <w:i/>
                <w:iCs/>
                <w:lang w:val="en-US"/>
              </w:rPr>
              <w:t>Operational</w:t>
            </w:r>
          </w:p>
        </w:tc>
      </w:tr>
      <w:tr w:rsidR="00EA5DEA" w:rsidRPr="004E1198" w14:paraId="5B4268BB" w14:textId="77777777" w:rsidTr="005659B0">
        <w:trPr>
          <w:trHeight w:val="238"/>
        </w:trPr>
        <w:tc>
          <w:tcPr>
            <w:tcW w:w="2021" w:type="pct"/>
            <w:tcBorders>
              <w:top w:val="nil"/>
              <w:left w:val="single" w:sz="8" w:space="0" w:color="auto"/>
              <w:bottom w:val="single" w:sz="4" w:space="0" w:color="auto"/>
              <w:right w:val="single" w:sz="4" w:space="0" w:color="auto"/>
            </w:tcBorders>
            <w:shd w:val="clear" w:color="auto" w:fill="auto"/>
            <w:noWrap/>
            <w:vAlign w:val="bottom"/>
            <w:hideMark/>
          </w:tcPr>
          <w:p w14:paraId="121305AC" w14:textId="77777777" w:rsidR="00EA5DEA" w:rsidRPr="004E1198" w:rsidRDefault="00EA5DEA" w:rsidP="005659B0">
            <w:pPr>
              <w:pStyle w:val="Tabletext"/>
              <w:rPr>
                <w:lang w:val="en-US"/>
              </w:rPr>
            </w:pPr>
            <w:r w:rsidRPr="004E1198">
              <w:rPr>
                <w:lang w:val="en-US"/>
              </w:rPr>
              <w:t>CT Scan</w:t>
            </w:r>
          </w:p>
        </w:tc>
        <w:tc>
          <w:tcPr>
            <w:tcW w:w="1188" w:type="pct"/>
            <w:tcBorders>
              <w:top w:val="nil"/>
              <w:left w:val="nil"/>
              <w:bottom w:val="single" w:sz="4" w:space="0" w:color="auto"/>
              <w:right w:val="single" w:sz="4" w:space="0" w:color="auto"/>
            </w:tcBorders>
            <w:shd w:val="clear" w:color="auto" w:fill="auto"/>
            <w:noWrap/>
            <w:vAlign w:val="center"/>
            <w:hideMark/>
          </w:tcPr>
          <w:p w14:paraId="7ECD5EBD" w14:textId="77777777" w:rsidR="00EA5DEA" w:rsidRPr="004E1198" w:rsidRDefault="00EA5DEA" w:rsidP="005659B0">
            <w:pPr>
              <w:pStyle w:val="Tabletext"/>
              <w:rPr>
                <w:lang w:val="en-US"/>
              </w:rPr>
            </w:pPr>
            <w:r w:rsidRPr="004E1198">
              <w:rPr>
                <w:lang w:val="en-US"/>
              </w:rPr>
              <w:t>MBS item 56016</w:t>
            </w:r>
          </w:p>
        </w:tc>
        <w:tc>
          <w:tcPr>
            <w:tcW w:w="339" w:type="pct"/>
            <w:tcBorders>
              <w:top w:val="nil"/>
              <w:left w:val="nil"/>
              <w:bottom w:val="single" w:sz="4" w:space="0" w:color="auto"/>
              <w:right w:val="single" w:sz="4" w:space="0" w:color="auto"/>
            </w:tcBorders>
            <w:shd w:val="clear" w:color="auto" w:fill="auto"/>
            <w:noWrap/>
            <w:vAlign w:val="center"/>
            <w:hideMark/>
          </w:tcPr>
          <w:p w14:paraId="27B86EE6" w14:textId="77777777" w:rsidR="00EA5DEA" w:rsidRPr="004E1198" w:rsidRDefault="00EA5DEA" w:rsidP="005659B0">
            <w:pPr>
              <w:pStyle w:val="Tabletext"/>
              <w:rPr>
                <w:lang w:val="en-US"/>
              </w:rPr>
            </w:pPr>
            <w:r w:rsidRPr="004E1198">
              <w:rPr>
                <w:lang w:val="en-US"/>
              </w:rPr>
              <w:t>1</w:t>
            </w:r>
          </w:p>
        </w:tc>
        <w:tc>
          <w:tcPr>
            <w:tcW w:w="710" w:type="pct"/>
            <w:tcBorders>
              <w:top w:val="nil"/>
              <w:left w:val="nil"/>
              <w:bottom w:val="single" w:sz="4" w:space="0" w:color="auto"/>
              <w:right w:val="single" w:sz="4" w:space="0" w:color="auto"/>
            </w:tcBorders>
            <w:shd w:val="clear" w:color="auto" w:fill="auto"/>
            <w:noWrap/>
            <w:vAlign w:val="bottom"/>
            <w:hideMark/>
          </w:tcPr>
          <w:p w14:paraId="6983394E" w14:textId="77777777" w:rsidR="00EA5DEA" w:rsidRPr="004E1198" w:rsidRDefault="00EA5DEA" w:rsidP="005659B0">
            <w:pPr>
              <w:pStyle w:val="Tabletext"/>
              <w:rPr>
                <w:lang w:val="en-US"/>
              </w:rPr>
            </w:pPr>
            <w:r>
              <w:rPr>
                <w:lang w:val="en-US"/>
              </w:rPr>
              <w:t>290.00</w:t>
            </w:r>
          </w:p>
        </w:tc>
        <w:tc>
          <w:tcPr>
            <w:tcW w:w="742" w:type="pct"/>
            <w:tcBorders>
              <w:top w:val="nil"/>
              <w:left w:val="nil"/>
              <w:bottom w:val="single" w:sz="4" w:space="0" w:color="auto"/>
              <w:right w:val="single" w:sz="8" w:space="0" w:color="auto"/>
            </w:tcBorders>
            <w:shd w:val="clear" w:color="auto" w:fill="auto"/>
            <w:noWrap/>
            <w:vAlign w:val="bottom"/>
            <w:hideMark/>
          </w:tcPr>
          <w:p w14:paraId="6A3A57AD" w14:textId="77777777" w:rsidR="00EA5DEA" w:rsidRPr="004E1198" w:rsidRDefault="00EA5DEA" w:rsidP="005659B0">
            <w:pPr>
              <w:pStyle w:val="Tabletext"/>
              <w:rPr>
                <w:lang w:val="en-US"/>
              </w:rPr>
            </w:pPr>
            <w:r>
              <w:rPr>
                <w:lang w:val="en-US"/>
              </w:rPr>
              <w:t>290.00</w:t>
            </w:r>
          </w:p>
        </w:tc>
      </w:tr>
      <w:tr w:rsidR="00EA5DEA" w:rsidRPr="004E1198" w14:paraId="36BF00D3" w14:textId="77777777" w:rsidTr="005659B0">
        <w:trPr>
          <w:trHeight w:val="238"/>
        </w:trPr>
        <w:tc>
          <w:tcPr>
            <w:tcW w:w="2021" w:type="pct"/>
            <w:tcBorders>
              <w:top w:val="nil"/>
              <w:left w:val="single" w:sz="8" w:space="0" w:color="auto"/>
              <w:bottom w:val="single" w:sz="4" w:space="0" w:color="auto"/>
              <w:right w:val="single" w:sz="4" w:space="0" w:color="auto"/>
            </w:tcBorders>
            <w:shd w:val="clear" w:color="auto" w:fill="auto"/>
            <w:noWrap/>
            <w:vAlign w:val="bottom"/>
            <w:hideMark/>
          </w:tcPr>
          <w:p w14:paraId="1DB8A275" w14:textId="77777777" w:rsidR="00EA5DEA" w:rsidRPr="004E1198" w:rsidRDefault="00EA5DEA" w:rsidP="005659B0">
            <w:pPr>
              <w:pStyle w:val="Tabletext"/>
              <w:rPr>
                <w:lang w:val="en-US"/>
              </w:rPr>
            </w:pPr>
            <w:r w:rsidRPr="004E1198">
              <w:rPr>
                <w:lang w:val="en-US"/>
              </w:rPr>
              <w:t>Facial nerve monitoring</w:t>
            </w:r>
          </w:p>
        </w:tc>
        <w:tc>
          <w:tcPr>
            <w:tcW w:w="1188" w:type="pct"/>
            <w:tcBorders>
              <w:top w:val="nil"/>
              <w:left w:val="nil"/>
              <w:bottom w:val="single" w:sz="4" w:space="0" w:color="auto"/>
              <w:right w:val="single" w:sz="4" w:space="0" w:color="auto"/>
            </w:tcBorders>
            <w:shd w:val="clear" w:color="auto" w:fill="auto"/>
            <w:noWrap/>
            <w:vAlign w:val="center"/>
            <w:hideMark/>
          </w:tcPr>
          <w:p w14:paraId="4F3D11C8" w14:textId="77777777" w:rsidR="00EA5DEA" w:rsidRPr="004E1198" w:rsidRDefault="00EA5DEA" w:rsidP="005659B0">
            <w:pPr>
              <w:pStyle w:val="Tabletext"/>
              <w:rPr>
                <w:lang w:val="en-US"/>
              </w:rPr>
            </w:pPr>
            <w:r w:rsidRPr="004E1198">
              <w:rPr>
                <w:lang w:val="en-US"/>
              </w:rPr>
              <w:t>MBS item 11015</w:t>
            </w:r>
          </w:p>
        </w:tc>
        <w:tc>
          <w:tcPr>
            <w:tcW w:w="339" w:type="pct"/>
            <w:tcBorders>
              <w:top w:val="nil"/>
              <w:left w:val="nil"/>
              <w:bottom w:val="single" w:sz="4" w:space="0" w:color="auto"/>
              <w:right w:val="single" w:sz="4" w:space="0" w:color="auto"/>
            </w:tcBorders>
            <w:shd w:val="clear" w:color="auto" w:fill="auto"/>
            <w:noWrap/>
            <w:vAlign w:val="center"/>
            <w:hideMark/>
          </w:tcPr>
          <w:p w14:paraId="74E01718" w14:textId="77777777" w:rsidR="00EA5DEA" w:rsidRPr="004E1198" w:rsidRDefault="00EA5DEA" w:rsidP="005659B0">
            <w:pPr>
              <w:pStyle w:val="Tabletext"/>
              <w:rPr>
                <w:lang w:val="en-US"/>
              </w:rPr>
            </w:pPr>
            <w:r w:rsidRPr="004E1198">
              <w:rPr>
                <w:lang w:val="en-US"/>
              </w:rPr>
              <w:t>1</w:t>
            </w:r>
          </w:p>
        </w:tc>
        <w:tc>
          <w:tcPr>
            <w:tcW w:w="710" w:type="pct"/>
            <w:tcBorders>
              <w:top w:val="nil"/>
              <w:left w:val="nil"/>
              <w:bottom w:val="single" w:sz="4" w:space="0" w:color="auto"/>
              <w:right w:val="single" w:sz="4" w:space="0" w:color="auto"/>
            </w:tcBorders>
            <w:shd w:val="clear" w:color="auto" w:fill="auto"/>
            <w:noWrap/>
            <w:vAlign w:val="bottom"/>
            <w:hideMark/>
          </w:tcPr>
          <w:p w14:paraId="53E2F412" w14:textId="77777777" w:rsidR="00EA5DEA" w:rsidRPr="004E1198" w:rsidRDefault="00EA5DEA" w:rsidP="005659B0">
            <w:pPr>
              <w:pStyle w:val="Tabletext"/>
              <w:rPr>
                <w:lang w:val="en-US"/>
              </w:rPr>
            </w:pPr>
            <w:r>
              <w:rPr>
                <w:lang w:val="en-US"/>
              </w:rPr>
              <w:t>149.90</w:t>
            </w:r>
          </w:p>
        </w:tc>
        <w:tc>
          <w:tcPr>
            <w:tcW w:w="742" w:type="pct"/>
            <w:tcBorders>
              <w:top w:val="nil"/>
              <w:left w:val="nil"/>
              <w:bottom w:val="single" w:sz="4" w:space="0" w:color="auto"/>
              <w:right w:val="single" w:sz="8" w:space="0" w:color="auto"/>
            </w:tcBorders>
            <w:shd w:val="clear" w:color="auto" w:fill="auto"/>
            <w:noWrap/>
            <w:vAlign w:val="bottom"/>
            <w:hideMark/>
          </w:tcPr>
          <w:p w14:paraId="44BA3639" w14:textId="77777777" w:rsidR="00EA5DEA" w:rsidRPr="004E1198" w:rsidRDefault="00EA5DEA" w:rsidP="005659B0">
            <w:pPr>
              <w:pStyle w:val="Tabletext"/>
              <w:rPr>
                <w:lang w:val="en-US"/>
              </w:rPr>
            </w:pPr>
            <w:r>
              <w:rPr>
                <w:lang w:val="en-US"/>
              </w:rPr>
              <w:t>149.90</w:t>
            </w:r>
          </w:p>
        </w:tc>
      </w:tr>
      <w:tr w:rsidR="00EA5DEA" w:rsidRPr="004E1198" w14:paraId="0A6AC45E" w14:textId="77777777" w:rsidTr="005659B0">
        <w:trPr>
          <w:trHeight w:val="238"/>
        </w:trPr>
        <w:tc>
          <w:tcPr>
            <w:tcW w:w="2021" w:type="pct"/>
            <w:tcBorders>
              <w:top w:val="nil"/>
              <w:left w:val="single" w:sz="8" w:space="0" w:color="auto"/>
              <w:bottom w:val="single" w:sz="4" w:space="0" w:color="auto"/>
              <w:right w:val="single" w:sz="4" w:space="0" w:color="auto"/>
            </w:tcBorders>
            <w:shd w:val="clear" w:color="auto" w:fill="auto"/>
            <w:noWrap/>
            <w:vAlign w:val="bottom"/>
            <w:hideMark/>
          </w:tcPr>
          <w:p w14:paraId="588F6981" w14:textId="77777777" w:rsidR="00EA5DEA" w:rsidRPr="004E1198" w:rsidRDefault="00EA5DEA" w:rsidP="005659B0">
            <w:pPr>
              <w:pStyle w:val="Tabletext"/>
              <w:rPr>
                <w:lang w:val="en-US"/>
              </w:rPr>
            </w:pPr>
            <w:r w:rsidRPr="004E1198">
              <w:rPr>
                <w:lang w:val="en-US"/>
              </w:rPr>
              <w:t>Implant procedure (ENT) - proposed service</w:t>
            </w:r>
          </w:p>
        </w:tc>
        <w:tc>
          <w:tcPr>
            <w:tcW w:w="1188" w:type="pct"/>
            <w:tcBorders>
              <w:top w:val="nil"/>
              <w:left w:val="nil"/>
              <w:bottom w:val="single" w:sz="4" w:space="0" w:color="auto"/>
              <w:right w:val="single" w:sz="4" w:space="0" w:color="auto"/>
            </w:tcBorders>
            <w:shd w:val="clear" w:color="auto" w:fill="auto"/>
            <w:noWrap/>
            <w:vAlign w:val="center"/>
            <w:hideMark/>
          </w:tcPr>
          <w:p w14:paraId="10CF6550" w14:textId="77777777" w:rsidR="00EA5DEA" w:rsidRPr="004E1198" w:rsidRDefault="00EA5DEA" w:rsidP="005659B0">
            <w:pPr>
              <w:pStyle w:val="Tabletext"/>
              <w:rPr>
                <w:lang w:val="en-US"/>
              </w:rPr>
            </w:pPr>
            <w:r w:rsidRPr="004E1198">
              <w:rPr>
                <w:lang w:val="en-US"/>
              </w:rPr>
              <w:t>MBS item 41554</w:t>
            </w:r>
          </w:p>
        </w:tc>
        <w:tc>
          <w:tcPr>
            <w:tcW w:w="339" w:type="pct"/>
            <w:tcBorders>
              <w:top w:val="nil"/>
              <w:left w:val="nil"/>
              <w:bottom w:val="single" w:sz="4" w:space="0" w:color="auto"/>
              <w:right w:val="single" w:sz="4" w:space="0" w:color="auto"/>
            </w:tcBorders>
            <w:shd w:val="clear" w:color="auto" w:fill="auto"/>
            <w:noWrap/>
            <w:vAlign w:val="center"/>
            <w:hideMark/>
          </w:tcPr>
          <w:p w14:paraId="7F6E73AB" w14:textId="77777777" w:rsidR="00EA5DEA" w:rsidRPr="004E1198" w:rsidRDefault="00EA5DEA" w:rsidP="005659B0">
            <w:pPr>
              <w:pStyle w:val="Tabletext"/>
              <w:rPr>
                <w:lang w:val="en-US"/>
              </w:rPr>
            </w:pPr>
            <w:r w:rsidRPr="004E1198">
              <w:rPr>
                <w:lang w:val="en-US"/>
              </w:rPr>
              <w:t>1</w:t>
            </w:r>
          </w:p>
        </w:tc>
        <w:tc>
          <w:tcPr>
            <w:tcW w:w="710" w:type="pct"/>
            <w:tcBorders>
              <w:top w:val="nil"/>
              <w:left w:val="nil"/>
              <w:bottom w:val="single" w:sz="4" w:space="0" w:color="auto"/>
              <w:right w:val="single" w:sz="4" w:space="0" w:color="auto"/>
            </w:tcBorders>
            <w:shd w:val="clear" w:color="auto" w:fill="auto"/>
            <w:noWrap/>
            <w:vAlign w:val="bottom"/>
            <w:hideMark/>
          </w:tcPr>
          <w:p w14:paraId="4B585D82" w14:textId="77777777" w:rsidR="00EA5DEA" w:rsidRPr="004E1198" w:rsidRDefault="00EA5DEA" w:rsidP="005659B0">
            <w:pPr>
              <w:pStyle w:val="Tabletext"/>
              <w:rPr>
                <w:lang w:val="en-US"/>
              </w:rPr>
            </w:pPr>
            <w:r w:rsidRPr="004E1198">
              <w:rPr>
                <w:lang w:val="en-US"/>
              </w:rPr>
              <w:t>1876</w:t>
            </w:r>
            <w:r>
              <w:rPr>
                <w:lang w:val="en-US"/>
              </w:rPr>
              <w:t>.</w:t>
            </w:r>
            <w:r w:rsidRPr="004E1198">
              <w:rPr>
                <w:lang w:val="en-US"/>
              </w:rPr>
              <w:t xml:space="preserve">95 </w:t>
            </w:r>
          </w:p>
        </w:tc>
        <w:tc>
          <w:tcPr>
            <w:tcW w:w="742" w:type="pct"/>
            <w:tcBorders>
              <w:top w:val="nil"/>
              <w:left w:val="nil"/>
              <w:bottom w:val="single" w:sz="4" w:space="0" w:color="auto"/>
              <w:right w:val="single" w:sz="8" w:space="0" w:color="auto"/>
            </w:tcBorders>
            <w:shd w:val="clear" w:color="auto" w:fill="auto"/>
            <w:noWrap/>
            <w:vAlign w:val="bottom"/>
            <w:hideMark/>
          </w:tcPr>
          <w:p w14:paraId="18081DC5" w14:textId="77777777" w:rsidR="00EA5DEA" w:rsidRPr="004E1198" w:rsidRDefault="00EA5DEA" w:rsidP="005659B0">
            <w:pPr>
              <w:pStyle w:val="Tabletext"/>
              <w:rPr>
                <w:lang w:val="en-US"/>
              </w:rPr>
            </w:pPr>
            <w:r w:rsidRPr="004E1198">
              <w:rPr>
                <w:lang w:val="en-US"/>
              </w:rPr>
              <w:t>1876</w:t>
            </w:r>
            <w:r>
              <w:rPr>
                <w:lang w:val="en-US"/>
              </w:rPr>
              <w:t>.</w:t>
            </w:r>
            <w:r w:rsidRPr="004E1198">
              <w:rPr>
                <w:lang w:val="en-US"/>
              </w:rPr>
              <w:t xml:space="preserve">95 </w:t>
            </w:r>
          </w:p>
        </w:tc>
      </w:tr>
      <w:tr w:rsidR="00EA5DEA" w:rsidRPr="004E1198" w14:paraId="6923301B" w14:textId="77777777" w:rsidTr="005659B0">
        <w:trPr>
          <w:trHeight w:val="238"/>
        </w:trPr>
        <w:tc>
          <w:tcPr>
            <w:tcW w:w="2021" w:type="pct"/>
            <w:tcBorders>
              <w:top w:val="nil"/>
              <w:left w:val="single" w:sz="8" w:space="0" w:color="auto"/>
              <w:bottom w:val="single" w:sz="4" w:space="0" w:color="auto"/>
              <w:right w:val="single" w:sz="4" w:space="0" w:color="auto"/>
            </w:tcBorders>
            <w:shd w:val="clear" w:color="auto" w:fill="auto"/>
            <w:noWrap/>
            <w:vAlign w:val="bottom"/>
            <w:hideMark/>
          </w:tcPr>
          <w:p w14:paraId="3CFC0DA9" w14:textId="77777777" w:rsidR="00EA5DEA" w:rsidRPr="004E1198" w:rsidRDefault="00EA5DEA" w:rsidP="005659B0">
            <w:pPr>
              <w:pStyle w:val="Tabletext"/>
              <w:rPr>
                <w:lang w:val="en-US"/>
              </w:rPr>
            </w:pPr>
            <w:r w:rsidRPr="004E1198">
              <w:rPr>
                <w:lang w:val="en-US"/>
              </w:rPr>
              <w:t>Assistance</w:t>
            </w:r>
          </w:p>
        </w:tc>
        <w:tc>
          <w:tcPr>
            <w:tcW w:w="1188" w:type="pct"/>
            <w:tcBorders>
              <w:top w:val="nil"/>
              <w:left w:val="nil"/>
              <w:bottom w:val="single" w:sz="4" w:space="0" w:color="auto"/>
              <w:right w:val="single" w:sz="4" w:space="0" w:color="auto"/>
            </w:tcBorders>
            <w:shd w:val="clear" w:color="auto" w:fill="auto"/>
            <w:noWrap/>
            <w:vAlign w:val="center"/>
            <w:hideMark/>
          </w:tcPr>
          <w:p w14:paraId="2CA4D91F" w14:textId="77777777" w:rsidR="00EA5DEA" w:rsidRPr="004E1198" w:rsidRDefault="00EA5DEA" w:rsidP="005659B0">
            <w:pPr>
              <w:pStyle w:val="Tabletext"/>
              <w:rPr>
                <w:lang w:val="en-US"/>
              </w:rPr>
            </w:pPr>
            <w:r w:rsidRPr="004E1198">
              <w:rPr>
                <w:lang w:val="en-US"/>
              </w:rPr>
              <w:t>MBS item 51303</w:t>
            </w:r>
          </w:p>
        </w:tc>
        <w:tc>
          <w:tcPr>
            <w:tcW w:w="339" w:type="pct"/>
            <w:tcBorders>
              <w:top w:val="nil"/>
              <w:left w:val="nil"/>
              <w:bottom w:val="single" w:sz="4" w:space="0" w:color="auto"/>
              <w:right w:val="single" w:sz="4" w:space="0" w:color="auto"/>
            </w:tcBorders>
            <w:shd w:val="clear" w:color="auto" w:fill="auto"/>
            <w:noWrap/>
            <w:vAlign w:val="center"/>
            <w:hideMark/>
          </w:tcPr>
          <w:p w14:paraId="4B2A541A" w14:textId="77777777" w:rsidR="00EA5DEA" w:rsidRPr="004E1198" w:rsidRDefault="00EA5DEA" w:rsidP="005659B0">
            <w:pPr>
              <w:pStyle w:val="Tabletext"/>
              <w:rPr>
                <w:lang w:val="en-US"/>
              </w:rPr>
            </w:pPr>
            <w:r w:rsidRPr="004E1198">
              <w:rPr>
                <w:lang w:val="en-US"/>
              </w:rPr>
              <w:t>1</w:t>
            </w:r>
          </w:p>
        </w:tc>
        <w:tc>
          <w:tcPr>
            <w:tcW w:w="710" w:type="pct"/>
            <w:tcBorders>
              <w:top w:val="nil"/>
              <w:left w:val="nil"/>
              <w:bottom w:val="single" w:sz="4" w:space="0" w:color="auto"/>
              <w:right w:val="single" w:sz="4" w:space="0" w:color="auto"/>
            </w:tcBorders>
            <w:shd w:val="clear" w:color="auto" w:fill="auto"/>
            <w:noWrap/>
            <w:vAlign w:val="bottom"/>
            <w:hideMark/>
          </w:tcPr>
          <w:p w14:paraId="31E93B1E" w14:textId="77777777" w:rsidR="00EA5DEA" w:rsidRPr="004E1198" w:rsidRDefault="00EA5DEA" w:rsidP="005659B0">
            <w:pPr>
              <w:pStyle w:val="Tabletext"/>
              <w:rPr>
                <w:lang w:val="en-US"/>
              </w:rPr>
            </w:pPr>
            <w:r>
              <w:rPr>
                <w:lang w:val="en-US"/>
              </w:rPr>
              <w:t>375.39</w:t>
            </w:r>
          </w:p>
        </w:tc>
        <w:tc>
          <w:tcPr>
            <w:tcW w:w="742" w:type="pct"/>
            <w:tcBorders>
              <w:top w:val="nil"/>
              <w:left w:val="nil"/>
              <w:bottom w:val="single" w:sz="4" w:space="0" w:color="auto"/>
              <w:right w:val="single" w:sz="8" w:space="0" w:color="auto"/>
            </w:tcBorders>
            <w:shd w:val="clear" w:color="auto" w:fill="auto"/>
            <w:noWrap/>
            <w:vAlign w:val="bottom"/>
            <w:hideMark/>
          </w:tcPr>
          <w:p w14:paraId="5B8DC749" w14:textId="77777777" w:rsidR="00EA5DEA" w:rsidRPr="004E1198" w:rsidRDefault="00EA5DEA" w:rsidP="005659B0">
            <w:pPr>
              <w:pStyle w:val="Tabletext"/>
              <w:rPr>
                <w:lang w:val="en-US"/>
              </w:rPr>
            </w:pPr>
            <w:r>
              <w:rPr>
                <w:lang w:val="en-US"/>
              </w:rPr>
              <w:t>375.39</w:t>
            </w:r>
          </w:p>
        </w:tc>
      </w:tr>
      <w:tr w:rsidR="00EA5DEA" w:rsidRPr="004E1198" w14:paraId="7E56D55E" w14:textId="77777777" w:rsidTr="005659B0">
        <w:trPr>
          <w:trHeight w:val="238"/>
        </w:trPr>
        <w:tc>
          <w:tcPr>
            <w:tcW w:w="2021" w:type="pct"/>
            <w:tcBorders>
              <w:top w:val="nil"/>
              <w:left w:val="single" w:sz="8" w:space="0" w:color="auto"/>
              <w:bottom w:val="single" w:sz="4" w:space="0" w:color="auto"/>
              <w:right w:val="single" w:sz="4" w:space="0" w:color="auto"/>
            </w:tcBorders>
            <w:shd w:val="clear" w:color="auto" w:fill="auto"/>
            <w:noWrap/>
            <w:vAlign w:val="bottom"/>
            <w:hideMark/>
          </w:tcPr>
          <w:p w14:paraId="05F96DEE" w14:textId="77777777" w:rsidR="00EA5DEA" w:rsidRPr="004E1198" w:rsidRDefault="00EA5DEA" w:rsidP="005659B0">
            <w:pPr>
              <w:pStyle w:val="Tabletext"/>
              <w:rPr>
                <w:lang w:val="en-US"/>
              </w:rPr>
            </w:pPr>
            <w:proofErr w:type="spellStart"/>
            <w:r w:rsidRPr="004E1198">
              <w:rPr>
                <w:lang w:val="en-US"/>
              </w:rPr>
              <w:t>Anaesthesia</w:t>
            </w:r>
            <w:proofErr w:type="spellEnd"/>
            <w:r w:rsidRPr="004E1198">
              <w:rPr>
                <w:lang w:val="en-US"/>
              </w:rPr>
              <w:t>, initiation</w:t>
            </w:r>
          </w:p>
        </w:tc>
        <w:tc>
          <w:tcPr>
            <w:tcW w:w="1188" w:type="pct"/>
            <w:tcBorders>
              <w:top w:val="nil"/>
              <w:left w:val="nil"/>
              <w:bottom w:val="single" w:sz="4" w:space="0" w:color="auto"/>
              <w:right w:val="single" w:sz="4" w:space="0" w:color="auto"/>
            </w:tcBorders>
            <w:shd w:val="clear" w:color="auto" w:fill="auto"/>
            <w:noWrap/>
            <w:vAlign w:val="center"/>
            <w:hideMark/>
          </w:tcPr>
          <w:p w14:paraId="4CFAE913" w14:textId="77777777" w:rsidR="00EA5DEA" w:rsidRPr="004E1198" w:rsidRDefault="00EA5DEA" w:rsidP="005659B0">
            <w:pPr>
              <w:pStyle w:val="Tabletext"/>
              <w:rPr>
                <w:lang w:val="en-US"/>
              </w:rPr>
            </w:pPr>
            <w:r w:rsidRPr="004E1198">
              <w:rPr>
                <w:lang w:val="en-US"/>
              </w:rPr>
              <w:t>MBS item 20225</w:t>
            </w:r>
          </w:p>
        </w:tc>
        <w:tc>
          <w:tcPr>
            <w:tcW w:w="339" w:type="pct"/>
            <w:tcBorders>
              <w:top w:val="nil"/>
              <w:left w:val="nil"/>
              <w:bottom w:val="single" w:sz="4" w:space="0" w:color="auto"/>
              <w:right w:val="single" w:sz="4" w:space="0" w:color="auto"/>
            </w:tcBorders>
            <w:shd w:val="clear" w:color="auto" w:fill="auto"/>
            <w:noWrap/>
            <w:vAlign w:val="center"/>
            <w:hideMark/>
          </w:tcPr>
          <w:p w14:paraId="50CC5EC9" w14:textId="77777777" w:rsidR="00EA5DEA" w:rsidRPr="004E1198" w:rsidRDefault="00EA5DEA" w:rsidP="005659B0">
            <w:pPr>
              <w:pStyle w:val="Tabletext"/>
              <w:rPr>
                <w:lang w:val="en-US"/>
              </w:rPr>
            </w:pPr>
            <w:r w:rsidRPr="004E1198">
              <w:rPr>
                <w:lang w:val="en-US"/>
              </w:rPr>
              <w:t>1</w:t>
            </w:r>
          </w:p>
        </w:tc>
        <w:tc>
          <w:tcPr>
            <w:tcW w:w="710" w:type="pct"/>
            <w:tcBorders>
              <w:top w:val="nil"/>
              <w:left w:val="nil"/>
              <w:bottom w:val="single" w:sz="4" w:space="0" w:color="auto"/>
              <w:right w:val="single" w:sz="4" w:space="0" w:color="auto"/>
            </w:tcBorders>
            <w:shd w:val="clear" w:color="auto" w:fill="auto"/>
            <w:noWrap/>
            <w:vAlign w:val="bottom"/>
            <w:hideMark/>
          </w:tcPr>
          <w:p w14:paraId="4B5D198A" w14:textId="77777777" w:rsidR="00EA5DEA" w:rsidRPr="004E1198" w:rsidRDefault="00EA5DEA" w:rsidP="005659B0">
            <w:pPr>
              <w:pStyle w:val="Tabletext"/>
              <w:rPr>
                <w:lang w:val="en-US"/>
              </w:rPr>
            </w:pPr>
            <w:r>
              <w:rPr>
                <w:lang w:val="en-US"/>
              </w:rPr>
              <w:t>237.60</w:t>
            </w:r>
          </w:p>
        </w:tc>
        <w:tc>
          <w:tcPr>
            <w:tcW w:w="742" w:type="pct"/>
            <w:tcBorders>
              <w:top w:val="nil"/>
              <w:left w:val="nil"/>
              <w:bottom w:val="single" w:sz="4" w:space="0" w:color="auto"/>
              <w:right w:val="single" w:sz="8" w:space="0" w:color="auto"/>
            </w:tcBorders>
            <w:shd w:val="clear" w:color="auto" w:fill="auto"/>
            <w:noWrap/>
            <w:vAlign w:val="bottom"/>
            <w:hideMark/>
          </w:tcPr>
          <w:p w14:paraId="4DA998C6" w14:textId="77777777" w:rsidR="00EA5DEA" w:rsidRPr="004E1198" w:rsidRDefault="00EA5DEA" w:rsidP="005659B0">
            <w:pPr>
              <w:pStyle w:val="Tabletext"/>
              <w:rPr>
                <w:lang w:val="en-US"/>
              </w:rPr>
            </w:pPr>
            <w:r>
              <w:rPr>
                <w:lang w:val="en-US"/>
              </w:rPr>
              <w:t>237.60</w:t>
            </w:r>
          </w:p>
        </w:tc>
      </w:tr>
      <w:tr w:rsidR="00EA5DEA" w:rsidRPr="004E1198" w14:paraId="08FDE883" w14:textId="77777777" w:rsidTr="005659B0">
        <w:trPr>
          <w:trHeight w:val="238"/>
        </w:trPr>
        <w:tc>
          <w:tcPr>
            <w:tcW w:w="2021" w:type="pct"/>
            <w:tcBorders>
              <w:top w:val="nil"/>
              <w:left w:val="single" w:sz="8" w:space="0" w:color="auto"/>
              <w:bottom w:val="single" w:sz="4" w:space="0" w:color="auto"/>
              <w:right w:val="single" w:sz="4" w:space="0" w:color="auto"/>
            </w:tcBorders>
            <w:shd w:val="clear" w:color="auto" w:fill="auto"/>
            <w:noWrap/>
            <w:vAlign w:val="bottom"/>
            <w:hideMark/>
          </w:tcPr>
          <w:p w14:paraId="64447780" w14:textId="77777777" w:rsidR="00EA5DEA" w:rsidRPr="004E1198" w:rsidRDefault="00EA5DEA" w:rsidP="005659B0">
            <w:pPr>
              <w:pStyle w:val="Tabletext"/>
              <w:rPr>
                <w:lang w:val="en-US"/>
              </w:rPr>
            </w:pPr>
            <w:proofErr w:type="spellStart"/>
            <w:r w:rsidRPr="004E1198">
              <w:rPr>
                <w:lang w:val="en-US"/>
              </w:rPr>
              <w:t>An</w:t>
            </w:r>
            <w:r>
              <w:rPr>
                <w:lang w:val="en-US"/>
              </w:rPr>
              <w:t>a</w:t>
            </w:r>
            <w:r w:rsidRPr="004E1198">
              <w:rPr>
                <w:lang w:val="en-US"/>
              </w:rPr>
              <w:t>esthesia</w:t>
            </w:r>
            <w:proofErr w:type="spellEnd"/>
            <w:r w:rsidRPr="004E1198">
              <w:rPr>
                <w:lang w:val="en-US"/>
              </w:rPr>
              <w:t>, time-based attendance</w:t>
            </w:r>
          </w:p>
        </w:tc>
        <w:tc>
          <w:tcPr>
            <w:tcW w:w="1188" w:type="pct"/>
            <w:tcBorders>
              <w:top w:val="nil"/>
              <w:left w:val="nil"/>
              <w:bottom w:val="single" w:sz="4" w:space="0" w:color="auto"/>
              <w:right w:val="single" w:sz="4" w:space="0" w:color="auto"/>
            </w:tcBorders>
            <w:shd w:val="clear" w:color="auto" w:fill="auto"/>
            <w:noWrap/>
            <w:vAlign w:val="center"/>
            <w:hideMark/>
          </w:tcPr>
          <w:p w14:paraId="31A9492F" w14:textId="77777777" w:rsidR="00EA5DEA" w:rsidRPr="004E1198" w:rsidRDefault="00EA5DEA" w:rsidP="005659B0">
            <w:pPr>
              <w:pStyle w:val="Tabletext"/>
              <w:rPr>
                <w:lang w:val="en-US"/>
              </w:rPr>
            </w:pPr>
            <w:r w:rsidRPr="004E1198">
              <w:rPr>
                <w:lang w:val="en-US"/>
              </w:rPr>
              <w:t>MBS item 23111</w:t>
            </w:r>
          </w:p>
        </w:tc>
        <w:tc>
          <w:tcPr>
            <w:tcW w:w="339" w:type="pct"/>
            <w:tcBorders>
              <w:top w:val="nil"/>
              <w:left w:val="nil"/>
              <w:bottom w:val="single" w:sz="4" w:space="0" w:color="auto"/>
              <w:right w:val="single" w:sz="4" w:space="0" w:color="auto"/>
            </w:tcBorders>
            <w:shd w:val="clear" w:color="auto" w:fill="auto"/>
            <w:noWrap/>
            <w:vAlign w:val="center"/>
            <w:hideMark/>
          </w:tcPr>
          <w:p w14:paraId="46696831" w14:textId="77777777" w:rsidR="00EA5DEA" w:rsidRPr="004E1198" w:rsidRDefault="00EA5DEA" w:rsidP="005659B0">
            <w:pPr>
              <w:pStyle w:val="Tabletext"/>
              <w:rPr>
                <w:lang w:val="en-US"/>
              </w:rPr>
            </w:pPr>
            <w:r w:rsidRPr="004E1198">
              <w:rPr>
                <w:lang w:val="en-US"/>
              </w:rPr>
              <w:t>1</w:t>
            </w:r>
          </w:p>
        </w:tc>
        <w:tc>
          <w:tcPr>
            <w:tcW w:w="710" w:type="pct"/>
            <w:tcBorders>
              <w:top w:val="nil"/>
              <w:left w:val="nil"/>
              <w:bottom w:val="single" w:sz="4" w:space="0" w:color="auto"/>
              <w:right w:val="single" w:sz="4" w:space="0" w:color="auto"/>
            </w:tcBorders>
            <w:shd w:val="clear" w:color="auto" w:fill="auto"/>
            <w:noWrap/>
            <w:vAlign w:val="bottom"/>
            <w:hideMark/>
          </w:tcPr>
          <w:p w14:paraId="54CEEAA7" w14:textId="77777777" w:rsidR="00EA5DEA" w:rsidRPr="004E1198" w:rsidRDefault="00EA5DEA" w:rsidP="005659B0">
            <w:pPr>
              <w:pStyle w:val="Tabletext"/>
              <w:rPr>
                <w:lang w:val="en-US"/>
              </w:rPr>
            </w:pPr>
            <w:r>
              <w:rPr>
                <w:lang w:val="en-US"/>
              </w:rPr>
              <w:t>217.80</w:t>
            </w:r>
          </w:p>
        </w:tc>
        <w:tc>
          <w:tcPr>
            <w:tcW w:w="742" w:type="pct"/>
            <w:tcBorders>
              <w:top w:val="nil"/>
              <w:left w:val="nil"/>
              <w:bottom w:val="single" w:sz="4" w:space="0" w:color="auto"/>
              <w:right w:val="single" w:sz="8" w:space="0" w:color="auto"/>
            </w:tcBorders>
            <w:shd w:val="clear" w:color="auto" w:fill="auto"/>
            <w:noWrap/>
            <w:vAlign w:val="bottom"/>
            <w:hideMark/>
          </w:tcPr>
          <w:p w14:paraId="210CF41E" w14:textId="77777777" w:rsidR="00EA5DEA" w:rsidRPr="004E1198" w:rsidRDefault="00EA5DEA" w:rsidP="005659B0">
            <w:pPr>
              <w:pStyle w:val="Tabletext"/>
              <w:rPr>
                <w:lang w:val="en-US"/>
              </w:rPr>
            </w:pPr>
            <w:r>
              <w:rPr>
                <w:lang w:val="en-US"/>
              </w:rPr>
              <w:t>217.80</w:t>
            </w:r>
          </w:p>
        </w:tc>
      </w:tr>
      <w:tr w:rsidR="00EA5DEA" w:rsidRPr="004E1198" w14:paraId="04489D01" w14:textId="77777777" w:rsidTr="005659B0">
        <w:trPr>
          <w:trHeight w:val="238"/>
        </w:trPr>
        <w:tc>
          <w:tcPr>
            <w:tcW w:w="2021" w:type="pct"/>
            <w:tcBorders>
              <w:top w:val="nil"/>
              <w:left w:val="single" w:sz="8" w:space="0" w:color="auto"/>
              <w:bottom w:val="single" w:sz="4" w:space="0" w:color="auto"/>
              <w:right w:val="single" w:sz="4" w:space="0" w:color="auto"/>
            </w:tcBorders>
            <w:shd w:val="clear" w:color="auto" w:fill="auto"/>
            <w:noWrap/>
            <w:hideMark/>
          </w:tcPr>
          <w:p w14:paraId="0FCD9341" w14:textId="77777777" w:rsidR="00EA5DEA" w:rsidRPr="004E1198" w:rsidRDefault="00EA5DEA" w:rsidP="005659B0">
            <w:pPr>
              <w:pStyle w:val="Tabletext"/>
              <w:rPr>
                <w:lang w:val="en-US"/>
              </w:rPr>
            </w:pPr>
            <w:r w:rsidRPr="004E1198">
              <w:rPr>
                <w:lang w:val="en-US"/>
              </w:rPr>
              <w:t>Hospital stay</w:t>
            </w:r>
          </w:p>
        </w:tc>
        <w:tc>
          <w:tcPr>
            <w:tcW w:w="1188" w:type="pct"/>
            <w:tcBorders>
              <w:top w:val="nil"/>
              <w:left w:val="nil"/>
              <w:bottom w:val="single" w:sz="4" w:space="0" w:color="auto"/>
              <w:right w:val="single" w:sz="4" w:space="0" w:color="auto"/>
            </w:tcBorders>
            <w:shd w:val="clear" w:color="auto" w:fill="auto"/>
            <w:hideMark/>
          </w:tcPr>
          <w:p w14:paraId="5C96D7CA" w14:textId="77777777" w:rsidR="00EA5DEA" w:rsidRPr="00290F5B" w:rsidRDefault="00EA5DEA" w:rsidP="005659B0">
            <w:pPr>
              <w:pStyle w:val="Tabletext"/>
              <w:rPr>
                <w:i/>
                <w:lang w:val="en-US"/>
              </w:rPr>
            </w:pPr>
            <w:r w:rsidRPr="00290F5B">
              <w:rPr>
                <w:i/>
                <w:lang w:val="en-US"/>
              </w:rPr>
              <w:t>AR-DRG (Vers</w:t>
            </w:r>
            <w:r>
              <w:rPr>
                <w:i/>
                <w:lang w:val="en-US"/>
              </w:rPr>
              <w:t>ion</w:t>
            </w:r>
            <w:r w:rsidRPr="00290F5B">
              <w:rPr>
                <w:i/>
                <w:lang w:val="en-US"/>
              </w:rPr>
              <w:t xml:space="preserve"> 6.0 round 17) </w:t>
            </w:r>
          </w:p>
        </w:tc>
        <w:tc>
          <w:tcPr>
            <w:tcW w:w="339" w:type="pct"/>
            <w:tcBorders>
              <w:top w:val="nil"/>
              <w:left w:val="nil"/>
              <w:bottom w:val="single" w:sz="4" w:space="0" w:color="auto"/>
              <w:right w:val="single" w:sz="4" w:space="0" w:color="auto"/>
            </w:tcBorders>
            <w:shd w:val="clear" w:color="auto" w:fill="auto"/>
            <w:noWrap/>
            <w:hideMark/>
          </w:tcPr>
          <w:p w14:paraId="21E13C8C" w14:textId="77777777" w:rsidR="00EA5DEA" w:rsidRPr="004E1198" w:rsidRDefault="00EA5DEA" w:rsidP="005659B0">
            <w:pPr>
              <w:pStyle w:val="Tabletext"/>
              <w:rPr>
                <w:lang w:val="en-US"/>
              </w:rPr>
            </w:pPr>
            <w:r w:rsidRPr="004E1198">
              <w:rPr>
                <w:lang w:val="en-US"/>
              </w:rPr>
              <w:t>1</w:t>
            </w:r>
          </w:p>
        </w:tc>
        <w:tc>
          <w:tcPr>
            <w:tcW w:w="710" w:type="pct"/>
            <w:tcBorders>
              <w:top w:val="nil"/>
              <w:left w:val="nil"/>
              <w:bottom w:val="single" w:sz="4" w:space="0" w:color="auto"/>
              <w:right w:val="single" w:sz="4" w:space="0" w:color="auto"/>
            </w:tcBorders>
            <w:shd w:val="clear" w:color="auto" w:fill="auto"/>
            <w:noWrap/>
            <w:hideMark/>
          </w:tcPr>
          <w:p w14:paraId="58DC8A5E" w14:textId="77777777" w:rsidR="00EA5DEA" w:rsidRPr="00290F5B" w:rsidRDefault="00EA5DEA" w:rsidP="005659B0">
            <w:pPr>
              <w:pStyle w:val="Tabletext"/>
              <w:rPr>
                <w:i/>
                <w:lang w:val="en-US"/>
              </w:rPr>
            </w:pPr>
            <w:r w:rsidRPr="00290F5B">
              <w:rPr>
                <w:i/>
                <w:lang w:val="en-US"/>
              </w:rPr>
              <w:t>995.96</w:t>
            </w:r>
          </w:p>
        </w:tc>
        <w:tc>
          <w:tcPr>
            <w:tcW w:w="742" w:type="pct"/>
            <w:tcBorders>
              <w:top w:val="nil"/>
              <w:left w:val="nil"/>
              <w:bottom w:val="single" w:sz="4" w:space="0" w:color="auto"/>
              <w:right w:val="single" w:sz="8" w:space="0" w:color="auto"/>
            </w:tcBorders>
            <w:shd w:val="clear" w:color="auto" w:fill="auto"/>
            <w:noWrap/>
            <w:hideMark/>
          </w:tcPr>
          <w:p w14:paraId="1FB52B3E" w14:textId="77777777" w:rsidR="00EA5DEA" w:rsidRPr="004E1198" w:rsidRDefault="00EA5DEA" w:rsidP="005659B0">
            <w:pPr>
              <w:pStyle w:val="Tabletext"/>
              <w:rPr>
                <w:lang w:val="en-US"/>
              </w:rPr>
            </w:pPr>
            <w:r w:rsidRPr="00290F5B">
              <w:rPr>
                <w:i/>
                <w:lang w:val="en-US"/>
              </w:rPr>
              <w:t>995.96</w:t>
            </w:r>
          </w:p>
        </w:tc>
      </w:tr>
      <w:tr w:rsidR="00EA5DEA" w:rsidRPr="004E1198" w14:paraId="76CA5BA4" w14:textId="77777777" w:rsidTr="005659B0">
        <w:trPr>
          <w:trHeight w:val="255"/>
        </w:trPr>
        <w:tc>
          <w:tcPr>
            <w:tcW w:w="3548" w:type="pct"/>
            <w:gridSpan w:val="3"/>
            <w:tcBorders>
              <w:top w:val="nil"/>
              <w:left w:val="single" w:sz="8" w:space="0" w:color="auto"/>
              <w:bottom w:val="single" w:sz="4" w:space="0" w:color="auto"/>
              <w:right w:val="single" w:sz="4" w:space="0" w:color="auto"/>
            </w:tcBorders>
            <w:shd w:val="clear" w:color="000000" w:fill="auto"/>
            <w:noWrap/>
            <w:vAlign w:val="bottom"/>
            <w:hideMark/>
          </w:tcPr>
          <w:p w14:paraId="70BBDAAB" w14:textId="77777777" w:rsidR="00EA5DEA" w:rsidRPr="004E1198" w:rsidRDefault="00EA5DEA" w:rsidP="005659B0">
            <w:pPr>
              <w:pStyle w:val="Tabletext"/>
              <w:rPr>
                <w:lang w:val="en-US"/>
              </w:rPr>
            </w:pPr>
            <w:r>
              <w:rPr>
                <w:lang w:val="en-US"/>
              </w:rPr>
              <w:t>S</w:t>
            </w:r>
            <w:r w:rsidRPr="004E1198">
              <w:rPr>
                <w:lang w:val="en-US"/>
              </w:rPr>
              <w:t>ubtotal </w:t>
            </w:r>
          </w:p>
        </w:tc>
        <w:tc>
          <w:tcPr>
            <w:tcW w:w="710" w:type="pct"/>
            <w:tcBorders>
              <w:top w:val="nil"/>
              <w:left w:val="nil"/>
              <w:bottom w:val="single" w:sz="4" w:space="0" w:color="auto"/>
              <w:right w:val="single" w:sz="4" w:space="0" w:color="auto"/>
            </w:tcBorders>
            <w:shd w:val="clear" w:color="000000" w:fill="auto"/>
            <w:noWrap/>
            <w:vAlign w:val="bottom"/>
            <w:hideMark/>
          </w:tcPr>
          <w:p w14:paraId="71C0D1DF" w14:textId="77777777" w:rsidR="00EA5DEA" w:rsidRPr="00B00F10" w:rsidRDefault="00EA5DEA" w:rsidP="005659B0">
            <w:pPr>
              <w:pStyle w:val="Tabletext"/>
              <w:rPr>
                <w:i/>
                <w:lang w:val="en-US"/>
              </w:rPr>
            </w:pPr>
            <w:r w:rsidRPr="00B00F10">
              <w:rPr>
                <w:i/>
                <w:lang w:val="en-US"/>
              </w:rPr>
              <w:t>4143.60</w:t>
            </w:r>
          </w:p>
        </w:tc>
        <w:tc>
          <w:tcPr>
            <w:tcW w:w="742" w:type="pct"/>
            <w:tcBorders>
              <w:top w:val="nil"/>
              <w:left w:val="nil"/>
              <w:bottom w:val="single" w:sz="4" w:space="0" w:color="auto"/>
              <w:right w:val="single" w:sz="8" w:space="0" w:color="auto"/>
            </w:tcBorders>
            <w:shd w:val="clear" w:color="000000" w:fill="auto"/>
            <w:noWrap/>
            <w:vAlign w:val="bottom"/>
            <w:hideMark/>
          </w:tcPr>
          <w:p w14:paraId="0D404CAE" w14:textId="77777777" w:rsidR="00EA5DEA" w:rsidRPr="004E1198" w:rsidRDefault="00EA5DEA" w:rsidP="005659B0">
            <w:pPr>
              <w:pStyle w:val="Tabletext"/>
              <w:rPr>
                <w:lang w:val="en-US"/>
              </w:rPr>
            </w:pPr>
            <w:r w:rsidRPr="00B00F10">
              <w:rPr>
                <w:i/>
                <w:lang w:val="en-US"/>
              </w:rPr>
              <w:t>4143.60</w:t>
            </w:r>
          </w:p>
        </w:tc>
      </w:tr>
      <w:tr w:rsidR="00EA5DEA" w:rsidRPr="004E1198" w14:paraId="190D1757" w14:textId="77777777" w:rsidTr="005659B0">
        <w:trPr>
          <w:trHeight w:val="255"/>
        </w:trPr>
        <w:tc>
          <w:tcPr>
            <w:tcW w:w="5000" w:type="pct"/>
            <w:gridSpan w:val="5"/>
            <w:tcBorders>
              <w:top w:val="nil"/>
              <w:left w:val="single" w:sz="8" w:space="0" w:color="auto"/>
              <w:bottom w:val="single" w:sz="4" w:space="0" w:color="auto"/>
              <w:right w:val="single" w:sz="8" w:space="0" w:color="auto"/>
            </w:tcBorders>
            <w:shd w:val="clear" w:color="auto" w:fill="auto"/>
            <w:noWrap/>
            <w:vAlign w:val="bottom"/>
            <w:hideMark/>
          </w:tcPr>
          <w:p w14:paraId="4C2A97C4" w14:textId="77777777" w:rsidR="00EA5DEA" w:rsidRPr="00290F5B" w:rsidRDefault="00EA5DEA" w:rsidP="005659B0">
            <w:pPr>
              <w:pStyle w:val="Tabletext"/>
              <w:rPr>
                <w:i/>
                <w:iCs/>
                <w:lang w:val="en-US"/>
              </w:rPr>
            </w:pPr>
            <w:r w:rsidRPr="004E1198">
              <w:rPr>
                <w:i/>
                <w:iCs/>
                <w:lang w:val="en-US"/>
              </w:rPr>
              <w:t>Post operational</w:t>
            </w:r>
          </w:p>
        </w:tc>
      </w:tr>
      <w:tr w:rsidR="00EA5DEA" w:rsidRPr="004E1198" w14:paraId="13AAF41E" w14:textId="77777777" w:rsidTr="005659B0">
        <w:trPr>
          <w:trHeight w:val="255"/>
        </w:trPr>
        <w:tc>
          <w:tcPr>
            <w:tcW w:w="2021" w:type="pct"/>
            <w:tcBorders>
              <w:top w:val="nil"/>
              <w:left w:val="single" w:sz="8" w:space="0" w:color="auto"/>
              <w:bottom w:val="single" w:sz="4" w:space="0" w:color="auto"/>
              <w:right w:val="single" w:sz="4" w:space="0" w:color="auto"/>
            </w:tcBorders>
            <w:shd w:val="clear" w:color="auto" w:fill="auto"/>
            <w:noWrap/>
            <w:vAlign w:val="bottom"/>
            <w:hideMark/>
          </w:tcPr>
          <w:p w14:paraId="264535FB" w14:textId="77777777" w:rsidR="00EA5DEA" w:rsidRPr="004E1198" w:rsidRDefault="00EA5DEA" w:rsidP="005659B0">
            <w:pPr>
              <w:pStyle w:val="Tabletext"/>
              <w:rPr>
                <w:lang w:val="en-US"/>
              </w:rPr>
            </w:pPr>
            <w:r w:rsidRPr="004E1198">
              <w:rPr>
                <w:lang w:val="en-US"/>
              </w:rPr>
              <w:t>Brain stem evoked audiometry</w:t>
            </w:r>
          </w:p>
        </w:tc>
        <w:tc>
          <w:tcPr>
            <w:tcW w:w="1188" w:type="pct"/>
            <w:tcBorders>
              <w:top w:val="nil"/>
              <w:left w:val="nil"/>
              <w:bottom w:val="single" w:sz="4" w:space="0" w:color="auto"/>
              <w:right w:val="single" w:sz="4" w:space="0" w:color="auto"/>
            </w:tcBorders>
            <w:shd w:val="clear" w:color="auto" w:fill="auto"/>
            <w:noWrap/>
            <w:vAlign w:val="center"/>
            <w:hideMark/>
          </w:tcPr>
          <w:p w14:paraId="48349BB3" w14:textId="77777777" w:rsidR="00EA5DEA" w:rsidRPr="004E1198" w:rsidRDefault="00EA5DEA" w:rsidP="005659B0">
            <w:pPr>
              <w:pStyle w:val="Tabletext"/>
              <w:rPr>
                <w:lang w:val="en-US"/>
              </w:rPr>
            </w:pPr>
            <w:r w:rsidRPr="004E1198">
              <w:rPr>
                <w:lang w:val="en-US"/>
              </w:rPr>
              <w:t>MBS item 82300</w:t>
            </w:r>
          </w:p>
        </w:tc>
        <w:tc>
          <w:tcPr>
            <w:tcW w:w="339" w:type="pct"/>
            <w:tcBorders>
              <w:top w:val="nil"/>
              <w:left w:val="nil"/>
              <w:bottom w:val="single" w:sz="4" w:space="0" w:color="auto"/>
              <w:right w:val="single" w:sz="4" w:space="0" w:color="auto"/>
            </w:tcBorders>
            <w:shd w:val="clear" w:color="auto" w:fill="auto"/>
            <w:noWrap/>
            <w:vAlign w:val="center"/>
            <w:hideMark/>
          </w:tcPr>
          <w:p w14:paraId="254600BD" w14:textId="77777777" w:rsidR="00EA5DEA" w:rsidRPr="004E1198" w:rsidRDefault="00EA5DEA" w:rsidP="005659B0">
            <w:pPr>
              <w:pStyle w:val="Tabletext"/>
              <w:rPr>
                <w:lang w:val="en-US"/>
              </w:rPr>
            </w:pPr>
            <w:r w:rsidRPr="004E1198">
              <w:rPr>
                <w:lang w:val="en-US"/>
              </w:rPr>
              <w:t>1</w:t>
            </w:r>
          </w:p>
        </w:tc>
        <w:tc>
          <w:tcPr>
            <w:tcW w:w="710" w:type="pct"/>
            <w:tcBorders>
              <w:top w:val="nil"/>
              <w:left w:val="nil"/>
              <w:bottom w:val="single" w:sz="4" w:space="0" w:color="auto"/>
              <w:right w:val="single" w:sz="4" w:space="0" w:color="auto"/>
            </w:tcBorders>
            <w:shd w:val="clear" w:color="auto" w:fill="auto"/>
            <w:noWrap/>
            <w:vAlign w:val="bottom"/>
            <w:hideMark/>
          </w:tcPr>
          <w:p w14:paraId="09971CEB" w14:textId="77777777" w:rsidR="00EA5DEA" w:rsidRPr="004E1198" w:rsidRDefault="00EA5DEA" w:rsidP="005659B0">
            <w:pPr>
              <w:pStyle w:val="Tabletext"/>
              <w:rPr>
                <w:lang w:val="en-US"/>
              </w:rPr>
            </w:pPr>
            <w:r>
              <w:rPr>
                <w:lang w:val="en-US"/>
              </w:rPr>
              <w:t>153.95</w:t>
            </w:r>
          </w:p>
        </w:tc>
        <w:tc>
          <w:tcPr>
            <w:tcW w:w="742" w:type="pct"/>
            <w:tcBorders>
              <w:top w:val="nil"/>
              <w:left w:val="nil"/>
              <w:bottom w:val="single" w:sz="4" w:space="0" w:color="auto"/>
              <w:right w:val="single" w:sz="8" w:space="0" w:color="auto"/>
            </w:tcBorders>
            <w:shd w:val="clear" w:color="auto" w:fill="auto"/>
            <w:noWrap/>
            <w:vAlign w:val="bottom"/>
            <w:hideMark/>
          </w:tcPr>
          <w:p w14:paraId="053D1713" w14:textId="77777777" w:rsidR="00EA5DEA" w:rsidRPr="004E1198" w:rsidRDefault="00EA5DEA" w:rsidP="005659B0">
            <w:pPr>
              <w:pStyle w:val="Tabletext"/>
              <w:rPr>
                <w:lang w:val="en-US"/>
              </w:rPr>
            </w:pPr>
            <w:r>
              <w:rPr>
                <w:lang w:val="en-US"/>
              </w:rPr>
              <w:t>153.95</w:t>
            </w:r>
          </w:p>
        </w:tc>
      </w:tr>
      <w:tr w:rsidR="00EA5DEA" w:rsidRPr="004E1198" w14:paraId="30AF0AFA" w14:textId="77777777" w:rsidTr="005659B0">
        <w:trPr>
          <w:trHeight w:val="255"/>
        </w:trPr>
        <w:tc>
          <w:tcPr>
            <w:tcW w:w="2021" w:type="pct"/>
            <w:tcBorders>
              <w:top w:val="nil"/>
              <w:left w:val="single" w:sz="8" w:space="0" w:color="auto"/>
              <w:bottom w:val="single" w:sz="4" w:space="0" w:color="auto"/>
              <w:right w:val="single" w:sz="4" w:space="0" w:color="auto"/>
            </w:tcBorders>
            <w:shd w:val="clear" w:color="auto" w:fill="auto"/>
            <w:noWrap/>
            <w:vAlign w:val="bottom"/>
            <w:hideMark/>
          </w:tcPr>
          <w:p w14:paraId="2063EFED" w14:textId="77777777" w:rsidR="00EA5DEA" w:rsidRPr="004E1198" w:rsidRDefault="00EA5DEA" w:rsidP="005659B0">
            <w:pPr>
              <w:pStyle w:val="Tabletext"/>
              <w:rPr>
                <w:color w:val="0D0D0D"/>
                <w:lang w:val="en-US"/>
              </w:rPr>
            </w:pPr>
            <w:r w:rsidRPr="004E1198">
              <w:rPr>
                <w:color w:val="0D0D0D"/>
                <w:lang w:val="en-US"/>
              </w:rPr>
              <w:t xml:space="preserve">(ENT/Audiologist) follow up consultation </w:t>
            </w:r>
          </w:p>
        </w:tc>
        <w:tc>
          <w:tcPr>
            <w:tcW w:w="1188" w:type="pct"/>
            <w:tcBorders>
              <w:top w:val="nil"/>
              <w:left w:val="nil"/>
              <w:bottom w:val="single" w:sz="4" w:space="0" w:color="auto"/>
              <w:right w:val="single" w:sz="4" w:space="0" w:color="auto"/>
            </w:tcBorders>
            <w:shd w:val="clear" w:color="auto" w:fill="auto"/>
            <w:noWrap/>
            <w:vAlign w:val="center"/>
            <w:hideMark/>
          </w:tcPr>
          <w:p w14:paraId="34F82673" w14:textId="77777777" w:rsidR="00EA5DEA" w:rsidRPr="004E1198" w:rsidRDefault="00EA5DEA" w:rsidP="005659B0">
            <w:pPr>
              <w:pStyle w:val="Tabletext"/>
              <w:rPr>
                <w:lang w:val="en-US"/>
              </w:rPr>
            </w:pPr>
            <w:r w:rsidRPr="004E1198">
              <w:rPr>
                <w:lang w:val="en-US"/>
              </w:rPr>
              <w:t>MBS item 10952</w:t>
            </w:r>
          </w:p>
        </w:tc>
        <w:tc>
          <w:tcPr>
            <w:tcW w:w="339" w:type="pct"/>
            <w:tcBorders>
              <w:top w:val="nil"/>
              <w:left w:val="nil"/>
              <w:bottom w:val="single" w:sz="4" w:space="0" w:color="auto"/>
              <w:right w:val="single" w:sz="4" w:space="0" w:color="auto"/>
            </w:tcBorders>
            <w:shd w:val="clear" w:color="auto" w:fill="auto"/>
            <w:noWrap/>
            <w:vAlign w:val="center"/>
            <w:hideMark/>
          </w:tcPr>
          <w:p w14:paraId="2EE7CAF7" w14:textId="77777777" w:rsidR="00EA5DEA" w:rsidRPr="004E1198" w:rsidRDefault="00EA5DEA" w:rsidP="005659B0">
            <w:pPr>
              <w:pStyle w:val="Tabletext"/>
              <w:rPr>
                <w:lang w:val="en-US"/>
              </w:rPr>
            </w:pPr>
            <w:r w:rsidRPr="004E1198">
              <w:rPr>
                <w:lang w:val="en-US"/>
              </w:rPr>
              <w:t>2</w:t>
            </w:r>
          </w:p>
        </w:tc>
        <w:tc>
          <w:tcPr>
            <w:tcW w:w="710" w:type="pct"/>
            <w:tcBorders>
              <w:top w:val="nil"/>
              <w:left w:val="nil"/>
              <w:bottom w:val="single" w:sz="4" w:space="0" w:color="auto"/>
              <w:right w:val="single" w:sz="4" w:space="0" w:color="auto"/>
            </w:tcBorders>
            <w:shd w:val="clear" w:color="auto" w:fill="auto"/>
            <w:noWrap/>
            <w:vAlign w:val="bottom"/>
            <w:hideMark/>
          </w:tcPr>
          <w:p w14:paraId="0D62409F" w14:textId="77777777" w:rsidR="00EA5DEA" w:rsidRPr="004E1198" w:rsidRDefault="00EA5DEA" w:rsidP="005659B0">
            <w:pPr>
              <w:pStyle w:val="Tabletext"/>
              <w:rPr>
                <w:lang w:val="en-US"/>
              </w:rPr>
            </w:pPr>
            <w:r>
              <w:rPr>
                <w:lang w:val="en-US"/>
              </w:rPr>
              <w:t>62.25</w:t>
            </w:r>
          </w:p>
        </w:tc>
        <w:tc>
          <w:tcPr>
            <w:tcW w:w="742" w:type="pct"/>
            <w:tcBorders>
              <w:top w:val="nil"/>
              <w:left w:val="nil"/>
              <w:bottom w:val="single" w:sz="4" w:space="0" w:color="auto"/>
              <w:right w:val="single" w:sz="8" w:space="0" w:color="auto"/>
            </w:tcBorders>
            <w:shd w:val="clear" w:color="auto" w:fill="auto"/>
            <w:noWrap/>
            <w:vAlign w:val="bottom"/>
            <w:hideMark/>
          </w:tcPr>
          <w:p w14:paraId="0D55D3E7" w14:textId="77777777" w:rsidR="00EA5DEA" w:rsidRPr="004E1198" w:rsidRDefault="00EA5DEA" w:rsidP="005659B0">
            <w:pPr>
              <w:pStyle w:val="Tabletext"/>
              <w:rPr>
                <w:lang w:val="en-US"/>
              </w:rPr>
            </w:pPr>
            <w:r>
              <w:rPr>
                <w:lang w:val="en-US"/>
              </w:rPr>
              <w:t>124.50</w:t>
            </w:r>
          </w:p>
        </w:tc>
      </w:tr>
      <w:tr w:rsidR="00EA5DEA" w:rsidRPr="004E1198" w14:paraId="5B4E806A" w14:textId="77777777" w:rsidTr="005659B0">
        <w:trPr>
          <w:trHeight w:val="255"/>
        </w:trPr>
        <w:tc>
          <w:tcPr>
            <w:tcW w:w="2021" w:type="pct"/>
            <w:tcBorders>
              <w:top w:val="nil"/>
              <w:left w:val="single" w:sz="8" w:space="0" w:color="auto"/>
              <w:bottom w:val="single" w:sz="4" w:space="0" w:color="auto"/>
              <w:right w:val="single" w:sz="4" w:space="0" w:color="auto"/>
            </w:tcBorders>
            <w:shd w:val="clear" w:color="auto" w:fill="auto"/>
            <w:noWrap/>
            <w:vAlign w:val="bottom"/>
            <w:hideMark/>
          </w:tcPr>
          <w:p w14:paraId="4644EC4A" w14:textId="77777777" w:rsidR="00EA5DEA" w:rsidRPr="004E1198" w:rsidRDefault="00EA5DEA" w:rsidP="005659B0">
            <w:pPr>
              <w:pStyle w:val="Tabletext"/>
              <w:rPr>
                <w:lang w:val="en-US"/>
              </w:rPr>
            </w:pPr>
            <w:r w:rsidRPr="004E1198">
              <w:rPr>
                <w:lang w:val="en-US"/>
              </w:rPr>
              <w:t>Battery cost</w:t>
            </w:r>
          </w:p>
        </w:tc>
        <w:tc>
          <w:tcPr>
            <w:tcW w:w="1188" w:type="pct"/>
            <w:tcBorders>
              <w:top w:val="nil"/>
              <w:left w:val="nil"/>
              <w:bottom w:val="single" w:sz="4" w:space="0" w:color="auto"/>
              <w:right w:val="single" w:sz="4" w:space="0" w:color="auto"/>
            </w:tcBorders>
            <w:shd w:val="clear" w:color="auto" w:fill="auto"/>
            <w:noWrap/>
            <w:vAlign w:val="center"/>
            <w:hideMark/>
          </w:tcPr>
          <w:p w14:paraId="5D29BA0F" w14:textId="77777777" w:rsidR="00EA5DEA" w:rsidRPr="004E1198" w:rsidRDefault="00EA5DEA" w:rsidP="005659B0">
            <w:pPr>
              <w:pStyle w:val="Tabletext"/>
              <w:rPr>
                <w:lang w:val="en-US"/>
              </w:rPr>
            </w:pPr>
            <w:proofErr w:type="spellStart"/>
            <w:r w:rsidRPr="004E1198">
              <w:rPr>
                <w:lang w:val="en-US"/>
              </w:rPr>
              <w:t>Modeller</w:t>
            </w:r>
            <w:proofErr w:type="spellEnd"/>
            <w:r w:rsidRPr="004E1198">
              <w:rPr>
                <w:lang w:val="en-US"/>
              </w:rPr>
              <w:t xml:space="preserve"> assumption </w:t>
            </w:r>
          </w:p>
        </w:tc>
        <w:tc>
          <w:tcPr>
            <w:tcW w:w="339" w:type="pct"/>
            <w:tcBorders>
              <w:top w:val="nil"/>
              <w:left w:val="nil"/>
              <w:bottom w:val="single" w:sz="4" w:space="0" w:color="auto"/>
              <w:right w:val="single" w:sz="4" w:space="0" w:color="auto"/>
            </w:tcBorders>
            <w:shd w:val="clear" w:color="auto" w:fill="auto"/>
            <w:noWrap/>
            <w:vAlign w:val="center"/>
            <w:hideMark/>
          </w:tcPr>
          <w:p w14:paraId="24D3AFDC" w14:textId="77777777" w:rsidR="00EA5DEA" w:rsidRPr="004E1198" w:rsidRDefault="00EA5DEA" w:rsidP="005659B0">
            <w:pPr>
              <w:pStyle w:val="Tabletext"/>
              <w:rPr>
                <w:lang w:val="en-US"/>
              </w:rPr>
            </w:pPr>
            <w:r w:rsidRPr="004E1198">
              <w:rPr>
                <w:lang w:val="en-US"/>
              </w:rPr>
              <w:t>26</w:t>
            </w:r>
          </w:p>
        </w:tc>
        <w:tc>
          <w:tcPr>
            <w:tcW w:w="710" w:type="pct"/>
            <w:tcBorders>
              <w:top w:val="nil"/>
              <w:left w:val="nil"/>
              <w:bottom w:val="single" w:sz="4" w:space="0" w:color="auto"/>
              <w:right w:val="single" w:sz="4" w:space="0" w:color="auto"/>
            </w:tcBorders>
            <w:shd w:val="clear" w:color="auto" w:fill="auto"/>
            <w:noWrap/>
            <w:vAlign w:val="bottom"/>
            <w:hideMark/>
          </w:tcPr>
          <w:p w14:paraId="680E5FAA" w14:textId="77777777" w:rsidR="00EA5DEA" w:rsidRPr="004E1198" w:rsidRDefault="00EA5DEA" w:rsidP="005659B0">
            <w:pPr>
              <w:pStyle w:val="Tabletext"/>
              <w:rPr>
                <w:lang w:val="en-US"/>
              </w:rPr>
            </w:pPr>
            <w:r>
              <w:rPr>
                <w:lang w:val="en-US"/>
              </w:rPr>
              <w:t>1.00</w:t>
            </w:r>
          </w:p>
        </w:tc>
        <w:tc>
          <w:tcPr>
            <w:tcW w:w="742" w:type="pct"/>
            <w:tcBorders>
              <w:top w:val="nil"/>
              <w:left w:val="nil"/>
              <w:bottom w:val="single" w:sz="4" w:space="0" w:color="auto"/>
              <w:right w:val="single" w:sz="8" w:space="0" w:color="auto"/>
            </w:tcBorders>
            <w:shd w:val="clear" w:color="auto" w:fill="auto"/>
            <w:noWrap/>
            <w:vAlign w:val="bottom"/>
            <w:hideMark/>
          </w:tcPr>
          <w:p w14:paraId="0A78E74F" w14:textId="77777777" w:rsidR="00EA5DEA" w:rsidRPr="004E1198" w:rsidRDefault="00EA5DEA" w:rsidP="005659B0">
            <w:pPr>
              <w:pStyle w:val="Tabletext"/>
              <w:rPr>
                <w:lang w:val="en-US"/>
              </w:rPr>
            </w:pPr>
            <w:r>
              <w:rPr>
                <w:lang w:val="en-US"/>
              </w:rPr>
              <w:t>26.00</w:t>
            </w:r>
          </w:p>
        </w:tc>
      </w:tr>
      <w:tr w:rsidR="00EA5DEA" w:rsidRPr="004E1198" w14:paraId="3386F103" w14:textId="77777777" w:rsidTr="005659B0">
        <w:trPr>
          <w:trHeight w:val="255"/>
        </w:trPr>
        <w:tc>
          <w:tcPr>
            <w:tcW w:w="2021" w:type="pct"/>
            <w:tcBorders>
              <w:top w:val="nil"/>
              <w:left w:val="single" w:sz="8" w:space="0" w:color="auto"/>
              <w:bottom w:val="single" w:sz="4" w:space="0" w:color="auto"/>
              <w:right w:val="single" w:sz="4" w:space="0" w:color="auto"/>
            </w:tcBorders>
            <w:shd w:val="clear" w:color="auto" w:fill="auto"/>
            <w:noWrap/>
            <w:vAlign w:val="bottom"/>
            <w:hideMark/>
          </w:tcPr>
          <w:p w14:paraId="6DA13D9E" w14:textId="77777777" w:rsidR="00EA5DEA" w:rsidRPr="004E1198" w:rsidRDefault="00EA5DEA" w:rsidP="005659B0">
            <w:pPr>
              <w:pStyle w:val="Tabletext"/>
              <w:rPr>
                <w:lang w:val="en-US"/>
              </w:rPr>
            </w:pPr>
            <w:r w:rsidRPr="004E1198">
              <w:rPr>
                <w:lang w:val="en-US"/>
              </w:rPr>
              <w:t>ENT specialist</w:t>
            </w:r>
          </w:p>
        </w:tc>
        <w:tc>
          <w:tcPr>
            <w:tcW w:w="1188" w:type="pct"/>
            <w:tcBorders>
              <w:top w:val="nil"/>
              <w:left w:val="nil"/>
              <w:bottom w:val="single" w:sz="4" w:space="0" w:color="auto"/>
              <w:right w:val="single" w:sz="4" w:space="0" w:color="auto"/>
            </w:tcBorders>
            <w:shd w:val="clear" w:color="auto" w:fill="auto"/>
            <w:noWrap/>
            <w:vAlign w:val="center"/>
            <w:hideMark/>
          </w:tcPr>
          <w:p w14:paraId="5DC5D1CE" w14:textId="77777777" w:rsidR="00EA5DEA" w:rsidRPr="004E1198" w:rsidRDefault="00EA5DEA" w:rsidP="005659B0">
            <w:pPr>
              <w:pStyle w:val="Tabletext"/>
              <w:rPr>
                <w:lang w:val="en-US"/>
              </w:rPr>
            </w:pPr>
            <w:r w:rsidRPr="004E1198">
              <w:rPr>
                <w:lang w:val="en-US"/>
              </w:rPr>
              <w:t>MBS item 104</w:t>
            </w:r>
          </w:p>
        </w:tc>
        <w:tc>
          <w:tcPr>
            <w:tcW w:w="339" w:type="pct"/>
            <w:tcBorders>
              <w:top w:val="nil"/>
              <w:left w:val="nil"/>
              <w:bottom w:val="single" w:sz="4" w:space="0" w:color="auto"/>
              <w:right w:val="single" w:sz="4" w:space="0" w:color="auto"/>
            </w:tcBorders>
            <w:shd w:val="clear" w:color="auto" w:fill="auto"/>
            <w:noWrap/>
            <w:vAlign w:val="center"/>
            <w:hideMark/>
          </w:tcPr>
          <w:p w14:paraId="090EABF9" w14:textId="77777777" w:rsidR="00EA5DEA" w:rsidRPr="004E1198" w:rsidRDefault="00EA5DEA" w:rsidP="005659B0">
            <w:pPr>
              <w:pStyle w:val="Tabletext"/>
              <w:rPr>
                <w:lang w:val="en-US"/>
              </w:rPr>
            </w:pPr>
            <w:r w:rsidRPr="004E1198">
              <w:rPr>
                <w:lang w:val="en-US"/>
              </w:rPr>
              <w:t>1</w:t>
            </w:r>
          </w:p>
        </w:tc>
        <w:tc>
          <w:tcPr>
            <w:tcW w:w="710" w:type="pct"/>
            <w:tcBorders>
              <w:top w:val="nil"/>
              <w:left w:val="nil"/>
              <w:bottom w:val="single" w:sz="4" w:space="0" w:color="auto"/>
              <w:right w:val="single" w:sz="4" w:space="0" w:color="auto"/>
            </w:tcBorders>
            <w:shd w:val="clear" w:color="auto" w:fill="auto"/>
            <w:noWrap/>
            <w:vAlign w:val="bottom"/>
            <w:hideMark/>
          </w:tcPr>
          <w:p w14:paraId="12E824A9" w14:textId="77777777" w:rsidR="00EA5DEA" w:rsidRPr="004E1198" w:rsidRDefault="00EA5DEA" w:rsidP="005659B0">
            <w:pPr>
              <w:pStyle w:val="Tabletext"/>
              <w:rPr>
                <w:lang w:val="en-US"/>
              </w:rPr>
            </w:pPr>
            <w:r>
              <w:rPr>
                <w:lang w:val="en-US"/>
              </w:rPr>
              <w:t>85.55</w:t>
            </w:r>
          </w:p>
        </w:tc>
        <w:tc>
          <w:tcPr>
            <w:tcW w:w="742" w:type="pct"/>
            <w:tcBorders>
              <w:top w:val="nil"/>
              <w:left w:val="nil"/>
              <w:bottom w:val="single" w:sz="4" w:space="0" w:color="auto"/>
              <w:right w:val="single" w:sz="8" w:space="0" w:color="auto"/>
            </w:tcBorders>
            <w:shd w:val="clear" w:color="auto" w:fill="auto"/>
            <w:noWrap/>
            <w:vAlign w:val="bottom"/>
            <w:hideMark/>
          </w:tcPr>
          <w:p w14:paraId="6ED31985" w14:textId="77777777" w:rsidR="00EA5DEA" w:rsidRPr="004E1198" w:rsidRDefault="00EA5DEA" w:rsidP="005659B0">
            <w:pPr>
              <w:pStyle w:val="Tabletext"/>
              <w:rPr>
                <w:lang w:val="en-US"/>
              </w:rPr>
            </w:pPr>
            <w:r>
              <w:rPr>
                <w:lang w:val="en-US"/>
              </w:rPr>
              <w:t>85.55</w:t>
            </w:r>
          </w:p>
        </w:tc>
      </w:tr>
      <w:tr w:rsidR="00EA5DEA" w:rsidRPr="004E1198" w14:paraId="49E8E523" w14:textId="77777777" w:rsidTr="005659B0">
        <w:trPr>
          <w:trHeight w:val="255"/>
        </w:trPr>
        <w:tc>
          <w:tcPr>
            <w:tcW w:w="3548" w:type="pct"/>
            <w:gridSpan w:val="3"/>
            <w:tcBorders>
              <w:top w:val="nil"/>
              <w:left w:val="single" w:sz="8" w:space="0" w:color="auto"/>
              <w:bottom w:val="single" w:sz="4" w:space="0" w:color="auto"/>
              <w:right w:val="single" w:sz="4" w:space="0" w:color="auto"/>
            </w:tcBorders>
            <w:shd w:val="clear" w:color="000000" w:fill="auto"/>
            <w:noWrap/>
            <w:vAlign w:val="bottom"/>
            <w:hideMark/>
          </w:tcPr>
          <w:p w14:paraId="5AD8D6EE" w14:textId="77777777" w:rsidR="00EA5DEA" w:rsidRPr="004E1198" w:rsidRDefault="00EA5DEA" w:rsidP="005659B0">
            <w:pPr>
              <w:pStyle w:val="Tabletext"/>
              <w:rPr>
                <w:lang w:val="en-US"/>
              </w:rPr>
            </w:pPr>
            <w:r>
              <w:rPr>
                <w:lang w:val="en-US"/>
              </w:rPr>
              <w:t>S</w:t>
            </w:r>
            <w:r w:rsidRPr="004E1198">
              <w:rPr>
                <w:lang w:val="en-US"/>
              </w:rPr>
              <w:t>ubtotal</w:t>
            </w:r>
          </w:p>
        </w:tc>
        <w:tc>
          <w:tcPr>
            <w:tcW w:w="710" w:type="pct"/>
            <w:tcBorders>
              <w:top w:val="nil"/>
              <w:left w:val="nil"/>
              <w:bottom w:val="single" w:sz="4" w:space="0" w:color="auto"/>
              <w:right w:val="single" w:sz="4" w:space="0" w:color="auto"/>
            </w:tcBorders>
            <w:shd w:val="clear" w:color="000000" w:fill="auto"/>
            <w:noWrap/>
            <w:vAlign w:val="bottom"/>
            <w:hideMark/>
          </w:tcPr>
          <w:p w14:paraId="4BBA564E" w14:textId="77777777" w:rsidR="00EA5DEA" w:rsidRPr="004E1198" w:rsidRDefault="00EA5DEA" w:rsidP="005659B0">
            <w:pPr>
              <w:pStyle w:val="Tabletext"/>
              <w:rPr>
                <w:lang w:val="en-US"/>
              </w:rPr>
            </w:pPr>
            <w:r>
              <w:rPr>
                <w:lang w:val="en-US"/>
              </w:rPr>
              <w:t>302.75</w:t>
            </w:r>
            <w:r w:rsidRPr="004E1198">
              <w:rPr>
                <w:lang w:val="en-US"/>
              </w:rPr>
              <w:t xml:space="preserve"> </w:t>
            </w:r>
          </w:p>
        </w:tc>
        <w:tc>
          <w:tcPr>
            <w:tcW w:w="742" w:type="pct"/>
            <w:tcBorders>
              <w:top w:val="nil"/>
              <w:left w:val="nil"/>
              <w:bottom w:val="single" w:sz="4" w:space="0" w:color="auto"/>
              <w:right w:val="single" w:sz="8" w:space="0" w:color="auto"/>
            </w:tcBorders>
            <w:shd w:val="clear" w:color="000000" w:fill="auto"/>
            <w:noWrap/>
            <w:vAlign w:val="bottom"/>
            <w:hideMark/>
          </w:tcPr>
          <w:p w14:paraId="468DD31D" w14:textId="77777777" w:rsidR="00EA5DEA" w:rsidRPr="004E1198" w:rsidRDefault="00EA5DEA" w:rsidP="005659B0">
            <w:pPr>
              <w:pStyle w:val="Tabletext"/>
              <w:rPr>
                <w:lang w:val="en-US"/>
              </w:rPr>
            </w:pPr>
            <w:r>
              <w:rPr>
                <w:lang w:val="en-US"/>
              </w:rPr>
              <w:t>390.00</w:t>
            </w:r>
          </w:p>
        </w:tc>
      </w:tr>
      <w:tr w:rsidR="00EA5DEA" w:rsidRPr="004E1198" w14:paraId="6179AA4F" w14:textId="77777777" w:rsidTr="005659B0">
        <w:trPr>
          <w:trHeight w:val="255"/>
        </w:trPr>
        <w:tc>
          <w:tcPr>
            <w:tcW w:w="4258" w:type="pct"/>
            <w:gridSpan w:val="4"/>
            <w:tcBorders>
              <w:top w:val="nil"/>
              <w:left w:val="single" w:sz="8" w:space="0" w:color="auto"/>
              <w:bottom w:val="single" w:sz="4" w:space="0" w:color="auto"/>
              <w:right w:val="single" w:sz="4" w:space="0" w:color="auto"/>
            </w:tcBorders>
            <w:shd w:val="clear" w:color="auto" w:fill="auto"/>
            <w:noWrap/>
            <w:vAlign w:val="bottom"/>
            <w:hideMark/>
          </w:tcPr>
          <w:p w14:paraId="06AB553F" w14:textId="77777777" w:rsidR="00EA5DEA" w:rsidRPr="004E1198" w:rsidRDefault="00EA5DEA" w:rsidP="005659B0">
            <w:pPr>
              <w:pStyle w:val="Tabletext"/>
              <w:rPr>
                <w:lang w:val="en-US"/>
              </w:rPr>
            </w:pPr>
            <w:r w:rsidRPr="004E1198">
              <w:rPr>
                <w:lang w:val="en-US"/>
              </w:rPr>
              <w:t>Total consumables</w:t>
            </w:r>
          </w:p>
        </w:tc>
        <w:tc>
          <w:tcPr>
            <w:tcW w:w="742" w:type="pct"/>
            <w:tcBorders>
              <w:top w:val="nil"/>
              <w:left w:val="nil"/>
              <w:bottom w:val="single" w:sz="4" w:space="0" w:color="auto"/>
              <w:right w:val="single" w:sz="8" w:space="0" w:color="auto"/>
            </w:tcBorders>
            <w:shd w:val="clear" w:color="auto" w:fill="auto"/>
            <w:noWrap/>
            <w:vAlign w:val="bottom"/>
            <w:hideMark/>
          </w:tcPr>
          <w:p w14:paraId="75F20A14" w14:textId="77777777" w:rsidR="00EA5DEA" w:rsidRPr="00B00F10" w:rsidRDefault="00EA5DEA" w:rsidP="005659B0">
            <w:pPr>
              <w:pStyle w:val="Tabletext"/>
              <w:rPr>
                <w:i/>
                <w:lang w:val="en-US"/>
              </w:rPr>
            </w:pPr>
            <w:r w:rsidRPr="00B00F10">
              <w:rPr>
                <w:i/>
                <w:lang w:val="en-US"/>
              </w:rPr>
              <w:t>13,970.00</w:t>
            </w:r>
          </w:p>
        </w:tc>
      </w:tr>
      <w:tr w:rsidR="00EA5DEA" w:rsidRPr="004E1198" w14:paraId="6D0E84C2" w14:textId="77777777" w:rsidTr="005659B0">
        <w:trPr>
          <w:trHeight w:val="255"/>
        </w:trPr>
        <w:tc>
          <w:tcPr>
            <w:tcW w:w="4258" w:type="pct"/>
            <w:gridSpan w:val="4"/>
            <w:tcBorders>
              <w:top w:val="nil"/>
              <w:left w:val="single" w:sz="8" w:space="0" w:color="auto"/>
              <w:bottom w:val="single" w:sz="4" w:space="0" w:color="auto"/>
              <w:right w:val="single" w:sz="4" w:space="0" w:color="auto"/>
            </w:tcBorders>
            <w:shd w:val="clear" w:color="auto" w:fill="auto"/>
            <w:noWrap/>
            <w:vAlign w:val="bottom"/>
            <w:hideMark/>
          </w:tcPr>
          <w:p w14:paraId="13877B15" w14:textId="77777777" w:rsidR="00EA5DEA" w:rsidRPr="004E1198" w:rsidRDefault="00EA5DEA" w:rsidP="005659B0">
            <w:pPr>
              <w:pStyle w:val="Tabletext"/>
              <w:rPr>
                <w:lang w:val="en-US"/>
              </w:rPr>
            </w:pPr>
            <w:r w:rsidRPr="004E1198">
              <w:rPr>
                <w:lang w:val="en-US"/>
              </w:rPr>
              <w:t>Total direct costs</w:t>
            </w:r>
          </w:p>
        </w:tc>
        <w:tc>
          <w:tcPr>
            <w:tcW w:w="742" w:type="pct"/>
            <w:tcBorders>
              <w:top w:val="nil"/>
              <w:left w:val="nil"/>
              <w:bottom w:val="single" w:sz="4" w:space="0" w:color="auto"/>
              <w:right w:val="single" w:sz="8" w:space="0" w:color="auto"/>
            </w:tcBorders>
            <w:shd w:val="clear" w:color="auto" w:fill="auto"/>
            <w:noWrap/>
            <w:vAlign w:val="bottom"/>
            <w:hideMark/>
          </w:tcPr>
          <w:p w14:paraId="4F899B10" w14:textId="77777777" w:rsidR="00EA5DEA" w:rsidRPr="00B00F10" w:rsidRDefault="00EA5DEA" w:rsidP="005659B0">
            <w:pPr>
              <w:pStyle w:val="Tabletext"/>
              <w:rPr>
                <w:i/>
                <w:lang w:val="en-US"/>
              </w:rPr>
            </w:pPr>
            <w:r w:rsidRPr="00B00F10">
              <w:rPr>
                <w:i/>
                <w:lang w:val="en-US"/>
              </w:rPr>
              <w:t>5044.</w:t>
            </w:r>
            <w:r>
              <w:rPr>
                <w:i/>
                <w:lang w:val="en-US"/>
              </w:rPr>
              <w:t>7</w:t>
            </w:r>
            <w:r w:rsidRPr="00B00F10">
              <w:rPr>
                <w:i/>
                <w:lang w:val="en-US"/>
              </w:rPr>
              <w:t>5</w:t>
            </w:r>
          </w:p>
        </w:tc>
      </w:tr>
      <w:tr w:rsidR="00EA5DEA" w:rsidRPr="004E1198" w14:paraId="0B39E1D7" w14:textId="77777777" w:rsidTr="005659B0">
        <w:trPr>
          <w:trHeight w:val="270"/>
        </w:trPr>
        <w:tc>
          <w:tcPr>
            <w:tcW w:w="4258" w:type="pct"/>
            <w:gridSpan w:val="4"/>
            <w:tcBorders>
              <w:top w:val="nil"/>
              <w:left w:val="single" w:sz="8" w:space="0" w:color="auto"/>
              <w:bottom w:val="single" w:sz="8" w:space="0" w:color="auto"/>
              <w:right w:val="single" w:sz="4" w:space="0" w:color="auto"/>
            </w:tcBorders>
            <w:shd w:val="clear" w:color="000000" w:fill="auto"/>
            <w:noWrap/>
            <w:vAlign w:val="bottom"/>
            <w:hideMark/>
          </w:tcPr>
          <w:p w14:paraId="6107FF69" w14:textId="77777777" w:rsidR="00EA5DEA" w:rsidRPr="00290F5B" w:rsidRDefault="00EA5DEA" w:rsidP="005659B0">
            <w:pPr>
              <w:pStyle w:val="Tabletext"/>
              <w:rPr>
                <w:lang w:val="en-US"/>
              </w:rPr>
            </w:pPr>
            <w:r w:rsidRPr="004E1198">
              <w:rPr>
                <w:lang w:val="en-US"/>
              </w:rPr>
              <w:t>Total cost of VSB implantation</w:t>
            </w:r>
          </w:p>
        </w:tc>
        <w:tc>
          <w:tcPr>
            <w:tcW w:w="742" w:type="pct"/>
            <w:tcBorders>
              <w:top w:val="nil"/>
              <w:left w:val="nil"/>
              <w:bottom w:val="single" w:sz="8" w:space="0" w:color="auto"/>
              <w:right w:val="single" w:sz="8" w:space="0" w:color="auto"/>
            </w:tcBorders>
            <w:shd w:val="clear" w:color="000000" w:fill="auto"/>
            <w:noWrap/>
            <w:vAlign w:val="bottom"/>
            <w:hideMark/>
          </w:tcPr>
          <w:p w14:paraId="0ADE3F95" w14:textId="77777777" w:rsidR="00EA5DEA" w:rsidRPr="00B00F10" w:rsidRDefault="00EA5DEA" w:rsidP="005659B0">
            <w:pPr>
              <w:pStyle w:val="Tabletext"/>
              <w:rPr>
                <w:i/>
                <w:lang w:val="en-US"/>
              </w:rPr>
            </w:pPr>
            <w:r w:rsidRPr="00B00F10">
              <w:rPr>
                <w:i/>
                <w:lang w:val="en-US"/>
              </w:rPr>
              <w:t>19,014.75</w:t>
            </w:r>
          </w:p>
        </w:tc>
      </w:tr>
    </w:tbl>
    <w:p w14:paraId="4699BD1D" w14:textId="77777777" w:rsidR="00EA5DEA" w:rsidRDefault="00EA5DEA" w:rsidP="00EA5DEA">
      <w:pPr>
        <w:pStyle w:val="Tablefootnotes"/>
        <w:rPr>
          <w:i/>
        </w:rPr>
      </w:pPr>
      <w:r w:rsidRPr="006B6F55">
        <w:t xml:space="preserve">Source: </w:t>
      </w:r>
      <w:r>
        <w:t xml:space="preserve">Table 37, p113 of the Assessment Report and </w:t>
      </w:r>
      <w:r>
        <w:rPr>
          <w:i/>
        </w:rPr>
        <w:t>corrections made during the Critique</w:t>
      </w:r>
    </w:p>
    <w:p w14:paraId="12F8CA5E" w14:textId="4B1D37CD" w:rsidR="00260EC2" w:rsidRDefault="00EA5DEA" w:rsidP="00EA5DEA">
      <w:pPr>
        <w:pStyle w:val="Tablefootnoteslast"/>
      </w:pPr>
      <w:r>
        <w:t xml:space="preserve">Abbreviations: </w:t>
      </w:r>
      <w:r w:rsidRPr="002E301A">
        <w:rPr>
          <w:lang w:val="en-GB"/>
        </w:rPr>
        <w:t>AR-DRG</w:t>
      </w:r>
      <w:r>
        <w:rPr>
          <w:lang w:val="en-GB"/>
        </w:rPr>
        <w:t>,</w:t>
      </w:r>
      <w:r w:rsidRPr="002E301A">
        <w:rPr>
          <w:lang w:val="en-GB"/>
        </w:rPr>
        <w:t xml:space="preserve"> Australian </w:t>
      </w:r>
      <w:r>
        <w:rPr>
          <w:lang w:val="en-GB"/>
        </w:rPr>
        <w:t xml:space="preserve">Refined Diagnosis Related Group; CT, computed tomography; </w:t>
      </w:r>
      <w:r w:rsidRPr="002E301A">
        <w:rPr>
          <w:lang w:val="en-GB"/>
        </w:rPr>
        <w:t>DVA</w:t>
      </w:r>
      <w:r>
        <w:rPr>
          <w:lang w:val="en-GB"/>
        </w:rPr>
        <w:t>,</w:t>
      </w:r>
      <w:r w:rsidRPr="002E301A">
        <w:rPr>
          <w:lang w:val="en-GB"/>
        </w:rPr>
        <w:t xml:space="preserve"> Department of Veteran Affairs</w:t>
      </w:r>
      <w:r>
        <w:rPr>
          <w:lang w:val="en-GB"/>
        </w:rPr>
        <w:t xml:space="preserve">; ENT, ear, nose and throat specialist; </w:t>
      </w:r>
      <w:r w:rsidRPr="002E301A">
        <w:rPr>
          <w:lang w:val="en-GB"/>
        </w:rPr>
        <w:t>MBS</w:t>
      </w:r>
      <w:r>
        <w:rPr>
          <w:lang w:val="en-GB"/>
        </w:rPr>
        <w:t>,</w:t>
      </w:r>
      <w:r w:rsidRPr="002E301A">
        <w:rPr>
          <w:lang w:val="en-GB"/>
        </w:rPr>
        <w:t xml:space="preserve"> Medical Benefits Schedule</w:t>
      </w:r>
      <w:r>
        <w:rPr>
          <w:lang w:val="en-GB"/>
        </w:rPr>
        <w:t xml:space="preserve">; </w:t>
      </w:r>
      <w:r>
        <w:t xml:space="preserve">VSB, Vibrant </w:t>
      </w:r>
      <w:proofErr w:type="spellStart"/>
      <w:r>
        <w:t>Soundbridge</w:t>
      </w:r>
      <w:proofErr w:type="spellEnd"/>
    </w:p>
    <w:p w14:paraId="3AF2A2D1" w14:textId="77777777" w:rsidR="00260EC2" w:rsidRDefault="00260EC2">
      <w:pPr>
        <w:rPr>
          <w:rFonts w:ascii="Arial Narrow" w:hAnsi="Arial Narrow" w:cs="Arial"/>
          <w:sz w:val="18"/>
          <w:lang w:eastAsia="en-US"/>
        </w:rPr>
      </w:pPr>
      <w:r>
        <w:br w:type="page"/>
      </w:r>
    </w:p>
    <w:p w14:paraId="6D7840E7" w14:textId="77777777" w:rsidR="006A0D97" w:rsidRDefault="006A0D97" w:rsidP="006A0D97">
      <w:pPr>
        <w:pStyle w:val="Heading1"/>
        <w:numPr>
          <w:ilvl w:val="0"/>
          <w:numId w:val="23"/>
        </w:numPr>
        <w:ind w:hanging="720"/>
      </w:pPr>
      <w:r w:rsidRPr="006A0D97">
        <w:lastRenderedPageBreak/>
        <w:t>Key issues from ESC for MSAC</w:t>
      </w:r>
    </w:p>
    <w:p w14:paraId="395EC612" w14:textId="77777777" w:rsidR="006A0D97" w:rsidRDefault="006A0D97" w:rsidP="006A0D97"/>
    <w:p w14:paraId="1470B20B" w14:textId="72F46775" w:rsidR="00EA5DEA" w:rsidRPr="00894427" w:rsidRDefault="00EA5DEA" w:rsidP="00EA5DEA">
      <w:pPr>
        <w:rPr>
          <w:szCs w:val="24"/>
        </w:rPr>
      </w:pPr>
      <w:r w:rsidRPr="00975B4E">
        <w:t>ESC had no concerns with the economic model beyond some structural and calibration issues</w:t>
      </w:r>
      <w:r w:rsidR="00260EC2">
        <w:t>:</w:t>
      </w:r>
    </w:p>
    <w:p w14:paraId="020D7C94" w14:textId="077662E8" w:rsidR="003A6B2F" w:rsidRPr="00501E24" w:rsidRDefault="00EA5DEA" w:rsidP="00B104C7">
      <w:pPr>
        <w:pStyle w:val="ListParagraph"/>
        <w:numPr>
          <w:ilvl w:val="0"/>
          <w:numId w:val="29"/>
        </w:numPr>
        <w:ind w:left="709" w:hanging="283"/>
        <w:rPr>
          <w:szCs w:val="24"/>
        </w:rPr>
      </w:pPr>
      <w:r w:rsidRPr="00975B4E">
        <w:rPr>
          <w:szCs w:val="24"/>
        </w:rPr>
        <w:t xml:space="preserve">There </w:t>
      </w:r>
      <w:r w:rsidR="00260EC2">
        <w:rPr>
          <w:szCs w:val="24"/>
        </w:rPr>
        <w:t>wa</w:t>
      </w:r>
      <w:r w:rsidRPr="00975B4E">
        <w:rPr>
          <w:szCs w:val="24"/>
        </w:rPr>
        <w:t>s uncertainty about the methods for capturing quality of life impacts</w:t>
      </w:r>
      <w:r>
        <w:rPr>
          <w:szCs w:val="24"/>
        </w:rPr>
        <w:t>.</w:t>
      </w:r>
    </w:p>
    <w:p w14:paraId="41214A06" w14:textId="63BD05D7" w:rsidR="003A6B2F" w:rsidRPr="00B104C7" w:rsidRDefault="003A6B2F" w:rsidP="00B104C7">
      <w:pPr>
        <w:pStyle w:val="ListParagraph"/>
        <w:numPr>
          <w:ilvl w:val="0"/>
          <w:numId w:val="29"/>
        </w:numPr>
        <w:tabs>
          <w:tab w:val="left" w:pos="720"/>
        </w:tabs>
        <w:ind w:left="709" w:hanging="283"/>
        <w:rPr>
          <w:szCs w:val="24"/>
        </w:rPr>
      </w:pPr>
      <w:r w:rsidRPr="00B104C7">
        <w:rPr>
          <w:szCs w:val="24"/>
        </w:rPr>
        <w:t>ESC noted MSAC concerns regarding utility weights, to which the applicant, in its pre-ESC response stated that</w:t>
      </w:r>
      <w:r w:rsidRPr="003A6B2F">
        <w:rPr>
          <w:rFonts w:asciiTheme="minorHAnsi" w:eastAsiaTheme="minorEastAsia" w:hAnsi="Arial" w:cstheme="minorBidi"/>
          <w:color w:val="000000" w:themeColor="text1"/>
          <w:kern w:val="24"/>
          <w:sz w:val="40"/>
          <w:szCs w:val="40"/>
        </w:rPr>
        <w:t xml:space="preserve"> </w:t>
      </w:r>
      <w:r w:rsidRPr="00B104C7">
        <w:t xml:space="preserve">“…there are no studies that have published clinical outcomes as well as generic health-related quality of life measures.” and </w:t>
      </w:r>
      <w:r w:rsidRPr="00B104C7">
        <w:rPr>
          <w:szCs w:val="24"/>
        </w:rPr>
        <w:t>“…we cannot estimate varying utility values with different health states.</w:t>
      </w:r>
    </w:p>
    <w:p w14:paraId="66DE4526" w14:textId="659605B6" w:rsidR="003A6B2F" w:rsidRPr="00B104C7" w:rsidRDefault="003A6B2F" w:rsidP="00B104C7">
      <w:pPr>
        <w:pStyle w:val="ListParagraph"/>
        <w:numPr>
          <w:ilvl w:val="0"/>
          <w:numId w:val="29"/>
        </w:numPr>
        <w:tabs>
          <w:tab w:val="left" w:pos="720"/>
        </w:tabs>
        <w:ind w:left="709" w:hanging="283"/>
        <w:rPr>
          <w:szCs w:val="24"/>
        </w:rPr>
      </w:pPr>
      <w:r w:rsidRPr="00B104C7">
        <w:rPr>
          <w:szCs w:val="24"/>
        </w:rPr>
        <w:t>ESC noted that the time horizon had been shortened to 10 years in the resubmission, which was formerly a 20-year horizon in MSAC application 1365. ESC considered this time horizon to be more appropriate.</w:t>
      </w:r>
      <w:r w:rsidRPr="003A6B2F">
        <w:rPr>
          <w:rFonts w:asciiTheme="minorHAnsi" w:eastAsiaTheme="minorEastAsia" w:hAnsi="Arial" w:cstheme="minorBidi"/>
          <w:color w:val="000000" w:themeColor="text1"/>
          <w:kern w:val="24"/>
          <w:sz w:val="48"/>
          <w:szCs w:val="48"/>
        </w:rPr>
        <w:t xml:space="preserve"> </w:t>
      </w:r>
      <w:r w:rsidRPr="00B104C7">
        <w:rPr>
          <w:szCs w:val="24"/>
        </w:rPr>
        <w:t xml:space="preserve">However, ESC questioned the assumption of a continuous effect over such a long extrapolation period. </w:t>
      </w:r>
    </w:p>
    <w:p w14:paraId="0E23A7A3" w14:textId="4765F394" w:rsidR="003A6B2F" w:rsidRPr="003A6B2F" w:rsidRDefault="003A6B2F" w:rsidP="00B104C7">
      <w:pPr>
        <w:pStyle w:val="ListParagraph"/>
        <w:numPr>
          <w:ilvl w:val="0"/>
          <w:numId w:val="29"/>
        </w:numPr>
        <w:tabs>
          <w:tab w:val="left" w:pos="720"/>
        </w:tabs>
        <w:ind w:left="709" w:hanging="283"/>
      </w:pPr>
      <w:r w:rsidRPr="00B104C7">
        <w:rPr>
          <w:szCs w:val="24"/>
        </w:rPr>
        <w:t xml:space="preserve">ESC noted MSAC concerns regarding the inclusion of societal costs in MSAC application 1365. In the resubmission only direct health care costs were included.  </w:t>
      </w:r>
    </w:p>
    <w:p w14:paraId="08E2D0F0" w14:textId="77777777" w:rsidR="003A6B2F" w:rsidRPr="00B104C7" w:rsidRDefault="003A6B2F" w:rsidP="00260EC2">
      <w:pPr>
        <w:pStyle w:val="NoSpacing"/>
        <w:numPr>
          <w:ilvl w:val="0"/>
          <w:numId w:val="29"/>
        </w:numPr>
        <w:ind w:left="709" w:hanging="283"/>
      </w:pPr>
      <w:r w:rsidRPr="00B104C7">
        <w:t xml:space="preserve">During the economic model re-analysis comparing MEI with no treatment, the following figures were calculated.  ESC noted that they differed from the figures in the independent critique, revising health care costs, applying a discounting rate appropriately and revising utility weights given the cycle length. </w:t>
      </w:r>
    </w:p>
    <w:p w14:paraId="7516AD91" w14:textId="77777777" w:rsidR="003A6B2F" w:rsidRPr="00975B4E" w:rsidRDefault="003A6B2F" w:rsidP="00B104C7">
      <w:pPr>
        <w:pStyle w:val="ListParagraph"/>
        <w:ind w:left="426"/>
        <w:rPr>
          <w:szCs w:val="24"/>
        </w:rPr>
      </w:pPr>
    </w:p>
    <w:p w14:paraId="1EB8E766" w14:textId="77777777" w:rsidR="00BC1364" w:rsidRDefault="00BC1364" w:rsidP="007B32D1">
      <w:pPr>
        <w:pStyle w:val="Heading1"/>
        <w:numPr>
          <w:ilvl w:val="0"/>
          <w:numId w:val="23"/>
        </w:numPr>
        <w:ind w:hanging="720"/>
      </w:pPr>
      <w:r w:rsidRPr="008D5885">
        <w:t>Other significant factors</w:t>
      </w:r>
    </w:p>
    <w:p w14:paraId="3691F325" w14:textId="77777777" w:rsidR="00D90A38" w:rsidRDefault="00D90A38" w:rsidP="00DD2858">
      <w:pPr>
        <w:rPr>
          <w:szCs w:val="24"/>
        </w:rPr>
      </w:pPr>
    </w:p>
    <w:p w14:paraId="1829AA09" w14:textId="59D0B9FC" w:rsidR="00BC1364" w:rsidRPr="00B104C7" w:rsidRDefault="00BC1364" w:rsidP="00DD2858">
      <w:pPr>
        <w:rPr>
          <w:szCs w:val="24"/>
        </w:rPr>
      </w:pPr>
      <w:r w:rsidRPr="00B104C7">
        <w:rPr>
          <w:szCs w:val="24"/>
        </w:rPr>
        <w:t>Nil</w:t>
      </w:r>
      <w:r w:rsidR="00214534">
        <w:rPr>
          <w:szCs w:val="24"/>
        </w:rPr>
        <w:t>.</w:t>
      </w:r>
    </w:p>
    <w:p w14:paraId="116CDBB6" w14:textId="77777777" w:rsidR="00BC1364" w:rsidRPr="00707064" w:rsidRDefault="00BC1364" w:rsidP="00DD2858">
      <w:pPr>
        <w:tabs>
          <w:tab w:val="left" w:pos="720"/>
        </w:tabs>
        <w:ind w:left="709" w:hanging="709"/>
        <w:rPr>
          <w:szCs w:val="24"/>
        </w:rPr>
      </w:pPr>
    </w:p>
    <w:p w14:paraId="183590B0" w14:textId="77777777" w:rsidR="00BC1364" w:rsidRDefault="00BC1364" w:rsidP="007B32D1">
      <w:pPr>
        <w:pStyle w:val="Heading1"/>
        <w:numPr>
          <w:ilvl w:val="0"/>
          <w:numId w:val="23"/>
        </w:numPr>
        <w:ind w:hanging="720"/>
      </w:pPr>
      <w:r w:rsidRPr="008D5885">
        <w:t xml:space="preserve">Applicant’s comments on MSAC’s </w:t>
      </w:r>
      <w:r w:rsidR="00DA56AA">
        <w:t>Public Summary Document</w:t>
      </w:r>
    </w:p>
    <w:p w14:paraId="59FC72EC" w14:textId="77777777" w:rsidR="00BC1364" w:rsidRDefault="00BC1364" w:rsidP="00230D6B">
      <w:pPr>
        <w:tabs>
          <w:tab w:val="left" w:pos="720"/>
        </w:tabs>
        <w:ind w:left="709" w:hanging="709"/>
        <w:rPr>
          <w:b/>
          <w:szCs w:val="24"/>
        </w:rPr>
      </w:pPr>
    </w:p>
    <w:p w14:paraId="1234683F" w14:textId="77777777" w:rsidR="004053E7" w:rsidRDefault="004053E7" w:rsidP="004053E7">
      <w:pPr>
        <w:rPr>
          <w:rFonts w:cs="Arial"/>
          <w:szCs w:val="24"/>
          <w:lang w:val="en-US"/>
        </w:rPr>
      </w:pPr>
      <w:r>
        <w:rPr>
          <w:rFonts w:cs="Arial"/>
          <w:szCs w:val="24"/>
          <w:lang w:val="en-US"/>
        </w:rPr>
        <w:t>We are delighted with MSAC’s decision to support the public funding of partially implantable active middle ear implants for sensorineural hearing loss. With access to a cost-effective solution, affected individuals will now be able to participate more in society and enjoy a higher quality of life. The recommended changes to the MBS item descriptor are minor and reasonable.</w:t>
      </w:r>
    </w:p>
    <w:p w14:paraId="3B697C78" w14:textId="77777777" w:rsidR="00BC1364" w:rsidRDefault="00BC1364" w:rsidP="00230D6B">
      <w:pPr>
        <w:rPr>
          <w:b/>
          <w:szCs w:val="24"/>
        </w:rPr>
      </w:pPr>
    </w:p>
    <w:p w14:paraId="58D8D6A4" w14:textId="77777777" w:rsidR="00BC1364" w:rsidRDefault="00271F18" w:rsidP="007B32D1">
      <w:pPr>
        <w:pStyle w:val="Heading1"/>
        <w:numPr>
          <w:ilvl w:val="0"/>
          <w:numId w:val="23"/>
        </w:numPr>
        <w:ind w:hanging="720"/>
      </w:pPr>
      <w:r>
        <w:t>Further information on MSAC</w:t>
      </w:r>
    </w:p>
    <w:p w14:paraId="11AF439F" w14:textId="77777777" w:rsidR="00BC1364" w:rsidRDefault="00BC1364" w:rsidP="00DD2858">
      <w:pPr>
        <w:tabs>
          <w:tab w:val="left" w:pos="720"/>
        </w:tabs>
        <w:ind w:left="709" w:hanging="709"/>
        <w:rPr>
          <w:b/>
          <w:szCs w:val="24"/>
        </w:rPr>
      </w:pPr>
    </w:p>
    <w:p w14:paraId="0BC1EFC6" w14:textId="77777777"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2" w:tooltip="This is a link to the MSAC website" w:history="1">
        <w:r w:rsidR="00BC1364" w:rsidRPr="00DD2858">
          <w:rPr>
            <w:rStyle w:val="Hyperlink"/>
            <w:color w:val="auto"/>
            <w:szCs w:val="24"/>
          </w:rPr>
          <w:t>www.msac.gov.au</w:t>
        </w:r>
      </w:hyperlink>
      <w:r w:rsidR="00BC1364" w:rsidRPr="00DD2858">
        <w:rPr>
          <w:szCs w:val="24"/>
        </w:rPr>
        <w:t xml:space="preserve">.  </w:t>
      </w:r>
    </w:p>
    <w:sectPr w:rsidR="00BC1364" w:rsidRPr="00DD2858" w:rsidSect="00271F18">
      <w:footerReference w:type="default" r:id="rId13"/>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A8154" w14:textId="77777777" w:rsidR="00872A28" w:rsidRDefault="00872A28" w:rsidP="00065623">
      <w:r>
        <w:separator/>
      </w:r>
    </w:p>
  </w:endnote>
  <w:endnote w:type="continuationSeparator" w:id="0">
    <w:p w14:paraId="47D50951" w14:textId="77777777" w:rsidR="00872A28" w:rsidRDefault="00872A28"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255FDAB6" w14:textId="77777777" w:rsidR="005659B0" w:rsidRDefault="005659B0">
        <w:pPr>
          <w:pStyle w:val="Footer"/>
          <w:jc w:val="right"/>
        </w:pPr>
        <w:r>
          <w:fldChar w:fldCharType="begin"/>
        </w:r>
        <w:r>
          <w:instrText xml:space="preserve"> PAGE   \* MERGEFORMAT </w:instrText>
        </w:r>
        <w:r>
          <w:fldChar w:fldCharType="separate"/>
        </w:r>
        <w:r w:rsidR="00985677">
          <w:rPr>
            <w:noProof/>
          </w:rPr>
          <w:t>10</w:t>
        </w:r>
        <w:r>
          <w:rPr>
            <w:noProof/>
          </w:rPr>
          <w:fldChar w:fldCharType="end"/>
        </w:r>
      </w:p>
    </w:sdtContent>
  </w:sdt>
  <w:p w14:paraId="69563B53" w14:textId="77777777" w:rsidR="005659B0" w:rsidRDefault="005659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14209" w14:textId="77777777" w:rsidR="00872A28" w:rsidRDefault="00872A28" w:rsidP="00065623">
      <w:r>
        <w:separator/>
      </w:r>
    </w:p>
  </w:footnote>
  <w:footnote w:type="continuationSeparator" w:id="0">
    <w:p w14:paraId="2F1172BE" w14:textId="77777777" w:rsidR="00872A28" w:rsidRDefault="00872A28"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E980AE6"/>
    <w:multiLevelType w:val="hybridMultilevel"/>
    <w:tmpl w:val="998C2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D310FA6"/>
    <w:multiLevelType w:val="hybridMultilevel"/>
    <w:tmpl w:val="26142CB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2AB4282"/>
    <w:multiLevelType w:val="hybridMultilevel"/>
    <w:tmpl w:val="2F903028"/>
    <w:lvl w:ilvl="0" w:tplc="35264CFE">
      <w:start w:val="1"/>
      <w:numFmt w:val="decimal"/>
      <w:lvlText w:val="%1."/>
      <w:lvlJc w:val="left"/>
      <w:pPr>
        <w:ind w:left="1080" w:hanging="720"/>
      </w:pPr>
      <w:rPr>
        <w:rFonts w:hint="default"/>
      </w:rPr>
    </w:lvl>
    <w:lvl w:ilvl="1" w:tplc="16D68352">
      <w:start w:val="5"/>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DE272B0"/>
    <w:multiLevelType w:val="hybridMultilevel"/>
    <w:tmpl w:val="39E2F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9E2EDC"/>
    <w:multiLevelType w:val="hybridMultilevel"/>
    <w:tmpl w:val="F120F962"/>
    <w:lvl w:ilvl="0" w:tplc="16D68352">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7AB25685"/>
    <w:multiLevelType w:val="hybridMultilevel"/>
    <w:tmpl w:val="E33E73D2"/>
    <w:lvl w:ilvl="0" w:tplc="16D68352">
      <w:start w:val="5"/>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8"/>
  </w:num>
  <w:num w:numId="3">
    <w:abstractNumId w:val="1"/>
  </w:num>
  <w:num w:numId="4">
    <w:abstractNumId w:val="20"/>
  </w:num>
  <w:num w:numId="5">
    <w:abstractNumId w:val="13"/>
  </w:num>
  <w:num w:numId="6">
    <w:abstractNumId w:val="19"/>
  </w:num>
  <w:num w:numId="7">
    <w:abstractNumId w:val="23"/>
  </w:num>
  <w:num w:numId="8">
    <w:abstractNumId w:val="15"/>
  </w:num>
  <w:num w:numId="9">
    <w:abstractNumId w:val="30"/>
  </w:num>
  <w:num w:numId="10">
    <w:abstractNumId w:val="0"/>
  </w:num>
  <w:num w:numId="11">
    <w:abstractNumId w:val="22"/>
  </w:num>
  <w:num w:numId="12">
    <w:abstractNumId w:val="24"/>
  </w:num>
  <w:num w:numId="13">
    <w:abstractNumId w:val="5"/>
  </w:num>
  <w:num w:numId="14">
    <w:abstractNumId w:val="28"/>
  </w:num>
  <w:num w:numId="15">
    <w:abstractNumId w:val="21"/>
  </w:num>
  <w:num w:numId="16">
    <w:abstractNumId w:val="25"/>
  </w:num>
  <w:num w:numId="17">
    <w:abstractNumId w:val="16"/>
  </w:num>
  <w:num w:numId="18">
    <w:abstractNumId w:val="17"/>
  </w:num>
  <w:num w:numId="19">
    <w:abstractNumId w:val="27"/>
  </w:num>
  <w:num w:numId="20">
    <w:abstractNumId w:val="26"/>
  </w:num>
  <w:num w:numId="21">
    <w:abstractNumId w:val="4"/>
  </w:num>
  <w:num w:numId="22">
    <w:abstractNumId w:val="12"/>
  </w:num>
  <w:num w:numId="23">
    <w:abstractNumId w:val="3"/>
  </w:num>
  <w:num w:numId="24">
    <w:abstractNumId w:val="11"/>
  </w:num>
  <w:num w:numId="25">
    <w:abstractNumId w:val="7"/>
  </w:num>
  <w:num w:numId="26">
    <w:abstractNumId w:val="14"/>
  </w:num>
  <w:num w:numId="27">
    <w:abstractNumId w:val="8"/>
  </w:num>
  <w:num w:numId="28">
    <w:abstractNumId w:val="29"/>
  </w:num>
  <w:num w:numId="29">
    <w:abstractNumId w:val="10"/>
  </w:num>
  <w:num w:numId="30">
    <w:abstractNumId w:val="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33978"/>
    <w:rsid w:val="00040E7E"/>
    <w:rsid w:val="0004131B"/>
    <w:rsid w:val="00047606"/>
    <w:rsid w:val="00065623"/>
    <w:rsid w:val="000661A0"/>
    <w:rsid w:val="000756B9"/>
    <w:rsid w:val="00095CA8"/>
    <w:rsid w:val="00096B67"/>
    <w:rsid w:val="00096DAF"/>
    <w:rsid w:val="000C2F47"/>
    <w:rsid w:val="000D6C00"/>
    <w:rsid w:val="000E35D6"/>
    <w:rsid w:val="000E4E04"/>
    <w:rsid w:val="000F14B4"/>
    <w:rsid w:val="000F75DF"/>
    <w:rsid w:val="00104F7D"/>
    <w:rsid w:val="00107925"/>
    <w:rsid w:val="001328FA"/>
    <w:rsid w:val="00147AAF"/>
    <w:rsid w:val="00152FAA"/>
    <w:rsid w:val="001552C0"/>
    <w:rsid w:val="001640B1"/>
    <w:rsid w:val="0018065A"/>
    <w:rsid w:val="0018435E"/>
    <w:rsid w:val="002041A1"/>
    <w:rsid w:val="002054F0"/>
    <w:rsid w:val="00214534"/>
    <w:rsid w:val="00230D6B"/>
    <w:rsid w:val="00232068"/>
    <w:rsid w:val="002330F2"/>
    <w:rsid w:val="00237ED0"/>
    <w:rsid w:val="00243D9E"/>
    <w:rsid w:val="00253B66"/>
    <w:rsid w:val="00260EC2"/>
    <w:rsid w:val="00261DF1"/>
    <w:rsid w:val="00271F18"/>
    <w:rsid w:val="00282779"/>
    <w:rsid w:val="0028334D"/>
    <w:rsid w:val="002B7FFA"/>
    <w:rsid w:val="002C2BCF"/>
    <w:rsid w:val="002F279D"/>
    <w:rsid w:val="002F43B8"/>
    <w:rsid w:val="00336856"/>
    <w:rsid w:val="0034554D"/>
    <w:rsid w:val="00352224"/>
    <w:rsid w:val="003671E6"/>
    <w:rsid w:val="00384272"/>
    <w:rsid w:val="00386D67"/>
    <w:rsid w:val="003945B8"/>
    <w:rsid w:val="003A6B2F"/>
    <w:rsid w:val="003D7F29"/>
    <w:rsid w:val="004053E7"/>
    <w:rsid w:val="0040556D"/>
    <w:rsid w:val="00405A6B"/>
    <w:rsid w:val="00407B1F"/>
    <w:rsid w:val="00413A9F"/>
    <w:rsid w:val="00414C57"/>
    <w:rsid w:val="0041758C"/>
    <w:rsid w:val="004539DE"/>
    <w:rsid w:val="004A2B03"/>
    <w:rsid w:val="004A2CF1"/>
    <w:rsid w:val="004C1DC0"/>
    <w:rsid w:val="004C3035"/>
    <w:rsid w:val="004C307F"/>
    <w:rsid w:val="004E4BA8"/>
    <w:rsid w:val="004E58C6"/>
    <w:rsid w:val="004E63F5"/>
    <w:rsid w:val="004F340F"/>
    <w:rsid w:val="004F7B7C"/>
    <w:rsid w:val="00501E24"/>
    <w:rsid w:val="00505D0E"/>
    <w:rsid w:val="00513A3E"/>
    <w:rsid w:val="0052243D"/>
    <w:rsid w:val="00532435"/>
    <w:rsid w:val="00550354"/>
    <w:rsid w:val="00554C8D"/>
    <w:rsid w:val="005659B0"/>
    <w:rsid w:val="00571236"/>
    <w:rsid w:val="0059283C"/>
    <w:rsid w:val="005953A1"/>
    <w:rsid w:val="005A3D47"/>
    <w:rsid w:val="005B60BB"/>
    <w:rsid w:val="005D0332"/>
    <w:rsid w:val="005D0D8C"/>
    <w:rsid w:val="005D470C"/>
    <w:rsid w:val="005F391A"/>
    <w:rsid w:val="00653E18"/>
    <w:rsid w:val="006776AE"/>
    <w:rsid w:val="00696FB0"/>
    <w:rsid w:val="006A0D97"/>
    <w:rsid w:val="006B1F86"/>
    <w:rsid w:val="006C0A91"/>
    <w:rsid w:val="007054BB"/>
    <w:rsid w:val="00707064"/>
    <w:rsid w:val="00730683"/>
    <w:rsid w:val="0075261F"/>
    <w:rsid w:val="0075468E"/>
    <w:rsid w:val="007665D8"/>
    <w:rsid w:val="00766E36"/>
    <w:rsid w:val="00770183"/>
    <w:rsid w:val="007765F4"/>
    <w:rsid w:val="00776633"/>
    <w:rsid w:val="00784D53"/>
    <w:rsid w:val="00797797"/>
    <w:rsid w:val="007A0BB5"/>
    <w:rsid w:val="007A5A3F"/>
    <w:rsid w:val="007A63C9"/>
    <w:rsid w:val="007B0FF1"/>
    <w:rsid w:val="007B32D1"/>
    <w:rsid w:val="007B7095"/>
    <w:rsid w:val="007C0A78"/>
    <w:rsid w:val="007D24E1"/>
    <w:rsid w:val="007F4CE9"/>
    <w:rsid w:val="007F4E20"/>
    <w:rsid w:val="00822C7E"/>
    <w:rsid w:val="00847060"/>
    <w:rsid w:val="00856A33"/>
    <w:rsid w:val="00872A28"/>
    <w:rsid w:val="00892620"/>
    <w:rsid w:val="008A5650"/>
    <w:rsid w:val="008C7D37"/>
    <w:rsid w:val="008D5885"/>
    <w:rsid w:val="00923FA2"/>
    <w:rsid w:val="00937ABD"/>
    <w:rsid w:val="0096060D"/>
    <w:rsid w:val="00974A50"/>
    <w:rsid w:val="0097585A"/>
    <w:rsid w:val="00985677"/>
    <w:rsid w:val="00990609"/>
    <w:rsid w:val="0099198F"/>
    <w:rsid w:val="009924B0"/>
    <w:rsid w:val="009942C9"/>
    <w:rsid w:val="009B35C4"/>
    <w:rsid w:val="009C1976"/>
    <w:rsid w:val="009C630A"/>
    <w:rsid w:val="009D3C13"/>
    <w:rsid w:val="009D40FE"/>
    <w:rsid w:val="009E0D98"/>
    <w:rsid w:val="00A068A1"/>
    <w:rsid w:val="00A1207D"/>
    <w:rsid w:val="00A12FD8"/>
    <w:rsid w:val="00A346FC"/>
    <w:rsid w:val="00A40DF9"/>
    <w:rsid w:val="00A84F93"/>
    <w:rsid w:val="00AB1AC5"/>
    <w:rsid w:val="00AB3BFC"/>
    <w:rsid w:val="00AC4F2E"/>
    <w:rsid w:val="00AD0C37"/>
    <w:rsid w:val="00AD254C"/>
    <w:rsid w:val="00AD385F"/>
    <w:rsid w:val="00AE6E2A"/>
    <w:rsid w:val="00AF4A23"/>
    <w:rsid w:val="00B104C7"/>
    <w:rsid w:val="00B30C6F"/>
    <w:rsid w:val="00B31E9C"/>
    <w:rsid w:val="00B35595"/>
    <w:rsid w:val="00B46ED8"/>
    <w:rsid w:val="00B51C6D"/>
    <w:rsid w:val="00B86D64"/>
    <w:rsid w:val="00B91594"/>
    <w:rsid w:val="00BA4AC5"/>
    <w:rsid w:val="00BC1364"/>
    <w:rsid w:val="00BC7DE9"/>
    <w:rsid w:val="00BF479B"/>
    <w:rsid w:val="00C02577"/>
    <w:rsid w:val="00C204FB"/>
    <w:rsid w:val="00C20BEE"/>
    <w:rsid w:val="00C2158D"/>
    <w:rsid w:val="00C330C4"/>
    <w:rsid w:val="00C532AB"/>
    <w:rsid w:val="00C67DD2"/>
    <w:rsid w:val="00C725CB"/>
    <w:rsid w:val="00C76F5C"/>
    <w:rsid w:val="00C956E2"/>
    <w:rsid w:val="00C96BAD"/>
    <w:rsid w:val="00CA6944"/>
    <w:rsid w:val="00CB0F8E"/>
    <w:rsid w:val="00CB7E7D"/>
    <w:rsid w:val="00CC2911"/>
    <w:rsid w:val="00CE7201"/>
    <w:rsid w:val="00CF0C6D"/>
    <w:rsid w:val="00CF7307"/>
    <w:rsid w:val="00CF7C68"/>
    <w:rsid w:val="00D124FA"/>
    <w:rsid w:val="00D13724"/>
    <w:rsid w:val="00D264FB"/>
    <w:rsid w:val="00D340DE"/>
    <w:rsid w:val="00D47637"/>
    <w:rsid w:val="00D55723"/>
    <w:rsid w:val="00D62FAD"/>
    <w:rsid w:val="00D70450"/>
    <w:rsid w:val="00D83BFD"/>
    <w:rsid w:val="00D90A38"/>
    <w:rsid w:val="00DA0515"/>
    <w:rsid w:val="00DA171E"/>
    <w:rsid w:val="00DA56AA"/>
    <w:rsid w:val="00DB5833"/>
    <w:rsid w:val="00DD2858"/>
    <w:rsid w:val="00DD2B2C"/>
    <w:rsid w:val="00E03E33"/>
    <w:rsid w:val="00E3642A"/>
    <w:rsid w:val="00E415C4"/>
    <w:rsid w:val="00E453B8"/>
    <w:rsid w:val="00E50016"/>
    <w:rsid w:val="00E50EAA"/>
    <w:rsid w:val="00E656D6"/>
    <w:rsid w:val="00E83AC5"/>
    <w:rsid w:val="00E87A5A"/>
    <w:rsid w:val="00E977EE"/>
    <w:rsid w:val="00EA5DEA"/>
    <w:rsid w:val="00EA67A2"/>
    <w:rsid w:val="00EC4F98"/>
    <w:rsid w:val="00ED7913"/>
    <w:rsid w:val="00F06E33"/>
    <w:rsid w:val="00F12F02"/>
    <w:rsid w:val="00F30D35"/>
    <w:rsid w:val="00F32E0D"/>
    <w:rsid w:val="00F35134"/>
    <w:rsid w:val="00F41812"/>
    <w:rsid w:val="00F73333"/>
    <w:rsid w:val="00F95D8F"/>
    <w:rsid w:val="00FB11A5"/>
    <w:rsid w:val="00FB350A"/>
    <w:rsid w:val="00FE73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28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qFormat="1"/>
    <w:lsdException w:name="caption" w:locked="1"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qFormat/>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customStyle="1" w:styleId="Tabletext">
    <w:name w:val="Table text"/>
    <w:basedOn w:val="Normal"/>
    <w:link w:val="TabletextChar"/>
    <w:qFormat/>
    <w:rsid w:val="00EA5DEA"/>
    <w:pPr>
      <w:keepNext/>
      <w:spacing w:before="60" w:after="40"/>
    </w:pPr>
    <w:rPr>
      <w:rFonts w:ascii="Arial Narrow" w:hAnsi="Arial Narrow"/>
      <w:sz w:val="20"/>
      <w:lang w:eastAsia="en-US"/>
    </w:rPr>
  </w:style>
  <w:style w:type="character" w:customStyle="1" w:styleId="TabletextChar">
    <w:name w:val="Table text Char"/>
    <w:link w:val="Tabletext"/>
    <w:rsid w:val="00EA5DEA"/>
    <w:rPr>
      <w:rFonts w:ascii="Arial Narrow" w:eastAsia="Times New Roman" w:hAnsi="Arial Narrow"/>
      <w:sz w:val="20"/>
      <w:szCs w:val="20"/>
      <w:lang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99"/>
    <w:unhideWhenUsed/>
    <w:qFormat/>
    <w:locked/>
    <w:rsid w:val="00EA5DEA"/>
    <w:pPr>
      <w:spacing w:after="200"/>
    </w:pPr>
    <w:rPr>
      <w:b/>
      <w:bCs/>
      <w:color w:val="4F81BD" w:themeColor="accent1"/>
      <w:sz w:val="18"/>
      <w:szCs w:val="18"/>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uiPriority w:val="99"/>
    <w:rsid w:val="00EA5DEA"/>
    <w:rPr>
      <w:rFonts w:eastAsia="Times New Roman"/>
      <w:b/>
      <w:bCs/>
      <w:color w:val="4F81BD" w:themeColor="accent1"/>
      <w:sz w:val="18"/>
      <w:szCs w:val="18"/>
    </w:rPr>
  </w:style>
  <w:style w:type="paragraph" w:customStyle="1" w:styleId="BodyText1">
    <w:name w:val="Body Text1"/>
    <w:qFormat/>
    <w:rsid w:val="00EA5DEA"/>
    <w:pPr>
      <w:spacing w:before="180"/>
      <w:jc w:val="both"/>
    </w:pPr>
    <w:rPr>
      <w:rFonts w:ascii="Garamond" w:eastAsia="Times New Roman" w:hAnsi="Garamond"/>
      <w:sz w:val="24"/>
      <w:szCs w:val="24"/>
      <w:lang w:eastAsia="en-US"/>
    </w:rPr>
  </w:style>
  <w:style w:type="paragraph" w:customStyle="1" w:styleId="StyleExecSumm">
    <w:name w:val="Style ExecSumm"/>
    <w:basedOn w:val="Normal"/>
    <w:qFormat/>
    <w:rsid w:val="00EA5DEA"/>
    <w:pPr>
      <w:spacing w:line="288" w:lineRule="auto"/>
      <w:jc w:val="both"/>
    </w:pPr>
    <w:rPr>
      <w:rFonts w:ascii="Arial" w:hAnsi="Arial"/>
      <w:sz w:val="22"/>
      <w:szCs w:val="22"/>
    </w:rPr>
  </w:style>
  <w:style w:type="paragraph" w:styleId="NoSpacing">
    <w:name w:val="No Spacing"/>
    <w:aliases w:val="ExecSumm"/>
    <w:qFormat/>
    <w:rsid w:val="00EA5DEA"/>
    <w:rPr>
      <w:rFonts w:eastAsia="Times New Roman"/>
      <w:sz w:val="24"/>
      <w:szCs w:val="24"/>
      <w:lang w:eastAsia="en-US"/>
    </w:rPr>
  </w:style>
  <w:style w:type="character" w:styleId="IntenseReference">
    <w:name w:val="Intense Reference"/>
    <w:basedOn w:val="DefaultParagraphFont"/>
    <w:uiPriority w:val="32"/>
    <w:qFormat/>
    <w:rsid w:val="00EA5DEA"/>
    <w:rPr>
      <w:b/>
      <w:bCs/>
      <w:i/>
      <w:smallCaps/>
      <w:color w:val="C0504D" w:themeColor="accent2"/>
      <w:spacing w:val="5"/>
      <w:u w:val="none"/>
    </w:rPr>
  </w:style>
  <w:style w:type="paragraph" w:customStyle="1" w:styleId="Tablefootnotes">
    <w:name w:val="Table footnotes"/>
    <w:basedOn w:val="Normal"/>
    <w:link w:val="TablefootnotesChar"/>
    <w:qFormat/>
    <w:rsid w:val="00EA5DEA"/>
    <w:pPr>
      <w:keepNext/>
      <w:keepLines/>
      <w:jc w:val="both"/>
    </w:pPr>
    <w:rPr>
      <w:rFonts w:ascii="Arial Narrow" w:hAnsi="Arial Narrow" w:cs="Arial"/>
      <w:sz w:val="18"/>
      <w:lang w:eastAsia="en-US"/>
    </w:rPr>
  </w:style>
  <w:style w:type="character" w:customStyle="1" w:styleId="TablefootnotesChar">
    <w:name w:val="Table footnotes Char"/>
    <w:basedOn w:val="DefaultParagraphFont"/>
    <w:link w:val="Tablefootnotes"/>
    <w:rsid w:val="00EA5DEA"/>
    <w:rPr>
      <w:rFonts w:ascii="Arial Narrow" w:eastAsia="Times New Roman" w:hAnsi="Arial Narrow" w:cs="Arial"/>
      <w:sz w:val="18"/>
      <w:szCs w:val="20"/>
      <w:lang w:eastAsia="en-US"/>
    </w:rPr>
  </w:style>
  <w:style w:type="paragraph" w:customStyle="1" w:styleId="Tablefootnoteslast">
    <w:name w:val="Table footnotes last"/>
    <w:basedOn w:val="Tablefootnotes"/>
    <w:next w:val="BodyText1"/>
    <w:link w:val="TablefootnoteslastChar"/>
    <w:qFormat/>
    <w:rsid w:val="00EA5DEA"/>
    <w:pPr>
      <w:keepNext w:val="0"/>
      <w:keepLines w:val="0"/>
      <w:spacing w:after="240"/>
    </w:pPr>
  </w:style>
  <w:style w:type="character" w:customStyle="1" w:styleId="TablefootnoteslastChar">
    <w:name w:val="Table footnotes last Char"/>
    <w:basedOn w:val="TablefootnotesChar"/>
    <w:link w:val="Tablefootnoteslast"/>
    <w:rsid w:val="00EA5DEA"/>
    <w:rPr>
      <w:rFonts w:ascii="Arial Narrow" w:eastAsia="Times New Roman" w:hAnsi="Arial Narrow" w:cs="Arial"/>
      <w:sz w:val="18"/>
      <w:szCs w:val="20"/>
      <w:lang w:eastAsia="en-US"/>
    </w:rPr>
  </w:style>
  <w:style w:type="character" w:customStyle="1" w:styleId="ListParagraphChar">
    <w:name w:val="List Paragraph Char"/>
    <w:link w:val="ListParagraph"/>
    <w:uiPriority w:val="34"/>
    <w:rsid w:val="00B46ED8"/>
    <w:rPr>
      <w:rFonts w:eastAsia="Times New Roman"/>
      <w:sz w:val="24"/>
      <w:szCs w:val="20"/>
    </w:rPr>
  </w:style>
  <w:style w:type="character" w:styleId="Emphasis">
    <w:name w:val="Emphasis"/>
    <w:uiPriority w:val="20"/>
    <w:qFormat/>
    <w:locked/>
    <w:rsid w:val="008A5650"/>
    <w:rPr>
      <w:rFonts w:ascii="Garamond" w:hAnsi="Garamond"/>
      <w:i/>
      <w:color w:val="auto"/>
      <w:sz w:val="24"/>
    </w:rPr>
  </w:style>
  <w:style w:type="paragraph" w:styleId="TOC3">
    <w:name w:val="toc 3"/>
    <w:basedOn w:val="Normal"/>
    <w:next w:val="Normal"/>
    <w:autoRedefine/>
    <w:uiPriority w:val="39"/>
    <w:unhideWhenUsed/>
    <w:locked/>
    <w:rsid w:val="009C1976"/>
    <w:pPr>
      <w:spacing w:after="100"/>
      <w:ind w:left="440"/>
      <w:jc w:val="both"/>
    </w:pPr>
    <w:rPr>
      <w:rFonts w:ascii="Garamond" w:hAnsi="Garamond"/>
      <w:szCs w:val="24"/>
      <w:lang w:eastAsia="en-US"/>
    </w:rPr>
  </w:style>
  <w:style w:type="paragraph" w:customStyle="1" w:styleId="Tablecaption">
    <w:name w:val="Table caption"/>
    <w:basedOn w:val="Caption"/>
    <w:rsid w:val="005659B0"/>
    <w:pPr>
      <w:keepNext/>
      <w:spacing w:before="120" w:after="120"/>
      <w:ind w:left="1077" w:hanging="1077"/>
    </w:pPr>
    <w:rPr>
      <w:rFonts w:ascii="Gill Sans MT" w:hAnsi="Gill Sans MT"/>
      <w:color w:val="auto"/>
      <w:sz w:val="20"/>
      <w:szCs w:val="20"/>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qFormat="1"/>
    <w:lsdException w:name="caption" w:locked="1"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qFormat/>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customStyle="1" w:styleId="Tabletext">
    <w:name w:val="Table text"/>
    <w:basedOn w:val="Normal"/>
    <w:link w:val="TabletextChar"/>
    <w:qFormat/>
    <w:rsid w:val="00EA5DEA"/>
    <w:pPr>
      <w:keepNext/>
      <w:spacing w:before="60" w:after="40"/>
    </w:pPr>
    <w:rPr>
      <w:rFonts w:ascii="Arial Narrow" w:hAnsi="Arial Narrow"/>
      <w:sz w:val="20"/>
      <w:lang w:eastAsia="en-US"/>
    </w:rPr>
  </w:style>
  <w:style w:type="character" w:customStyle="1" w:styleId="TabletextChar">
    <w:name w:val="Table text Char"/>
    <w:link w:val="Tabletext"/>
    <w:rsid w:val="00EA5DEA"/>
    <w:rPr>
      <w:rFonts w:ascii="Arial Narrow" w:eastAsia="Times New Roman" w:hAnsi="Arial Narrow"/>
      <w:sz w:val="20"/>
      <w:szCs w:val="20"/>
      <w:lang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99"/>
    <w:unhideWhenUsed/>
    <w:qFormat/>
    <w:locked/>
    <w:rsid w:val="00EA5DEA"/>
    <w:pPr>
      <w:spacing w:after="200"/>
    </w:pPr>
    <w:rPr>
      <w:b/>
      <w:bCs/>
      <w:color w:val="4F81BD" w:themeColor="accent1"/>
      <w:sz w:val="18"/>
      <w:szCs w:val="18"/>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uiPriority w:val="99"/>
    <w:rsid w:val="00EA5DEA"/>
    <w:rPr>
      <w:rFonts w:eastAsia="Times New Roman"/>
      <w:b/>
      <w:bCs/>
      <w:color w:val="4F81BD" w:themeColor="accent1"/>
      <w:sz w:val="18"/>
      <w:szCs w:val="18"/>
    </w:rPr>
  </w:style>
  <w:style w:type="paragraph" w:customStyle="1" w:styleId="BodyText1">
    <w:name w:val="Body Text1"/>
    <w:qFormat/>
    <w:rsid w:val="00EA5DEA"/>
    <w:pPr>
      <w:spacing w:before="180"/>
      <w:jc w:val="both"/>
    </w:pPr>
    <w:rPr>
      <w:rFonts w:ascii="Garamond" w:eastAsia="Times New Roman" w:hAnsi="Garamond"/>
      <w:sz w:val="24"/>
      <w:szCs w:val="24"/>
      <w:lang w:eastAsia="en-US"/>
    </w:rPr>
  </w:style>
  <w:style w:type="paragraph" w:customStyle="1" w:styleId="StyleExecSumm">
    <w:name w:val="Style ExecSumm"/>
    <w:basedOn w:val="Normal"/>
    <w:qFormat/>
    <w:rsid w:val="00EA5DEA"/>
    <w:pPr>
      <w:spacing w:line="288" w:lineRule="auto"/>
      <w:jc w:val="both"/>
    </w:pPr>
    <w:rPr>
      <w:rFonts w:ascii="Arial" w:hAnsi="Arial"/>
      <w:sz w:val="22"/>
      <w:szCs w:val="22"/>
    </w:rPr>
  </w:style>
  <w:style w:type="paragraph" w:styleId="NoSpacing">
    <w:name w:val="No Spacing"/>
    <w:aliases w:val="ExecSumm"/>
    <w:qFormat/>
    <w:rsid w:val="00EA5DEA"/>
    <w:rPr>
      <w:rFonts w:eastAsia="Times New Roman"/>
      <w:sz w:val="24"/>
      <w:szCs w:val="24"/>
      <w:lang w:eastAsia="en-US"/>
    </w:rPr>
  </w:style>
  <w:style w:type="character" w:styleId="IntenseReference">
    <w:name w:val="Intense Reference"/>
    <w:basedOn w:val="DefaultParagraphFont"/>
    <w:uiPriority w:val="32"/>
    <w:qFormat/>
    <w:rsid w:val="00EA5DEA"/>
    <w:rPr>
      <w:b/>
      <w:bCs/>
      <w:i/>
      <w:smallCaps/>
      <w:color w:val="C0504D" w:themeColor="accent2"/>
      <w:spacing w:val="5"/>
      <w:u w:val="none"/>
    </w:rPr>
  </w:style>
  <w:style w:type="paragraph" w:customStyle="1" w:styleId="Tablefootnotes">
    <w:name w:val="Table footnotes"/>
    <w:basedOn w:val="Normal"/>
    <w:link w:val="TablefootnotesChar"/>
    <w:qFormat/>
    <w:rsid w:val="00EA5DEA"/>
    <w:pPr>
      <w:keepNext/>
      <w:keepLines/>
      <w:jc w:val="both"/>
    </w:pPr>
    <w:rPr>
      <w:rFonts w:ascii="Arial Narrow" w:hAnsi="Arial Narrow" w:cs="Arial"/>
      <w:sz w:val="18"/>
      <w:lang w:eastAsia="en-US"/>
    </w:rPr>
  </w:style>
  <w:style w:type="character" w:customStyle="1" w:styleId="TablefootnotesChar">
    <w:name w:val="Table footnotes Char"/>
    <w:basedOn w:val="DefaultParagraphFont"/>
    <w:link w:val="Tablefootnotes"/>
    <w:rsid w:val="00EA5DEA"/>
    <w:rPr>
      <w:rFonts w:ascii="Arial Narrow" w:eastAsia="Times New Roman" w:hAnsi="Arial Narrow" w:cs="Arial"/>
      <w:sz w:val="18"/>
      <w:szCs w:val="20"/>
      <w:lang w:eastAsia="en-US"/>
    </w:rPr>
  </w:style>
  <w:style w:type="paragraph" w:customStyle="1" w:styleId="Tablefootnoteslast">
    <w:name w:val="Table footnotes last"/>
    <w:basedOn w:val="Tablefootnotes"/>
    <w:next w:val="BodyText1"/>
    <w:link w:val="TablefootnoteslastChar"/>
    <w:qFormat/>
    <w:rsid w:val="00EA5DEA"/>
    <w:pPr>
      <w:keepNext w:val="0"/>
      <w:keepLines w:val="0"/>
      <w:spacing w:after="240"/>
    </w:pPr>
  </w:style>
  <w:style w:type="character" w:customStyle="1" w:styleId="TablefootnoteslastChar">
    <w:name w:val="Table footnotes last Char"/>
    <w:basedOn w:val="TablefootnotesChar"/>
    <w:link w:val="Tablefootnoteslast"/>
    <w:rsid w:val="00EA5DEA"/>
    <w:rPr>
      <w:rFonts w:ascii="Arial Narrow" w:eastAsia="Times New Roman" w:hAnsi="Arial Narrow" w:cs="Arial"/>
      <w:sz w:val="18"/>
      <w:szCs w:val="20"/>
      <w:lang w:eastAsia="en-US"/>
    </w:rPr>
  </w:style>
  <w:style w:type="character" w:customStyle="1" w:styleId="ListParagraphChar">
    <w:name w:val="List Paragraph Char"/>
    <w:link w:val="ListParagraph"/>
    <w:uiPriority w:val="34"/>
    <w:rsid w:val="00B46ED8"/>
    <w:rPr>
      <w:rFonts w:eastAsia="Times New Roman"/>
      <w:sz w:val="24"/>
      <w:szCs w:val="20"/>
    </w:rPr>
  </w:style>
  <w:style w:type="character" w:styleId="Emphasis">
    <w:name w:val="Emphasis"/>
    <w:uiPriority w:val="20"/>
    <w:qFormat/>
    <w:locked/>
    <w:rsid w:val="008A5650"/>
    <w:rPr>
      <w:rFonts w:ascii="Garamond" w:hAnsi="Garamond"/>
      <w:i/>
      <w:color w:val="auto"/>
      <w:sz w:val="24"/>
    </w:rPr>
  </w:style>
  <w:style w:type="paragraph" w:styleId="TOC3">
    <w:name w:val="toc 3"/>
    <w:basedOn w:val="Normal"/>
    <w:next w:val="Normal"/>
    <w:autoRedefine/>
    <w:uiPriority w:val="39"/>
    <w:unhideWhenUsed/>
    <w:locked/>
    <w:rsid w:val="009C1976"/>
    <w:pPr>
      <w:spacing w:after="100"/>
      <w:ind w:left="440"/>
      <w:jc w:val="both"/>
    </w:pPr>
    <w:rPr>
      <w:rFonts w:ascii="Garamond" w:hAnsi="Garamond"/>
      <w:szCs w:val="24"/>
      <w:lang w:eastAsia="en-US"/>
    </w:rPr>
  </w:style>
  <w:style w:type="paragraph" w:customStyle="1" w:styleId="Tablecaption">
    <w:name w:val="Table caption"/>
    <w:basedOn w:val="Caption"/>
    <w:rsid w:val="005659B0"/>
    <w:pPr>
      <w:keepNext/>
      <w:spacing w:before="120" w:after="120"/>
      <w:ind w:left="1077" w:hanging="1077"/>
    </w:pPr>
    <w:rPr>
      <w:rFonts w:ascii="Gill Sans MT" w:hAnsi="Gill Sans MT"/>
      <w:color w:val="auto"/>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sa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sac.gov.au/internet/msac/publishing.nsf/Content/1365-public"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3140</Words>
  <Characters>17903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Valenzuela Marcela</cp:lastModifiedBy>
  <cp:revision>3</cp:revision>
  <cp:lastPrinted>2016-05-03T23:41:00Z</cp:lastPrinted>
  <dcterms:created xsi:type="dcterms:W3CDTF">2016-06-07T05:11:00Z</dcterms:created>
  <dcterms:modified xsi:type="dcterms:W3CDTF">2016-06-07T05:12:00Z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