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EFE8" w14:textId="2E43A279" w:rsidR="000C4977" w:rsidRPr="000C4977" w:rsidRDefault="00851397" w:rsidP="000C4977">
      <w:pPr>
        <w:spacing w:after="240" w:line="259" w:lineRule="auto"/>
        <w:jc w:val="center"/>
        <w:rPr>
          <w:b/>
          <w:i/>
          <w:szCs w:val="24"/>
          <w:highlight w:val="yellow"/>
        </w:rPr>
      </w:pPr>
      <w:bookmarkStart w:id="0" w:name="_Toc22897637"/>
      <w:bookmarkStart w:id="1" w:name="_Toc22898843"/>
      <w:r>
        <w:rPr>
          <w:noProof/>
        </w:rPr>
        <w:drawing>
          <wp:inline distT="0" distB="0" distL="0" distR="0" wp14:anchorId="73BCC755" wp14:editId="2C38093F">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2932C8D" w14:textId="542575E4" w:rsidR="00851397" w:rsidRPr="009229B2" w:rsidRDefault="00851397" w:rsidP="00851397">
      <w:pPr>
        <w:pStyle w:val="Subtitle"/>
        <w:spacing w:before="480"/>
        <w:rPr>
          <w:rFonts w:eastAsiaTheme="majorEastAsia"/>
          <w:i w:val="0"/>
          <w:iCs/>
          <w:sz w:val="36"/>
          <w:szCs w:val="36"/>
        </w:rPr>
      </w:pPr>
      <w:r w:rsidRPr="009229B2">
        <w:rPr>
          <w:rFonts w:eastAsiaTheme="majorEastAsia"/>
          <w:bCs w:val="0"/>
          <w:i w:val="0"/>
          <w:iCs/>
          <w:sz w:val="36"/>
          <w:szCs w:val="36"/>
        </w:rPr>
        <w:t>Public Summary Document</w:t>
      </w:r>
    </w:p>
    <w:p w14:paraId="5A38F1B7" w14:textId="4ADC94B6" w:rsidR="000C4977" w:rsidRPr="000C4977" w:rsidRDefault="000C4977" w:rsidP="00F90CC4">
      <w:pPr>
        <w:spacing w:after="240" w:line="259" w:lineRule="auto"/>
        <w:jc w:val="center"/>
        <w:rPr>
          <w:rFonts w:ascii="Arial" w:eastAsia="Times New Roman" w:hAnsi="Arial" w:cs="Arial"/>
          <w:b/>
          <w:bCs/>
          <w:i/>
          <w:color w:val="000080"/>
          <w:sz w:val="28"/>
          <w:szCs w:val="28"/>
          <w:lang w:eastAsia="en-AU"/>
        </w:rPr>
      </w:pPr>
      <w:r w:rsidRPr="000C4977">
        <w:rPr>
          <w:rFonts w:ascii="Arial" w:eastAsia="Times New Roman" w:hAnsi="Arial" w:cs="Arial"/>
          <w:b/>
          <w:bCs/>
          <w:i/>
          <w:color w:val="000080"/>
          <w:sz w:val="28"/>
          <w:szCs w:val="28"/>
          <w:lang w:eastAsia="en-AU"/>
        </w:rPr>
        <w:t>Application No. 1658</w:t>
      </w:r>
      <w:r w:rsidR="00F90CC4">
        <w:rPr>
          <w:rFonts w:ascii="Arial" w:eastAsia="Times New Roman" w:hAnsi="Arial" w:cs="Arial"/>
          <w:b/>
          <w:bCs/>
          <w:i/>
          <w:color w:val="000080"/>
          <w:sz w:val="28"/>
          <w:szCs w:val="28"/>
          <w:lang w:eastAsia="en-AU"/>
        </w:rPr>
        <w:t xml:space="preserve"> </w:t>
      </w:r>
      <w:r w:rsidRPr="000C4977">
        <w:rPr>
          <w:rFonts w:ascii="Arial" w:eastAsia="Times New Roman" w:hAnsi="Arial" w:cs="Arial"/>
          <w:b/>
          <w:bCs/>
          <w:i/>
          <w:color w:val="000080"/>
          <w:sz w:val="28"/>
          <w:szCs w:val="28"/>
          <w:lang w:eastAsia="en-AU"/>
        </w:rPr>
        <w:t xml:space="preserve">– Testing of tumour tissue to determine a positive homologous recombination deficiency (HRD) status in women newly diagnosed with advanced (FIGO stage III-IV) high grade epithelial ovarian, fallopian tube or primary peritoneal cancer for access to PBS </w:t>
      </w:r>
      <w:proofErr w:type="spellStart"/>
      <w:r w:rsidRPr="000C4977">
        <w:rPr>
          <w:rFonts w:ascii="Arial" w:eastAsia="Times New Roman" w:hAnsi="Arial" w:cs="Arial"/>
          <w:b/>
          <w:bCs/>
          <w:i/>
          <w:color w:val="000080"/>
          <w:sz w:val="28"/>
          <w:szCs w:val="28"/>
          <w:lang w:eastAsia="en-AU"/>
        </w:rPr>
        <w:t>olaparib</w:t>
      </w:r>
      <w:proofErr w:type="spellEnd"/>
    </w:p>
    <w:p w14:paraId="559DD3EB" w14:textId="72BAD334" w:rsidR="000C4977" w:rsidRPr="000C4977" w:rsidRDefault="000C4977" w:rsidP="000C4977">
      <w:pPr>
        <w:tabs>
          <w:tab w:val="left" w:pos="3686"/>
        </w:tabs>
        <w:spacing w:after="240" w:line="259" w:lineRule="auto"/>
        <w:jc w:val="left"/>
        <w:rPr>
          <w:rFonts w:ascii="Arial" w:hAnsi="Arial" w:cs="Arial"/>
          <w:b/>
          <w:szCs w:val="24"/>
        </w:rPr>
      </w:pPr>
      <w:r w:rsidRPr="000C4977">
        <w:rPr>
          <w:rFonts w:ascii="Arial" w:hAnsi="Arial" w:cs="Arial"/>
          <w:b/>
          <w:szCs w:val="24"/>
        </w:rPr>
        <w:t>Applicant:</w:t>
      </w:r>
      <w:r w:rsidRPr="000C4977">
        <w:rPr>
          <w:rFonts w:ascii="Arial" w:hAnsi="Arial" w:cs="Arial"/>
          <w:b/>
          <w:szCs w:val="24"/>
        </w:rPr>
        <w:tab/>
        <w:t>AstraZeneca Pty Limited</w:t>
      </w:r>
    </w:p>
    <w:p w14:paraId="22D7C16E" w14:textId="247914CF" w:rsidR="000C4977" w:rsidRDefault="000C4977" w:rsidP="000C4977">
      <w:pPr>
        <w:tabs>
          <w:tab w:val="left" w:pos="3686"/>
        </w:tabs>
        <w:spacing w:after="360" w:line="259" w:lineRule="auto"/>
        <w:jc w:val="left"/>
        <w:rPr>
          <w:rFonts w:ascii="Arial" w:hAnsi="Arial" w:cs="Arial"/>
          <w:b/>
          <w:szCs w:val="24"/>
        </w:rPr>
      </w:pPr>
      <w:r w:rsidRPr="000C4977">
        <w:rPr>
          <w:rFonts w:ascii="Arial" w:hAnsi="Arial" w:cs="Arial"/>
          <w:b/>
          <w:szCs w:val="24"/>
        </w:rPr>
        <w:t>Date of MSAC consideration:</w:t>
      </w:r>
      <w:r w:rsidRPr="000C4977">
        <w:rPr>
          <w:rFonts w:ascii="Arial" w:hAnsi="Arial" w:cs="Arial"/>
          <w:b/>
          <w:szCs w:val="24"/>
        </w:rPr>
        <w:tab/>
        <w:t>28-29 July 2022</w:t>
      </w:r>
    </w:p>
    <w:p w14:paraId="5C9882F6" w14:textId="77777777" w:rsidR="00DA3EED" w:rsidRPr="008F7906" w:rsidRDefault="00DA3EED" w:rsidP="00DA3EED">
      <w:pPr>
        <w:spacing w:before="240" w:after="360"/>
        <w:rPr>
          <w:u w:val="single"/>
        </w:rPr>
      </w:pPr>
      <w:r w:rsidRPr="00DA3EED">
        <w:t xml:space="preserve">Context for decision: MSAC makes its advice in accordance with its Terms of Reference, </w:t>
      </w:r>
      <w:hyperlink r:id="rId9" w:tooltip="Link to Medical Services Advisory Committee website" w:history="1">
        <w:r w:rsidRPr="00DA3EED">
          <w:rPr>
            <w:rStyle w:val="Hyperlink"/>
          </w:rPr>
          <w:t>visit the MSAC website</w:t>
        </w:r>
      </w:hyperlink>
    </w:p>
    <w:p w14:paraId="02201515" w14:textId="77777777" w:rsidR="000C4977" w:rsidRPr="000C4977" w:rsidRDefault="000C4977"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2" w:name="_Toc69491415"/>
      <w:r w:rsidRPr="000C4977">
        <w:rPr>
          <w:rFonts w:ascii="Franklin Gothic Medium" w:eastAsiaTheme="majorEastAsia" w:hAnsi="Franklin Gothic Medium" w:cstheme="majorBidi"/>
          <w:color w:val="000000" w:themeColor="text1"/>
          <w:sz w:val="32"/>
          <w:szCs w:val="26"/>
        </w:rPr>
        <w:t>1.</w:t>
      </w:r>
      <w:r w:rsidRPr="000C4977">
        <w:rPr>
          <w:rFonts w:ascii="Franklin Gothic Medium" w:eastAsiaTheme="majorEastAsia" w:hAnsi="Franklin Gothic Medium" w:cstheme="majorBidi"/>
          <w:color w:val="000000" w:themeColor="text1"/>
          <w:sz w:val="32"/>
          <w:szCs w:val="26"/>
        </w:rPr>
        <w:tab/>
        <w:t xml:space="preserve">Purpose </w:t>
      </w:r>
      <w:r w:rsidRPr="000C4977">
        <w:rPr>
          <w:rFonts w:ascii="Franklin Gothic Medium" w:eastAsiaTheme="majorEastAsia" w:hAnsi="Franklin Gothic Medium" w:cstheme="majorBidi"/>
          <w:color w:val="000000" w:themeColor="text1"/>
          <w:sz w:val="32"/>
          <w:szCs w:val="32"/>
        </w:rPr>
        <w:t>of</w:t>
      </w:r>
      <w:r w:rsidRPr="000C4977">
        <w:rPr>
          <w:rFonts w:ascii="Franklin Gothic Medium" w:eastAsiaTheme="majorEastAsia" w:hAnsi="Franklin Gothic Medium" w:cstheme="majorBidi"/>
          <w:color w:val="000000" w:themeColor="text1"/>
          <w:sz w:val="32"/>
          <w:szCs w:val="26"/>
        </w:rPr>
        <w:t xml:space="preserve"> application</w:t>
      </w:r>
      <w:bookmarkEnd w:id="2"/>
    </w:p>
    <w:p w14:paraId="23D57370" w14:textId="77777777" w:rsidR="000C4977" w:rsidRPr="000C4977" w:rsidRDefault="000C4977" w:rsidP="000C4977">
      <w:pPr>
        <w:spacing w:after="120" w:line="259" w:lineRule="auto"/>
        <w:jc w:val="left"/>
        <w:rPr>
          <w:iCs/>
          <w:szCs w:val="24"/>
        </w:rPr>
      </w:pPr>
      <w:bookmarkStart w:id="3" w:name="_Hlk69734469"/>
      <w:r w:rsidRPr="000C4977">
        <w:rPr>
          <w:iCs/>
          <w:szCs w:val="24"/>
        </w:rPr>
        <w:t>The integrated codependent application requested:</w:t>
      </w:r>
    </w:p>
    <w:p w14:paraId="4EBA5AFE" w14:textId="32EEE116" w:rsidR="000C4977" w:rsidRPr="000C4977" w:rsidRDefault="000C4977" w:rsidP="00943E89">
      <w:pPr>
        <w:numPr>
          <w:ilvl w:val="0"/>
          <w:numId w:val="42"/>
        </w:numPr>
        <w:spacing w:line="259" w:lineRule="auto"/>
        <w:contextualSpacing/>
        <w:jc w:val="left"/>
        <w:rPr>
          <w:iCs/>
          <w:szCs w:val="24"/>
        </w:rPr>
      </w:pPr>
      <w:r w:rsidRPr="000C4977">
        <w:rPr>
          <w:iCs/>
          <w:szCs w:val="24"/>
        </w:rPr>
        <w:t xml:space="preserve">Medicare </w:t>
      </w:r>
      <w:r w:rsidRPr="00943E89">
        <w:t>Benefits</w:t>
      </w:r>
      <w:r w:rsidRPr="000C4977">
        <w:rPr>
          <w:iCs/>
          <w:szCs w:val="24"/>
        </w:rPr>
        <w:t xml:space="preserve"> Schedule (MBS) listing of homologous recombination deficiency (HRD) testing of </w:t>
      </w:r>
      <w:r w:rsidR="008F7906">
        <w:rPr>
          <w:iCs/>
          <w:szCs w:val="24"/>
        </w:rPr>
        <w:t xml:space="preserve">ovarian </w:t>
      </w:r>
      <w:r w:rsidRPr="000C4977">
        <w:rPr>
          <w:iCs/>
          <w:szCs w:val="24"/>
        </w:rPr>
        <w:t>tumour tissue (to establish genomic instability and breast cancer gene (</w:t>
      </w:r>
      <w:r w:rsidRPr="000C4977">
        <w:rPr>
          <w:i/>
          <w:iCs/>
          <w:szCs w:val="24"/>
        </w:rPr>
        <w:t>BRCA</w:t>
      </w:r>
      <w:r w:rsidR="00B53D84">
        <w:rPr>
          <w:i/>
          <w:iCs/>
          <w:szCs w:val="24"/>
        </w:rPr>
        <w:t>1/2</w:t>
      </w:r>
      <w:r w:rsidRPr="000C4977">
        <w:rPr>
          <w:iCs/>
          <w:szCs w:val="24"/>
        </w:rPr>
        <w:t xml:space="preserve">) status) to determine eligibility for access to PBS-subsidised </w:t>
      </w:r>
      <w:proofErr w:type="spellStart"/>
      <w:r w:rsidRPr="000C4977">
        <w:rPr>
          <w:iCs/>
          <w:szCs w:val="24"/>
        </w:rPr>
        <w:t>olaparib</w:t>
      </w:r>
      <w:proofErr w:type="spellEnd"/>
      <w:r w:rsidRPr="000C4977">
        <w:rPr>
          <w:iCs/>
          <w:szCs w:val="24"/>
        </w:rPr>
        <w:t xml:space="preserve"> in combination with bevacizumab; and</w:t>
      </w:r>
    </w:p>
    <w:p w14:paraId="5E41A1CE" w14:textId="430A6C8D" w:rsidR="000C4977" w:rsidRPr="000C4977" w:rsidRDefault="000C4977" w:rsidP="00943E89">
      <w:pPr>
        <w:numPr>
          <w:ilvl w:val="0"/>
          <w:numId w:val="42"/>
        </w:numPr>
        <w:spacing w:line="259" w:lineRule="auto"/>
        <w:ind w:left="714" w:hanging="357"/>
        <w:jc w:val="left"/>
        <w:rPr>
          <w:iCs/>
          <w:szCs w:val="24"/>
        </w:rPr>
      </w:pPr>
      <w:r w:rsidRPr="000C4977">
        <w:rPr>
          <w:iCs/>
          <w:szCs w:val="24"/>
        </w:rPr>
        <w:t xml:space="preserve">Pharmaceutical Benefits Scheme (PBS) Authority Required listing for </w:t>
      </w:r>
      <w:proofErr w:type="spellStart"/>
      <w:r w:rsidRPr="000C4977">
        <w:rPr>
          <w:iCs/>
          <w:szCs w:val="24"/>
        </w:rPr>
        <w:t>olaparib</w:t>
      </w:r>
      <w:proofErr w:type="spellEnd"/>
      <w:r w:rsidRPr="000C4977">
        <w:rPr>
          <w:iCs/>
          <w:szCs w:val="24"/>
        </w:rPr>
        <w:t xml:space="preserve"> in combination with bevacizumab after a response to first-line platinum-based chemotherapy (with or without bevacizumab) in newly diagnosed advanced high grade epithelial ovarian cancer (HGEOC) patients found to be positive for </w:t>
      </w:r>
      <w:r w:rsidR="009339A5">
        <w:rPr>
          <w:iCs/>
          <w:szCs w:val="24"/>
        </w:rPr>
        <w:t>genomic instability</w:t>
      </w:r>
      <w:r w:rsidRPr="000C4977">
        <w:rPr>
          <w:iCs/>
          <w:szCs w:val="24"/>
        </w:rPr>
        <w:t xml:space="preserve"> without a pathogenic </w:t>
      </w:r>
      <w:r w:rsidRPr="000C4977">
        <w:rPr>
          <w:i/>
          <w:iCs/>
          <w:szCs w:val="24"/>
        </w:rPr>
        <w:t>BRCA1</w:t>
      </w:r>
      <w:r w:rsidRPr="000C4977">
        <w:rPr>
          <w:iCs/>
          <w:szCs w:val="24"/>
        </w:rPr>
        <w:t xml:space="preserve"> or </w:t>
      </w:r>
      <w:r w:rsidRPr="000C4977">
        <w:rPr>
          <w:i/>
          <w:iCs/>
          <w:szCs w:val="24"/>
        </w:rPr>
        <w:t>BRCA2</w:t>
      </w:r>
      <w:r w:rsidRPr="000C4977">
        <w:rPr>
          <w:iCs/>
          <w:szCs w:val="24"/>
        </w:rPr>
        <w:t xml:space="preserve"> variant </w:t>
      </w:r>
      <w:proofErr w:type="gramStart"/>
      <w:r w:rsidRPr="000C4977">
        <w:rPr>
          <w:iCs/>
          <w:szCs w:val="24"/>
        </w:rPr>
        <w:t>i.e.</w:t>
      </w:r>
      <w:proofErr w:type="gramEnd"/>
      <w:r w:rsidRPr="000C4977">
        <w:rPr>
          <w:iCs/>
          <w:szCs w:val="24"/>
        </w:rPr>
        <w:t xml:space="preserve"> HRD positive </w:t>
      </w:r>
      <w:r w:rsidRPr="000C4977">
        <w:rPr>
          <w:i/>
          <w:iCs/>
          <w:szCs w:val="24"/>
        </w:rPr>
        <w:t>BRCA</w:t>
      </w:r>
      <w:r w:rsidRPr="000C4977">
        <w:rPr>
          <w:iCs/>
          <w:szCs w:val="24"/>
        </w:rPr>
        <w:t xml:space="preserve"> wild type (</w:t>
      </w:r>
      <w:proofErr w:type="spellStart"/>
      <w:r w:rsidRPr="000C4977">
        <w:rPr>
          <w:i/>
          <w:iCs/>
          <w:szCs w:val="24"/>
        </w:rPr>
        <w:t>BRCA</w:t>
      </w:r>
      <w:r w:rsidRPr="000C4977">
        <w:rPr>
          <w:iCs/>
          <w:szCs w:val="24"/>
        </w:rPr>
        <w:t>wt</w:t>
      </w:r>
      <w:proofErr w:type="spellEnd"/>
      <w:r w:rsidRPr="000C4977">
        <w:rPr>
          <w:iCs/>
          <w:szCs w:val="24"/>
        </w:rPr>
        <w:t>).</w:t>
      </w:r>
    </w:p>
    <w:p w14:paraId="0DF16C4E" w14:textId="77777777" w:rsidR="004C0EB2" w:rsidRPr="004C0EB2" w:rsidRDefault="004C0EB2" w:rsidP="004C0EB2">
      <w:pPr>
        <w:keepNext/>
        <w:keepLines/>
        <w:spacing w:before="360" w:after="240"/>
        <w:jc w:val="left"/>
        <w:outlineLvl w:val="1"/>
        <w:rPr>
          <w:rFonts w:ascii="Franklin Gothic Medium" w:eastAsiaTheme="majorEastAsia" w:hAnsi="Franklin Gothic Medium" w:cstheme="majorBidi"/>
          <w:color w:val="000000" w:themeColor="text1"/>
          <w:sz w:val="32"/>
          <w:szCs w:val="26"/>
        </w:rPr>
      </w:pPr>
      <w:r w:rsidRPr="004C0EB2">
        <w:rPr>
          <w:rFonts w:ascii="Franklin Gothic Medium" w:eastAsiaTheme="majorEastAsia" w:hAnsi="Franklin Gothic Medium" w:cstheme="majorBidi"/>
          <w:color w:val="000000" w:themeColor="text1"/>
          <w:sz w:val="32"/>
          <w:szCs w:val="26"/>
        </w:rPr>
        <w:t>2.</w:t>
      </w:r>
      <w:r w:rsidRPr="004C0EB2">
        <w:rPr>
          <w:rFonts w:ascii="Franklin Gothic Medium" w:eastAsiaTheme="majorEastAsia" w:hAnsi="Franklin Gothic Medium" w:cstheme="majorBidi"/>
          <w:color w:val="000000" w:themeColor="text1"/>
          <w:sz w:val="32"/>
          <w:szCs w:val="26"/>
        </w:rPr>
        <w:tab/>
        <w:t>MSAC’s advice to the Minister</w:t>
      </w:r>
    </w:p>
    <w:p w14:paraId="7831E0C2" w14:textId="53ADD09B" w:rsidR="00A75241" w:rsidRPr="00A75241" w:rsidRDefault="00A75241" w:rsidP="00A75241">
      <w:pPr>
        <w:jc w:val="left"/>
      </w:pPr>
      <w:r w:rsidRPr="00A75241">
        <w:t>After considering the strength of the available evidence in relation to comparative safety, clinical effectiveness</w:t>
      </w:r>
      <w:r w:rsidR="00B42269">
        <w:t>,</w:t>
      </w:r>
      <w:r w:rsidRPr="00A75241">
        <w:t xml:space="preserve"> </w:t>
      </w:r>
      <w:proofErr w:type="gramStart"/>
      <w:r w:rsidRPr="00A75241">
        <w:t>cost-</w:t>
      </w:r>
      <w:r w:rsidRPr="002A3DA4">
        <w:t>effectiveness</w:t>
      </w:r>
      <w:proofErr w:type="gramEnd"/>
      <w:r w:rsidR="00B42269" w:rsidRPr="002A3DA4">
        <w:t xml:space="preserve"> and total cost</w:t>
      </w:r>
      <w:r w:rsidRPr="002A3DA4">
        <w:t xml:space="preserve">, MSAC did not support public funding of testing ovarian tumour tissue for genomic instability to determine homologous recombination deficiency (HRD) status </w:t>
      </w:r>
      <w:r w:rsidR="00D465FB" w:rsidRPr="002A3DA4">
        <w:t>to</w:t>
      </w:r>
      <w:r w:rsidR="00974E45" w:rsidRPr="002A3DA4">
        <w:t xml:space="preserve"> </w:t>
      </w:r>
      <w:r w:rsidR="00D465FB" w:rsidRPr="002A3DA4">
        <w:t>define</w:t>
      </w:r>
      <w:r w:rsidR="00C23502" w:rsidRPr="002A3DA4">
        <w:t xml:space="preserve"> </w:t>
      </w:r>
      <w:r w:rsidRPr="002A3DA4">
        <w:t xml:space="preserve">eligibility for treatment of ovarian cancer with </w:t>
      </w:r>
      <w:proofErr w:type="spellStart"/>
      <w:r w:rsidRPr="002A3DA4">
        <w:t>olaparib</w:t>
      </w:r>
      <w:proofErr w:type="spellEnd"/>
      <w:r w:rsidRPr="002A3DA4">
        <w:t xml:space="preserve"> and bevacizumab. MSAC advised that further information is needed to elucidate how to confidently identify </w:t>
      </w:r>
      <w:r w:rsidR="00D465FB" w:rsidRPr="002A3DA4">
        <w:t xml:space="preserve">ovarian tumour tissue </w:t>
      </w:r>
      <w:r w:rsidRPr="002A3DA4">
        <w:t>as being homologous recombination deficient</w:t>
      </w:r>
      <w:r w:rsidR="00D465FB" w:rsidRPr="002A3DA4">
        <w:t>. Currently</w:t>
      </w:r>
      <w:r w:rsidR="00152F93" w:rsidRPr="002A3DA4">
        <w:t xml:space="preserve"> </w:t>
      </w:r>
      <w:r w:rsidRPr="002A3DA4">
        <w:t xml:space="preserve">HRD status has not yet been satisfactorily defined by reference to a single test method, scoring algorithm and threshold. MSAC also considered that, across medicines in the same class as </w:t>
      </w:r>
      <w:proofErr w:type="spellStart"/>
      <w:r w:rsidRPr="002A3DA4">
        <w:t>olaparib</w:t>
      </w:r>
      <w:proofErr w:type="spellEnd"/>
      <w:r w:rsidRPr="002A3DA4">
        <w:t xml:space="preserve">, there is equivocal evidence regarding how well the extent of response to </w:t>
      </w:r>
      <w:proofErr w:type="spellStart"/>
      <w:r w:rsidRPr="002A3DA4">
        <w:t>olaparib</w:t>
      </w:r>
      <w:proofErr w:type="spellEnd"/>
      <w:r w:rsidRPr="002A3DA4">
        <w:t xml:space="preserve"> is predicted by </w:t>
      </w:r>
      <w:r w:rsidR="00D465FB" w:rsidRPr="002A3DA4">
        <w:t xml:space="preserve">a tumour </w:t>
      </w:r>
      <w:r w:rsidRPr="002A3DA4">
        <w:t xml:space="preserve">being </w:t>
      </w:r>
      <w:r w:rsidR="00D465FB" w:rsidRPr="002A3DA4">
        <w:t xml:space="preserve">classified as </w:t>
      </w:r>
      <w:r w:rsidRPr="002A3DA4">
        <w:t xml:space="preserve">HRD positive without a pathogenic variant in the </w:t>
      </w:r>
      <w:r w:rsidRPr="002A3DA4">
        <w:rPr>
          <w:i/>
          <w:iCs/>
        </w:rPr>
        <w:t>BRCA1/2</w:t>
      </w:r>
      <w:r w:rsidRPr="002A3DA4">
        <w:t xml:space="preserve"> genes.</w:t>
      </w:r>
    </w:p>
    <w:tbl>
      <w:tblPr>
        <w:tblStyle w:val="TableGrid"/>
        <w:tblW w:w="0" w:type="auto"/>
        <w:tblLook w:val="04A0" w:firstRow="1" w:lastRow="0" w:firstColumn="1" w:lastColumn="0" w:noHBand="0" w:noVBand="1"/>
        <w:tblDescription w:val="Consumer summary of MSAC consideration"/>
      </w:tblPr>
      <w:tblGrid>
        <w:gridCol w:w="9016"/>
      </w:tblGrid>
      <w:tr w:rsidR="004C0EB2" w14:paraId="291585AF" w14:textId="77777777" w:rsidTr="00B15A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hideMark/>
          </w:tcPr>
          <w:p w14:paraId="576DC46E" w14:textId="77777777" w:rsidR="004C0EB2" w:rsidRPr="00EB62FF" w:rsidRDefault="004C0EB2" w:rsidP="00B15A86">
            <w:pPr>
              <w:pStyle w:val="Default"/>
              <w:spacing w:before="120" w:after="120"/>
              <w:rPr>
                <w:rFonts w:ascii="Franklin Gothic Book" w:hAnsi="Franklin Gothic Book"/>
                <w:b w:val="0"/>
                <w:bCs/>
                <w:color w:val="auto"/>
                <w:sz w:val="22"/>
                <w:szCs w:val="22"/>
              </w:rPr>
            </w:pPr>
            <w:r w:rsidRPr="00EB62FF">
              <w:rPr>
                <w:rFonts w:ascii="Franklin Gothic Book" w:hAnsi="Franklin Gothic Book"/>
                <w:bCs/>
                <w:color w:val="auto"/>
                <w:sz w:val="22"/>
                <w:szCs w:val="22"/>
              </w:rPr>
              <w:lastRenderedPageBreak/>
              <w:t>Consumer summary</w:t>
            </w:r>
          </w:p>
        </w:tc>
      </w:tr>
      <w:tr w:rsidR="004C0EB2" w14:paraId="35713304" w14:textId="77777777" w:rsidTr="00B15A86">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hideMark/>
          </w:tcPr>
          <w:p w14:paraId="0651F0A7" w14:textId="117530F1" w:rsidR="00A75241" w:rsidRDefault="00A75241" w:rsidP="00A75241">
            <w:pPr>
              <w:pStyle w:val="Default"/>
              <w:spacing w:after="240"/>
              <w:rPr>
                <w:rFonts w:ascii="Franklin Gothic Book" w:hAnsi="Franklin Gothic Book"/>
                <w:iCs/>
                <w:color w:val="auto"/>
                <w:sz w:val="22"/>
                <w:szCs w:val="22"/>
              </w:rPr>
            </w:pPr>
            <w:r w:rsidRPr="00A75241">
              <w:rPr>
                <w:rFonts w:ascii="Franklin Gothic Book" w:hAnsi="Franklin Gothic Book"/>
                <w:iCs/>
                <w:color w:val="auto"/>
                <w:sz w:val="22"/>
                <w:szCs w:val="22"/>
              </w:rPr>
              <w:t xml:space="preserve">This is an application from AstraZeneca </w:t>
            </w:r>
            <w:r w:rsidR="00FD7777">
              <w:rPr>
                <w:rFonts w:ascii="Franklin Gothic Book" w:hAnsi="Franklin Gothic Book"/>
                <w:iCs/>
                <w:color w:val="auto"/>
                <w:sz w:val="22"/>
                <w:szCs w:val="22"/>
              </w:rPr>
              <w:t xml:space="preserve">Pty Limited </w:t>
            </w:r>
            <w:r w:rsidRPr="00A75241">
              <w:rPr>
                <w:rFonts w:ascii="Franklin Gothic Book" w:hAnsi="Franklin Gothic Book"/>
                <w:iCs/>
                <w:color w:val="auto"/>
                <w:sz w:val="22"/>
                <w:szCs w:val="22"/>
              </w:rPr>
              <w:t xml:space="preserve">requesting </w:t>
            </w:r>
            <w:r w:rsidR="008F7906">
              <w:rPr>
                <w:rFonts w:ascii="Franklin Gothic Book" w:hAnsi="Franklin Gothic Book"/>
                <w:iCs/>
                <w:color w:val="auto"/>
                <w:sz w:val="22"/>
                <w:szCs w:val="22"/>
              </w:rPr>
              <w:t xml:space="preserve">MSAC consider </w:t>
            </w:r>
            <w:r w:rsidRPr="00A75241">
              <w:rPr>
                <w:rFonts w:ascii="Franklin Gothic Book" w:hAnsi="Franklin Gothic Book"/>
                <w:iCs/>
                <w:color w:val="auto"/>
                <w:sz w:val="22"/>
                <w:szCs w:val="22"/>
              </w:rPr>
              <w:t xml:space="preserve">Medicare Benefits Schedule (MBS) listing of testing of </w:t>
            </w:r>
            <w:proofErr w:type="spellStart"/>
            <w:r w:rsidRPr="00A75241">
              <w:rPr>
                <w:rFonts w:ascii="Franklin Gothic Book" w:hAnsi="Franklin Gothic Book"/>
                <w:iCs/>
                <w:color w:val="auto"/>
                <w:sz w:val="22"/>
                <w:szCs w:val="22"/>
              </w:rPr>
              <w:t>tumour</w:t>
            </w:r>
            <w:proofErr w:type="spellEnd"/>
            <w:r w:rsidRPr="00A75241">
              <w:rPr>
                <w:rFonts w:ascii="Franklin Gothic Book" w:hAnsi="Franklin Gothic Book"/>
                <w:iCs/>
                <w:color w:val="auto"/>
                <w:sz w:val="22"/>
                <w:szCs w:val="22"/>
              </w:rPr>
              <w:t xml:space="preserve"> tissue to detect homologous recombination deficiency (HRD) status in women with newly diagnosed advanced epithelial ovarian</w:t>
            </w:r>
            <w:r w:rsidR="00250D9A">
              <w:rPr>
                <w:rFonts w:ascii="Franklin Gothic Book" w:hAnsi="Franklin Gothic Book"/>
                <w:iCs/>
                <w:color w:val="auto"/>
                <w:sz w:val="22"/>
                <w:szCs w:val="22"/>
              </w:rPr>
              <w:t>,</w:t>
            </w:r>
            <w:r w:rsidRPr="00A75241">
              <w:rPr>
                <w:rFonts w:ascii="Franklin Gothic Book" w:hAnsi="Franklin Gothic Book"/>
                <w:iCs/>
                <w:color w:val="auto"/>
                <w:sz w:val="22"/>
                <w:szCs w:val="22"/>
              </w:rPr>
              <w:t xml:space="preserve"> fallopian tube or primary peritoneal cancer. The test would determine whether the person was eligible for a </w:t>
            </w:r>
            <w:r w:rsidR="0059147A">
              <w:rPr>
                <w:rFonts w:ascii="Franklin Gothic Book" w:hAnsi="Franklin Gothic Book"/>
                <w:iCs/>
                <w:color w:val="auto"/>
                <w:sz w:val="22"/>
                <w:szCs w:val="22"/>
              </w:rPr>
              <w:t>medicine</w:t>
            </w:r>
            <w:r w:rsidRPr="00A75241">
              <w:rPr>
                <w:rFonts w:ascii="Franklin Gothic Book" w:hAnsi="Franklin Gothic Book"/>
                <w:iCs/>
                <w:color w:val="auto"/>
                <w:sz w:val="22"/>
                <w:szCs w:val="22"/>
              </w:rPr>
              <w:t xml:space="preserve"> called </w:t>
            </w:r>
            <w:proofErr w:type="spellStart"/>
            <w:r w:rsidRPr="00A75241">
              <w:rPr>
                <w:rFonts w:ascii="Franklin Gothic Book" w:hAnsi="Franklin Gothic Book"/>
                <w:iCs/>
                <w:color w:val="auto"/>
                <w:sz w:val="22"/>
                <w:szCs w:val="22"/>
              </w:rPr>
              <w:t>olaparib</w:t>
            </w:r>
            <w:proofErr w:type="spellEnd"/>
            <w:r w:rsidRPr="00A75241">
              <w:rPr>
                <w:rFonts w:ascii="Franklin Gothic Book" w:hAnsi="Franklin Gothic Book"/>
                <w:iCs/>
                <w:color w:val="auto"/>
                <w:sz w:val="22"/>
                <w:szCs w:val="22"/>
              </w:rPr>
              <w:t xml:space="preserve"> in combination with bevacizumab as maintenance therapy, funded under the Pharmaceutical Benefits Scheme (PBS). This was a codependent application with the Pharmaceutical Benefits Advisory Committee.</w:t>
            </w:r>
          </w:p>
          <w:p w14:paraId="45D4E91C" w14:textId="13FFAF11" w:rsidR="00FD7777" w:rsidRDefault="00D465FB" w:rsidP="00A75241">
            <w:pPr>
              <w:pStyle w:val="Default"/>
              <w:spacing w:after="240"/>
              <w:rPr>
                <w:rFonts w:ascii="Franklin Gothic Book" w:hAnsi="Franklin Gothic Book"/>
                <w:iCs/>
                <w:color w:val="auto"/>
                <w:sz w:val="22"/>
                <w:szCs w:val="22"/>
              </w:rPr>
            </w:pPr>
            <w:r w:rsidRPr="009E200E">
              <w:rPr>
                <w:rFonts w:ascii="Franklin Gothic Book" w:hAnsi="Franklin Gothic Book"/>
                <w:iCs/>
                <w:color w:val="auto"/>
                <w:sz w:val="22"/>
                <w:szCs w:val="22"/>
              </w:rPr>
              <w:t xml:space="preserve">A genetic </w:t>
            </w:r>
            <w:r>
              <w:rPr>
                <w:rFonts w:ascii="Franklin Gothic Book" w:hAnsi="Franklin Gothic Book"/>
                <w:iCs/>
                <w:color w:val="auto"/>
                <w:sz w:val="22"/>
                <w:szCs w:val="22"/>
              </w:rPr>
              <w:t>variant is</w:t>
            </w:r>
            <w:r w:rsidRPr="009E200E">
              <w:rPr>
                <w:rFonts w:ascii="Franklin Gothic Book" w:hAnsi="Franklin Gothic Book"/>
                <w:iCs/>
                <w:color w:val="auto"/>
                <w:sz w:val="22"/>
                <w:szCs w:val="22"/>
              </w:rPr>
              <w:t xml:space="preserve"> a permanent change to a gene's DNA sequence</w:t>
            </w:r>
            <w:r>
              <w:rPr>
                <w:rFonts w:ascii="Franklin Gothic Book" w:hAnsi="Franklin Gothic Book"/>
                <w:iCs/>
                <w:color w:val="auto"/>
                <w:sz w:val="22"/>
                <w:szCs w:val="22"/>
              </w:rPr>
              <w:t>.</w:t>
            </w:r>
            <w:r w:rsidRPr="009E200E">
              <w:rPr>
                <w:rFonts w:ascii="Franklin Gothic Book" w:hAnsi="Franklin Gothic Book"/>
                <w:iCs/>
                <w:color w:val="auto"/>
                <w:sz w:val="22"/>
                <w:szCs w:val="22"/>
              </w:rPr>
              <w:t xml:space="preserve"> </w:t>
            </w:r>
            <w:r>
              <w:rPr>
                <w:rFonts w:ascii="Franklin Gothic Book" w:hAnsi="Franklin Gothic Book"/>
                <w:iCs/>
                <w:color w:val="auto"/>
                <w:sz w:val="22"/>
                <w:szCs w:val="22"/>
              </w:rPr>
              <w:t>A genetic variant</w:t>
            </w:r>
            <w:r w:rsidRPr="009E200E">
              <w:rPr>
                <w:rFonts w:ascii="Franklin Gothic Book" w:hAnsi="Franklin Gothic Book"/>
                <w:iCs/>
                <w:color w:val="auto"/>
                <w:sz w:val="22"/>
                <w:szCs w:val="22"/>
              </w:rPr>
              <w:t xml:space="preserve"> can be inherit</w:t>
            </w:r>
            <w:r>
              <w:rPr>
                <w:rFonts w:ascii="Franklin Gothic Book" w:hAnsi="Franklin Gothic Book"/>
                <w:iCs/>
                <w:color w:val="auto"/>
                <w:sz w:val="22"/>
                <w:szCs w:val="22"/>
              </w:rPr>
              <w:t>abl</w:t>
            </w:r>
            <w:r w:rsidRPr="009E200E">
              <w:rPr>
                <w:rFonts w:ascii="Franklin Gothic Book" w:hAnsi="Franklin Gothic Book"/>
                <w:iCs/>
                <w:color w:val="auto"/>
                <w:sz w:val="22"/>
                <w:szCs w:val="22"/>
              </w:rPr>
              <w:t xml:space="preserve">e (called </w:t>
            </w:r>
            <w:r>
              <w:rPr>
                <w:rFonts w:ascii="Franklin Gothic Book" w:hAnsi="Franklin Gothic Book"/>
                <w:iCs/>
                <w:color w:val="auto"/>
                <w:sz w:val="22"/>
                <w:szCs w:val="22"/>
              </w:rPr>
              <w:t xml:space="preserve">a </w:t>
            </w:r>
            <w:r w:rsidRPr="009E200E">
              <w:rPr>
                <w:rFonts w:ascii="Franklin Gothic Book" w:hAnsi="Franklin Gothic Book"/>
                <w:iCs/>
                <w:color w:val="auto"/>
                <w:sz w:val="22"/>
                <w:szCs w:val="22"/>
              </w:rPr>
              <w:t xml:space="preserve">germline </w:t>
            </w:r>
            <w:r>
              <w:rPr>
                <w:rFonts w:ascii="Franklin Gothic Book" w:hAnsi="Franklin Gothic Book"/>
                <w:iCs/>
                <w:color w:val="auto"/>
                <w:sz w:val="22"/>
                <w:szCs w:val="22"/>
              </w:rPr>
              <w:t>variant</w:t>
            </w:r>
            <w:r w:rsidRPr="009E200E">
              <w:rPr>
                <w:rFonts w:ascii="Franklin Gothic Book" w:hAnsi="Franklin Gothic Book"/>
                <w:iCs/>
                <w:color w:val="auto"/>
                <w:sz w:val="22"/>
                <w:szCs w:val="22"/>
              </w:rPr>
              <w:t xml:space="preserve">) </w:t>
            </w:r>
            <w:r>
              <w:rPr>
                <w:rFonts w:ascii="Franklin Gothic Book" w:hAnsi="Franklin Gothic Book"/>
                <w:iCs/>
                <w:color w:val="auto"/>
                <w:sz w:val="22"/>
                <w:szCs w:val="22"/>
              </w:rPr>
              <w:t>if</w:t>
            </w:r>
            <w:r w:rsidRPr="009E200E">
              <w:rPr>
                <w:rFonts w:ascii="Franklin Gothic Book" w:hAnsi="Franklin Gothic Book"/>
                <w:iCs/>
                <w:color w:val="auto"/>
                <w:sz w:val="22"/>
                <w:szCs w:val="22"/>
              </w:rPr>
              <w:t xml:space="preserve"> it is present in a </w:t>
            </w:r>
            <w:r>
              <w:rPr>
                <w:rFonts w:ascii="Franklin Gothic Book" w:hAnsi="Franklin Gothic Book"/>
                <w:iCs/>
                <w:color w:val="auto"/>
                <w:sz w:val="22"/>
                <w:szCs w:val="22"/>
              </w:rPr>
              <w:t>person’s</w:t>
            </w:r>
            <w:r w:rsidRPr="009E200E">
              <w:rPr>
                <w:rFonts w:ascii="Franklin Gothic Book" w:hAnsi="Franklin Gothic Book"/>
                <w:iCs/>
                <w:color w:val="auto"/>
                <w:sz w:val="22"/>
                <w:szCs w:val="22"/>
              </w:rPr>
              <w:t xml:space="preserve"> egg or sperm, or it can be </w:t>
            </w:r>
            <w:r>
              <w:rPr>
                <w:rFonts w:ascii="Franklin Gothic Book" w:hAnsi="Franklin Gothic Book"/>
                <w:iCs/>
                <w:color w:val="auto"/>
                <w:sz w:val="22"/>
                <w:szCs w:val="22"/>
              </w:rPr>
              <w:t>created in the cells of the body that do not pass on DNA to the person’s children</w:t>
            </w:r>
            <w:r w:rsidRPr="009E200E">
              <w:rPr>
                <w:rFonts w:ascii="Franklin Gothic Book" w:hAnsi="Franklin Gothic Book"/>
                <w:iCs/>
                <w:color w:val="auto"/>
                <w:sz w:val="22"/>
                <w:szCs w:val="22"/>
              </w:rPr>
              <w:t xml:space="preserve"> (called </w:t>
            </w:r>
            <w:r>
              <w:rPr>
                <w:rFonts w:ascii="Franklin Gothic Book" w:hAnsi="Franklin Gothic Book"/>
                <w:iCs/>
                <w:color w:val="auto"/>
                <w:sz w:val="22"/>
                <w:szCs w:val="22"/>
              </w:rPr>
              <w:t xml:space="preserve">a </w:t>
            </w:r>
            <w:r w:rsidRPr="009E200E">
              <w:rPr>
                <w:rFonts w:ascii="Franklin Gothic Book" w:hAnsi="Franklin Gothic Book"/>
                <w:iCs/>
                <w:color w:val="auto"/>
                <w:sz w:val="22"/>
                <w:szCs w:val="22"/>
              </w:rPr>
              <w:t xml:space="preserve">somatic </w:t>
            </w:r>
            <w:r>
              <w:rPr>
                <w:rFonts w:ascii="Franklin Gothic Book" w:hAnsi="Franklin Gothic Book"/>
                <w:iCs/>
                <w:color w:val="auto"/>
                <w:sz w:val="22"/>
                <w:szCs w:val="22"/>
              </w:rPr>
              <w:t>variant</w:t>
            </w:r>
            <w:r w:rsidRPr="009E200E">
              <w:rPr>
                <w:rFonts w:ascii="Franklin Gothic Book" w:hAnsi="Franklin Gothic Book"/>
                <w:iCs/>
                <w:color w:val="auto"/>
                <w:sz w:val="22"/>
                <w:szCs w:val="22"/>
              </w:rPr>
              <w:t xml:space="preserve">). </w:t>
            </w:r>
            <w:r>
              <w:rPr>
                <w:rFonts w:ascii="Franklin Gothic Book" w:hAnsi="Franklin Gothic Book"/>
                <w:iCs/>
                <w:color w:val="auto"/>
                <w:sz w:val="22"/>
                <w:szCs w:val="22"/>
              </w:rPr>
              <w:t>If a variant has the potential to cause disease, it is called a pathogenic variant.</w:t>
            </w:r>
          </w:p>
          <w:p w14:paraId="0581D332" w14:textId="4E28ACB0" w:rsidR="009E200E" w:rsidRDefault="00E41B14" w:rsidP="009E200E">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Both somatic and germline variants can cause cancers which are unable to properly repair mistakes in the DNA. One type of repair problem is called HRD.</w:t>
            </w:r>
            <w:r w:rsidR="00506D2B">
              <w:rPr>
                <w:rFonts w:ascii="Franklin Gothic Book" w:hAnsi="Franklin Gothic Book"/>
                <w:iCs/>
                <w:color w:val="auto"/>
                <w:sz w:val="22"/>
                <w:szCs w:val="22"/>
              </w:rPr>
              <w:t xml:space="preserve"> HRD can be caused by</w:t>
            </w:r>
            <w:r w:rsidR="00506D2B" w:rsidRPr="00A75241">
              <w:rPr>
                <w:rFonts w:ascii="Franklin Gothic Book" w:hAnsi="Franklin Gothic Book"/>
                <w:iCs/>
                <w:color w:val="auto"/>
                <w:sz w:val="22"/>
                <w:szCs w:val="22"/>
              </w:rPr>
              <w:t xml:space="preserve"> a </w:t>
            </w:r>
            <w:r w:rsidR="00506D2B">
              <w:rPr>
                <w:rFonts w:ascii="Franklin Gothic Book" w:hAnsi="Franklin Gothic Book"/>
                <w:iCs/>
                <w:color w:val="auto"/>
                <w:sz w:val="22"/>
                <w:szCs w:val="22"/>
              </w:rPr>
              <w:t>pathogenic variant</w:t>
            </w:r>
            <w:r w:rsidR="00506D2B" w:rsidRPr="00A75241">
              <w:rPr>
                <w:rFonts w:ascii="Franklin Gothic Book" w:hAnsi="Franklin Gothic Book"/>
                <w:iCs/>
                <w:color w:val="auto"/>
                <w:sz w:val="22"/>
                <w:szCs w:val="22"/>
              </w:rPr>
              <w:t xml:space="preserve"> </w:t>
            </w:r>
            <w:r w:rsidR="00506D2B">
              <w:rPr>
                <w:rFonts w:ascii="Franklin Gothic Book" w:hAnsi="Franklin Gothic Book"/>
                <w:iCs/>
                <w:color w:val="auto"/>
                <w:sz w:val="22"/>
                <w:szCs w:val="22"/>
              </w:rPr>
              <w:t xml:space="preserve">(mutation) </w:t>
            </w:r>
            <w:r w:rsidR="00506D2B" w:rsidRPr="00A75241">
              <w:rPr>
                <w:rFonts w:ascii="Franklin Gothic Book" w:hAnsi="Franklin Gothic Book"/>
                <w:iCs/>
                <w:color w:val="auto"/>
                <w:sz w:val="22"/>
                <w:szCs w:val="22"/>
              </w:rPr>
              <w:t xml:space="preserve">in </w:t>
            </w:r>
            <w:r w:rsidR="00506D2B">
              <w:rPr>
                <w:rFonts w:ascii="Franklin Gothic Book" w:hAnsi="Franklin Gothic Book"/>
                <w:iCs/>
                <w:color w:val="auto"/>
                <w:sz w:val="22"/>
                <w:szCs w:val="22"/>
              </w:rPr>
              <w:t>the</w:t>
            </w:r>
            <w:r w:rsidR="00506D2B" w:rsidRPr="00A75241">
              <w:rPr>
                <w:rFonts w:ascii="Franklin Gothic Book" w:hAnsi="Franklin Gothic Book"/>
                <w:iCs/>
                <w:color w:val="auto"/>
                <w:sz w:val="22"/>
                <w:szCs w:val="22"/>
              </w:rPr>
              <w:t xml:space="preserve"> gene</w:t>
            </w:r>
            <w:r w:rsidR="00506D2B">
              <w:rPr>
                <w:rFonts w:ascii="Franklin Gothic Book" w:hAnsi="Franklin Gothic Book"/>
                <w:iCs/>
                <w:color w:val="auto"/>
                <w:sz w:val="22"/>
                <w:szCs w:val="22"/>
              </w:rPr>
              <w:t>s</w:t>
            </w:r>
            <w:r w:rsidR="00506D2B" w:rsidRPr="00A75241">
              <w:rPr>
                <w:rFonts w:ascii="Franklin Gothic Book" w:hAnsi="Franklin Gothic Book"/>
                <w:iCs/>
                <w:color w:val="auto"/>
                <w:sz w:val="22"/>
                <w:szCs w:val="22"/>
              </w:rPr>
              <w:t xml:space="preserve"> </w:t>
            </w:r>
            <w:r w:rsidR="00506D2B" w:rsidRPr="00B15A86">
              <w:rPr>
                <w:rFonts w:ascii="Franklin Gothic Book" w:hAnsi="Franklin Gothic Book"/>
                <w:i/>
                <w:color w:val="auto"/>
                <w:sz w:val="22"/>
                <w:szCs w:val="22"/>
              </w:rPr>
              <w:t>BRCA1</w:t>
            </w:r>
            <w:r w:rsidR="00506D2B" w:rsidRPr="00A75241">
              <w:rPr>
                <w:rFonts w:ascii="Franklin Gothic Book" w:hAnsi="Franklin Gothic Book"/>
                <w:iCs/>
                <w:color w:val="auto"/>
                <w:sz w:val="22"/>
                <w:szCs w:val="22"/>
              </w:rPr>
              <w:t xml:space="preserve"> or </w:t>
            </w:r>
            <w:r w:rsidR="00506D2B" w:rsidRPr="00B15A86">
              <w:rPr>
                <w:rFonts w:ascii="Franklin Gothic Book" w:hAnsi="Franklin Gothic Book"/>
                <w:i/>
                <w:color w:val="auto"/>
                <w:sz w:val="22"/>
                <w:szCs w:val="22"/>
              </w:rPr>
              <w:t>BRCA2</w:t>
            </w:r>
            <w:r w:rsidR="00506D2B" w:rsidRPr="00A75241">
              <w:rPr>
                <w:rFonts w:ascii="Franklin Gothic Book" w:hAnsi="Franklin Gothic Book"/>
                <w:iCs/>
                <w:color w:val="auto"/>
                <w:sz w:val="22"/>
                <w:szCs w:val="22"/>
              </w:rPr>
              <w:t>.</w:t>
            </w:r>
            <w:r w:rsidR="00FD7777">
              <w:rPr>
                <w:rFonts w:ascii="Franklin Gothic Book" w:hAnsi="Franklin Gothic Book"/>
                <w:iCs/>
                <w:color w:val="auto"/>
                <w:sz w:val="22"/>
                <w:szCs w:val="22"/>
              </w:rPr>
              <w:t xml:space="preserve"> </w:t>
            </w:r>
            <w:r w:rsidR="00250D9A">
              <w:rPr>
                <w:rFonts w:ascii="Franklin Gothic Book" w:hAnsi="Franklin Gothic Book"/>
                <w:iCs/>
                <w:color w:val="auto"/>
                <w:sz w:val="22"/>
                <w:szCs w:val="22"/>
              </w:rPr>
              <w:t>Th</w:t>
            </w:r>
            <w:r>
              <w:rPr>
                <w:rFonts w:ascii="Franklin Gothic Book" w:hAnsi="Franklin Gothic Book"/>
                <w:iCs/>
                <w:color w:val="auto"/>
                <w:sz w:val="22"/>
                <w:szCs w:val="22"/>
              </w:rPr>
              <w:t>is means the</w:t>
            </w:r>
            <w:r w:rsidR="00250D9A">
              <w:rPr>
                <w:rFonts w:ascii="Franklin Gothic Book" w:hAnsi="Franklin Gothic Book"/>
                <w:iCs/>
                <w:color w:val="auto"/>
                <w:sz w:val="22"/>
                <w:szCs w:val="22"/>
              </w:rPr>
              <w:t xml:space="preserve"> body of a person with </w:t>
            </w:r>
            <w:r>
              <w:rPr>
                <w:rFonts w:ascii="Franklin Gothic Book" w:hAnsi="Franklin Gothic Book"/>
                <w:iCs/>
                <w:color w:val="auto"/>
                <w:sz w:val="22"/>
                <w:szCs w:val="22"/>
              </w:rPr>
              <w:t xml:space="preserve">an </w:t>
            </w:r>
            <w:r w:rsidR="00B15A86">
              <w:rPr>
                <w:rFonts w:ascii="Franklin Gothic Book" w:hAnsi="Franklin Gothic Book"/>
                <w:iCs/>
                <w:color w:val="auto"/>
                <w:sz w:val="22"/>
                <w:szCs w:val="22"/>
              </w:rPr>
              <w:t xml:space="preserve">HRD </w:t>
            </w:r>
            <w:r>
              <w:rPr>
                <w:rFonts w:ascii="Franklin Gothic Book" w:hAnsi="Franklin Gothic Book"/>
                <w:iCs/>
                <w:color w:val="auto"/>
                <w:sz w:val="22"/>
                <w:szCs w:val="22"/>
              </w:rPr>
              <w:t xml:space="preserve">positive </w:t>
            </w:r>
            <w:r w:rsidR="00D465FB">
              <w:rPr>
                <w:rFonts w:ascii="Franklin Gothic Book" w:hAnsi="Franklin Gothic Book"/>
                <w:iCs/>
                <w:color w:val="auto"/>
                <w:sz w:val="22"/>
                <w:szCs w:val="22"/>
              </w:rPr>
              <w:t xml:space="preserve">cancer </w:t>
            </w:r>
            <w:r w:rsidR="00B15A86">
              <w:rPr>
                <w:rFonts w:ascii="Franklin Gothic Book" w:hAnsi="Franklin Gothic Book"/>
                <w:iCs/>
                <w:color w:val="auto"/>
                <w:sz w:val="22"/>
                <w:szCs w:val="22"/>
              </w:rPr>
              <w:t xml:space="preserve">is </w:t>
            </w:r>
            <w:r w:rsidR="00250D9A">
              <w:rPr>
                <w:rFonts w:ascii="Franklin Gothic Book" w:hAnsi="Franklin Gothic Book"/>
                <w:iCs/>
                <w:color w:val="auto"/>
                <w:sz w:val="22"/>
                <w:szCs w:val="22"/>
              </w:rPr>
              <w:t xml:space="preserve">less </w:t>
            </w:r>
            <w:r w:rsidR="00B15A86">
              <w:rPr>
                <w:rFonts w:ascii="Franklin Gothic Book" w:hAnsi="Franklin Gothic Book"/>
                <w:iCs/>
                <w:color w:val="auto"/>
                <w:sz w:val="22"/>
                <w:szCs w:val="22"/>
              </w:rPr>
              <w:t xml:space="preserve">able to repair </w:t>
            </w:r>
            <w:r w:rsidR="00B15A86" w:rsidRPr="00B15A86">
              <w:rPr>
                <w:rFonts w:ascii="Franklin Gothic Book" w:hAnsi="Franklin Gothic Book"/>
                <w:iCs/>
                <w:color w:val="auto"/>
                <w:sz w:val="22"/>
                <w:szCs w:val="22"/>
              </w:rPr>
              <w:t xml:space="preserve">breaks in </w:t>
            </w:r>
            <w:r w:rsidR="00594060">
              <w:rPr>
                <w:rFonts w:ascii="Franklin Gothic Book" w:hAnsi="Franklin Gothic Book"/>
                <w:iCs/>
                <w:color w:val="auto"/>
                <w:sz w:val="22"/>
                <w:szCs w:val="22"/>
              </w:rPr>
              <w:t>the</w:t>
            </w:r>
            <w:r w:rsidR="00974E45">
              <w:rPr>
                <w:rFonts w:ascii="Franklin Gothic Book" w:hAnsi="Franklin Gothic Book"/>
                <w:iCs/>
                <w:color w:val="auto"/>
                <w:sz w:val="22"/>
                <w:szCs w:val="22"/>
              </w:rPr>
              <w:t xml:space="preserve"> </w:t>
            </w:r>
            <w:r w:rsidR="00B15A86" w:rsidRPr="00B15A86">
              <w:rPr>
                <w:rFonts w:ascii="Franklin Gothic Book" w:hAnsi="Franklin Gothic Book"/>
                <w:iCs/>
                <w:color w:val="auto"/>
                <w:sz w:val="22"/>
                <w:szCs w:val="22"/>
              </w:rPr>
              <w:t>DNA</w:t>
            </w:r>
            <w:r>
              <w:rPr>
                <w:rFonts w:ascii="Franklin Gothic Book" w:hAnsi="Franklin Gothic Book"/>
                <w:iCs/>
                <w:color w:val="auto"/>
                <w:sz w:val="22"/>
                <w:szCs w:val="22"/>
              </w:rPr>
              <w:t xml:space="preserve"> of their cancer cells</w:t>
            </w:r>
            <w:r w:rsidR="00B15A86" w:rsidRPr="00B15A86">
              <w:rPr>
                <w:rFonts w:ascii="Franklin Gothic Book" w:hAnsi="Franklin Gothic Book"/>
                <w:iCs/>
                <w:color w:val="auto"/>
                <w:sz w:val="22"/>
                <w:szCs w:val="22"/>
              </w:rPr>
              <w:t>.</w:t>
            </w:r>
            <w:r w:rsidR="00B15A86">
              <w:rPr>
                <w:rFonts w:ascii="Franklin Gothic Book" w:hAnsi="Franklin Gothic Book"/>
                <w:iCs/>
                <w:color w:val="auto"/>
                <w:sz w:val="22"/>
                <w:szCs w:val="22"/>
              </w:rPr>
              <w:t xml:space="preserve"> </w:t>
            </w:r>
            <w:r>
              <w:rPr>
                <w:rFonts w:ascii="Franklin Gothic Book" w:hAnsi="Franklin Gothic Book"/>
                <w:iCs/>
                <w:color w:val="auto"/>
                <w:sz w:val="22"/>
                <w:szCs w:val="22"/>
              </w:rPr>
              <w:t>For this reason, these HRD positive cancers may</w:t>
            </w:r>
            <w:r w:rsidR="00152F93">
              <w:rPr>
                <w:rFonts w:ascii="Franklin Gothic Book" w:hAnsi="Franklin Gothic Book"/>
                <w:iCs/>
                <w:color w:val="auto"/>
                <w:sz w:val="22"/>
                <w:szCs w:val="22"/>
              </w:rPr>
              <w:t xml:space="preserve"> </w:t>
            </w:r>
            <w:r>
              <w:rPr>
                <w:rFonts w:ascii="Franklin Gothic Book" w:hAnsi="Franklin Gothic Book"/>
                <w:iCs/>
                <w:color w:val="auto"/>
                <w:sz w:val="22"/>
                <w:szCs w:val="22"/>
              </w:rPr>
              <w:t>be more easily killed by some cancer drugs. In the case of HRD positive o</w:t>
            </w:r>
            <w:r w:rsidR="002A67CD">
              <w:rPr>
                <w:rFonts w:ascii="Franklin Gothic Book" w:hAnsi="Franklin Gothic Book"/>
                <w:iCs/>
                <w:color w:val="auto"/>
                <w:sz w:val="22"/>
                <w:szCs w:val="22"/>
              </w:rPr>
              <w:t>varian cancer</w:t>
            </w:r>
            <w:r>
              <w:rPr>
                <w:rFonts w:ascii="Franklin Gothic Book" w:hAnsi="Franklin Gothic Book"/>
                <w:iCs/>
                <w:color w:val="auto"/>
                <w:sz w:val="22"/>
                <w:szCs w:val="22"/>
              </w:rPr>
              <w:t xml:space="preserve">, </w:t>
            </w:r>
            <w:r w:rsidRPr="00D7046E">
              <w:rPr>
                <w:rFonts w:ascii="Franklin Gothic Book" w:hAnsi="Franklin Gothic Book"/>
                <w:iCs/>
                <w:color w:val="auto"/>
                <w:sz w:val="22"/>
                <w:szCs w:val="22"/>
              </w:rPr>
              <w:t>this</w:t>
            </w:r>
            <w:r w:rsidR="002A67CD" w:rsidRPr="00D7046E">
              <w:rPr>
                <w:rFonts w:ascii="Franklin Gothic Book" w:hAnsi="Franklin Gothic Book"/>
                <w:iCs/>
                <w:color w:val="auto"/>
                <w:sz w:val="22"/>
                <w:szCs w:val="22"/>
              </w:rPr>
              <w:t xml:space="preserve"> </w:t>
            </w:r>
            <w:r w:rsidR="00E77A43" w:rsidRPr="00D7046E">
              <w:rPr>
                <w:rFonts w:ascii="Franklin Gothic Book" w:hAnsi="Franklin Gothic Book"/>
                <w:iCs/>
                <w:color w:val="auto"/>
                <w:sz w:val="22"/>
                <w:szCs w:val="22"/>
              </w:rPr>
              <w:t>may be</w:t>
            </w:r>
            <w:r w:rsidR="002A67CD" w:rsidRPr="00D7046E">
              <w:rPr>
                <w:rFonts w:ascii="Franklin Gothic Book" w:hAnsi="Franklin Gothic Book"/>
                <w:iCs/>
                <w:color w:val="auto"/>
                <w:sz w:val="22"/>
                <w:szCs w:val="22"/>
              </w:rPr>
              <w:t xml:space="preserve"> more likely to respond to</w:t>
            </w:r>
            <w:r w:rsidR="002A67CD" w:rsidRPr="00A75241">
              <w:rPr>
                <w:rFonts w:ascii="Franklin Gothic Book" w:hAnsi="Franklin Gothic Book"/>
                <w:iCs/>
                <w:color w:val="auto"/>
                <w:sz w:val="22"/>
                <w:szCs w:val="22"/>
              </w:rPr>
              <w:t xml:space="preserve"> treatment with </w:t>
            </w:r>
            <w:proofErr w:type="spellStart"/>
            <w:r w:rsidR="002A67CD" w:rsidRPr="00A75241">
              <w:rPr>
                <w:rFonts w:ascii="Franklin Gothic Book" w:hAnsi="Franklin Gothic Book"/>
                <w:iCs/>
                <w:color w:val="auto"/>
                <w:sz w:val="22"/>
                <w:szCs w:val="22"/>
              </w:rPr>
              <w:t>olaparib</w:t>
            </w:r>
            <w:proofErr w:type="spellEnd"/>
            <w:r w:rsidR="002A67CD" w:rsidRPr="00A75241">
              <w:rPr>
                <w:rFonts w:ascii="Franklin Gothic Book" w:hAnsi="Franklin Gothic Book"/>
                <w:iCs/>
                <w:color w:val="auto"/>
                <w:sz w:val="22"/>
                <w:szCs w:val="22"/>
              </w:rPr>
              <w:t xml:space="preserve"> </w:t>
            </w:r>
            <w:r w:rsidR="00E77A43">
              <w:rPr>
                <w:rFonts w:ascii="Franklin Gothic Book" w:hAnsi="Franklin Gothic Book"/>
                <w:iCs/>
                <w:color w:val="auto"/>
                <w:sz w:val="22"/>
                <w:szCs w:val="22"/>
              </w:rPr>
              <w:t xml:space="preserve">than ovarian cancer </w:t>
            </w:r>
            <w:r w:rsidR="002A67CD">
              <w:rPr>
                <w:rFonts w:ascii="Franklin Gothic Book" w:hAnsi="Franklin Gothic Book"/>
                <w:iCs/>
                <w:color w:val="auto"/>
                <w:sz w:val="22"/>
                <w:szCs w:val="22"/>
              </w:rPr>
              <w:t xml:space="preserve">that </w:t>
            </w:r>
            <w:r w:rsidR="00E77A43">
              <w:rPr>
                <w:rFonts w:ascii="Franklin Gothic Book" w:hAnsi="Franklin Gothic Book"/>
                <w:iCs/>
                <w:color w:val="auto"/>
                <w:sz w:val="22"/>
                <w:szCs w:val="22"/>
              </w:rPr>
              <w:t>is</w:t>
            </w:r>
            <w:r w:rsidR="002A67CD">
              <w:rPr>
                <w:rFonts w:ascii="Franklin Gothic Book" w:hAnsi="Franklin Gothic Book"/>
                <w:iCs/>
                <w:color w:val="auto"/>
                <w:sz w:val="22"/>
                <w:szCs w:val="22"/>
              </w:rPr>
              <w:t xml:space="preserve"> HRD negative.</w:t>
            </w:r>
          </w:p>
          <w:p w14:paraId="1089DF0F" w14:textId="3D05C7EC" w:rsidR="00A75241" w:rsidRPr="00A75241" w:rsidRDefault="00B15A86" w:rsidP="00A75241">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Olaparib is already available on the PBS for </w:t>
            </w:r>
            <w:r w:rsidR="00DA3D1A">
              <w:rPr>
                <w:rFonts w:ascii="Franklin Gothic Book" w:hAnsi="Franklin Gothic Book"/>
                <w:iCs/>
                <w:color w:val="auto"/>
                <w:sz w:val="22"/>
                <w:szCs w:val="22"/>
              </w:rPr>
              <w:t>people whose ovarian cancer has a</w:t>
            </w:r>
            <w:r w:rsidR="00F5787E" w:rsidRPr="00DA3D1A">
              <w:rPr>
                <w:rFonts w:ascii="Franklin Gothic Book" w:hAnsi="Franklin Gothic Book"/>
                <w:color w:val="auto"/>
                <w:sz w:val="22"/>
                <w:szCs w:val="22"/>
                <w:lang w:val="en-AU"/>
              </w:rPr>
              <w:t xml:space="preserve"> pathogenic</w:t>
            </w:r>
            <w:r w:rsidR="00DA3D1A">
              <w:rPr>
                <w:rFonts w:ascii="Franklin Gothic Book" w:hAnsi="Franklin Gothic Book"/>
                <w:iCs/>
                <w:color w:val="auto"/>
                <w:sz w:val="22"/>
                <w:szCs w:val="22"/>
              </w:rPr>
              <w:t xml:space="preserve"> </w:t>
            </w:r>
            <w:r w:rsidR="00DA3D1A" w:rsidRPr="00DA3D1A">
              <w:rPr>
                <w:rFonts w:ascii="Franklin Gothic Book" w:hAnsi="Franklin Gothic Book"/>
                <w:i/>
                <w:iCs/>
                <w:color w:val="auto"/>
                <w:sz w:val="22"/>
                <w:szCs w:val="22"/>
                <w:lang w:val="en-AU"/>
              </w:rPr>
              <w:t>BRCA1</w:t>
            </w:r>
            <w:r w:rsidR="00DA3D1A" w:rsidRPr="00DA3D1A">
              <w:rPr>
                <w:rFonts w:ascii="Franklin Gothic Book" w:hAnsi="Franklin Gothic Book"/>
                <w:iCs/>
                <w:color w:val="auto"/>
                <w:sz w:val="22"/>
                <w:szCs w:val="22"/>
                <w:lang w:val="en-AU"/>
              </w:rPr>
              <w:t xml:space="preserve"> or </w:t>
            </w:r>
            <w:r w:rsidR="00DA3D1A" w:rsidRPr="00DA3D1A">
              <w:rPr>
                <w:rFonts w:ascii="Franklin Gothic Book" w:hAnsi="Franklin Gothic Book"/>
                <w:i/>
                <w:iCs/>
                <w:color w:val="auto"/>
                <w:sz w:val="22"/>
                <w:szCs w:val="22"/>
                <w:lang w:val="en-AU"/>
              </w:rPr>
              <w:t>BRCA2</w:t>
            </w:r>
            <w:r w:rsidR="00DA3D1A" w:rsidRPr="00F5787E">
              <w:rPr>
                <w:rFonts w:ascii="Franklin Gothic Book" w:hAnsi="Franklin Gothic Book"/>
                <w:color w:val="auto"/>
                <w:sz w:val="22"/>
                <w:szCs w:val="22"/>
                <w:lang w:val="en-AU"/>
              </w:rPr>
              <w:t xml:space="preserve"> </w:t>
            </w:r>
            <w:r w:rsidR="00DA3D1A" w:rsidRPr="00DA3D1A">
              <w:rPr>
                <w:rFonts w:ascii="Franklin Gothic Book" w:hAnsi="Franklin Gothic Book"/>
                <w:color w:val="auto"/>
                <w:sz w:val="22"/>
                <w:szCs w:val="22"/>
                <w:lang w:val="en-AU"/>
              </w:rPr>
              <w:t>variant</w:t>
            </w:r>
            <w:r w:rsidR="00F5787E">
              <w:rPr>
                <w:rFonts w:ascii="Franklin Gothic Book" w:hAnsi="Franklin Gothic Book"/>
                <w:color w:val="auto"/>
                <w:sz w:val="22"/>
                <w:szCs w:val="22"/>
                <w:lang w:val="en-AU"/>
              </w:rPr>
              <w:t xml:space="preserve"> </w:t>
            </w:r>
            <w:r w:rsidR="00F5787E">
              <w:rPr>
                <w:rFonts w:ascii="Franklin Gothic Book" w:hAnsi="Franklin Gothic Book"/>
                <w:iCs/>
                <w:sz w:val="22"/>
              </w:rPr>
              <w:t>(</w:t>
            </w:r>
            <w:proofErr w:type="spellStart"/>
            <w:r w:rsidR="00F5787E" w:rsidRPr="00E77A43">
              <w:rPr>
                <w:rFonts w:ascii="Franklin Gothic Book" w:hAnsi="Franklin Gothic Book"/>
                <w:i/>
                <w:sz w:val="22"/>
              </w:rPr>
              <w:t>BRCA</w:t>
            </w:r>
            <w:r w:rsidR="00F5787E">
              <w:rPr>
                <w:rFonts w:ascii="Franklin Gothic Book" w:hAnsi="Franklin Gothic Book"/>
                <w:iCs/>
                <w:sz w:val="22"/>
              </w:rPr>
              <w:t>m</w:t>
            </w:r>
            <w:proofErr w:type="spellEnd"/>
            <w:r w:rsidR="00F5787E">
              <w:rPr>
                <w:rFonts w:ascii="Franklin Gothic Book" w:hAnsi="Franklin Gothic Book"/>
                <w:iCs/>
                <w:sz w:val="22"/>
              </w:rPr>
              <w:t>)</w:t>
            </w:r>
            <w:r>
              <w:rPr>
                <w:rFonts w:ascii="Franklin Gothic Book" w:hAnsi="Franklin Gothic Book"/>
                <w:iCs/>
                <w:color w:val="auto"/>
                <w:sz w:val="22"/>
                <w:szCs w:val="22"/>
              </w:rPr>
              <w:t>.</w:t>
            </w:r>
          </w:p>
          <w:p w14:paraId="143EF242" w14:textId="51928F9B" w:rsidR="00A75241" w:rsidRPr="002A3DA4" w:rsidRDefault="00A75241" w:rsidP="00A75241">
            <w:pPr>
              <w:pStyle w:val="Default"/>
              <w:spacing w:after="240"/>
              <w:rPr>
                <w:rFonts w:ascii="Franklin Gothic Book" w:hAnsi="Franklin Gothic Book"/>
                <w:iCs/>
                <w:color w:val="auto"/>
                <w:sz w:val="22"/>
                <w:szCs w:val="22"/>
              </w:rPr>
            </w:pPr>
            <w:r w:rsidRPr="00A75241">
              <w:rPr>
                <w:rFonts w:ascii="Franklin Gothic Book" w:hAnsi="Franklin Gothic Book"/>
                <w:iCs/>
                <w:color w:val="auto"/>
                <w:sz w:val="22"/>
                <w:szCs w:val="22"/>
              </w:rPr>
              <w:t>MSAC noted that there is no accepted definition of HRD</w:t>
            </w:r>
            <w:r w:rsidR="00594060">
              <w:rPr>
                <w:rFonts w:ascii="Franklin Gothic Book" w:hAnsi="Franklin Gothic Book"/>
                <w:iCs/>
                <w:color w:val="auto"/>
                <w:sz w:val="22"/>
                <w:szCs w:val="22"/>
              </w:rPr>
              <w:t>,</w:t>
            </w:r>
            <w:r w:rsidR="00E77A43">
              <w:rPr>
                <w:rFonts w:ascii="Franklin Gothic Book" w:hAnsi="Franklin Gothic Book"/>
                <w:iCs/>
                <w:color w:val="auto"/>
                <w:sz w:val="22"/>
                <w:szCs w:val="22"/>
              </w:rPr>
              <w:t xml:space="preserve"> beyond having a cancer </w:t>
            </w:r>
            <w:r w:rsidR="00F5787E">
              <w:rPr>
                <w:rFonts w:ascii="Franklin Gothic Book" w:hAnsi="Franklin Gothic Book"/>
                <w:iCs/>
                <w:color w:val="auto"/>
                <w:sz w:val="22"/>
                <w:szCs w:val="22"/>
              </w:rPr>
              <w:t xml:space="preserve">which is </w:t>
            </w:r>
            <w:proofErr w:type="spellStart"/>
            <w:r w:rsidR="00E77A43" w:rsidRPr="00E77A43">
              <w:rPr>
                <w:rFonts w:ascii="Franklin Gothic Book" w:hAnsi="Franklin Gothic Book"/>
                <w:i/>
                <w:sz w:val="22"/>
              </w:rPr>
              <w:t>BRCA</w:t>
            </w:r>
            <w:r w:rsidR="00E77A43">
              <w:rPr>
                <w:rFonts w:ascii="Franklin Gothic Book" w:hAnsi="Franklin Gothic Book"/>
                <w:iCs/>
                <w:sz w:val="22"/>
              </w:rPr>
              <w:t>m</w:t>
            </w:r>
            <w:proofErr w:type="spellEnd"/>
            <w:r w:rsidRPr="00A75241">
              <w:rPr>
                <w:rFonts w:ascii="Franklin Gothic Book" w:hAnsi="Franklin Gothic Book"/>
                <w:iCs/>
                <w:color w:val="auto"/>
                <w:sz w:val="22"/>
                <w:szCs w:val="22"/>
              </w:rPr>
              <w:t xml:space="preserve">. MSAC noted that the HRD test </w:t>
            </w:r>
            <w:r w:rsidR="0059147A" w:rsidRPr="00A75241">
              <w:rPr>
                <w:rFonts w:ascii="Franklin Gothic Book" w:hAnsi="Franklin Gothic Book"/>
                <w:iCs/>
                <w:color w:val="auto"/>
                <w:sz w:val="22"/>
                <w:szCs w:val="22"/>
              </w:rPr>
              <w:t xml:space="preserve">(called Myriad My Choice Plus) </w:t>
            </w:r>
            <w:r w:rsidRPr="00A75241">
              <w:rPr>
                <w:rFonts w:ascii="Franklin Gothic Book" w:hAnsi="Franklin Gothic Book"/>
                <w:iCs/>
                <w:color w:val="auto"/>
                <w:sz w:val="22"/>
                <w:szCs w:val="22"/>
              </w:rPr>
              <w:t xml:space="preserve">used in the main clinical studies </w:t>
            </w:r>
            <w:r w:rsidR="0059147A">
              <w:rPr>
                <w:rFonts w:ascii="Franklin Gothic Book" w:hAnsi="Franklin Gothic Book"/>
                <w:iCs/>
                <w:color w:val="auto"/>
                <w:sz w:val="22"/>
                <w:szCs w:val="22"/>
              </w:rPr>
              <w:t xml:space="preserve">of </w:t>
            </w:r>
            <w:proofErr w:type="spellStart"/>
            <w:proofErr w:type="gramStart"/>
            <w:r w:rsidR="0059147A">
              <w:rPr>
                <w:rFonts w:ascii="Franklin Gothic Book" w:hAnsi="Franklin Gothic Book"/>
                <w:iCs/>
                <w:color w:val="auto"/>
                <w:sz w:val="22"/>
                <w:szCs w:val="22"/>
              </w:rPr>
              <w:t>olaparib</w:t>
            </w:r>
            <w:proofErr w:type="spellEnd"/>
            <w:proofErr w:type="gramEnd"/>
            <w:r w:rsidR="0059147A">
              <w:rPr>
                <w:rFonts w:ascii="Franklin Gothic Book" w:hAnsi="Franklin Gothic Book"/>
                <w:iCs/>
                <w:color w:val="auto"/>
                <w:sz w:val="22"/>
                <w:szCs w:val="22"/>
              </w:rPr>
              <w:t xml:space="preserve"> and similar medicines </w:t>
            </w:r>
            <w:r w:rsidRPr="00A75241">
              <w:rPr>
                <w:rFonts w:ascii="Franklin Gothic Book" w:hAnsi="Franklin Gothic Book"/>
                <w:iCs/>
                <w:color w:val="auto"/>
                <w:sz w:val="22"/>
                <w:szCs w:val="22"/>
              </w:rPr>
              <w:t xml:space="preserve">was not the same test as the one that would be used in Australia. These </w:t>
            </w:r>
            <w:r w:rsidR="00E77A43">
              <w:rPr>
                <w:rFonts w:ascii="Franklin Gothic Book" w:hAnsi="Franklin Gothic Book"/>
                <w:iCs/>
                <w:color w:val="auto"/>
                <w:sz w:val="22"/>
                <w:szCs w:val="22"/>
              </w:rPr>
              <w:t xml:space="preserve">different </w:t>
            </w:r>
            <w:r w:rsidRPr="00A75241">
              <w:rPr>
                <w:rFonts w:ascii="Franklin Gothic Book" w:hAnsi="Franklin Gothic Book"/>
                <w:iCs/>
                <w:color w:val="auto"/>
                <w:sz w:val="22"/>
                <w:szCs w:val="22"/>
              </w:rPr>
              <w:t xml:space="preserve">tests use different </w:t>
            </w:r>
            <w:r w:rsidR="00392458">
              <w:rPr>
                <w:rFonts w:ascii="Franklin Gothic Book" w:hAnsi="Franklin Gothic Book"/>
                <w:iCs/>
                <w:color w:val="auto"/>
                <w:sz w:val="22"/>
                <w:szCs w:val="22"/>
              </w:rPr>
              <w:t xml:space="preserve">methods to </w:t>
            </w:r>
            <w:r w:rsidR="00E77A43">
              <w:rPr>
                <w:rFonts w:ascii="Franklin Gothic Book" w:hAnsi="Franklin Gothic Book"/>
                <w:iCs/>
                <w:color w:val="auto"/>
                <w:sz w:val="22"/>
                <w:szCs w:val="22"/>
              </w:rPr>
              <w:t>examine</w:t>
            </w:r>
            <w:r w:rsidR="00392458">
              <w:rPr>
                <w:rFonts w:ascii="Franklin Gothic Book" w:hAnsi="Franklin Gothic Book"/>
                <w:iCs/>
                <w:color w:val="auto"/>
                <w:sz w:val="22"/>
                <w:szCs w:val="22"/>
              </w:rPr>
              <w:t xml:space="preserve"> </w:t>
            </w:r>
            <w:r w:rsidRPr="00A75241">
              <w:rPr>
                <w:rFonts w:ascii="Franklin Gothic Book" w:hAnsi="Franklin Gothic Book"/>
                <w:iCs/>
                <w:color w:val="auto"/>
                <w:sz w:val="22"/>
                <w:szCs w:val="22"/>
              </w:rPr>
              <w:t xml:space="preserve">whether a </w:t>
            </w:r>
            <w:proofErr w:type="spellStart"/>
            <w:r w:rsidR="00392458">
              <w:rPr>
                <w:rFonts w:ascii="Franklin Gothic Book" w:hAnsi="Franklin Gothic Book"/>
                <w:iCs/>
                <w:color w:val="auto"/>
                <w:sz w:val="22"/>
                <w:szCs w:val="22"/>
              </w:rPr>
              <w:t>tumour</w:t>
            </w:r>
            <w:proofErr w:type="spellEnd"/>
            <w:r w:rsidR="00392458" w:rsidRPr="00A75241">
              <w:rPr>
                <w:rFonts w:ascii="Franklin Gothic Book" w:hAnsi="Franklin Gothic Book"/>
                <w:iCs/>
                <w:color w:val="auto"/>
                <w:sz w:val="22"/>
                <w:szCs w:val="22"/>
              </w:rPr>
              <w:t xml:space="preserve"> </w:t>
            </w:r>
            <w:r w:rsidR="0059147A">
              <w:rPr>
                <w:rFonts w:ascii="Franklin Gothic Book" w:hAnsi="Franklin Gothic Book"/>
                <w:iCs/>
                <w:color w:val="auto"/>
                <w:sz w:val="22"/>
                <w:szCs w:val="22"/>
              </w:rPr>
              <w:t>i</w:t>
            </w:r>
            <w:r w:rsidRPr="00A75241">
              <w:rPr>
                <w:rFonts w:ascii="Franklin Gothic Book" w:hAnsi="Franklin Gothic Book"/>
                <w:iCs/>
                <w:color w:val="auto"/>
                <w:sz w:val="22"/>
                <w:szCs w:val="22"/>
              </w:rPr>
              <w:t xml:space="preserve">s </w:t>
            </w:r>
            <w:r w:rsidR="00594060">
              <w:rPr>
                <w:rFonts w:ascii="Franklin Gothic Book" w:hAnsi="Franklin Gothic Book"/>
                <w:iCs/>
                <w:color w:val="auto"/>
                <w:sz w:val="22"/>
                <w:szCs w:val="22"/>
              </w:rPr>
              <w:t xml:space="preserve">considered </w:t>
            </w:r>
            <w:r w:rsidRPr="00A75241">
              <w:rPr>
                <w:rFonts w:ascii="Franklin Gothic Book" w:hAnsi="Franklin Gothic Book"/>
                <w:iCs/>
                <w:color w:val="auto"/>
                <w:sz w:val="22"/>
                <w:szCs w:val="22"/>
              </w:rPr>
              <w:t xml:space="preserve">HRD positive, and MSAC did not consider the two tests to be equivalent. The </w:t>
            </w:r>
            <w:r w:rsidR="002A67CD">
              <w:rPr>
                <w:rFonts w:ascii="Franklin Gothic Book" w:hAnsi="Franklin Gothic Book"/>
                <w:iCs/>
                <w:color w:val="auto"/>
                <w:sz w:val="22"/>
                <w:szCs w:val="22"/>
              </w:rPr>
              <w:t xml:space="preserve">way </w:t>
            </w:r>
            <w:r w:rsidR="005E0D04">
              <w:rPr>
                <w:rFonts w:ascii="Franklin Gothic Book" w:hAnsi="Franklin Gothic Book"/>
                <w:iCs/>
                <w:color w:val="auto"/>
                <w:sz w:val="22"/>
                <w:szCs w:val="22"/>
              </w:rPr>
              <w:t xml:space="preserve">each of </w:t>
            </w:r>
            <w:r w:rsidR="002A67CD">
              <w:rPr>
                <w:rFonts w:ascii="Franklin Gothic Book" w:hAnsi="Franklin Gothic Book"/>
                <w:iCs/>
                <w:color w:val="auto"/>
                <w:sz w:val="22"/>
                <w:szCs w:val="22"/>
              </w:rPr>
              <w:t xml:space="preserve">the </w:t>
            </w:r>
            <w:r w:rsidR="0059147A">
              <w:rPr>
                <w:rFonts w:ascii="Franklin Gothic Book" w:hAnsi="Franklin Gothic Book"/>
                <w:iCs/>
                <w:color w:val="auto"/>
                <w:sz w:val="22"/>
                <w:szCs w:val="22"/>
              </w:rPr>
              <w:t xml:space="preserve">two </w:t>
            </w:r>
            <w:r w:rsidR="002A67CD" w:rsidRPr="00D7046E">
              <w:rPr>
                <w:rFonts w:ascii="Franklin Gothic Book" w:hAnsi="Franklin Gothic Book"/>
                <w:iCs/>
                <w:color w:val="auto"/>
                <w:sz w:val="22"/>
                <w:szCs w:val="22"/>
              </w:rPr>
              <w:t>HRD test</w:t>
            </w:r>
            <w:r w:rsidR="0059147A" w:rsidRPr="00D7046E">
              <w:rPr>
                <w:rFonts w:ascii="Franklin Gothic Book" w:hAnsi="Franklin Gothic Book"/>
                <w:iCs/>
                <w:color w:val="auto"/>
                <w:sz w:val="22"/>
                <w:szCs w:val="22"/>
              </w:rPr>
              <w:t>s</w:t>
            </w:r>
            <w:r w:rsidR="002A67CD" w:rsidRPr="00D7046E">
              <w:rPr>
                <w:rFonts w:ascii="Franklin Gothic Book" w:hAnsi="Franklin Gothic Book"/>
                <w:iCs/>
                <w:color w:val="auto"/>
                <w:sz w:val="22"/>
                <w:szCs w:val="22"/>
              </w:rPr>
              <w:t xml:space="preserve"> work is </w:t>
            </w:r>
            <w:r w:rsidRPr="00D7046E">
              <w:rPr>
                <w:rFonts w:ascii="Franklin Gothic Book" w:hAnsi="Franklin Gothic Book"/>
                <w:iCs/>
                <w:color w:val="auto"/>
                <w:sz w:val="22"/>
                <w:szCs w:val="22"/>
              </w:rPr>
              <w:t xml:space="preserve">also </w:t>
            </w:r>
            <w:r w:rsidR="00316D59" w:rsidRPr="00D7046E">
              <w:rPr>
                <w:rFonts w:ascii="Franklin Gothic Book" w:hAnsi="Franklin Gothic Book"/>
                <w:iCs/>
                <w:color w:val="auto"/>
                <w:sz w:val="22"/>
                <w:szCs w:val="22"/>
              </w:rPr>
              <w:t xml:space="preserve">secret </w:t>
            </w:r>
            <w:r w:rsidRPr="00D7046E">
              <w:rPr>
                <w:rFonts w:ascii="Franklin Gothic Book" w:hAnsi="Franklin Gothic Book"/>
                <w:iCs/>
                <w:color w:val="auto"/>
                <w:sz w:val="22"/>
                <w:szCs w:val="22"/>
              </w:rPr>
              <w:t>(called</w:t>
            </w:r>
            <w:r w:rsidRPr="00A75241">
              <w:rPr>
                <w:rFonts w:ascii="Franklin Gothic Book" w:hAnsi="Franklin Gothic Book"/>
                <w:iCs/>
                <w:color w:val="auto"/>
                <w:sz w:val="22"/>
                <w:szCs w:val="22"/>
              </w:rPr>
              <w:t xml:space="preserve"> a “black box” algorithm) and MSAC </w:t>
            </w:r>
            <w:r w:rsidR="0059147A">
              <w:rPr>
                <w:rFonts w:ascii="Franklin Gothic Book" w:hAnsi="Franklin Gothic Book"/>
                <w:iCs/>
                <w:color w:val="auto"/>
                <w:sz w:val="22"/>
                <w:szCs w:val="22"/>
              </w:rPr>
              <w:t>considered</w:t>
            </w:r>
            <w:r w:rsidRPr="00A75241">
              <w:rPr>
                <w:rFonts w:ascii="Franklin Gothic Book" w:hAnsi="Franklin Gothic Book"/>
                <w:iCs/>
                <w:color w:val="auto"/>
                <w:sz w:val="22"/>
                <w:szCs w:val="22"/>
              </w:rPr>
              <w:t xml:space="preserve"> that this lack of transparency was important because it would </w:t>
            </w:r>
            <w:r w:rsidR="0059147A">
              <w:rPr>
                <w:rFonts w:ascii="Franklin Gothic Book" w:hAnsi="Franklin Gothic Book"/>
                <w:iCs/>
                <w:color w:val="auto"/>
                <w:sz w:val="22"/>
                <w:szCs w:val="22"/>
              </w:rPr>
              <w:t>hinder</w:t>
            </w:r>
            <w:r w:rsidRPr="00A75241">
              <w:rPr>
                <w:rFonts w:ascii="Franklin Gothic Book" w:hAnsi="Franklin Gothic Book"/>
                <w:iCs/>
                <w:color w:val="auto"/>
                <w:sz w:val="22"/>
                <w:szCs w:val="22"/>
              </w:rPr>
              <w:t xml:space="preserve"> quality ass</w:t>
            </w:r>
            <w:r w:rsidRPr="002A3DA4">
              <w:rPr>
                <w:rFonts w:ascii="Franklin Gothic Book" w:hAnsi="Franklin Gothic Book"/>
                <w:iCs/>
                <w:color w:val="auto"/>
                <w:sz w:val="22"/>
                <w:szCs w:val="22"/>
              </w:rPr>
              <w:t xml:space="preserve">urance of the </w:t>
            </w:r>
            <w:r w:rsidR="0059147A" w:rsidRPr="002A3DA4">
              <w:rPr>
                <w:rFonts w:ascii="Franklin Gothic Book" w:hAnsi="Franklin Gothic Book"/>
                <w:iCs/>
                <w:color w:val="auto"/>
                <w:sz w:val="22"/>
                <w:szCs w:val="22"/>
              </w:rPr>
              <w:t xml:space="preserve">test </w:t>
            </w:r>
            <w:r w:rsidRPr="002A3DA4">
              <w:rPr>
                <w:rFonts w:ascii="Franklin Gothic Book" w:hAnsi="Franklin Gothic Book"/>
                <w:iCs/>
                <w:color w:val="auto"/>
                <w:sz w:val="22"/>
                <w:szCs w:val="22"/>
              </w:rPr>
              <w:t xml:space="preserve">results. MSAC also </w:t>
            </w:r>
            <w:r w:rsidR="0059147A" w:rsidRPr="002A3DA4">
              <w:rPr>
                <w:rFonts w:ascii="Franklin Gothic Book" w:hAnsi="Franklin Gothic Book"/>
                <w:iCs/>
                <w:color w:val="auto"/>
                <w:sz w:val="22"/>
                <w:szCs w:val="22"/>
              </w:rPr>
              <w:t>considered</w:t>
            </w:r>
            <w:r w:rsidRPr="002A3DA4">
              <w:rPr>
                <w:rFonts w:ascii="Franklin Gothic Book" w:hAnsi="Franklin Gothic Book"/>
                <w:iCs/>
                <w:color w:val="auto"/>
                <w:sz w:val="22"/>
                <w:szCs w:val="22"/>
              </w:rPr>
              <w:t xml:space="preserve"> that the evidence is not clear about </w:t>
            </w:r>
            <w:r w:rsidR="0059147A" w:rsidRPr="002A3DA4">
              <w:rPr>
                <w:rFonts w:ascii="Franklin Gothic Book" w:hAnsi="Franklin Gothic Book"/>
                <w:iCs/>
                <w:color w:val="auto"/>
                <w:sz w:val="22"/>
                <w:szCs w:val="22"/>
              </w:rPr>
              <w:t>how well</w:t>
            </w:r>
            <w:r w:rsidRPr="002A3DA4">
              <w:rPr>
                <w:rFonts w:ascii="Franklin Gothic Book" w:hAnsi="Franklin Gothic Book"/>
                <w:iCs/>
                <w:color w:val="auto"/>
                <w:sz w:val="22"/>
                <w:szCs w:val="22"/>
              </w:rPr>
              <w:t xml:space="preserve"> a person who</w:t>
            </w:r>
            <w:r w:rsidR="0059147A" w:rsidRPr="002A3DA4">
              <w:rPr>
                <w:rFonts w:ascii="Franklin Gothic Book" w:hAnsi="Franklin Gothic Book"/>
                <w:iCs/>
                <w:color w:val="auto"/>
                <w:sz w:val="22"/>
                <w:szCs w:val="22"/>
              </w:rPr>
              <w:t xml:space="preserve">se </w:t>
            </w:r>
            <w:proofErr w:type="spellStart"/>
            <w:r w:rsidR="0059147A" w:rsidRPr="002A3DA4">
              <w:rPr>
                <w:rFonts w:ascii="Franklin Gothic Book" w:hAnsi="Franklin Gothic Book"/>
                <w:iCs/>
                <w:color w:val="auto"/>
                <w:sz w:val="22"/>
                <w:szCs w:val="22"/>
              </w:rPr>
              <w:t>tumour</w:t>
            </w:r>
            <w:proofErr w:type="spellEnd"/>
            <w:r w:rsidRPr="002A3DA4">
              <w:rPr>
                <w:rFonts w:ascii="Franklin Gothic Book" w:hAnsi="Franklin Gothic Book"/>
                <w:iCs/>
                <w:color w:val="auto"/>
                <w:sz w:val="22"/>
                <w:szCs w:val="22"/>
              </w:rPr>
              <w:t xml:space="preserve"> is HRD positive</w:t>
            </w:r>
            <w:r w:rsidR="002A67CD" w:rsidRPr="002A3DA4">
              <w:rPr>
                <w:rFonts w:ascii="Franklin Gothic Book" w:hAnsi="Franklin Gothic Book"/>
                <w:iCs/>
                <w:color w:val="auto"/>
                <w:sz w:val="22"/>
                <w:szCs w:val="22"/>
              </w:rPr>
              <w:t xml:space="preserve"> (but </w:t>
            </w:r>
            <w:r w:rsidR="0059147A" w:rsidRPr="002A3DA4">
              <w:rPr>
                <w:rFonts w:ascii="Franklin Gothic Book" w:hAnsi="Franklin Gothic Book"/>
                <w:iCs/>
                <w:color w:val="auto"/>
                <w:sz w:val="22"/>
                <w:szCs w:val="22"/>
              </w:rPr>
              <w:t xml:space="preserve">without </w:t>
            </w:r>
            <w:r w:rsidR="00FD157D" w:rsidRPr="002A3DA4">
              <w:rPr>
                <w:rFonts w:ascii="Franklin Gothic Book" w:hAnsi="Franklin Gothic Book"/>
                <w:iCs/>
                <w:color w:val="auto"/>
                <w:sz w:val="22"/>
                <w:szCs w:val="22"/>
              </w:rPr>
              <w:t xml:space="preserve">being </w:t>
            </w:r>
            <w:proofErr w:type="spellStart"/>
            <w:r w:rsidR="00FD157D" w:rsidRPr="002A3DA4">
              <w:rPr>
                <w:rFonts w:ascii="Franklin Gothic Book" w:hAnsi="Franklin Gothic Book"/>
                <w:i/>
                <w:color w:val="auto"/>
                <w:sz w:val="22"/>
                <w:szCs w:val="22"/>
              </w:rPr>
              <w:t>BRCA</w:t>
            </w:r>
            <w:r w:rsidR="00FD157D" w:rsidRPr="002A3DA4">
              <w:rPr>
                <w:rFonts w:ascii="Franklin Gothic Book" w:hAnsi="Franklin Gothic Book"/>
                <w:iCs/>
                <w:color w:val="auto"/>
                <w:sz w:val="22"/>
                <w:szCs w:val="22"/>
              </w:rPr>
              <w:t>m</w:t>
            </w:r>
            <w:proofErr w:type="spellEnd"/>
            <w:r w:rsidR="002A67CD" w:rsidRPr="002A3DA4">
              <w:rPr>
                <w:rFonts w:ascii="Franklin Gothic Book" w:hAnsi="Franklin Gothic Book"/>
                <w:iCs/>
                <w:color w:val="auto"/>
                <w:sz w:val="22"/>
                <w:szCs w:val="22"/>
              </w:rPr>
              <w:t>)</w:t>
            </w:r>
            <w:r w:rsidRPr="002A3DA4">
              <w:rPr>
                <w:rFonts w:ascii="Franklin Gothic Book" w:hAnsi="Franklin Gothic Book"/>
                <w:iCs/>
                <w:color w:val="auto"/>
                <w:sz w:val="22"/>
                <w:szCs w:val="22"/>
              </w:rPr>
              <w:t xml:space="preserve"> w</w:t>
            </w:r>
            <w:r w:rsidR="0059147A" w:rsidRPr="002A3DA4">
              <w:rPr>
                <w:rFonts w:ascii="Franklin Gothic Book" w:hAnsi="Franklin Gothic Book"/>
                <w:iCs/>
                <w:color w:val="auto"/>
                <w:sz w:val="22"/>
                <w:szCs w:val="22"/>
              </w:rPr>
              <w:t>ould</w:t>
            </w:r>
            <w:r w:rsidRPr="002A3DA4">
              <w:rPr>
                <w:rFonts w:ascii="Franklin Gothic Book" w:hAnsi="Franklin Gothic Book"/>
                <w:iCs/>
                <w:color w:val="auto"/>
                <w:sz w:val="22"/>
                <w:szCs w:val="22"/>
              </w:rPr>
              <w:t xml:space="preserve"> respond to </w:t>
            </w:r>
            <w:proofErr w:type="spellStart"/>
            <w:r w:rsidRPr="002A3DA4">
              <w:rPr>
                <w:rFonts w:ascii="Franklin Gothic Book" w:hAnsi="Franklin Gothic Book"/>
                <w:iCs/>
                <w:color w:val="auto"/>
                <w:sz w:val="22"/>
                <w:szCs w:val="22"/>
              </w:rPr>
              <w:t>olaparib</w:t>
            </w:r>
            <w:proofErr w:type="spellEnd"/>
            <w:r w:rsidRPr="002A3DA4">
              <w:rPr>
                <w:rFonts w:ascii="Franklin Gothic Book" w:hAnsi="Franklin Gothic Book"/>
                <w:iCs/>
                <w:color w:val="auto"/>
                <w:sz w:val="22"/>
                <w:szCs w:val="22"/>
              </w:rPr>
              <w:t xml:space="preserve">, so the test </w:t>
            </w:r>
            <w:r w:rsidR="0059147A" w:rsidRPr="002A3DA4">
              <w:rPr>
                <w:rFonts w:ascii="Franklin Gothic Book" w:hAnsi="Franklin Gothic Book"/>
                <w:iCs/>
                <w:color w:val="auto"/>
                <w:sz w:val="22"/>
                <w:szCs w:val="22"/>
              </w:rPr>
              <w:t xml:space="preserve">result </w:t>
            </w:r>
            <w:r w:rsidRPr="002A3DA4">
              <w:rPr>
                <w:rFonts w:ascii="Franklin Gothic Book" w:hAnsi="Franklin Gothic Book"/>
                <w:iCs/>
                <w:color w:val="auto"/>
                <w:sz w:val="22"/>
                <w:szCs w:val="22"/>
              </w:rPr>
              <w:t xml:space="preserve">might not </w:t>
            </w:r>
            <w:r w:rsidR="0059147A" w:rsidRPr="002A3DA4">
              <w:rPr>
                <w:rFonts w:ascii="Franklin Gothic Book" w:hAnsi="Franklin Gothic Book"/>
                <w:iCs/>
                <w:color w:val="auto"/>
                <w:sz w:val="22"/>
                <w:szCs w:val="22"/>
              </w:rPr>
              <w:t xml:space="preserve">predict </w:t>
            </w:r>
            <w:r w:rsidRPr="002A3DA4">
              <w:rPr>
                <w:rFonts w:ascii="Franklin Gothic Book" w:hAnsi="Franklin Gothic Book"/>
                <w:iCs/>
                <w:color w:val="auto"/>
                <w:sz w:val="22"/>
                <w:szCs w:val="22"/>
              </w:rPr>
              <w:t>improve</w:t>
            </w:r>
            <w:r w:rsidR="0059147A" w:rsidRPr="002A3DA4">
              <w:rPr>
                <w:rFonts w:ascii="Franklin Gothic Book" w:hAnsi="Franklin Gothic Book"/>
                <w:iCs/>
                <w:color w:val="auto"/>
                <w:sz w:val="22"/>
                <w:szCs w:val="22"/>
              </w:rPr>
              <w:t>d</w:t>
            </w:r>
            <w:r w:rsidRPr="002A3DA4">
              <w:rPr>
                <w:rFonts w:ascii="Franklin Gothic Book" w:hAnsi="Franklin Gothic Book"/>
                <w:iCs/>
                <w:color w:val="auto"/>
                <w:sz w:val="22"/>
                <w:szCs w:val="22"/>
              </w:rPr>
              <w:t xml:space="preserve"> clinical outcomes for patients. MSAC </w:t>
            </w:r>
            <w:r w:rsidR="0059147A" w:rsidRPr="002A3DA4">
              <w:rPr>
                <w:rFonts w:ascii="Franklin Gothic Book" w:hAnsi="Franklin Gothic Book"/>
                <w:iCs/>
                <w:color w:val="auto"/>
                <w:sz w:val="22"/>
                <w:szCs w:val="22"/>
              </w:rPr>
              <w:t xml:space="preserve">advised </w:t>
            </w:r>
            <w:r w:rsidRPr="002A3DA4">
              <w:rPr>
                <w:rFonts w:ascii="Franklin Gothic Book" w:hAnsi="Franklin Gothic Book"/>
                <w:iCs/>
                <w:color w:val="auto"/>
                <w:sz w:val="22"/>
                <w:szCs w:val="22"/>
              </w:rPr>
              <w:t xml:space="preserve">that consultation was needed with experts in this field to find out more about </w:t>
            </w:r>
            <w:r w:rsidR="0059147A" w:rsidRPr="002A3DA4">
              <w:rPr>
                <w:rFonts w:ascii="Franklin Gothic Book" w:hAnsi="Franklin Gothic Book"/>
                <w:iCs/>
                <w:color w:val="auto"/>
                <w:sz w:val="22"/>
                <w:szCs w:val="22"/>
              </w:rPr>
              <w:t xml:space="preserve">HRD, </w:t>
            </w:r>
            <w:r w:rsidRPr="002A3DA4">
              <w:rPr>
                <w:rFonts w:ascii="Franklin Gothic Book" w:hAnsi="Franklin Gothic Book"/>
                <w:iCs/>
                <w:color w:val="auto"/>
                <w:sz w:val="22"/>
                <w:szCs w:val="22"/>
              </w:rPr>
              <w:t xml:space="preserve">the </w:t>
            </w:r>
            <w:r w:rsidR="0059147A" w:rsidRPr="002A3DA4">
              <w:rPr>
                <w:rFonts w:ascii="Franklin Gothic Book" w:hAnsi="Franklin Gothic Book"/>
                <w:iCs/>
                <w:color w:val="auto"/>
                <w:sz w:val="22"/>
                <w:szCs w:val="22"/>
              </w:rPr>
              <w:t xml:space="preserve">associated </w:t>
            </w:r>
            <w:r w:rsidRPr="002A3DA4">
              <w:rPr>
                <w:rFonts w:ascii="Franklin Gothic Book" w:hAnsi="Franklin Gothic Book"/>
                <w:iCs/>
                <w:color w:val="auto"/>
                <w:sz w:val="22"/>
                <w:szCs w:val="22"/>
              </w:rPr>
              <w:t>test</w:t>
            </w:r>
            <w:r w:rsidR="0059147A" w:rsidRPr="002A3DA4">
              <w:rPr>
                <w:rFonts w:ascii="Franklin Gothic Book" w:hAnsi="Franklin Gothic Book"/>
                <w:iCs/>
                <w:color w:val="auto"/>
                <w:sz w:val="22"/>
                <w:szCs w:val="22"/>
              </w:rPr>
              <w:t>s</w:t>
            </w:r>
            <w:r w:rsidRPr="002A3DA4">
              <w:rPr>
                <w:rFonts w:ascii="Franklin Gothic Book" w:hAnsi="Franklin Gothic Book"/>
                <w:iCs/>
                <w:color w:val="auto"/>
                <w:sz w:val="22"/>
                <w:szCs w:val="22"/>
              </w:rPr>
              <w:t xml:space="preserve"> and </w:t>
            </w:r>
            <w:r w:rsidR="0059147A" w:rsidRPr="002A3DA4">
              <w:rPr>
                <w:rFonts w:ascii="Franklin Gothic Book" w:hAnsi="Franklin Gothic Book"/>
                <w:iCs/>
                <w:color w:val="auto"/>
                <w:sz w:val="22"/>
                <w:szCs w:val="22"/>
              </w:rPr>
              <w:t xml:space="preserve">their ability to predict </w:t>
            </w:r>
            <w:r w:rsidRPr="002A3DA4">
              <w:rPr>
                <w:rFonts w:ascii="Franklin Gothic Book" w:hAnsi="Franklin Gothic Book"/>
                <w:iCs/>
                <w:color w:val="auto"/>
                <w:sz w:val="22"/>
                <w:szCs w:val="22"/>
              </w:rPr>
              <w:t xml:space="preserve">how people </w:t>
            </w:r>
            <w:r w:rsidR="00AB78AA" w:rsidRPr="002A3DA4">
              <w:rPr>
                <w:rFonts w:ascii="Franklin Gothic Book" w:hAnsi="Franklin Gothic Book"/>
                <w:iCs/>
                <w:color w:val="auto"/>
                <w:sz w:val="22"/>
                <w:szCs w:val="22"/>
              </w:rPr>
              <w:t xml:space="preserve">with ovarian cancer </w:t>
            </w:r>
            <w:r w:rsidRPr="002A3DA4">
              <w:rPr>
                <w:rFonts w:ascii="Franklin Gothic Book" w:hAnsi="Franklin Gothic Book"/>
                <w:iCs/>
                <w:color w:val="auto"/>
                <w:sz w:val="22"/>
                <w:szCs w:val="22"/>
              </w:rPr>
              <w:t>respond to treatment.</w:t>
            </w:r>
          </w:p>
          <w:p w14:paraId="4DE07D1B" w14:textId="70645D4D" w:rsidR="00A75241" w:rsidRPr="00A75241" w:rsidRDefault="00A75241" w:rsidP="00A75241">
            <w:pPr>
              <w:pStyle w:val="Default"/>
              <w:spacing w:after="240"/>
              <w:rPr>
                <w:rFonts w:ascii="Franklin Gothic Book" w:hAnsi="Franklin Gothic Book"/>
                <w:iCs/>
                <w:color w:val="auto"/>
                <w:sz w:val="22"/>
                <w:szCs w:val="22"/>
              </w:rPr>
            </w:pPr>
            <w:r w:rsidRPr="002A3DA4">
              <w:rPr>
                <w:rFonts w:ascii="Franklin Gothic Book" w:hAnsi="Franklin Gothic Book"/>
                <w:iCs/>
                <w:color w:val="auto"/>
                <w:sz w:val="22"/>
                <w:szCs w:val="22"/>
              </w:rPr>
              <w:t xml:space="preserve">MSAC noted that the </w:t>
            </w:r>
            <w:r w:rsidR="0059147A" w:rsidRPr="002A3DA4">
              <w:rPr>
                <w:rFonts w:ascii="Franklin Gothic Book" w:hAnsi="Franklin Gothic Book"/>
                <w:iCs/>
                <w:color w:val="auto"/>
                <w:sz w:val="22"/>
                <w:szCs w:val="22"/>
              </w:rPr>
              <w:t xml:space="preserve">medicine </w:t>
            </w:r>
            <w:r w:rsidR="00E77A43" w:rsidRPr="002A3DA4">
              <w:rPr>
                <w:rFonts w:ascii="Franklin Gothic Book" w:hAnsi="Franklin Gothic Book"/>
                <w:iCs/>
                <w:color w:val="auto"/>
                <w:sz w:val="22"/>
                <w:szCs w:val="22"/>
              </w:rPr>
              <w:t xml:space="preserve">component of the integrated codependent </w:t>
            </w:r>
            <w:r w:rsidRPr="002A3DA4">
              <w:rPr>
                <w:rFonts w:ascii="Franklin Gothic Book" w:hAnsi="Franklin Gothic Book"/>
                <w:iCs/>
                <w:color w:val="auto"/>
                <w:sz w:val="22"/>
                <w:szCs w:val="22"/>
              </w:rPr>
              <w:t>application was considered by the PBAC</w:t>
            </w:r>
            <w:r w:rsidRPr="00A75241">
              <w:rPr>
                <w:rFonts w:ascii="Franklin Gothic Book" w:hAnsi="Franklin Gothic Book"/>
                <w:iCs/>
                <w:color w:val="auto"/>
                <w:sz w:val="22"/>
                <w:szCs w:val="22"/>
              </w:rPr>
              <w:t xml:space="preserve"> in July 2022, and the PBAC did not recommend </w:t>
            </w:r>
            <w:proofErr w:type="spellStart"/>
            <w:r w:rsidRPr="00A75241">
              <w:rPr>
                <w:rFonts w:ascii="Franklin Gothic Book" w:hAnsi="Franklin Gothic Book"/>
                <w:iCs/>
                <w:color w:val="auto"/>
                <w:sz w:val="22"/>
                <w:szCs w:val="22"/>
              </w:rPr>
              <w:t>olaparib</w:t>
            </w:r>
            <w:proofErr w:type="spellEnd"/>
            <w:r w:rsidRPr="00A75241">
              <w:rPr>
                <w:rFonts w:ascii="Franklin Gothic Book" w:hAnsi="Franklin Gothic Book"/>
                <w:iCs/>
                <w:color w:val="auto"/>
                <w:sz w:val="22"/>
                <w:szCs w:val="22"/>
              </w:rPr>
              <w:t xml:space="preserve"> in combination with bevacizumab </w:t>
            </w:r>
            <w:r w:rsidR="0059147A">
              <w:rPr>
                <w:rFonts w:ascii="Franklin Gothic Book" w:hAnsi="Franklin Gothic Book"/>
                <w:iCs/>
                <w:color w:val="auto"/>
                <w:sz w:val="22"/>
                <w:szCs w:val="22"/>
              </w:rPr>
              <w:t>as requested</w:t>
            </w:r>
            <w:r w:rsidRPr="00A75241">
              <w:rPr>
                <w:rFonts w:ascii="Franklin Gothic Book" w:hAnsi="Franklin Gothic Book"/>
                <w:iCs/>
                <w:color w:val="auto"/>
                <w:sz w:val="22"/>
                <w:szCs w:val="22"/>
              </w:rPr>
              <w:t>.</w:t>
            </w:r>
            <w:r w:rsidR="0059147A">
              <w:rPr>
                <w:rFonts w:ascii="Franklin Gothic Book" w:hAnsi="Franklin Gothic Book"/>
                <w:iCs/>
                <w:color w:val="auto"/>
                <w:sz w:val="22"/>
                <w:szCs w:val="22"/>
              </w:rPr>
              <w:t xml:space="preserve"> In doing so, the PBAC also referred questions to MSAC that could not be addressed satisfactorily based on the information available to MSAC.</w:t>
            </w:r>
          </w:p>
          <w:p w14:paraId="382C5850" w14:textId="64589609" w:rsidR="00A75241" w:rsidRPr="00A75241" w:rsidRDefault="00A75241" w:rsidP="00A75241">
            <w:pPr>
              <w:pStyle w:val="Default"/>
              <w:spacing w:after="240"/>
              <w:rPr>
                <w:rFonts w:ascii="Franklin Gothic Book" w:hAnsi="Franklin Gothic Book"/>
                <w:b/>
                <w:bCs/>
                <w:iCs/>
                <w:color w:val="auto"/>
                <w:sz w:val="22"/>
                <w:szCs w:val="22"/>
              </w:rPr>
            </w:pPr>
            <w:r w:rsidRPr="00A75241">
              <w:rPr>
                <w:rFonts w:ascii="Franklin Gothic Book" w:hAnsi="Franklin Gothic Book"/>
                <w:b/>
                <w:bCs/>
                <w:iCs/>
                <w:color w:val="auto"/>
                <w:sz w:val="22"/>
                <w:szCs w:val="22"/>
              </w:rPr>
              <w:t xml:space="preserve">MSAC’s advice to the </w:t>
            </w:r>
            <w:bookmarkStart w:id="4" w:name="_Int_YkJtnHTF"/>
            <w:proofErr w:type="gramStart"/>
            <w:r w:rsidRPr="00A75241">
              <w:rPr>
                <w:rFonts w:ascii="Franklin Gothic Book" w:hAnsi="Franklin Gothic Book"/>
                <w:b/>
                <w:bCs/>
                <w:iCs/>
                <w:color w:val="auto"/>
                <w:sz w:val="22"/>
                <w:szCs w:val="22"/>
              </w:rPr>
              <w:t>Commonwealth Minister</w:t>
            </w:r>
            <w:bookmarkEnd w:id="4"/>
            <w:proofErr w:type="gramEnd"/>
            <w:r w:rsidRPr="00A75241">
              <w:rPr>
                <w:rFonts w:ascii="Franklin Gothic Book" w:hAnsi="Franklin Gothic Book"/>
                <w:b/>
                <w:bCs/>
                <w:iCs/>
                <w:color w:val="auto"/>
                <w:sz w:val="22"/>
                <w:szCs w:val="22"/>
              </w:rPr>
              <w:t xml:space="preserve"> for Health</w:t>
            </w:r>
            <w:r w:rsidR="00C9558E">
              <w:rPr>
                <w:rFonts w:ascii="Franklin Gothic Book" w:hAnsi="Franklin Gothic Book"/>
                <w:b/>
                <w:bCs/>
                <w:iCs/>
                <w:color w:val="auto"/>
                <w:sz w:val="22"/>
                <w:szCs w:val="22"/>
              </w:rPr>
              <w:t xml:space="preserve"> and Aged Care</w:t>
            </w:r>
          </w:p>
          <w:p w14:paraId="3043D5E3" w14:textId="61C9D4BA" w:rsidR="004C0EB2" w:rsidRDefault="00A75241" w:rsidP="00A75241">
            <w:pPr>
              <w:pStyle w:val="Default"/>
              <w:spacing w:after="240"/>
              <w:rPr>
                <w:i/>
                <w:color w:val="auto"/>
              </w:rPr>
            </w:pPr>
            <w:r w:rsidRPr="00A75241">
              <w:rPr>
                <w:rFonts w:ascii="Franklin Gothic Book" w:hAnsi="Franklin Gothic Book"/>
                <w:iCs/>
                <w:color w:val="auto"/>
                <w:sz w:val="22"/>
                <w:szCs w:val="22"/>
              </w:rPr>
              <w:t xml:space="preserve">MSAC did not support funding of the test to </w:t>
            </w:r>
            <w:r w:rsidR="0059147A">
              <w:rPr>
                <w:rFonts w:ascii="Franklin Gothic Book" w:hAnsi="Franklin Gothic Book"/>
                <w:iCs/>
                <w:color w:val="auto"/>
                <w:sz w:val="22"/>
                <w:szCs w:val="22"/>
              </w:rPr>
              <w:t>detect</w:t>
            </w:r>
            <w:r w:rsidRPr="00A75241">
              <w:rPr>
                <w:rFonts w:ascii="Franklin Gothic Book" w:hAnsi="Franklin Gothic Book"/>
                <w:iCs/>
                <w:color w:val="auto"/>
                <w:sz w:val="22"/>
                <w:szCs w:val="22"/>
              </w:rPr>
              <w:t xml:space="preserve"> HRD status. MSAC </w:t>
            </w:r>
            <w:r w:rsidR="0059147A">
              <w:rPr>
                <w:rFonts w:ascii="Franklin Gothic Book" w:hAnsi="Franklin Gothic Book"/>
                <w:iCs/>
                <w:color w:val="auto"/>
                <w:sz w:val="22"/>
                <w:szCs w:val="22"/>
              </w:rPr>
              <w:t>considered</w:t>
            </w:r>
            <w:r w:rsidRPr="00A75241">
              <w:rPr>
                <w:rFonts w:ascii="Franklin Gothic Book" w:hAnsi="Franklin Gothic Book"/>
                <w:iCs/>
                <w:color w:val="auto"/>
                <w:sz w:val="22"/>
                <w:szCs w:val="22"/>
              </w:rPr>
              <w:t xml:space="preserve"> that more information is needed, including a</w:t>
            </w:r>
            <w:r w:rsidR="005E0D04">
              <w:rPr>
                <w:rFonts w:ascii="Franklin Gothic Book" w:hAnsi="Franklin Gothic Book"/>
                <w:iCs/>
                <w:color w:val="auto"/>
                <w:sz w:val="22"/>
                <w:szCs w:val="22"/>
              </w:rPr>
              <w:t xml:space="preserve">n internationally agreed </w:t>
            </w:r>
            <w:r w:rsidRPr="00A75241">
              <w:rPr>
                <w:rFonts w:ascii="Franklin Gothic Book" w:hAnsi="Franklin Gothic Book"/>
                <w:iCs/>
                <w:color w:val="auto"/>
                <w:sz w:val="22"/>
                <w:szCs w:val="22"/>
              </w:rPr>
              <w:t xml:space="preserve">clear definition of HRD positive and clear evidence that HRD status can predict how a person will respond to </w:t>
            </w:r>
            <w:proofErr w:type="spellStart"/>
            <w:r w:rsidRPr="00A75241">
              <w:rPr>
                <w:rFonts w:ascii="Franklin Gothic Book" w:hAnsi="Franklin Gothic Book"/>
                <w:iCs/>
                <w:color w:val="auto"/>
                <w:sz w:val="22"/>
                <w:szCs w:val="22"/>
              </w:rPr>
              <w:t>olaparib</w:t>
            </w:r>
            <w:proofErr w:type="spellEnd"/>
            <w:r w:rsidRPr="00A75241">
              <w:rPr>
                <w:rFonts w:ascii="Franklin Gothic Book" w:hAnsi="Franklin Gothic Book"/>
                <w:iCs/>
                <w:color w:val="auto"/>
                <w:sz w:val="22"/>
                <w:szCs w:val="22"/>
              </w:rPr>
              <w:t>.</w:t>
            </w:r>
          </w:p>
        </w:tc>
      </w:tr>
    </w:tbl>
    <w:p w14:paraId="52BEFA37" w14:textId="77777777" w:rsidR="004C0EB2" w:rsidRPr="004C0EB2" w:rsidRDefault="004C0EB2" w:rsidP="004C0EB2">
      <w:pPr>
        <w:keepNext/>
        <w:keepLines/>
        <w:spacing w:before="360" w:after="240"/>
        <w:jc w:val="left"/>
        <w:outlineLvl w:val="1"/>
        <w:rPr>
          <w:rFonts w:ascii="Franklin Gothic Medium" w:eastAsiaTheme="majorEastAsia" w:hAnsi="Franklin Gothic Medium" w:cstheme="majorBidi"/>
          <w:color w:val="000000" w:themeColor="text1"/>
          <w:sz w:val="32"/>
          <w:szCs w:val="26"/>
        </w:rPr>
      </w:pPr>
      <w:r w:rsidRPr="004C0EB2">
        <w:rPr>
          <w:rFonts w:ascii="Franklin Gothic Medium" w:eastAsiaTheme="majorEastAsia" w:hAnsi="Franklin Gothic Medium" w:cstheme="majorBidi"/>
          <w:color w:val="000000" w:themeColor="text1"/>
          <w:sz w:val="32"/>
          <w:szCs w:val="26"/>
        </w:rPr>
        <w:lastRenderedPageBreak/>
        <w:t>3.</w:t>
      </w:r>
      <w:r w:rsidRPr="004C0EB2">
        <w:rPr>
          <w:rFonts w:ascii="Franklin Gothic Medium" w:eastAsiaTheme="majorEastAsia" w:hAnsi="Franklin Gothic Medium" w:cstheme="majorBidi"/>
          <w:color w:val="000000" w:themeColor="text1"/>
          <w:sz w:val="32"/>
          <w:szCs w:val="26"/>
        </w:rPr>
        <w:tab/>
        <w:t>Summary of consideration and rationale for MSAC’s advice</w:t>
      </w:r>
    </w:p>
    <w:p w14:paraId="71FE5B3D" w14:textId="56D9FE95" w:rsidR="00A75241" w:rsidRPr="00A75241" w:rsidRDefault="00A75241" w:rsidP="00A75241">
      <w:pPr>
        <w:jc w:val="left"/>
      </w:pPr>
      <w:r w:rsidRPr="00A75241">
        <w:t xml:space="preserve">MSAC noted that the purpose of the </w:t>
      </w:r>
      <w:r w:rsidR="00E77A43">
        <w:t xml:space="preserve">integrated </w:t>
      </w:r>
      <w:r w:rsidRPr="00A75241">
        <w:t xml:space="preserve">codependent application was to seek Medicare Benefits Schedule (MBS) funding for testing of tumour tissue for the detection of HRD status to determine eligibility for Pharmaceutical Benefits Scheme– (PBS-) funded </w:t>
      </w:r>
      <w:proofErr w:type="spellStart"/>
      <w:r w:rsidRPr="00A75241">
        <w:t>olaparib</w:t>
      </w:r>
      <w:proofErr w:type="spellEnd"/>
      <w:r w:rsidRPr="00A75241">
        <w:t xml:space="preserve"> in combination with bevacizumab as maintenance therapy for women with newly diagnosed </w:t>
      </w:r>
      <w:bookmarkStart w:id="5" w:name="_Hlk111488939"/>
      <w:r w:rsidRPr="00A75241">
        <w:t xml:space="preserve">HRD-positive </w:t>
      </w:r>
      <w:proofErr w:type="spellStart"/>
      <w:r w:rsidRPr="00A75241">
        <w:rPr>
          <w:i/>
          <w:iCs/>
        </w:rPr>
        <w:t>BRCA</w:t>
      </w:r>
      <w:r w:rsidRPr="00A75241">
        <w:t>wt</w:t>
      </w:r>
      <w:proofErr w:type="spellEnd"/>
      <w:r w:rsidRPr="00A75241">
        <w:t xml:space="preserve"> </w:t>
      </w:r>
      <w:bookmarkEnd w:id="5"/>
      <w:r w:rsidRPr="00A75241">
        <w:t>(wild type) advanced epithelial ovarian</w:t>
      </w:r>
      <w:r w:rsidR="00496A45">
        <w:t>,</w:t>
      </w:r>
      <w:r w:rsidRPr="00A75241">
        <w:t xml:space="preserve"> fallopian tube or primary peritoneal cancer</w:t>
      </w:r>
      <w:r w:rsidR="00496A45">
        <w:t xml:space="preserve"> (referred to as ov</w:t>
      </w:r>
      <w:r w:rsidR="0059147A">
        <w:t>a</w:t>
      </w:r>
      <w:r w:rsidR="00496A45">
        <w:t>rian cancer for brevity)</w:t>
      </w:r>
      <w:r w:rsidRPr="00A75241">
        <w:t xml:space="preserve">. </w:t>
      </w:r>
      <w:r w:rsidR="00B83E7A">
        <w:t xml:space="preserve">Olaparib is a </w:t>
      </w:r>
      <w:r w:rsidR="00B83E7A" w:rsidRPr="00B83E7A">
        <w:t>poly</w:t>
      </w:r>
      <w:r w:rsidR="00B87AD7">
        <w:t xml:space="preserve"> </w:t>
      </w:r>
      <w:r w:rsidR="00B83E7A" w:rsidRPr="00B83E7A">
        <w:t>(adenosine diphosphate–ribose) polymerase (PARP) inhibitor</w:t>
      </w:r>
      <w:r w:rsidR="00B83E7A">
        <w:t xml:space="preserve">. </w:t>
      </w:r>
      <w:r w:rsidRPr="00A75241">
        <w:t xml:space="preserve">The </w:t>
      </w:r>
      <w:r w:rsidR="006255E8">
        <w:t xml:space="preserve">medicine component of this </w:t>
      </w:r>
      <w:r w:rsidRPr="00A75241">
        <w:t xml:space="preserve">application was considered by the Pharmaceutical Benefits Advisory Committee (PBAC) in July 2022, and the PBAC did not recommend </w:t>
      </w:r>
      <w:proofErr w:type="spellStart"/>
      <w:r w:rsidRPr="00A75241">
        <w:t>olaparib</w:t>
      </w:r>
      <w:proofErr w:type="spellEnd"/>
      <w:r w:rsidRPr="00A75241">
        <w:t xml:space="preserve"> in combination with bevacizumab for this indication.</w:t>
      </w:r>
    </w:p>
    <w:p w14:paraId="4E69972B" w14:textId="4FD94FBF" w:rsidR="00610A6A" w:rsidRPr="00E2537C" w:rsidRDefault="0028726B" w:rsidP="00A75241">
      <w:pPr>
        <w:jc w:val="left"/>
        <w:rPr>
          <w:vertAlign w:val="superscript"/>
        </w:rPr>
      </w:pPr>
      <w:r w:rsidRPr="00A75241">
        <w:t xml:space="preserve">MSAC noted that </w:t>
      </w:r>
      <w:r>
        <w:t xml:space="preserve">HRD is </w:t>
      </w:r>
      <w:r w:rsidR="001F7620">
        <w:t xml:space="preserve">a concept that is </w:t>
      </w:r>
      <w:r w:rsidR="00610A6A">
        <w:t xml:space="preserve">broadly </w:t>
      </w:r>
      <w:r>
        <w:t xml:space="preserve">defined as an inability of </w:t>
      </w:r>
      <w:r w:rsidR="007369CA">
        <w:t xml:space="preserve">cells, including </w:t>
      </w:r>
      <w:r>
        <w:t>tumour cells</w:t>
      </w:r>
      <w:r w:rsidR="007369CA">
        <w:t>,</w:t>
      </w:r>
      <w:r>
        <w:t xml:space="preserve"> to effectively repair double</w:t>
      </w:r>
      <w:r>
        <w:noBreakHyphen/>
      </w:r>
      <w:proofErr w:type="spellStart"/>
      <w:r>
        <w:t>standed</w:t>
      </w:r>
      <w:proofErr w:type="spellEnd"/>
      <w:r>
        <w:t xml:space="preserve"> breaks in its DNA using the homologous repair pathway. </w:t>
      </w:r>
      <w:r w:rsidR="00C01441">
        <w:t xml:space="preserve">MSAC </w:t>
      </w:r>
      <w:r w:rsidR="007369CA">
        <w:t>considered</w:t>
      </w:r>
      <w:r w:rsidR="00C01441">
        <w:t xml:space="preserve"> that there is no </w:t>
      </w:r>
      <w:r w:rsidR="001F7620">
        <w:t xml:space="preserve">agreed definition of </w:t>
      </w:r>
      <w:r w:rsidR="00304170">
        <w:t xml:space="preserve">an </w:t>
      </w:r>
      <w:r w:rsidR="001F7620">
        <w:t xml:space="preserve">HRD </w:t>
      </w:r>
      <w:r w:rsidR="0009705E">
        <w:t xml:space="preserve">score that can be used for any HRD test </w:t>
      </w:r>
      <w:r w:rsidR="007369CA">
        <w:t>n</w:t>
      </w:r>
      <w:r w:rsidR="001F7620">
        <w:t xml:space="preserve">or a </w:t>
      </w:r>
      <w:r w:rsidR="00574354">
        <w:t>single test</w:t>
      </w:r>
      <w:r w:rsidR="00C01441">
        <w:t xml:space="preserve"> that will </w:t>
      </w:r>
      <w:r w:rsidR="007369CA">
        <w:t xml:space="preserve">definitively </w:t>
      </w:r>
      <w:r w:rsidR="00C01441">
        <w:t xml:space="preserve">identify all tumours with HRD. </w:t>
      </w:r>
      <w:r>
        <w:t xml:space="preserve">MSAC noted that there are three main </w:t>
      </w:r>
      <w:r w:rsidR="00304170">
        <w:t xml:space="preserve">approaches to </w:t>
      </w:r>
      <w:r>
        <w:t>HRD testing</w:t>
      </w:r>
      <w:r w:rsidR="004A7CF7">
        <w:t>:</w:t>
      </w:r>
      <w:r>
        <w:t xml:space="preserve"> (</w:t>
      </w:r>
      <w:proofErr w:type="spellStart"/>
      <w:r>
        <w:t>i</w:t>
      </w:r>
      <w:proofErr w:type="spellEnd"/>
      <w:r>
        <w:t xml:space="preserve">) testing for pathogenic variants in genes involved in the homologous recombination repair pathway (such as </w:t>
      </w:r>
      <w:r>
        <w:rPr>
          <w:i/>
          <w:iCs/>
        </w:rPr>
        <w:t>BRCA1/2</w:t>
      </w:r>
      <w:r>
        <w:t>)</w:t>
      </w:r>
      <w:r w:rsidR="004A7CF7">
        <w:t>;</w:t>
      </w:r>
      <w:r>
        <w:t xml:space="preserve"> (ii) functional assays of homologous repair status, </w:t>
      </w:r>
      <w:r w:rsidR="004A7CF7">
        <w:t xml:space="preserve">which is </w:t>
      </w:r>
      <w:r w:rsidR="0009705E">
        <w:t xml:space="preserve">currently </w:t>
      </w:r>
      <w:r w:rsidR="00304170">
        <w:t xml:space="preserve">used </w:t>
      </w:r>
      <w:r w:rsidR="0009705E">
        <w:t>in research settings</w:t>
      </w:r>
      <w:r w:rsidR="004A7CF7">
        <w:t>;</w:t>
      </w:r>
      <w:r w:rsidR="0009705E">
        <w:t xml:space="preserve"> </w:t>
      </w:r>
      <w:r>
        <w:t xml:space="preserve">and (iii) assessment of genomic </w:t>
      </w:r>
      <w:r w:rsidR="00951756">
        <w:t xml:space="preserve">instability or </w:t>
      </w:r>
      <w:r>
        <w:t>‘scars’</w:t>
      </w:r>
      <w:r w:rsidR="004A7CF7">
        <w:t>,</w:t>
      </w:r>
      <w:r>
        <w:t xml:space="preserve"> </w:t>
      </w:r>
      <w:r w:rsidR="00787141">
        <w:t>which are</w:t>
      </w:r>
      <w:r>
        <w:t xml:space="preserve"> mutational signatures that </w:t>
      </w:r>
      <w:proofErr w:type="gramStart"/>
      <w:r>
        <w:t>are considered to be</w:t>
      </w:r>
      <w:proofErr w:type="gramEnd"/>
      <w:r>
        <w:t xml:space="preserve"> due to HRD-related </w:t>
      </w:r>
      <w:r w:rsidRPr="00E24463">
        <w:t xml:space="preserve">genomic damage. </w:t>
      </w:r>
      <w:r w:rsidR="00610A6A" w:rsidRPr="00E24463">
        <w:t xml:space="preserve">MSAC noted the 2020 recommendations from the European Society for Medical Oncology (ESMO) on predictive biomarker testing for HRD and PARP inhibitor benefit in ovarian cancer, in which ESMO </w:t>
      </w:r>
      <w:r w:rsidR="007369CA" w:rsidRPr="00E24463">
        <w:t>reported</w:t>
      </w:r>
      <w:r w:rsidR="00610A6A" w:rsidRPr="00E24463">
        <w:t xml:space="preserve"> that the use of these tests </w:t>
      </w:r>
      <w:r w:rsidR="00F753EB" w:rsidRPr="00E24463">
        <w:t>“</w:t>
      </w:r>
      <w:r w:rsidR="00610A6A" w:rsidRPr="00E24463">
        <w:t xml:space="preserve">is limited by </w:t>
      </w:r>
      <w:r w:rsidR="00F753EB" w:rsidRPr="00E24463">
        <w:t>a</w:t>
      </w:r>
      <w:r w:rsidR="00610A6A" w:rsidRPr="00E24463">
        <w:t xml:space="preserve"> failure to consistently identify a subgroup of patients who derive no benefit from PARP inhibitors</w:t>
      </w:r>
      <w:r w:rsidR="00F753EB" w:rsidRPr="00E24463">
        <w:t xml:space="preserve"> in most studies”</w:t>
      </w:r>
      <w:r w:rsidR="00610A6A" w:rsidRPr="00E24463">
        <w:t>.</w:t>
      </w:r>
      <w:r w:rsidR="00610A6A" w:rsidRPr="00E24463">
        <w:rPr>
          <w:rStyle w:val="FootnoteReference"/>
        </w:rPr>
        <w:footnoteReference w:id="2"/>
      </w:r>
      <w:r w:rsidR="00610A6A" w:rsidRPr="00A75241">
        <w:t xml:space="preserve"> </w:t>
      </w:r>
      <w:r w:rsidR="00610A6A">
        <w:t xml:space="preserve">MSAC considered the </w:t>
      </w:r>
      <w:r w:rsidR="009849C0">
        <w:t xml:space="preserve">lack of </w:t>
      </w:r>
      <w:r w:rsidR="007369CA">
        <w:t xml:space="preserve">an </w:t>
      </w:r>
      <w:r w:rsidR="00D75459">
        <w:t xml:space="preserve">accepted definition of HRD and the failure of HRD tests to consistently identify patients who will </w:t>
      </w:r>
      <w:r w:rsidR="007369CA">
        <w:t>derive less or no</w:t>
      </w:r>
      <w:r w:rsidR="00D75459">
        <w:t xml:space="preserve"> benefit from PARP inhibitor therapy </w:t>
      </w:r>
      <w:r w:rsidR="007369CA">
        <w:t>re</w:t>
      </w:r>
      <w:r w:rsidR="00D75459" w:rsidRPr="000A47D2">
        <w:t>present</w:t>
      </w:r>
      <w:r w:rsidR="007369CA">
        <w:t>ed</w:t>
      </w:r>
      <w:r w:rsidR="00D75459" w:rsidRPr="000A47D2">
        <w:t xml:space="preserve"> substantial limitations for this application.</w:t>
      </w:r>
      <w:r w:rsidR="00EB1F28">
        <w:t xml:space="preserve"> In particular, </w:t>
      </w:r>
      <w:r w:rsidR="007B34BA">
        <w:t xml:space="preserve">MSAC considered that </w:t>
      </w:r>
      <w:r w:rsidR="00EB1F28">
        <w:t xml:space="preserve">the effects of </w:t>
      </w:r>
      <w:r w:rsidR="00EB1F28" w:rsidRPr="00EB1F28">
        <w:rPr>
          <w:i/>
          <w:iCs/>
        </w:rPr>
        <w:t>BRCA</w:t>
      </w:r>
      <w:r w:rsidR="00EB1F28">
        <w:t xml:space="preserve"> as the dominant </w:t>
      </w:r>
      <w:r w:rsidR="00EB1F28" w:rsidRPr="00A75241">
        <w:rPr>
          <w:snapToGrid w:val="0"/>
        </w:rPr>
        <w:t>homologous recombination repair (</w:t>
      </w:r>
      <w:r w:rsidR="00EB1F28">
        <w:t xml:space="preserve">HRR) gene over other HRR genes (as measured by the surrogate of genomic instability) </w:t>
      </w:r>
      <w:r w:rsidR="00D62B5C">
        <w:t xml:space="preserve">for predicting response with PARP inhibitors in ovarian cancer </w:t>
      </w:r>
      <w:r w:rsidR="00EB1F28">
        <w:t xml:space="preserve">are </w:t>
      </w:r>
      <w:r w:rsidR="00974E45">
        <w:t>inconsisten</w:t>
      </w:r>
      <w:r w:rsidR="00532E87">
        <w:t xml:space="preserve">t </w:t>
      </w:r>
      <w:r w:rsidR="0095509F">
        <w:t xml:space="preserve">as the results across the </w:t>
      </w:r>
      <w:r w:rsidR="00DF00A9">
        <w:t xml:space="preserve">various </w:t>
      </w:r>
      <w:r w:rsidR="0095509F">
        <w:t xml:space="preserve">subgroups differed across the key trials </w:t>
      </w:r>
      <w:r w:rsidR="00D91883">
        <w:t>(see</w:t>
      </w:r>
      <w:r w:rsidR="00E15BE1">
        <w:t xml:space="preserve"> </w:t>
      </w:r>
      <w:r w:rsidR="00E15BE1">
        <w:fldChar w:fldCharType="begin"/>
      </w:r>
      <w:r w:rsidR="00E15BE1">
        <w:instrText xml:space="preserve"> REF _Ref111812690 \h </w:instrText>
      </w:r>
      <w:r w:rsidR="00E15BE1">
        <w:fldChar w:fldCharType="separate"/>
      </w:r>
      <w:r w:rsidR="00E15BE1">
        <w:t xml:space="preserve">Table </w:t>
      </w:r>
      <w:r w:rsidR="00E15BE1">
        <w:rPr>
          <w:noProof/>
        </w:rPr>
        <w:t>1</w:t>
      </w:r>
      <w:r w:rsidR="00E15BE1">
        <w:fldChar w:fldCharType="end"/>
      </w:r>
      <w:r w:rsidR="00E15BE1">
        <w:t xml:space="preserve"> and</w:t>
      </w:r>
      <w:r w:rsidR="00D91883">
        <w:t xml:space="preserve"> </w:t>
      </w:r>
      <w:r w:rsidR="00576A21">
        <w:fldChar w:fldCharType="begin"/>
      </w:r>
      <w:r w:rsidR="00576A21">
        <w:instrText xml:space="preserve"> REF _Ref111818372 \h </w:instrText>
      </w:r>
      <w:r w:rsidR="00576A21">
        <w:fldChar w:fldCharType="separate"/>
      </w:r>
      <w:r w:rsidR="00576A21">
        <w:t xml:space="preserve">Table </w:t>
      </w:r>
      <w:r w:rsidR="00576A21">
        <w:rPr>
          <w:noProof/>
        </w:rPr>
        <w:t>17</w:t>
      </w:r>
      <w:r w:rsidR="00576A21">
        <w:fldChar w:fldCharType="end"/>
      </w:r>
      <w:r w:rsidR="00D91883">
        <w:t>)</w:t>
      </w:r>
      <w:r w:rsidR="007B34BA">
        <w:t xml:space="preserve">. This is important given the definition of the proposed subgroup to be eligible for </w:t>
      </w:r>
      <w:proofErr w:type="spellStart"/>
      <w:r w:rsidR="007B34BA">
        <w:t>olaparib</w:t>
      </w:r>
      <w:proofErr w:type="spellEnd"/>
      <w:r w:rsidR="007B34BA">
        <w:t xml:space="preserve">, which is a proposed combination of </w:t>
      </w:r>
      <w:r w:rsidR="007B34BA" w:rsidRPr="00F753EB">
        <w:rPr>
          <w:i/>
          <w:iCs/>
        </w:rPr>
        <w:t>BRCA1/2</w:t>
      </w:r>
      <w:r w:rsidR="007B34BA">
        <w:t xml:space="preserve"> st</w:t>
      </w:r>
      <w:r w:rsidR="00EE77CB">
        <w:t>a</w:t>
      </w:r>
      <w:r w:rsidR="007B34BA">
        <w:t xml:space="preserve">tus and </w:t>
      </w:r>
      <w:r w:rsidR="007B34BA" w:rsidRPr="00E24463">
        <w:t>genomic instability status</w:t>
      </w:r>
      <w:r w:rsidR="00F753EB" w:rsidRPr="00E24463">
        <w:t xml:space="preserve"> compared to either </w:t>
      </w:r>
      <w:r w:rsidR="00F753EB" w:rsidRPr="00E24463">
        <w:rPr>
          <w:i/>
          <w:iCs/>
        </w:rPr>
        <w:t>BRCA1/2</w:t>
      </w:r>
      <w:r w:rsidR="00F753EB" w:rsidRPr="00E24463">
        <w:t xml:space="preserve"> status or genomic instability status alone.</w:t>
      </w:r>
      <w:r w:rsidR="007B34BA" w:rsidRPr="00E24463">
        <w:t xml:space="preserve"> MSAC also noted that the Royal College of Pathologists Australasia</w:t>
      </w:r>
      <w:r w:rsidR="00304170" w:rsidRPr="00E24463">
        <w:t xml:space="preserve"> had raised similar concerns and </w:t>
      </w:r>
      <w:r w:rsidR="00EE77CB" w:rsidRPr="00E24463">
        <w:t xml:space="preserve">it </w:t>
      </w:r>
      <w:r w:rsidR="00304170" w:rsidRPr="00E24463">
        <w:t>did not support the application</w:t>
      </w:r>
      <w:r w:rsidR="007B34BA" w:rsidRPr="00E24463">
        <w:t>.</w:t>
      </w:r>
      <w:r w:rsidR="00E2537C">
        <w:rPr>
          <w:rStyle w:val="FootnoteReference"/>
        </w:rPr>
        <w:footnoteReference w:id="3"/>
      </w:r>
    </w:p>
    <w:p w14:paraId="531EECA8" w14:textId="47C7D861" w:rsidR="009C187A" w:rsidRDefault="00A75241" w:rsidP="00A75241">
      <w:pPr>
        <w:jc w:val="left"/>
      </w:pPr>
      <w:r w:rsidRPr="00A75241">
        <w:t xml:space="preserve">MSAC noted that the application was for an MBS item for a validated HRD test that was agnostic to the </w:t>
      </w:r>
      <w:r w:rsidR="000A47D2">
        <w:t xml:space="preserve">approach for assessing HRD, including </w:t>
      </w:r>
      <w:r w:rsidR="000A47D2" w:rsidRPr="00A75241">
        <w:t>components of genomic scar markers to determine genomic instability</w:t>
      </w:r>
      <w:r w:rsidRPr="00A75241">
        <w:t xml:space="preserve">. </w:t>
      </w:r>
      <w:r w:rsidR="009C187A" w:rsidRPr="00A75241">
        <w:t xml:space="preserve">MSAC considered that the proposed fee of </w:t>
      </w:r>
      <w:r w:rsidR="009C187A" w:rsidRPr="00B3437A">
        <w:t>$2,500</w:t>
      </w:r>
      <w:r w:rsidR="009C187A" w:rsidRPr="00A75241">
        <w:t xml:space="preserve"> (which was not specified in the MBS item descriptor but was used for the economic and financial analysis) was not fully justified</w:t>
      </w:r>
      <w:r w:rsidR="009C187A">
        <w:t xml:space="preserve"> and seemed excessive for the costs of conducting the assay and the bioinformatics</w:t>
      </w:r>
      <w:r w:rsidR="009C187A" w:rsidRPr="00A75241">
        <w:t>.</w:t>
      </w:r>
      <w:r w:rsidR="009C187A">
        <w:t xml:space="preserve"> MSAC noted the potential for patients to incur further out-of-</w:t>
      </w:r>
      <w:r w:rsidR="003E5728">
        <w:t>pocket</w:t>
      </w:r>
      <w:r w:rsidR="009C187A">
        <w:t xml:space="preserve"> costs for this testing given that the commercial tests sell for higher prices overseas.</w:t>
      </w:r>
    </w:p>
    <w:p w14:paraId="69D84EBD" w14:textId="4C977FF3" w:rsidR="00A75241" w:rsidRDefault="00A75241" w:rsidP="00A75241">
      <w:pPr>
        <w:jc w:val="left"/>
      </w:pPr>
      <w:r w:rsidRPr="00A75241">
        <w:t xml:space="preserve">The proposed test for </w:t>
      </w:r>
      <w:r w:rsidR="00CA5465">
        <w:t xml:space="preserve">initial </w:t>
      </w:r>
      <w:r w:rsidRPr="00A75241">
        <w:t xml:space="preserve">implementation – the </w:t>
      </w:r>
      <w:proofErr w:type="spellStart"/>
      <w:r w:rsidRPr="00A75241">
        <w:t>SOPHiA</w:t>
      </w:r>
      <w:proofErr w:type="spellEnd"/>
      <w:r w:rsidRPr="00A75241">
        <w:t xml:space="preserve"> HRD assay – uses next</w:t>
      </w:r>
      <w:r w:rsidR="002F0BC8">
        <w:t xml:space="preserve"> </w:t>
      </w:r>
      <w:r w:rsidRPr="00A75241">
        <w:t xml:space="preserve">generation sequencing (NGS) </w:t>
      </w:r>
      <w:r w:rsidR="000A47D2">
        <w:t xml:space="preserve">that performs </w:t>
      </w:r>
      <w:r w:rsidR="00E15BE1" w:rsidRPr="000A47D2">
        <w:t>l</w:t>
      </w:r>
      <w:r w:rsidR="000A47D2" w:rsidRPr="000A47D2">
        <w:t xml:space="preserve">ow-pass </w:t>
      </w:r>
      <w:r w:rsidR="00E15BE1" w:rsidRPr="000A47D2">
        <w:t>whole genome sequ</w:t>
      </w:r>
      <w:r w:rsidR="000A47D2" w:rsidRPr="000A47D2">
        <w:t>encing (</w:t>
      </w:r>
      <w:proofErr w:type="spellStart"/>
      <w:r w:rsidR="000A47D2" w:rsidRPr="000A47D2">
        <w:t>lpWGS</w:t>
      </w:r>
      <w:proofErr w:type="spellEnd"/>
      <w:r w:rsidR="000A47D2" w:rsidRPr="000A47D2">
        <w:t xml:space="preserve">) </w:t>
      </w:r>
      <w:r w:rsidRPr="00A75241">
        <w:t>on tumour samples to generate a</w:t>
      </w:r>
      <w:r w:rsidR="00CA5465">
        <w:t>n aggregated</w:t>
      </w:r>
      <w:r w:rsidRPr="00A75241">
        <w:t xml:space="preserve"> genomic instability </w:t>
      </w:r>
      <w:r w:rsidR="00EE062D">
        <w:t>r</w:t>
      </w:r>
      <w:r w:rsidRPr="00A75241">
        <w:t>e</w:t>
      </w:r>
      <w:r w:rsidR="00EE062D">
        <w:t>sult</w:t>
      </w:r>
      <w:r w:rsidRPr="00A75241">
        <w:t xml:space="preserve"> known as the </w:t>
      </w:r>
      <w:r w:rsidR="00EE062D">
        <w:t>G</w:t>
      </w:r>
      <w:r w:rsidRPr="00A75241">
        <w:t xml:space="preserve">enomic </w:t>
      </w:r>
      <w:r w:rsidR="00EE062D">
        <w:t>I</w:t>
      </w:r>
      <w:r w:rsidRPr="00A75241">
        <w:t xml:space="preserve">ntegrity </w:t>
      </w:r>
      <w:r w:rsidR="00EE062D">
        <w:t>I</w:t>
      </w:r>
      <w:r w:rsidRPr="00A75241">
        <w:t>ndex (GII)</w:t>
      </w:r>
      <w:r w:rsidR="00992828">
        <w:t xml:space="preserve">, focusing on </w:t>
      </w:r>
      <w:r w:rsidR="00992828" w:rsidRPr="000D1583">
        <w:t>loss of heterozygosity (</w:t>
      </w:r>
      <w:r w:rsidR="00992828">
        <w:t xml:space="preserve">LOH) and </w:t>
      </w:r>
      <w:r w:rsidR="00175853">
        <w:t>some deletions and some insertions</w:t>
      </w:r>
      <w:r w:rsidRPr="00A75241">
        <w:t xml:space="preserve">. Using the </w:t>
      </w:r>
      <w:proofErr w:type="spellStart"/>
      <w:r w:rsidRPr="00A75241">
        <w:t>SOPHiA</w:t>
      </w:r>
      <w:proofErr w:type="spellEnd"/>
      <w:r w:rsidRPr="00A75241">
        <w:t xml:space="preserve"> test, HRD positive is defined as a score greater than zero, and HRD negative is defined as a score less than zero. The GII component of the </w:t>
      </w:r>
      <w:proofErr w:type="spellStart"/>
      <w:r w:rsidRPr="00A75241">
        <w:t>SOPHiA</w:t>
      </w:r>
      <w:proofErr w:type="spellEnd"/>
      <w:r w:rsidRPr="00A75241">
        <w:t xml:space="preserve"> test is </w:t>
      </w:r>
      <w:r w:rsidR="000A47D2">
        <w:t xml:space="preserve">determined using </w:t>
      </w:r>
      <w:r w:rsidRPr="00A75241">
        <w:t>a deep-</w:t>
      </w:r>
      <w:r w:rsidRPr="00A75241">
        <w:lastRenderedPageBreak/>
        <w:t xml:space="preserve">learning algorithm (“black box”), and limited information is available on how the score is calculated. MSAC considered that this lack of transparency was an important limitation, as it </w:t>
      </w:r>
      <w:r w:rsidR="007B34BA">
        <w:t>hinders</w:t>
      </w:r>
      <w:r w:rsidRPr="00A75241">
        <w:t xml:space="preserve"> the establishment of a robust quality assurance program.</w:t>
      </w:r>
      <w:r w:rsidR="0075652B">
        <w:t xml:space="preserve"> </w:t>
      </w:r>
      <w:r w:rsidR="00D929D1">
        <w:rPr>
          <w:rFonts w:eastAsia="Calibri" w:cs="Times New Roman"/>
        </w:rPr>
        <w:t xml:space="preserve">MSAC noted that the </w:t>
      </w:r>
      <w:proofErr w:type="spellStart"/>
      <w:r w:rsidR="00D929D1" w:rsidRPr="00D929D1">
        <w:rPr>
          <w:rFonts w:eastAsia="Calibri" w:cs="Times New Roman"/>
        </w:rPr>
        <w:t>SOPHiA</w:t>
      </w:r>
      <w:proofErr w:type="spellEnd"/>
      <w:r w:rsidR="00D929D1" w:rsidRPr="00D929D1">
        <w:rPr>
          <w:rFonts w:eastAsia="Calibri" w:cs="Times New Roman"/>
        </w:rPr>
        <w:t xml:space="preserve"> HRD assay</w:t>
      </w:r>
      <w:r w:rsidR="00D929D1">
        <w:rPr>
          <w:rFonts w:eastAsia="Calibri" w:cs="Times New Roman"/>
        </w:rPr>
        <w:t xml:space="preserve"> </w:t>
      </w:r>
      <w:r w:rsidR="005A47FC">
        <w:rPr>
          <w:rFonts w:eastAsia="Calibri" w:cs="Times New Roman"/>
        </w:rPr>
        <w:t>also performs targeted sequencing of</w:t>
      </w:r>
      <w:r w:rsidR="00D929D1">
        <w:rPr>
          <w:rFonts w:eastAsia="Calibri" w:cs="Times New Roman"/>
        </w:rPr>
        <w:t xml:space="preserve"> genes involved in the homologous recombination pathway. </w:t>
      </w:r>
      <w:r w:rsidR="00582C8F">
        <w:t xml:space="preserve">MSAC noted the </w:t>
      </w:r>
      <w:proofErr w:type="spellStart"/>
      <w:r w:rsidR="00582C8F" w:rsidRPr="00582C8F">
        <w:t>SOPHiA</w:t>
      </w:r>
      <w:proofErr w:type="spellEnd"/>
      <w:r w:rsidR="00582C8F" w:rsidRPr="00582C8F">
        <w:t xml:space="preserve"> HRD assay </w:t>
      </w:r>
      <w:r w:rsidR="00582C8F">
        <w:t xml:space="preserve">was not registered with the United States Food and Drug Administration. </w:t>
      </w:r>
      <w:r w:rsidR="0075652B" w:rsidRPr="00A75241">
        <w:t xml:space="preserve">MSAC noted that </w:t>
      </w:r>
      <w:r w:rsidR="00080609">
        <w:t xml:space="preserve">the </w:t>
      </w:r>
      <w:r w:rsidR="00CA5465">
        <w:t xml:space="preserve">Australian use of the </w:t>
      </w:r>
      <w:proofErr w:type="spellStart"/>
      <w:r w:rsidR="00080609" w:rsidRPr="00080609">
        <w:t>SOPHiA</w:t>
      </w:r>
      <w:proofErr w:type="spellEnd"/>
      <w:r w:rsidR="00080609" w:rsidRPr="00080609">
        <w:t xml:space="preserve"> HRD assay</w:t>
      </w:r>
      <w:r w:rsidR="00080609">
        <w:t xml:space="preserve"> </w:t>
      </w:r>
      <w:r w:rsidR="00CA5465">
        <w:t xml:space="preserve">as an in-house test </w:t>
      </w:r>
      <w:r w:rsidR="00080609">
        <w:t xml:space="preserve">had not </w:t>
      </w:r>
      <w:r w:rsidR="00951756">
        <w:t xml:space="preserve">yet </w:t>
      </w:r>
      <w:r w:rsidR="00080609">
        <w:t xml:space="preserve">been </w:t>
      </w:r>
      <w:r w:rsidR="0075652B">
        <w:t>accredited</w:t>
      </w:r>
      <w:r w:rsidR="0075652B" w:rsidRPr="00A75241">
        <w:t xml:space="preserve"> by the National Association of Testing Authorities (NATA)</w:t>
      </w:r>
      <w:r w:rsidR="00EB1F28">
        <w:t>. MSAC further noted</w:t>
      </w:r>
      <w:r w:rsidR="00CA5465">
        <w:t xml:space="preserve"> that standards had not yet been set for validating the use of a</w:t>
      </w:r>
      <w:r w:rsidR="00EB1F28">
        <w:t>ny</w:t>
      </w:r>
      <w:r w:rsidR="00CA5465">
        <w:t xml:space="preserve"> test </w:t>
      </w:r>
      <w:r w:rsidR="00EB1F28">
        <w:t xml:space="preserve">to be used as </w:t>
      </w:r>
      <w:r w:rsidR="00CA5465">
        <w:t>a companion diagnostic for the purposes of regulation by the Therapeutic Goods Administration (TGA)</w:t>
      </w:r>
      <w:r w:rsidR="00EB1F28">
        <w:t>, let alone an algorithm-based test like this</w:t>
      </w:r>
      <w:r w:rsidR="0075652B" w:rsidRPr="00A75241">
        <w:t>.</w:t>
      </w:r>
      <w:r w:rsidR="00951756">
        <w:t xml:space="preserve"> The pre</w:t>
      </w:r>
      <w:r w:rsidR="00EE77CB">
        <w:noBreakHyphen/>
      </w:r>
      <w:r w:rsidR="00951756">
        <w:t>MSAC response advised that NATA accreditation was expected in the third quarter of 2022.</w:t>
      </w:r>
    </w:p>
    <w:p w14:paraId="2A518F04" w14:textId="0A5169BA" w:rsidR="00A75241" w:rsidRPr="00A75241" w:rsidRDefault="00A75241" w:rsidP="00A75241">
      <w:pPr>
        <w:jc w:val="left"/>
      </w:pPr>
      <w:r w:rsidRPr="00A75241">
        <w:t xml:space="preserve">The clinical utility standard </w:t>
      </w:r>
      <w:r w:rsidR="007B34BA">
        <w:t xml:space="preserve">assay </w:t>
      </w:r>
      <w:r w:rsidRPr="00A75241">
        <w:t xml:space="preserve">is the Myriad </w:t>
      </w:r>
      <w:proofErr w:type="spellStart"/>
      <w:r w:rsidRPr="00A75241">
        <w:t>MyChoice</w:t>
      </w:r>
      <w:proofErr w:type="spellEnd"/>
      <w:r w:rsidRPr="00A75241">
        <w:t xml:space="preserve"> Plus assay, which generates a </w:t>
      </w:r>
      <w:r w:rsidR="00EE062D">
        <w:t>G</w:t>
      </w:r>
      <w:r w:rsidRPr="00A75241">
        <w:t xml:space="preserve">enomic </w:t>
      </w:r>
      <w:r w:rsidR="00EE062D">
        <w:t>I</w:t>
      </w:r>
      <w:r w:rsidRPr="00A75241">
        <w:t xml:space="preserve">nstability </w:t>
      </w:r>
      <w:r w:rsidR="00EE062D">
        <w:t>S</w:t>
      </w:r>
      <w:r w:rsidRPr="00A75241">
        <w:t>core (GIS)</w:t>
      </w:r>
      <w:r w:rsidR="00CC7D58">
        <w:t xml:space="preserve"> based on an assessment of 54,000 s</w:t>
      </w:r>
      <w:r w:rsidR="00CC7D58" w:rsidRPr="00CC7D58">
        <w:t>ingle nucleotide polymorphisms</w:t>
      </w:r>
      <w:r w:rsidR="00CC7D58">
        <w:t xml:space="preserve"> (SNPs)</w:t>
      </w:r>
      <w:r w:rsidRPr="00A75241">
        <w:t xml:space="preserve">. </w:t>
      </w:r>
      <w:r w:rsidR="000D1583">
        <w:t xml:space="preserve">The score is </w:t>
      </w:r>
      <w:r w:rsidR="00D3694A">
        <w:t xml:space="preserve">also </w:t>
      </w:r>
      <w:r w:rsidR="00EE77CB">
        <w:t xml:space="preserve">a </w:t>
      </w:r>
      <w:r w:rsidR="000D1583">
        <w:t xml:space="preserve">measure of genomic instability and is the unweighted sum of </w:t>
      </w:r>
      <w:r w:rsidR="000D1583" w:rsidRPr="000D1583">
        <w:t>LOH, telomeric allelic imbalance (TAI), and large-scale state transitions (LST)</w:t>
      </w:r>
      <w:r w:rsidR="00D929D1">
        <w:t xml:space="preserve">. </w:t>
      </w:r>
      <w:r w:rsidRPr="00A75241">
        <w:t xml:space="preserve">Using the Myriad assay, HRD positive was defined as a somatic </w:t>
      </w:r>
      <w:r w:rsidRPr="00A75241">
        <w:rPr>
          <w:i/>
          <w:iCs/>
        </w:rPr>
        <w:t>BRCA</w:t>
      </w:r>
      <w:r w:rsidRPr="00A75241">
        <w:t xml:space="preserve"> mutation or a GIS of 42 or higher. The </w:t>
      </w:r>
      <w:r w:rsidR="007B34BA">
        <w:t xml:space="preserve">threshold </w:t>
      </w:r>
      <w:r w:rsidRPr="00A75241">
        <w:t xml:space="preserve">score of 42 was chosen as this represents the 5th percentile of a set of biallelic inactivated </w:t>
      </w:r>
      <w:r w:rsidRPr="00A75241">
        <w:rPr>
          <w:i/>
          <w:iCs/>
        </w:rPr>
        <w:t>BRCA1/2</w:t>
      </w:r>
      <w:r w:rsidRPr="00A75241">
        <w:t xml:space="preserve"> tumours from a </w:t>
      </w:r>
      <w:r w:rsidR="00A9172D">
        <w:t>training set</w:t>
      </w:r>
      <w:r w:rsidRPr="00A75241">
        <w:t xml:space="preserve"> of 1,0</w:t>
      </w:r>
      <w:r w:rsidR="00F753EB">
        <w:t>58</w:t>
      </w:r>
      <w:r w:rsidRPr="00A75241">
        <w:t xml:space="preserve"> tumour samples, representing 95% sensitivity for </w:t>
      </w:r>
      <w:r w:rsidRPr="00A75241">
        <w:rPr>
          <w:i/>
          <w:iCs/>
        </w:rPr>
        <w:t>BRCA</w:t>
      </w:r>
      <w:r w:rsidR="000D1583">
        <w:rPr>
          <w:i/>
          <w:iCs/>
        </w:rPr>
        <w:t>1/2</w:t>
      </w:r>
      <w:r w:rsidRPr="00A75241">
        <w:t xml:space="preserve"> pathogenic variants.</w:t>
      </w:r>
      <w:r w:rsidR="00CC7D58">
        <w:t xml:space="preserve"> MSAC queried whether the Myriad assay’s methodology for calculating the GIS had changed as the description of the methods ha</w:t>
      </w:r>
      <w:r w:rsidR="007B34BA">
        <w:t>ve</w:t>
      </w:r>
      <w:r w:rsidR="00CC7D58">
        <w:t xml:space="preserve"> changed.</w:t>
      </w:r>
    </w:p>
    <w:p w14:paraId="59145D2D" w14:textId="6C78BFA0" w:rsidR="005D3441" w:rsidRDefault="00A75241" w:rsidP="00600133">
      <w:pPr>
        <w:jc w:val="left"/>
      </w:pPr>
      <w:r w:rsidRPr="00A75241">
        <w:rPr>
          <w:rFonts w:eastAsia="Calibri" w:cs="Times New Roman"/>
        </w:rPr>
        <w:t xml:space="preserve">The submission sought to demonstrate that the </w:t>
      </w:r>
      <w:bookmarkStart w:id="6" w:name="_Hlk111442475"/>
      <w:proofErr w:type="spellStart"/>
      <w:r w:rsidRPr="00A75241">
        <w:rPr>
          <w:rFonts w:eastAsia="Calibri" w:cs="Times New Roman"/>
        </w:rPr>
        <w:t>SOPHiA</w:t>
      </w:r>
      <w:proofErr w:type="spellEnd"/>
      <w:r w:rsidRPr="00A75241">
        <w:rPr>
          <w:rFonts w:eastAsia="Calibri" w:cs="Times New Roman"/>
        </w:rPr>
        <w:t xml:space="preserve"> HRD assay’s </w:t>
      </w:r>
      <w:bookmarkEnd w:id="6"/>
      <w:r w:rsidRPr="00A75241">
        <w:rPr>
          <w:rFonts w:eastAsia="Calibri" w:cs="Times New Roman"/>
        </w:rPr>
        <w:t>GII (using a threshold of &gt;0) identified the same group of patients as the Myriad assay’s GIS (using a threshold of ≥42).</w:t>
      </w:r>
      <w:r w:rsidR="00951756">
        <w:rPr>
          <w:rFonts w:eastAsia="Calibri" w:cs="Times New Roman"/>
        </w:rPr>
        <w:t xml:space="preserve"> </w:t>
      </w:r>
      <w:r w:rsidR="00600133" w:rsidRPr="00A75241">
        <w:t xml:space="preserve">MSAC noted </w:t>
      </w:r>
      <w:r w:rsidR="00600133" w:rsidRPr="00A75241">
        <w:rPr>
          <w:snapToGrid w:val="0"/>
        </w:rPr>
        <w:t xml:space="preserve">that methods of HRD testing differ in terms of the </w:t>
      </w:r>
      <w:r w:rsidR="00727A48" w:rsidRPr="00A75241">
        <w:rPr>
          <w:snapToGrid w:val="0"/>
        </w:rPr>
        <w:t>HR</w:t>
      </w:r>
      <w:r w:rsidR="00727A48">
        <w:rPr>
          <w:snapToGrid w:val="0"/>
        </w:rPr>
        <w:t>D</w:t>
      </w:r>
      <w:r w:rsidR="00727A48" w:rsidRPr="00A75241">
        <w:rPr>
          <w:snapToGrid w:val="0"/>
        </w:rPr>
        <w:t xml:space="preserve"> </w:t>
      </w:r>
      <w:r w:rsidR="00600133" w:rsidRPr="00A75241">
        <w:rPr>
          <w:snapToGrid w:val="0"/>
        </w:rPr>
        <w:t xml:space="preserve">genes and the types of genomic instability they detect, as well as how the </w:t>
      </w:r>
      <w:r w:rsidR="00A9172D">
        <w:rPr>
          <w:snapToGrid w:val="0"/>
        </w:rPr>
        <w:t xml:space="preserve">status </w:t>
      </w:r>
      <w:r w:rsidR="00600133" w:rsidRPr="00A75241">
        <w:rPr>
          <w:snapToGrid w:val="0"/>
        </w:rPr>
        <w:t xml:space="preserve">of </w:t>
      </w:r>
      <w:r w:rsidR="00727A48" w:rsidRPr="00A75241">
        <w:rPr>
          <w:snapToGrid w:val="0"/>
        </w:rPr>
        <w:t>HR</w:t>
      </w:r>
      <w:r w:rsidR="00727A48">
        <w:rPr>
          <w:snapToGrid w:val="0"/>
        </w:rPr>
        <w:t>D</w:t>
      </w:r>
      <w:r w:rsidR="00727A48" w:rsidRPr="00A75241">
        <w:rPr>
          <w:snapToGrid w:val="0"/>
        </w:rPr>
        <w:t xml:space="preserve"> </w:t>
      </w:r>
      <w:r w:rsidR="00A9172D">
        <w:rPr>
          <w:snapToGrid w:val="0"/>
        </w:rPr>
        <w:t xml:space="preserve">genes </w:t>
      </w:r>
      <w:r w:rsidR="00600133" w:rsidRPr="00A75241">
        <w:rPr>
          <w:snapToGrid w:val="0"/>
        </w:rPr>
        <w:t xml:space="preserve">and </w:t>
      </w:r>
      <w:r w:rsidR="00BE61AD">
        <w:rPr>
          <w:snapToGrid w:val="0"/>
        </w:rPr>
        <w:t xml:space="preserve">genomic instability </w:t>
      </w:r>
      <w:r w:rsidR="00A9172D">
        <w:rPr>
          <w:snapToGrid w:val="0"/>
        </w:rPr>
        <w:t>are</w:t>
      </w:r>
      <w:r w:rsidR="00600133" w:rsidRPr="00A75241">
        <w:rPr>
          <w:snapToGrid w:val="0"/>
        </w:rPr>
        <w:t xml:space="preserve"> scored by the bespoke (often proprietary) algorithms with a threshold that is unique to each algorithm</w:t>
      </w:r>
      <w:r w:rsidR="00D10045">
        <w:rPr>
          <w:snapToGrid w:val="0"/>
        </w:rPr>
        <w:t>.</w:t>
      </w:r>
      <w:r w:rsidR="00600133" w:rsidRPr="00A75241">
        <w:rPr>
          <w:snapToGrid w:val="0"/>
        </w:rPr>
        <w:t xml:space="preserve"> </w:t>
      </w:r>
      <w:r w:rsidR="00D10045">
        <w:rPr>
          <w:snapToGrid w:val="0"/>
        </w:rPr>
        <w:t xml:space="preserve">MSAC noted that these algorithms </w:t>
      </w:r>
      <w:r w:rsidR="00A9172D">
        <w:rPr>
          <w:snapToGrid w:val="0"/>
        </w:rPr>
        <w:t xml:space="preserve">therefore </w:t>
      </w:r>
      <w:r w:rsidR="00D10045">
        <w:rPr>
          <w:snapToGrid w:val="0"/>
        </w:rPr>
        <w:t xml:space="preserve">differ in the types of genomic instability detected. </w:t>
      </w:r>
      <w:r w:rsidR="005D3441" w:rsidRPr="005D3441">
        <w:rPr>
          <w:snapToGrid w:val="0"/>
        </w:rPr>
        <w:t xml:space="preserve">Based on the available methodological data, MSAC considered that </w:t>
      </w:r>
      <w:proofErr w:type="spellStart"/>
      <w:r w:rsidR="005D3441" w:rsidRPr="005D3441">
        <w:rPr>
          <w:snapToGrid w:val="0"/>
        </w:rPr>
        <w:t>SOPHiA</w:t>
      </w:r>
      <w:proofErr w:type="spellEnd"/>
      <w:r w:rsidR="005D3441" w:rsidRPr="005D3441">
        <w:rPr>
          <w:snapToGrid w:val="0"/>
        </w:rPr>
        <w:t xml:space="preserve"> HRD assay and the Myriad assay may produce similar assessments on LOH although the two tests used different methods (</w:t>
      </w:r>
      <w:proofErr w:type="spellStart"/>
      <w:r w:rsidR="005D3441" w:rsidRPr="005D3441">
        <w:rPr>
          <w:snapToGrid w:val="0"/>
        </w:rPr>
        <w:t>lpWGS</w:t>
      </w:r>
      <w:proofErr w:type="spellEnd"/>
      <w:r w:rsidR="005D3441" w:rsidRPr="005D3441">
        <w:rPr>
          <w:snapToGrid w:val="0"/>
        </w:rPr>
        <w:t xml:space="preserve"> and genome-wide single nucleotide variant testing, respectively). MSAC considered the </w:t>
      </w:r>
      <w:proofErr w:type="spellStart"/>
      <w:r w:rsidR="005D3441" w:rsidRPr="005D3441">
        <w:rPr>
          <w:snapToGrid w:val="0"/>
        </w:rPr>
        <w:t>SOPHiA</w:t>
      </w:r>
      <w:proofErr w:type="spellEnd"/>
      <w:r w:rsidR="005D3441" w:rsidRPr="005D3441">
        <w:rPr>
          <w:snapToGrid w:val="0"/>
        </w:rPr>
        <w:t xml:space="preserve"> HRD assay may identify other genomic </w:t>
      </w:r>
      <w:r w:rsidR="003E5728" w:rsidRPr="005D3441">
        <w:rPr>
          <w:snapToGrid w:val="0"/>
        </w:rPr>
        <w:t>aberrations</w:t>
      </w:r>
      <w:r w:rsidR="005D3441" w:rsidRPr="005D3441">
        <w:rPr>
          <w:snapToGrid w:val="0"/>
        </w:rPr>
        <w:t xml:space="preserve"> such as deletions and duplications. MSAC considered the </w:t>
      </w:r>
      <w:proofErr w:type="spellStart"/>
      <w:r w:rsidR="005D3441" w:rsidRPr="005D3441">
        <w:rPr>
          <w:snapToGrid w:val="0"/>
        </w:rPr>
        <w:t>SOPHiA</w:t>
      </w:r>
      <w:proofErr w:type="spellEnd"/>
      <w:r w:rsidR="005D3441" w:rsidRPr="005D3441">
        <w:rPr>
          <w:snapToGrid w:val="0"/>
        </w:rPr>
        <w:t xml:space="preserve"> HRD assay might capture chromosomal inversions depen</w:t>
      </w:r>
      <w:r w:rsidR="00A9172D">
        <w:rPr>
          <w:snapToGrid w:val="0"/>
        </w:rPr>
        <w:t>d</w:t>
      </w:r>
      <w:r w:rsidR="005D3441" w:rsidRPr="005D3441">
        <w:rPr>
          <w:snapToGrid w:val="0"/>
        </w:rPr>
        <w:t xml:space="preserve">ing on their location. </w:t>
      </w:r>
      <w:r w:rsidR="00600133" w:rsidRPr="00A75241">
        <w:rPr>
          <w:snapToGrid w:val="0"/>
        </w:rPr>
        <w:t xml:space="preserve">As such, </w:t>
      </w:r>
      <w:r w:rsidR="00D05DF1">
        <w:rPr>
          <w:snapToGrid w:val="0"/>
        </w:rPr>
        <w:t xml:space="preserve">MSAC concluded that </w:t>
      </w:r>
      <w:r w:rsidR="00600133" w:rsidRPr="00A75241">
        <w:rPr>
          <w:snapToGrid w:val="0"/>
        </w:rPr>
        <w:t xml:space="preserve">these different methods may not </w:t>
      </w:r>
      <w:r w:rsidR="00BE61AD">
        <w:rPr>
          <w:snapToGrid w:val="0"/>
        </w:rPr>
        <w:t xml:space="preserve">consistently </w:t>
      </w:r>
      <w:r w:rsidR="00600133" w:rsidRPr="00A75241">
        <w:rPr>
          <w:snapToGrid w:val="0"/>
        </w:rPr>
        <w:t xml:space="preserve">provide </w:t>
      </w:r>
      <w:r w:rsidR="00BA699A">
        <w:rPr>
          <w:snapToGrid w:val="0"/>
        </w:rPr>
        <w:t xml:space="preserve">concordant </w:t>
      </w:r>
      <w:r w:rsidR="00600133" w:rsidRPr="00A75241">
        <w:rPr>
          <w:snapToGrid w:val="0"/>
        </w:rPr>
        <w:t xml:space="preserve">results </w:t>
      </w:r>
      <w:r w:rsidR="00BE61AD">
        <w:rPr>
          <w:snapToGrid w:val="0"/>
        </w:rPr>
        <w:t>n</w:t>
      </w:r>
      <w:r w:rsidR="00600133" w:rsidRPr="00A75241">
        <w:rPr>
          <w:snapToGrid w:val="0"/>
        </w:rPr>
        <w:t xml:space="preserve">or identify </w:t>
      </w:r>
      <w:r w:rsidR="00BA699A">
        <w:rPr>
          <w:snapToGrid w:val="0"/>
        </w:rPr>
        <w:t>similar</w:t>
      </w:r>
      <w:r w:rsidR="009E200E">
        <w:rPr>
          <w:snapToGrid w:val="0"/>
        </w:rPr>
        <w:t xml:space="preserve"> </w:t>
      </w:r>
      <w:r w:rsidR="00600133" w:rsidRPr="00A75241">
        <w:rPr>
          <w:snapToGrid w:val="0"/>
        </w:rPr>
        <w:t>populations</w:t>
      </w:r>
      <w:r w:rsidR="00BE61AD">
        <w:rPr>
          <w:snapToGrid w:val="0"/>
        </w:rPr>
        <w:t xml:space="preserve"> as having genomic instability</w:t>
      </w:r>
      <w:r w:rsidR="00600133" w:rsidRPr="00A75241">
        <w:rPr>
          <w:snapToGrid w:val="0"/>
        </w:rPr>
        <w:t>.</w:t>
      </w:r>
    </w:p>
    <w:p w14:paraId="15E84494" w14:textId="4B87D365" w:rsidR="00A75241" w:rsidRPr="00A75241" w:rsidRDefault="00600133" w:rsidP="00A75241">
      <w:pPr>
        <w:jc w:val="left"/>
        <w:rPr>
          <w:rFonts w:eastAsia="Calibri" w:cs="Times New Roman"/>
        </w:rPr>
      </w:pPr>
      <w:r w:rsidRPr="00A75241">
        <w:rPr>
          <w:snapToGrid w:val="0"/>
        </w:rPr>
        <w:t xml:space="preserve">MSAC </w:t>
      </w:r>
      <w:r w:rsidR="00816281">
        <w:rPr>
          <w:snapToGrid w:val="0"/>
        </w:rPr>
        <w:t>expressed</w:t>
      </w:r>
      <w:r w:rsidRPr="00A75241">
        <w:rPr>
          <w:snapToGrid w:val="0"/>
        </w:rPr>
        <w:t xml:space="preserve"> concerns with setting binary thresholds for HRD positive or negative, as there is no distinct point at which an individual can be classified as either positive or negative; similarly, there is no distinct point at which the </w:t>
      </w:r>
      <w:r w:rsidR="00BE61AD">
        <w:rPr>
          <w:snapToGrid w:val="0"/>
        </w:rPr>
        <w:t xml:space="preserve">codependent </w:t>
      </w:r>
      <w:r w:rsidRPr="00A75241">
        <w:rPr>
          <w:snapToGrid w:val="0"/>
        </w:rPr>
        <w:t>treatment will or will not be effective</w:t>
      </w:r>
      <w:r w:rsidR="00BE61AD">
        <w:rPr>
          <w:snapToGrid w:val="0"/>
        </w:rPr>
        <w:t xml:space="preserve"> </w:t>
      </w:r>
      <w:r w:rsidR="00D05DF1">
        <w:rPr>
          <w:snapToGrid w:val="0"/>
        </w:rPr>
        <w:t>(</w:t>
      </w:r>
      <w:r w:rsidR="00BE61AD">
        <w:rPr>
          <w:snapToGrid w:val="0"/>
        </w:rPr>
        <w:t xml:space="preserve">or </w:t>
      </w:r>
      <w:r w:rsidR="00D05DF1">
        <w:rPr>
          <w:snapToGrid w:val="0"/>
        </w:rPr>
        <w:t xml:space="preserve">will </w:t>
      </w:r>
      <w:r w:rsidR="00BE61AD">
        <w:rPr>
          <w:snapToGrid w:val="0"/>
        </w:rPr>
        <w:t xml:space="preserve">be </w:t>
      </w:r>
      <w:proofErr w:type="gramStart"/>
      <w:r w:rsidR="00BE61AD">
        <w:rPr>
          <w:snapToGrid w:val="0"/>
        </w:rPr>
        <w:t>more or less effective</w:t>
      </w:r>
      <w:proofErr w:type="gramEnd"/>
      <w:r w:rsidR="00D05DF1">
        <w:rPr>
          <w:snapToGrid w:val="0"/>
        </w:rPr>
        <w:t>)</w:t>
      </w:r>
      <w:r w:rsidRPr="00A75241">
        <w:rPr>
          <w:snapToGrid w:val="0"/>
        </w:rPr>
        <w:t xml:space="preserve">. The threshold used to define HRD positivity to determine eligibility for PARP inhibitors also depends on the test used, and the </w:t>
      </w:r>
      <w:r w:rsidR="00BE61AD">
        <w:rPr>
          <w:snapToGrid w:val="0"/>
        </w:rPr>
        <w:t xml:space="preserve">performance of the </w:t>
      </w:r>
      <w:r w:rsidRPr="00A75241">
        <w:rPr>
          <w:snapToGrid w:val="0"/>
        </w:rPr>
        <w:t>test</w:t>
      </w:r>
      <w:r w:rsidR="00BE61AD">
        <w:rPr>
          <w:snapToGrid w:val="0"/>
        </w:rPr>
        <w:t>s is intended to</w:t>
      </w:r>
      <w:r w:rsidRPr="00A75241">
        <w:rPr>
          <w:snapToGrid w:val="0"/>
        </w:rPr>
        <w:t xml:space="preserve"> improve the more </w:t>
      </w:r>
      <w:r w:rsidR="00BE61AD">
        <w:rPr>
          <w:snapToGrid w:val="0"/>
        </w:rPr>
        <w:t xml:space="preserve">test </w:t>
      </w:r>
      <w:r w:rsidR="00EB1F28">
        <w:rPr>
          <w:snapToGrid w:val="0"/>
        </w:rPr>
        <w:t>samples</w:t>
      </w:r>
      <w:r w:rsidR="00BE61AD">
        <w:rPr>
          <w:snapToGrid w:val="0"/>
        </w:rPr>
        <w:t xml:space="preserve"> </w:t>
      </w:r>
      <w:r w:rsidRPr="00A75241">
        <w:rPr>
          <w:snapToGrid w:val="0"/>
        </w:rPr>
        <w:t>are added to inform the</w:t>
      </w:r>
      <w:r w:rsidR="00BE61AD">
        <w:rPr>
          <w:snapToGrid w:val="0"/>
        </w:rPr>
        <w:t>ir</w:t>
      </w:r>
      <w:r w:rsidRPr="00A75241">
        <w:rPr>
          <w:snapToGrid w:val="0"/>
        </w:rPr>
        <w:t xml:space="preserve"> algorithm</w:t>
      </w:r>
      <w:r w:rsidR="00BE61AD">
        <w:rPr>
          <w:snapToGrid w:val="0"/>
        </w:rPr>
        <w:t>s</w:t>
      </w:r>
      <w:r w:rsidR="00992828">
        <w:rPr>
          <w:snapToGrid w:val="0"/>
        </w:rPr>
        <w:t>, thus narrowing the confidence intervals around the performance statistics</w:t>
      </w:r>
      <w:r w:rsidR="00681CEE">
        <w:rPr>
          <w:snapToGrid w:val="0"/>
        </w:rPr>
        <w:t xml:space="preserve"> (</w:t>
      </w:r>
      <w:proofErr w:type="gramStart"/>
      <w:r w:rsidR="00681CEE">
        <w:rPr>
          <w:snapToGrid w:val="0"/>
        </w:rPr>
        <w:t>assuming that</w:t>
      </w:r>
      <w:proofErr w:type="gramEnd"/>
      <w:r w:rsidR="00681CEE">
        <w:rPr>
          <w:snapToGrid w:val="0"/>
        </w:rPr>
        <w:t xml:space="preserve"> the same </w:t>
      </w:r>
      <w:r w:rsidR="009D7268">
        <w:rPr>
          <w:snapToGrid w:val="0"/>
        </w:rPr>
        <w:t xml:space="preserve">basis for </w:t>
      </w:r>
      <w:r w:rsidR="00681CEE">
        <w:rPr>
          <w:snapToGrid w:val="0"/>
        </w:rPr>
        <w:t>defini</w:t>
      </w:r>
      <w:r w:rsidR="009D7268">
        <w:rPr>
          <w:snapToGrid w:val="0"/>
        </w:rPr>
        <w:t>ng</w:t>
      </w:r>
      <w:r w:rsidR="00681CEE">
        <w:rPr>
          <w:snapToGrid w:val="0"/>
        </w:rPr>
        <w:t xml:space="preserve"> the thre</w:t>
      </w:r>
      <w:r w:rsidR="009D7268">
        <w:rPr>
          <w:snapToGrid w:val="0"/>
        </w:rPr>
        <w:t xml:space="preserve">shold is still being </w:t>
      </w:r>
      <w:r w:rsidR="009D7268" w:rsidRPr="00CF40F9">
        <w:rPr>
          <w:snapToGrid w:val="0"/>
        </w:rPr>
        <w:t>applied – an assumption which needs to be verified for dynamic rather than fixed algorithms)</w:t>
      </w:r>
      <w:r w:rsidRPr="00CF40F9">
        <w:rPr>
          <w:snapToGrid w:val="0"/>
        </w:rPr>
        <w:t>. MSAC considered whether</w:t>
      </w:r>
      <w:r w:rsidR="00992828" w:rsidRPr="00CF40F9">
        <w:rPr>
          <w:snapToGrid w:val="0"/>
        </w:rPr>
        <w:t>, as an alternative, the</w:t>
      </w:r>
      <w:r w:rsidRPr="00CF40F9">
        <w:rPr>
          <w:snapToGrid w:val="0"/>
        </w:rPr>
        <w:t xml:space="preserve"> response to platinum-based chemotherapy in itself may be a better biomarker of </w:t>
      </w:r>
      <w:proofErr w:type="gramStart"/>
      <w:r w:rsidRPr="00CF40F9">
        <w:rPr>
          <w:snapToGrid w:val="0"/>
        </w:rPr>
        <w:t>HRD, but</w:t>
      </w:r>
      <w:proofErr w:type="gramEnd"/>
      <w:r w:rsidRPr="00CF40F9">
        <w:rPr>
          <w:snapToGrid w:val="0"/>
        </w:rPr>
        <w:t xml:space="preserve"> noted that waiting to evaluate </w:t>
      </w:r>
      <w:r w:rsidR="00D05DF1" w:rsidRPr="00CF40F9">
        <w:rPr>
          <w:snapToGrid w:val="0"/>
        </w:rPr>
        <w:t xml:space="preserve">the patient’s </w:t>
      </w:r>
      <w:r w:rsidRPr="00CF40F9">
        <w:rPr>
          <w:snapToGrid w:val="0"/>
        </w:rPr>
        <w:t>response to platinum would mean that the sample would not have the highest quality DNA for HRD testing.</w:t>
      </w:r>
    </w:p>
    <w:p w14:paraId="5B4DD7D2" w14:textId="460BD330" w:rsidR="00A75241" w:rsidRDefault="00A75241" w:rsidP="00A75241">
      <w:pPr>
        <w:jc w:val="left"/>
      </w:pPr>
      <w:r w:rsidRPr="00A75241">
        <w:t xml:space="preserve">MSAC accepted the comparator </w:t>
      </w:r>
      <w:r w:rsidR="00DE59D1">
        <w:t xml:space="preserve">for </w:t>
      </w:r>
      <w:r w:rsidR="00D8470F">
        <w:t xml:space="preserve">tumour </w:t>
      </w:r>
      <w:r w:rsidRPr="00A75241">
        <w:t xml:space="preserve">HRD testing </w:t>
      </w:r>
      <w:r w:rsidR="00D05DF1">
        <w:t>(</w:t>
      </w:r>
      <w:proofErr w:type="gramStart"/>
      <w:r w:rsidR="003E5728">
        <w:t>i.e.</w:t>
      </w:r>
      <w:proofErr w:type="gramEnd"/>
      <w:r w:rsidR="00D05DF1">
        <w:t xml:space="preserve"> combined </w:t>
      </w:r>
      <w:r w:rsidR="00D05DF1" w:rsidRPr="00A75241">
        <w:rPr>
          <w:i/>
          <w:iCs/>
        </w:rPr>
        <w:t>BRCA1/2</w:t>
      </w:r>
      <w:r w:rsidR="00D05DF1" w:rsidRPr="00A75241">
        <w:t xml:space="preserve"> </w:t>
      </w:r>
      <w:r w:rsidR="00D05DF1">
        <w:t>testing</w:t>
      </w:r>
      <w:r w:rsidR="00D05DF1" w:rsidRPr="00A75241" w:rsidDel="00DE59D1">
        <w:t xml:space="preserve"> </w:t>
      </w:r>
      <w:r w:rsidR="00D05DF1">
        <w:t xml:space="preserve">with genomic instability testing) </w:t>
      </w:r>
      <w:r w:rsidR="00DE59D1">
        <w:t>was</w:t>
      </w:r>
      <w:r w:rsidR="00DE59D1" w:rsidRPr="00A75241">
        <w:t xml:space="preserve"> </w:t>
      </w:r>
      <w:r w:rsidR="00D8470F">
        <w:t xml:space="preserve">tumour </w:t>
      </w:r>
      <w:r w:rsidRPr="00A75241">
        <w:rPr>
          <w:i/>
          <w:iCs/>
        </w:rPr>
        <w:t>BRCA1/2</w:t>
      </w:r>
      <w:r w:rsidRPr="00A75241">
        <w:t xml:space="preserve"> </w:t>
      </w:r>
      <w:r w:rsidR="00DE59D1">
        <w:t>testing</w:t>
      </w:r>
      <w:r w:rsidR="00D05DF1">
        <w:t xml:space="preserve"> alone</w:t>
      </w:r>
      <w:r w:rsidR="00D8470F">
        <w:t xml:space="preserve"> </w:t>
      </w:r>
      <w:r w:rsidR="00D8470F" w:rsidRPr="000C4977">
        <w:t>(</w:t>
      </w:r>
      <w:r w:rsidR="003E5728">
        <w:t>i.e.</w:t>
      </w:r>
      <w:r w:rsidR="00D8470F">
        <w:t xml:space="preserve"> </w:t>
      </w:r>
      <w:r w:rsidR="00D8470F" w:rsidRPr="000C4977">
        <w:t>MBS item 73301)</w:t>
      </w:r>
      <w:r w:rsidRPr="00A75241">
        <w:t>. MSAC noted that</w:t>
      </w:r>
      <w:r w:rsidR="00D05DF1">
        <w:t>, as currently,</w:t>
      </w:r>
      <w:r w:rsidRPr="00A75241">
        <w:t xml:space="preserve"> patients with </w:t>
      </w:r>
      <w:proofErr w:type="spellStart"/>
      <w:r w:rsidRPr="00A75241">
        <w:rPr>
          <w:i/>
          <w:iCs/>
        </w:rPr>
        <w:t>BRCA</w:t>
      </w:r>
      <w:r w:rsidR="00FD157D">
        <w:t>m</w:t>
      </w:r>
      <w:proofErr w:type="spellEnd"/>
      <w:r w:rsidRPr="00A75241">
        <w:t xml:space="preserve"> tumours would then undergo germline </w:t>
      </w:r>
      <w:r w:rsidR="00DD77B3">
        <w:rPr>
          <w:i/>
          <w:iCs/>
        </w:rPr>
        <w:t xml:space="preserve">BRCA1/2 </w:t>
      </w:r>
      <w:r w:rsidRPr="00A75241">
        <w:t xml:space="preserve">testing, followed by cascade testing for relatives if germline testing is positive. </w:t>
      </w:r>
      <w:r w:rsidR="00D8470F">
        <w:t xml:space="preserve">Germline </w:t>
      </w:r>
      <w:r w:rsidRPr="00A75241">
        <w:rPr>
          <w:i/>
          <w:iCs/>
        </w:rPr>
        <w:t>BRCA</w:t>
      </w:r>
      <w:r w:rsidRPr="00A75241">
        <w:t xml:space="preserve"> testing (as opposed to HRD testing) would therefore still be required to capture germline variants and for cascade testing.</w:t>
      </w:r>
    </w:p>
    <w:p w14:paraId="60FE35B8" w14:textId="286CEC29" w:rsidR="005D3441" w:rsidRPr="00A75241" w:rsidRDefault="00DD77B3" w:rsidP="00DD77B3">
      <w:pPr>
        <w:jc w:val="left"/>
      </w:pPr>
      <w:r w:rsidRPr="00A75241">
        <w:lastRenderedPageBreak/>
        <w:t>MSAC accepted the proposed clinical management algorithm and noted the proposed MBS item descriptor.</w:t>
      </w:r>
      <w:r>
        <w:t xml:space="preserve"> MSAC noted the </w:t>
      </w:r>
      <w:r w:rsidRPr="00FC631C">
        <w:t xml:space="preserve">submission presented parallel testing of tumour </w:t>
      </w:r>
      <w:r w:rsidRPr="00FC631C">
        <w:rPr>
          <w:i/>
          <w:iCs/>
        </w:rPr>
        <w:t xml:space="preserve">BRCA1/2 </w:t>
      </w:r>
      <w:r w:rsidRPr="00FC631C">
        <w:t>status</w:t>
      </w:r>
      <w:r w:rsidRPr="00FC631C">
        <w:rPr>
          <w:i/>
          <w:iCs/>
        </w:rPr>
        <w:t xml:space="preserve"> </w:t>
      </w:r>
      <w:r w:rsidRPr="00FC631C">
        <w:t xml:space="preserve">and genomic instability as the preferred testing approach. MSAC agreed that parallel testing </w:t>
      </w:r>
      <w:r w:rsidR="00175853" w:rsidRPr="00FC631C">
        <w:t xml:space="preserve">with a single combined test </w:t>
      </w:r>
      <w:r w:rsidRPr="00FC631C">
        <w:t xml:space="preserve">is </w:t>
      </w:r>
      <w:r w:rsidR="00AA30EB" w:rsidRPr="00FC631C">
        <w:t xml:space="preserve">preferred as it would be </w:t>
      </w:r>
      <w:r w:rsidRPr="00FC631C">
        <w:t>more efficient</w:t>
      </w:r>
      <w:r w:rsidR="00AA30EB" w:rsidRPr="00FC631C">
        <w:t xml:space="preserve"> </w:t>
      </w:r>
      <w:r w:rsidR="007147B6" w:rsidRPr="00FC631C">
        <w:t xml:space="preserve">use of </w:t>
      </w:r>
      <w:r w:rsidR="009252CA" w:rsidRPr="00FC631C">
        <w:t xml:space="preserve">the </w:t>
      </w:r>
      <w:r w:rsidR="007147B6" w:rsidRPr="00FC631C">
        <w:t xml:space="preserve">sample for the </w:t>
      </w:r>
      <w:r w:rsidR="009252CA" w:rsidRPr="00FC631C">
        <w:t>pathology laboratory</w:t>
      </w:r>
      <w:r w:rsidR="007147B6" w:rsidRPr="00FC631C">
        <w:t xml:space="preserve"> workflow, would more likely use the fresh tissue which gives the best genetic test results</w:t>
      </w:r>
      <w:r w:rsidR="009252CA" w:rsidRPr="00FC631C">
        <w:t xml:space="preserve"> </w:t>
      </w:r>
      <w:r w:rsidR="00AA30EB" w:rsidRPr="00FC631C">
        <w:t xml:space="preserve">and would report </w:t>
      </w:r>
      <w:r w:rsidR="007147B6" w:rsidRPr="00FC631C">
        <w:t xml:space="preserve">both </w:t>
      </w:r>
      <w:r w:rsidR="00AA30EB" w:rsidRPr="00FC631C">
        <w:t>results faster than sequential testing</w:t>
      </w:r>
      <w:r w:rsidR="009252CA" w:rsidRPr="00FC631C">
        <w:t>.</w:t>
      </w:r>
      <w:r w:rsidR="00AA30EB" w:rsidRPr="00FC631C">
        <w:t xml:space="preserve"> MSAC cons</w:t>
      </w:r>
      <w:r w:rsidR="009252CA" w:rsidRPr="00FC631C">
        <w:t>i</w:t>
      </w:r>
      <w:r w:rsidR="00AA30EB" w:rsidRPr="00FC631C">
        <w:t>dered</w:t>
      </w:r>
      <w:r w:rsidRPr="00FC631C">
        <w:t xml:space="preserve"> the logistics of sequential testing would be compl</w:t>
      </w:r>
      <w:r w:rsidR="00AA30EB" w:rsidRPr="00FC631C">
        <w:t>ex.</w:t>
      </w:r>
      <w:r w:rsidR="00727A48" w:rsidRPr="00FC631C">
        <w:t xml:space="preserve"> </w:t>
      </w:r>
      <w:r w:rsidR="005530E1" w:rsidRPr="00FC631C">
        <w:t xml:space="preserve">MSAC noted that consumers had expressed concerns that HRD testing and </w:t>
      </w:r>
      <w:proofErr w:type="spellStart"/>
      <w:r w:rsidR="005530E1" w:rsidRPr="00FC631C">
        <w:t>olaparib</w:t>
      </w:r>
      <w:proofErr w:type="spellEnd"/>
      <w:r w:rsidR="005530E1" w:rsidRPr="00FC631C">
        <w:t xml:space="preserve"> treatment w</w:t>
      </w:r>
      <w:r w:rsidR="009252CA" w:rsidRPr="00FC631C">
        <w:t>ere</w:t>
      </w:r>
      <w:r w:rsidR="005530E1" w:rsidRPr="00FC631C">
        <w:t xml:space="preserve"> widely available in other countries. MSAC advised </w:t>
      </w:r>
      <w:r w:rsidR="00BE6937" w:rsidRPr="00FC631C">
        <w:t xml:space="preserve">that HRD testing was not widely used in in the European Union, highlighting that the ESMO </w:t>
      </w:r>
      <w:r w:rsidR="004160CF" w:rsidRPr="00FC631C">
        <w:t>recom</w:t>
      </w:r>
      <w:r w:rsidR="00ED3682" w:rsidRPr="00FC631C">
        <w:t>m</w:t>
      </w:r>
      <w:r w:rsidR="004160CF" w:rsidRPr="00FC631C">
        <w:t>endations</w:t>
      </w:r>
      <w:r w:rsidR="00BE6937" w:rsidRPr="00FC631C">
        <w:t xml:space="preserve"> were not supportive of HRD testing</w:t>
      </w:r>
      <w:r w:rsidR="00022583" w:rsidRPr="00FC631C">
        <w:t>, however it has some use in the UK and widest use in the USA</w:t>
      </w:r>
      <w:r w:rsidR="00BE6937" w:rsidRPr="00FC631C">
        <w:t>. MSAC noted th</w:t>
      </w:r>
      <w:r w:rsidR="00022583" w:rsidRPr="00FC631C">
        <w:t>at</w:t>
      </w:r>
      <w:r w:rsidR="00BE6937" w:rsidRPr="00FC631C">
        <w:t xml:space="preserve"> clinicians m</w:t>
      </w:r>
      <w:r w:rsidR="00022583" w:rsidRPr="00FC631C">
        <w:t xml:space="preserve">ight </w:t>
      </w:r>
      <w:r w:rsidR="00BE6937" w:rsidRPr="00FC631C">
        <w:t xml:space="preserve">request the Myriad </w:t>
      </w:r>
      <w:proofErr w:type="spellStart"/>
      <w:r w:rsidR="00BE6937" w:rsidRPr="00FC631C">
        <w:t>MyChoice</w:t>
      </w:r>
      <w:proofErr w:type="spellEnd"/>
      <w:r w:rsidR="00BE6937" w:rsidRPr="00FC631C">
        <w:t xml:space="preserve"> </w:t>
      </w:r>
      <w:proofErr w:type="spellStart"/>
      <w:r w:rsidR="00BE6937" w:rsidRPr="00FC631C">
        <w:t>CDx</w:t>
      </w:r>
      <w:proofErr w:type="spellEnd"/>
      <w:r w:rsidR="00BE6937" w:rsidRPr="00FC631C">
        <w:t xml:space="preserve"> assay</w:t>
      </w:r>
      <w:r w:rsidR="00022583" w:rsidRPr="00FC631C">
        <w:t xml:space="preserve"> performed overseas</w:t>
      </w:r>
      <w:r w:rsidR="00BE6937" w:rsidRPr="00FC631C">
        <w:t xml:space="preserve">, however </w:t>
      </w:r>
      <w:r w:rsidR="00F96F61" w:rsidRPr="00FC631C">
        <w:t>access could depend on funding decisions by local authorities</w:t>
      </w:r>
      <w:r w:rsidR="00022583" w:rsidRPr="00FC631C">
        <w:t xml:space="preserve"> or individual patients</w:t>
      </w:r>
      <w:r w:rsidR="00F96F61" w:rsidRPr="00FC631C">
        <w:t>.</w:t>
      </w:r>
    </w:p>
    <w:p w14:paraId="36CFDE6B" w14:textId="7EB3CFE6" w:rsidR="00DD77B3" w:rsidRPr="00FC631C" w:rsidRDefault="005D3441" w:rsidP="00A75241">
      <w:pPr>
        <w:jc w:val="left"/>
      </w:pPr>
      <w:r>
        <w:rPr>
          <w:rFonts w:eastAsia="Calibri" w:cs="Times New Roman"/>
        </w:rPr>
        <w:t xml:space="preserve">The </w:t>
      </w:r>
      <w:r w:rsidRPr="00FC631C">
        <w:rPr>
          <w:rFonts w:eastAsia="Calibri" w:cs="Times New Roman"/>
        </w:rPr>
        <w:t xml:space="preserve">submission presented </w:t>
      </w:r>
      <w:r w:rsidRPr="00FC631C">
        <w:t xml:space="preserve">a validation study conducted by the </w:t>
      </w:r>
      <w:r w:rsidR="00A8205F" w:rsidRPr="00A8205F">
        <w:rPr>
          <w:color w:val="000000"/>
          <w:spacing w:val="77"/>
          <w:w w:val="85"/>
          <w:shd w:val="solid" w:color="000000" w:fill="000000"/>
          <w:fitText w:val="264" w:id="-1450960640"/>
          <w14:textFill>
            <w14:solidFill>
              <w14:srgbClr w14:val="000000">
                <w14:alpha w14:val="100000"/>
              </w14:srgbClr>
            </w14:solidFill>
          </w14:textFill>
        </w:rPr>
        <w:t>|</w:t>
      </w:r>
      <w:r w:rsidR="00A8205F" w:rsidRPr="00A8205F">
        <w:rPr>
          <w:color w:val="000000"/>
          <w:spacing w:val="1"/>
          <w:w w:val="85"/>
          <w:shd w:val="solid" w:color="000000" w:fill="000000"/>
          <w:fitText w:val="264" w:id="-1450960640"/>
          <w14:textFill>
            <w14:solidFill>
              <w14:srgbClr w14:val="000000">
                <w14:alpha w14:val="100000"/>
              </w14:srgbClr>
            </w14:solidFill>
          </w14:textFill>
        </w:rPr>
        <w:t>|</w:t>
      </w:r>
      <w:r w:rsidR="00A8205F" w:rsidRPr="00A8205F">
        <w:t xml:space="preserve"> </w:t>
      </w:r>
      <w:r w:rsidR="00022583" w:rsidRPr="00FC631C">
        <w:t>(</w:t>
      </w:r>
      <w:r w:rsidR="00A8205F" w:rsidRPr="00A8205F">
        <w:rPr>
          <w:color w:val="000000"/>
          <w:spacing w:val="73"/>
          <w:w w:val="81"/>
          <w:shd w:val="solid" w:color="000000" w:fill="000000"/>
          <w:fitText w:val="252" w:id="-1450960639"/>
          <w14:textFill>
            <w14:solidFill>
              <w14:srgbClr w14:val="000000">
                <w14:alpha w14:val="100000"/>
              </w14:srgbClr>
            </w14:solidFill>
          </w14:textFill>
        </w:rPr>
        <w:t>|</w:t>
      </w:r>
      <w:r w:rsidR="00A8205F" w:rsidRPr="00A8205F">
        <w:rPr>
          <w:color w:val="000000"/>
          <w:spacing w:val="1"/>
          <w:w w:val="81"/>
          <w:shd w:val="solid" w:color="000000" w:fill="000000"/>
          <w:fitText w:val="252" w:id="-1450960639"/>
          <w14:textFill>
            <w14:solidFill>
              <w14:srgbClr w14:val="000000">
                <w14:alpha w14:val="100000"/>
              </w14:srgbClr>
            </w14:solidFill>
          </w14:textFill>
        </w:rPr>
        <w:t>|</w:t>
      </w:r>
      <w:r w:rsidR="00022583" w:rsidRPr="00FC631C">
        <w:t>)</w:t>
      </w:r>
      <w:r w:rsidRPr="00FC631C">
        <w:t xml:space="preserve"> to demonstrate the comparative analytical performance between the </w:t>
      </w:r>
      <w:bookmarkStart w:id="7" w:name="_Hlk111467353"/>
      <w:proofErr w:type="spellStart"/>
      <w:r w:rsidRPr="00FC631C">
        <w:t>SOPHiA</w:t>
      </w:r>
      <w:proofErr w:type="spellEnd"/>
      <w:r w:rsidRPr="00FC631C">
        <w:t xml:space="preserve"> HRD assay and the Myriad </w:t>
      </w:r>
      <w:proofErr w:type="spellStart"/>
      <w:r w:rsidRPr="00FC631C">
        <w:t>MyChoice</w:t>
      </w:r>
      <w:proofErr w:type="spellEnd"/>
      <w:r w:rsidRPr="00FC631C">
        <w:t xml:space="preserve"> </w:t>
      </w:r>
      <w:proofErr w:type="spellStart"/>
      <w:r w:rsidRPr="00FC631C">
        <w:t>CDx</w:t>
      </w:r>
      <w:proofErr w:type="spellEnd"/>
      <w:r w:rsidRPr="00FC631C">
        <w:t xml:space="preserve"> assay</w:t>
      </w:r>
      <w:bookmarkEnd w:id="7"/>
      <w:r w:rsidRPr="00FC631C">
        <w:t xml:space="preserve">. </w:t>
      </w:r>
      <w:r w:rsidRPr="000975A1">
        <w:t xml:space="preserve">MSAC considered the tests were not fully concordant. The applicant’s pre-MSAC response stated that the tests had overall percentage agreement of 91%, and 100% when only samples less than 3 years old were assessed. MSAC noted that the study was not performed prospectively, rather the validation study sourced archival samples that had previously been tested using the Myriad </w:t>
      </w:r>
      <w:proofErr w:type="spellStart"/>
      <w:r w:rsidRPr="000975A1">
        <w:t>MyChoice</w:t>
      </w:r>
      <w:proofErr w:type="spellEnd"/>
      <w:r w:rsidRPr="000975A1">
        <w:t xml:space="preserve"> </w:t>
      </w:r>
      <w:proofErr w:type="spellStart"/>
      <w:r w:rsidRPr="000975A1">
        <w:t>CDx</w:t>
      </w:r>
      <w:proofErr w:type="spellEnd"/>
      <w:r w:rsidRPr="000975A1">
        <w:t xml:space="preserve"> assay. MSAC considered that a limitation of this approach was that it was uncertain whether the samples used </w:t>
      </w:r>
      <w:r w:rsidR="00022583" w:rsidRPr="000975A1">
        <w:t>for each</w:t>
      </w:r>
      <w:r w:rsidRPr="000975A1">
        <w:t xml:space="preserve"> test were derived from the same part of the tumour. MSAC considered fresh samples would be preferred for testing as formalin-fixed paraffin-embedded (FFPE) </w:t>
      </w:r>
      <w:r w:rsidR="00022583" w:rsidRPr="000975A1">
        <w:t>degrades</w:t>
      </w:r>
      <w:r w:rsidRPr="000975A1">
        <w:t xml:space="preserve"> sample</w:t>
      </w:r>
      <w:r w:rsidRPr="00FC631C">
        <w:t xml:space="preserve"> quality by the fixing processing and </w:t>
      </w:r>
      <w:r w:rsidR="00022583" w:rsidRPr="00FC631C">
        <w:t xml:space="preserve">by </w:t>
      </w:r>
      <w:r w:rsidRPr="00FC631C">
        <w:t>prolonged storage.</w:t>
      </w:r>
      <w:r w:rsidR="00816281" w:rsidRPr="00FC631C">
        <w:t xml:space="preserve"> MSAC advised that a more robust approach </w:t>
      </w:r>
      <w:r w:rsidR="00A20CA3" w:rsidRPr="00FC631C">
        <w:t xml:space="preserve">would be required, </w:t>
      </w:r>
      <w:r w:rsidR="004A7CF7" w:rsidRPr="00FC631C">
        <w:t xml:space="preserve">with adequate statistical power </w:t>
      </w:r>
      <w:r w:rsidR="00A20CA3" w:rsidRPr="00FC631C">
        <w:t>by</w:t>
      </w:r>
      <w:r w:rsidR="00816281" w:rsidRPr="00FC631C">
        <w:t xml:space="preserve"> identify</w:t>
      </w:r>
      <w:r w:rsidR="00A20CA3" w:rsidRPr="00FC631C">
        <w:t>ing</w:t>
      </w:r>
      <w:r w:rsidR="00816281" w:rsidRPr="00FC631C">
        <w:t xml:space="preserve"> </w:t>
      </w:r>
      <w:r w:rsidR="004A7CF7" w:rsidRPr="00FC631C">
        <w:t xml:space="preserve">enough </w:t>
      </w:r>
      <w:r w:rsidR="00816281" w:rsidRPr="00FC631C">
        <w:t xml:space="preserve">ovarian tumour samples that are tested with both the </w:t>
      </w:r>
      <w:proofErr w:type="spellStart"/>
      <w:r w:rsidR="00816281" w:rsidRPr="00FC631C">
        <w:t>SOPHiA</w:t>
      </w:r>
      <w:proofErr w:type="spellEnd"/>
      <w:r w:rsidR="00816281" w:rsidRPr="00FC631C">
        <w:t xml:space="preserve"> HRD assay and the Myriad </w:t>
      </w:r>
      <w:proofErr w:type="spellStart"/>
      <w:r w:rsidR="00816281" w:rsidRPr="00FC631C">
        <w:t>MyChoice</w:t>
      </w:r>
      <w:proofErr w:type="spellEnd"/>
      <w:r w:rsidR="00816281" w:rsidRPr="00FC631C">
        <w:t xml:space="preserve"> </w:t>
      </w:r>
      <w:proofErr w:type="spellStart"/>
      <w:r w:rsidR="00816281" w:rsidRPr="00FC631C">
        <w:t>CDx</w:t>
      </w:r>
      <w:proofErr w:type="spellEnd"/>
      <w:r w:rsidR="00816281" w:rsidRPr="00FC631C">
        <w:t xml:space="preserve"> assay in parallel (without knowledge of either result)</w:t>
      </w:r>
      <w:r w:rsidR="00A20CA3" w:rsidRPr="00FC631C">
        <w:t>. This would enable an</w:t>
      </w:r>
      <w:r w:rsidR="00816281" w:rsidRPr="00FC631C">
        <w:t xml:space="preserve"> </w:t>
      </w:r>
      <w:r w:rsidR="005530E1" w:rsidRPr="00FC631C">
        <w:t>assess</w:t>
      </w:r>
      <w:r w:rsidR="00A20CA3" w:rsidRPr="00FC631C">
        <w:t xml:space="preserve">ment of </w:t>
      </w:r>
      <w:r w:rsidR="005530E1" w:rsidRPr="00FC631C">
        <w:t>the comparative analytical performance</w:t>
      </w:r>
      <w:r w:rsidR="00EB1F28" w:rsidRPr="00FC631C">
        <w:t xml:space="preserve"> without questions arising about the quality and comparability of the samples</w:t>
      </w:r>
      <w:r w:rsidR="005530E1" w:rsidRPr="00FC631C">
        <w:t>.</w:t>
      </w:r>
      <w:r w:rsidR="006C31E6" w:rsidRPr="00FC631C">
        <w:t xml:space="preserve"> MSAC also advised that HRD testing should not be limited to a single provider</w:t>
      </w:r>
      <w:r w:rsidR="00A20CA3" w:rsidRPr="00FC631C">
        <w:t xml:space="preserve"> as this would provide better patient access given the expected volume of testing and back-up options </w:t>
      </w:r>
      <w:proofErr w:type="gramStart"/>
      <w:r w:rsidR="00A20CA3" w:rsidRPr="00FC631C">
        <w:t>in the event that</w:t>
      </w:r>
      <w:proofErr w:type="gramEnd"/>
      <w:r w:rsidR="00A20CA3" w:rsidRPr="00FC631C">
        <w:t xml:space="preserve"> problems </w:t>
      </w:r>
      <w:r w:rsidR="00D7046E" w:rsidRPr="00FC631C">
        <w:t>arise</w:t>
      </w:r>
      <w:r w:rsidR="00A20CA3" w:rsidRPr="00FC631C">
        <w:t xml:space="preserve"> in </w:t>
      </w:r>
      <w:r w:rsidR="00D7046E" w:rsidRPr="00FC631C">
        <w:t xml:space="preserve">a </w:t>
      </w:r>
      <w:r w:rsidR="00A20CA3" w:rsidRPr="00FC631C">
        <w:t>single laboratory</w:t>
      </w:r>
      <w:r w:rsidR="006C31E6" w:rsidRPr="00FC631C">
        <w:t>.</w:t>
      </w:r>
    </w:p>
    <w:p w14:paraId="1069A11D" w14:textId="64D0DA73" w:rsidR="00D91883" w:rsidRPr="00FC631C" w:rsidRDefault="00D91883" w:rsidP="00A75241">
      <w:pPr>
        <w:jc w:val="left"/>
      </w:pPr>
      <w:r w:rsidRPr="00FC631C">
        <w:t xml:space="preserve">MSAC advised that the concept of the clinical utility standard (in this case assay, </w:t>
      </w:r>
      <w:proofErr w:type="gramStart"/>
      <w:r w:rsidRPr="00FC631C">
        <w:t>algorithm</w:t>
      </w:r>
      <w:proofErr w:type="gramEnd"/>
      <w:r w:rsidRPr="00FC631C">
        <w:t xml:space="preserve"> and threshold) </w:t>
      </w:r>
      <w:r w:rsidR="00681CEE" w:rsidRPr="00FC631C">
        <w:t xml:space="preserve">remains </w:t>
      </w:r>
      <w:r w:rsidRPr="00FC631C">
        <w:t xml:space="preserve">relevant as a basis for judging whether to allow other test options to be used within the scope of a broad </w:t>
      </w:r>
      <w:r w:rsidR="00681CEE" w:rsidRPr="00FC631C">
        <w:t xml:space="preserve">MBS </w:t>
      </w:r>
      <w:r w:rsidRPr="00FC631C">
        <w:t>item descriptor. However</w:t>
      </w:r>
      <w:r w:rsidR="0094480A">
        <w:t>,</w:t>
      </w:r>
      <w:r w:rsidRPr="00FC631C">
        <w:t xml:space="preserve"> in the context of this application, more fundamental concerns regarding the different definitions of genomic instability (in this case assay, </w:t>
      </w:r>
      <w:proofErr w:type="gramStart"/>
      <w:r w:rsidRPr="00FC631C">
        <w:t>algorithm</w:t>
      </w:r>
      <w:proofErr w:type="gramEnd"/>
      <w:r w:rsidRPr="00FC631C">
        <w:t xml:space="preserve"> and threshold) in the context of different definitions of HRD status needed clearer resolution as a prerequisite to accepting this concept</w:t>
      </w:r>
      <w:r w:rsidR="00681CEE" w:rsidRPr="00FC631C">
        <w:t xml:space="preserve"> for this purpose</w:t>
      </w:r>
      <w:r w:rsidRPr="00FC631C">
        <w:t>.</w:t>
      </w:r>
      <w:r w:rsidR="00681CEE" w:rsidRPr="00FC631C">
        <w:t xml:space="preserve"> In addition, MSAC anticipated that a means to reconcile across the different clinical utility standards used across different PARP inhibitor trials would need to </w:t>
      </w:r>
      <w:r w:rsidR="00606989" w:rsidRPr="00FC631C">
        <w:t xml:space="preserve">be </w:t>
      </w:r>
      <w:r w:rsidR="00681CEE" w:rsidRPr="00FC631C">
        <w:t>determined to future-proof the proposed MBS item for HRD testing.</w:t>
      </w:r>
    </w:p>
    <w:p w14:paraId="2CDD386B" w14:textId="58625464" w:rsidR="003D11AB" w:rsidRPr="00FC631C" w:rsidRDefault="003D11AB" w:rsidP="00A75241">
      <w:pPr>
        <w:jc w:val="left"/>
      </w:pPr>
      <w:r w:rsidRPr="00FC631C">
        <w:t xml:space="preserve">MSAC noted the PBAC had sought its advice on the proportion of patients who are HRD-positive </w:t>
      </w:r>
      <w:proofErr w:type="spellStart"/>
      <w:r w:rsidRPr="00FC631C">
        <w:rPr>
          <w:i/>
          <w:iCs/>
        </w:rPr>
        <w:t>BRCA</w:t>
      </w:r>
      <w:r w:rsidRPr="00FC631C">
        <w:t>wt</w:t>
      </w:r>
      <w:proofErr w:type="spellEnd"/>
      <w:r w:rsidRPr="00FC631C">
        <w:t xml:space="preserve">. MSAC </w:t>
      </w:r>
      <w:r w:rsidR="00855CFB" w:rsidRPr="00FC631C">
        <w:t>advised</w:t>
      </w:r>
      <w:r w:rsidRPr="00FC631C">
        <w:t xml:space="preserve"> that approximately </w:t>
      </w:r>
      <w:r w:rsidR="00855CFB" w:rsidRPr="00FC631C">
        <w:t>25</w:t>
      </w:r>
      <w:r w:rsidRPr="00FC631C">
        <w:t>% o</w:t>
      </w:r>
      <w:r w:rsidR="00855CFB" w:rsidRPr="00FC631C">
        <w:t>f people with advanced ovarian cancer w</w:t>
      </w:r>
      <w:r w:rsidR="00022583" w:rsidRPr="00FC631C">
        <w:t>ould</w:t>
      </w:r>
      <w:r w:rsidR="00855CFB" w:rsidRPr="00FC631C">
        <w:t xml:space="preserve"> be HRD-positive </w:t>
      </w:r>
      <w:proofErr w:type="spellStart"/>
      <w:r w:rsidR="00855CFB" w:rsidRPr="00FC631C">
        <w:rPr>
          <w:i/>
          <w:iCs/>
        </w:rPr>
        <w:t>BRCA</w:t>
      </w:r>
      <w:r w:rsidR="00855CFB" w:rsidRPr="00FC631C">
        <w:t>wt</w:t>
      </w:r>
      <w:proofErr w:type="spellEnd"/>
      <w:r w:rsidR="00175853" w:rsidRPr="00FC631C">
        <w:t xml:space="preserve"> in addition to the 25% of this population who would be </w:t>
      </w:r>
      <w:proofErr w:type="spellStart"/>
      <w:r w:rsidR="00175853" w:rsidRPr="00FC631C">
        <w:rPr>
          <w:i/>
          <w:iCs/>
        </w:rPr>
        <w:t>BRCA</w:t>
      </w:r>
      <w:r w:rsidR="00175853" w:rsidRPr="00FC631C">
        <w:t>m</w:t>
      </w:r>
      <w:proofErr w:type="spellEnd"/>
      <w:r w:rsidR="00175853" w:rsidRPr="00FC631C">
        <w:t>. These estimates are broadly consistent with the results of the validation study,</w:t>
      </w:r>
      <w:r w:rsidR="00022583" w:rsidRPr="00FC631C">
        <w:t xml:space="preserve"> although </w:t>
      </w:r>
      <w:r w:rsidR="00175853" w:rsidRPr="00FC631C">
        <w:t>the prevalence of HRD-positive</w:t>
      </w:r>
      <w:r w:rsidR="00022583" w:rsidRPr="00FC631C">
        <w:t xml:space="preserve"> may vary with choice of assay and threshold of genomic instability</w:t>
      </w:r>
      <w:r w:rsidR="00855CFB" w:rsidRPr="00FC631C">
        <w:t>.</w:t>
      </w:r>
    </w:p>
    <w:p w14:paraId="52990455" w14:textId="0B776C5F" w:rsidR="00AC0CA3" w:rsidRDefault="00496A45" w:rsidP="00A75241">
      <w:pPr>
        <w:jc w:val="left"/>
      </w:pPr>
      <w:r w:rsidRPr="00FC631C">
        <w:t>MSAC noted that there is high unmet clinical need for ef</w:t>
      </w:r>
      <w:r w:rsidR="00AB3A03" w:rsidRPr="00FC631C">
        <w:t>fective, well-tolerated treatments for advanced ovarian cancer.</w:t>
      </w:r>
      <w:r w:rsidR="002E37D0" w:rsidRPr="00FC631C">
        <w:t xml:space="preserve"> </w:t>
      </w:r>
      <w:r w:rsidR="00A75241" w:rsidRPr="00FC631C">
        <w:t xml:space="preserve">MSAC noted </w:t>
      </w:r>
      <w:r w:rsidR="00DA175D" w:rsidRPr="00FC631C">
        <w:t xml:space="preserve">longitudinal studies presented to </w:t>
      </w:r>
      <w:r w:rsidR="00525AE7" w:rsidRPr="00FC631C">
        <w:t xml:space="preserve">assess the </w:t>
      </w:r>
      <w:r w:rsidR="00DA175D" w:rsidRPr="00FC631C">
        <w:t>submission’s claim</w:t>
      </w:r>
      <w:r w:rsidR="00525AE7" w:rsidRPr="00FC631C">
        <w:t>s</w:t>
      </w:r>
      <w:r w:rsidR="00DA175D" w:rsidRPr="00FC631C">
        <w:t xml:space="preserve"> that HRD</w:t>
      </w:r>
      <w:r w:rsidR="00525AE7" w:rsidRPr="00FC631C">
        <w:t xml:space="preserve"> status</w:t>
      </w:r>
      <w:r w:rsidR="004E394A" w:rsidRPr="00FC631C">
        <w:t>, including with different combinations of</w:t>
      </w:r>
      <w:r w:rsidR="004E394A" w:rsidRPr="00FC631C" w:rsidDel="00525AE7">
        <w:t xml:space="preserve"> </w:t>
      </w:r>
      <w:r w:rsidR="00DA175D" w:rsidRPr="00FC631C">
        <w:rPr>
          <w:i/>
          <w:iCs/>
        </w:rPr>
        <w:t>BRCA</w:t>
      </w:r>
      <w:r w:rsidR="00DA175D" w:rsidRPr="00FC631C">
        <w:t xml:space="preserve"> status predict response to PARP inhibitors</w:t>
      </w:r>
      <w:r w:rsidR="00AC0CA3" w:rsidRPr="00FC631C">
        <w:t xml:space="preserve"> as summarised in </w:t>
      </w:r>
      <w:r w:rsidR="0082024A" w:rsidRPr="00FC631C">
        <w:rPr>
          <w:rFonts w:cstheme="minorHAnsi"/>
        </w:rPr>
        <w:fldChar w:fldCharType="begin"/>
      </w:r>
      <w:r w:rsidR="0082024A" w:rsidRPr="00FC631C">
        <w:rPr>
          <w:rFonts w:cstheme="minorHAnsi"/>
        </w:rPr>
        <w:instrText xml:space="preserve"> REF _Ref111812690 \h  \* MERGEFORMAT </w:instrText>
      </w:r>
      <w:r w:rsidR="0082024A" w:rsidRPr="00FC631C">
        <w:rPr>
          <w:rFonts w:cstheme="minorHAnsi"/>
        </w:rPr>
      </w:r>
      <w:r w:rsidR="0082024A" w:rsidRPr="00FC631C">
        <w:rPr>
          <w:rFonts w:cstheme="minorHAnsi"/>
        </w:rPr>
        <w:fldChar w:fldCharType="separate"/>
      </w:r>
      <w:r w:rsidR="00D8603B" w:rsidRPr="00FC631C">
        <w:rPr>
          <w:rFonts w:cstheme="minorHAnsi"/>
        </w:rPr>
        <w:t xml:space="preserve">Table </w:t>
      </w:r>
      <w:r w:rsidR="00D8603B" w:rsidRPr="00FC631C">
        <w:rPr>
          <w:rFonts w:cstheme="minorHAnsi"/>
          <w:noProof/>
        </w:rPr>
        <w:t>1</w:t>
      </w:r>
      <w:r w:rsidR="0082024A" w:rsidRPr="00FC631C">
        <w:rPr>
          <w:rFonts w:cstheme="minorHAnsi"/>
        </w:rPr>
        <w:fldChar w:fldCharType="end"/>
      </w:r>
      <w:r w:rsidR="004A7CF7" w:rsidRPr="00FC631C">
        <w:rPr>
          <w:rFonts w:cstheme="minorHAnsi"/>
        </w:rPr>
        <w:t xml:space="preserve"> </w:t>
      </w:r>
      <w:r w:rsidR="00AC0CA3" w:rsidRPr="00FC631C">
        <w:t>below</w:t>
      </w:r>
      <w:r w:rsidR="00DA175D" w:rsidRPr="00FC631C">
        <w:t>.</w:t>
      </w:r>
    </w:p>
    <w:p w14:paraId="67370E4D" w14:textId="4040623D" w:rsidR="0082024A" w:rsidRPr="0082024A" w:rsidRDefault="0082024A" w:rsidP="0082024A">
      <w:pPr>
        <w:pStyle w:val="Caption"/>
      </w:pPr>
      <w:bookmarkStart w:id="8" w:name="_Ref111812690"/>
      <w:r>
        <w:lastRenderedPageBreak/>
        <w:t xml:space="preserve">Table </w:t>
      </w:r>
      <w:fldSimple w:instr=" SEQ Table \* ARABIC ">
        <w:r w:rsidR="00D8603B">
          <w:rPr>
            <w:noProof/>
          </w:rPr>
          <w:t>1</w:t>
        </w:r>
      </w:fldSimple>
      <w:bookmarkEnd w:id="8"/>
      <w:r w:rsidR="00BE0DF9">
        <w:rPr>
          <w:noProof/>
        </w:rPr>
        <w:tab/>
      </w:r>
      <w:r w:rsidR="00576A21">
        <w:t>Trials</w:t>
      </w:r>
      <w:r w:rsidR="00576A21" w:rsidRPr="00576A21">
        <w:t xml:space="preserve"> assessing HRD status as effect modifier of PARP inhibitor effect</w:t>
      </w:r>
    </w:p>
    <w:tbl>
      <w:tblPr>
        <w:tblStyle w:val="ASDTable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1701"/>
        <w:gridCol w:w="1559"/>
        <w:gridCol w:w="2835"/>
        <w:gridCol w:w="1554"/>
      </w:tblGrid>
      <w:tr w:rsidR="0035284B" w:rsidRPr="00AC0CA3" w14:paraId="6A64E850" w14:textId="77777777" w:rsidTr="00E15BE1">
        <w:trPr>
          <w:trHeight w:val="242"/>
        </w:trPr>
        <w:tc>
          <w:tcPr>
            <w:tcW w:w="1413" w:type="dxa"/>
            <w:vMerge w:val="restart"/>
            <w:shd w:val="clear" w:color="auto" w:fill="auto"/>
            <w:tcMar>
              <w:top w:w="15" w:type="dxa"/>
              <w:left w:w="66" w:type="dxa"/>
              <w:bottom w:w="0" w:type="dxa"/>
              <w:right w:w="66" w:type="dxa"/>
            </w:tcMar>
            <w:hideMark/>
          </w:tcPr>
          <w:p w14:paraId="27AD6EBA" w14:textId="77777777" w:rsidR="00576A21" w:rsidRDefault="00AC0CA3" w:rsidP="004072A8">
            <w:pPr>
              <w:keepNext/>
              <w:spacing w:before="0"/>
              <w:jc w:val="left"/>
              <w:rPr>
                <w:rFonts w:ascii="Arial Narrow" w:hAnsi="Arial Narrow"/>
                <w:b/>
                <w:bCs/>
              </w:rPr>
            </w:pPr>
            <w:r w:rsidRPr="00AC0CA3">
              <w:rPr>
                <w:rFonts w:ascii="Arial Narrow" w:hAnsi="Arial Narrow"/>
                <w:b/>
                <w:bCs/>
              </w:rPr>
              <w:t>Trial</w:t>
            </w:r>
            <w:r w:rsidR="00576A21">
              <w:rPr>
                <w:rFonts w:ascii="Arial Narrow" w:hAnsi="Arial Narrow"/>
                <w:b/>
                <w:bCs/>
              </w:rPr>
              <w:t xml:space="preserve"> </w:t>
            </w:r>
          </w:p>
          <w:p w14:paraId="70AC1D7B" w14:textId="4CF5C788" w:rsidR="00AC0CA3" w:rsidRPr="00AC0CA3" w:rsidRDefault="00AC0CA3" w:rsidP="004072A8">
            <w:pPr>
              <w:keepNext/>
              <w:spacing w:before="0"/>
              <w:jc w:val="left"/>
              <w:rPr>
                <w:rFonts w:ascii="Arial Narrow" w:hAnsi="Arial Narrow"/>
              </w:rPr>
            </w:pPr>
            <w:r w:rsidRPr="00AC0CA3">
              <w:rPr>
                <w:rFonts w:ascii="Arial Narrow" w:hAnsi="Arial Narrow"/>
                <w:b/>
                <w:bCs/>
                <w:lang w:val="en-US"/>
              </w:rPr>
              <w:t>PARP inhibitor</w:t>
            </w:r>
          </w:p>
        </w:tc>
        <w:tc>
          <w:tcPr>
            <w:tcW w:w="1701" w:type="dxa"/>
            <w:vMerge w:val="restart"/>
            <w:shd w:val="clear" w:color="auto" w:fill="auto"/>
            <w:tcMar>
              <w:top w:w="15" w:type="dxa"/>
              <w:left w:w="66" w:type="dxa"/>
              <w:bottom w:w="0" w:type="dxa"/>
              <w:right w:w="66" w:type="dxa"/>
            </w:tcMar>
            <w:hideMark/>
          </w:tcPr>
          <w:p w14:paraId="15F3E768" w14:textId="60197AFA" w:rsidR="00AC0CA3" w:rsidRPr="00AC0CA3" w:rsidRDefault="00AC0CA3" w:rsidP="00525AE7">
            <w:pPr>
              <w:spacing w:before="0"/>
              <w:jc w:val="left"/>
              <w:rPr>
                <w:rFonts w:ascii="Arial Narrow" w:hAnsi="Arial Narrow"/>
              </w:rPr>
            </w:pPr>
            <w:r w:rsidRPr="00AC0CA3">
              <w:rPr>
                <w:rFonts w:ascii="Arial Narrow" w:hAnsi="Arial Narrow"/>
                <w:b/>
                <w:bCs/>
              </w:rPr>
              <w:t xml:space="preserve">HRD </w:t>
            </w:r>
            <w:r w:rsidR="00525AE7">
              <w:rPr>
                <w:rFonts w:ascii="Arial Narrow" w:hAnsi="Arial Narrow"/>
                <w:b/>
                <w:bCs/>
              </w:rPr>
              <w:t>a</w:t>
            </w:r>
            <w:r w:rsidRPr="00AC0CA3">
              <w:rPr>
                <w:rFonts w:ascii="Arial Narrow" w:hAnsi="Arial Narrow"/>
                <w:b/>
                <w:bCs/>
              </w:rPr>
              <w:t>ssay</w:t>
            </w:r>
          </w:p>
        </w:tc>
        <w:tc>
          <w:tcPr>
            <w:tcW w:w="4394" w:type="dxa"/>
            <w:gridSpan w:val="2"/>
            <w:shd w:val="clear" w:color="auto" w:fill="auto"/>
            <w:tcMar>
              <w:top w:w="15" w:type="dxa"/>
              <w:left w:w="66" w:type="dxa"/>
              <w:bottom w:w="0" w:type="dxa"/>
              <w:right w:w="66" w:type="dxa"/>
            </w:tcMar>
            <w:hideMark/>
          </w:tcPr>
          <w:p w14:paraId="49012DAA" w14:textId="2FE05F25" w:rsidR="00AC0CA3" w:rsidRPr="00AC0CA3" w:rsidRDefault="00AC0CA3" w:rsidP="00525AE7">
            <w:pPr>
              <w:spacing w:before="0"/>
              <w:jc w:val="center"/>
              <w:rPr>
                <w:rFonts w:ascii="Arial Narrow" w:hAnsi="Arial Narrow"/>
              </w:rPr>
            </w:pPr>
            <w:r w:rsidRPr="00AC0CA3">
              <w:rPr>
                <w:rFonts w:ascii="Arial Narrow" w:hAnsi="Arial Narrow"/>
                <w:b/>
                <w:bCs/>
                <w:lang w:val="en-US"/>
              </w:rPr>
              <w:t>PFS HR</w:t>
            </w:r>
            <w:r w:rsidR="00525AE7">
              <w:rPr>
                <w:rFonts w:ascii="Arial Narrow" w:hAnsi="Arial Narrow"/>
                <w:b/>
                <w:bCs/>
                <w:lang w:val="en-US"/>
              </w:rPr>
              <w:t xml:space="preserve"> (95% CI)</w:t>
            </w:r>
          </w:p>
        </w:tc>
        <w:tc>
          <w:tcPr>
            <w:tcW w:w="1554" w:type="dxa"/>
            <w:vMerge w:val="restart"/>
            <w:shd w:val="clear" w:color="auto" w:fill="auto"/>
            <w:tcMar>
              <w:top w:w="15" w:type="dxa"/>
              <w:left w:w="66" w:type="dxa"/>
              <w:bottom w:w="0" w:type="dxa"/>
              <w:right w:w="66" w:type="dxa"/>
            </w:tcMar>
            <w:hideMark/>
          </w:tcPr>
          <w:p w14:paraId="4D41A507" w14:textId="61F7B463" w:rsidR="00AC0CA3" w:rsidRPr="00AC0CA3" w:rsidRDefault="00AC0CA3" w:rsidP="00525AE7">
            <w:pPr>
              <w:spacing w:before="0"/>
              <w:jc w:val="left"/>
              <w:rPr>
                <w:rFonts w:ascii="Arial Narrow" w:hAnsi="Arial Narrow"/>
              </w:rPr>
            </w:pPr>
            <w:r w:rsidRPr="00AC0CA3">
              <w:rPr>
                <w:rFonts w:ascii="Arial Narrow" w:hAnsi="Arial Narrow"/>
                <w:b/>
                <w:bCs/>
              </w:rPr>
              <w:t>R</w:t>
            </w:r>
            <w:r w:rsidR="004E394A">
              <w:rPr>
                <w:rFonts w:ascii="Arial Narrow" w:hAnsi="Arial Narrow"/>
                <w:b/>
                <w:bCs/>
              </w:rPr>
              <w:t>isk of bias</w:t>
            </w:r>
          </w:p>
        </w:tc>
      </w:tr>
      <w:tr w:rsidR="00525AE7" w:rsidRPr="00AC0CA3" w14:paraId="24E753BA" w14:textId="77777777" w:rsidTr="00E15BE1">
        <w:trPr>
          <w:trHeight w:val="195"/>
        </w:trPr>
        <w:tc>
          <w:tcPr>
            <w:tcW w:w="1413" w:type="dxa"/>
            <w:vMerge/>
            <w:vAlign w:val="center"/>
            <w:hideMark/>
          </w:tcPr>
          <w:p w14:paraId="3C313F0C" w14:textId="77777777" w:rsidR="00AC0CA3" w:rsidRPr="00AC0CA3" w:rsidRDefault="00AC0CA3" w:rsidP="004072A8">
            <w:pPr>
              <w:keepNext/>
              <w:spacing w:before="0"/>
              <w:jc w:val="left"/>
              <w:rPr>
                <w:rFonts w:ascii="Arial Narrow" w:hAnsi="Arial Narrow"/>
              </w:rPr>
            </w:pPr>
          </w:p>
        </w:tc>
        <w:tc>
          <w:tcPr>
            <w:tcW w:w="1701" w:type="dxa"/>
            <w:vMerge/>
            <w:vAlign w:val="center"/>
            <w:hideMark/>
          </w:tcPr>
          <w:p w14:paraId="484C7E1C" w14:textId="77777777" w:rsidR="00AC0CA3" w:rsidRPr="00AC0CA3" w:rsidRDefault="00AC0CA3" w:rsidP="00525AE7">
            <w:pPr>
              <w:spacing w:before="0"/>
              <w:jc w:val="left"/>
              <w:rPr>
                <w:rFonts w:ascii="Arial Narrow" w:hAnsi="Arial Narrow"/>
              </w:rPr>
            </w:pPr>
          </w:p>
        </w:tc>
        <w:tc>
          <w:tcPr>
            <w:tcW w:w="1559" w:type="dxa"/>
            <w:shd w:val="clear" w:color="auto" w:fill="auto"/>
            <w:tcMar>
              <w:top w:w="15" w:type="dxa"/>
              <w:left w:w="66" w:type="dxa"/>
              <w:bottom w:w="0" w:type="dxa"/>
              <w:right w:w="66" w:type="dxa"/>
            </w:tcMar>
            <w:hideMark/>
          </w:tcPr>
          <w:p w14:paraId="398ECE57" w14:textId="10783377" w:rsidR="00AC0CA3" w:rsidRPr="00AC0CA3" w:rsidRDefault="00AC0CA3" w:rsidP="00525AE7">
            <w:pPr>
              <w:spacing w:before="0"/>
              <w:jc w:val="center"/>
              <w:rPr>
                <w:rFonts w:ascii="Arial Narrow" w:hAnsi="Arial Narrow"/>
                <w:b/>
                <w:bCs/>
              </w:rPr>
            </w:pPr>
            <w:r w:rsidRPr="00AC0CA3">
              <w:rPr>
                <w:rFonts w:ascii="Arial Narrow" w:hAnsi="Arial Narrow"/>
                <w:b/>
                <w:bCs/>
                <w:lang w:val="en-US"/>
              </w:rPr>
              <w:t>HRD+</w:t>
            </w:r>
          </w:p>
        </w:tc>
        <w:tc>
          <w:tcPr>
            <w:tcW w:w="2835" w:type="dxa"/>
            <w:shd w:val="clear" w:color="auto" w:fill="auto"/>
            <w:tcMar>
              <w:top w:w="15" w:type="dxa"/>
              <w:left w:w="66" w:type="dxa"/>
              <w:bottom w:w="0" w:type="dxa"/>
              <w:right w:w="66" w:type="dxa"/>
            </w:tcMar>
            <w:hideMark/>
          </w:tcPr>
          <w:p w14:paraId="368EB519" w14:textId="6E5B1194" w:rsidR="00AC0CA3" w:rsidRPr="00AC0CA3" w:rsidRDefault="00AC0CA3" w:rsidP="00525AE7">
            <w:pPr>
              <w:spacing w:before="0"/>
              <w:jc w:val="center"/>
              <w:rPr>
                <w:rFonts w:ascii="Arial Narrow" w:hAnsi="Arial Narrow"/>
                <w:b/>
                <w:bCs/>
              </w:rPr>
            </w:pPr>
            <w:r w:rsidRPr="00AC0CA3">
              <w:rPr>
                <w:rFonts w:ascii="Arial Narrow" w:hAnsi="Arial Narrow"/>
                <w:b/>
                <w:bCs/>
                <w:lang w:val="en-US"/>
              </w:rPr>
              <w:t>H</w:t>
            </w:r>
            <w:r w:rsidR="0035284B" w:rsidRPr="0035284B">
              <w:rPr>
                <w:rFonts w:ascii="Arial Narrow" w:hAnsi="Arial Narrow"/>
                <w:b/>
                <w:bCs/>
                <w:lang w:val="en-US"/>
              </w:rPr>
              <w:t>R</w:t>
            </w:r>
            <w:r w:rsidRPr="00AC0CA3">
              <w:rPr>
                <w:rFonts w:ascii="Arial Narrow" w:hAnsi="Arial Narrow"/>
                <w:b/>
                <w:bCs/>
                <w:lang w:val="en-US"/>
              </w:rPr>
              <w:t>D-</w:t>
            </w:r>
          </w:p>
        </w:tc>
        <w:tc>
          <w:tcPr>
            <w:tcW w:w="1554" w:type="dxa"/>
            <w:vMerge/>
            <w:vAlign w:val="center"/>
            <w:hideMark/>
          </w:tcPr>
          <w:p w14:paraId="1BC66397" w14:textId="77777777" w:rsidR="00AC0CA3" w:rsidRPr="00AC0CA3" w:rsidRDefault="00AC0CA3" w:rsidP="00525AE7">
            <w:pPr>
              <w:spacing w:before="0"/>
              <w:jc w:val="left"/>
              <w:rPr>
                <w:rFonts w:ascii="Arial Narrow" w:hAnsi="Arial Narrow"/>
              </w:rPr>
            </w:pPr>
          </w:p>
        </w:tc>
      </w:tr>
      <w:tr w:rsidR="00525AE7" w:rsidRPr="00AC0CA3" w14:paraId="221ECA89" w14:textId="77777777" w:rsidTr="00E15BE1">
        <w:trPr>
          <w:trHeight w:val="1063"/>
        </w:trPr>
        <w:tc>
          <w:tcPr>
            <w:tcW w:w="1413" w:type="dxa"/>
            <w:shd w:val="clear" w:color="auto" w:fill="auto"/>
            <w:tcMar>
              <w:top w:w="15" w:type="dxa"/>
              <w:left w:w="66" w:type="dxa"/>
              <w:bottom w:w="0" w:type="dxa"/>
              <w:right w:w="66" w:type="dxa"/>
            </w:tcMar>
            <w:hideMark/>
          </w:tcPr>
          <w:p w14:paraId="5983BF11" w14:textId="6B24679B" w:rsidR="00AC0CA3" w:rsidRPr="00AC0CA3" w:rsidRDefault="00AC0CA3" w:rsidP="004072A8">
            <w:pPr>
              <w:keepNext/>
              <w:spacing w:before="0"/>
              <w:jc w:val="left"/>
              <w:rPr>
                <w:rFonts w:ascii="Arial Narrow" w:hAnsi="Arial Narrow"/>
              </w:rPr>
            </w:pPr>
            <w:r w:rsidRPr="00AC0CA3">
              <w:rPr>
                <w:rFonts w:ascii="Arial Narrow" w:hAnsi="Arial Narrow"/>
              </w:rPr>
              <w:t>PAOLA-1 2019</w:t>
            </w:r>
          </w:p>
          <w:p w14:paraId="2E45C75E" w14:textId="77777777" w:rsidR="00AC0CA3" w:rsidRPr="00AC0CA3" w:rsidRDefault="00AC0CA3" w:rsidP="004072A8">
            <w:pPr>
              <w:keepNext/>
              <w:spacing w:before="0"/>
              <w:jc w:val="left"/>
              <w:rPr>
                <w:rFonts w:ascii="Arial Narrow" w:hAnsi="Arial Narrow"/>
              </w:rPr>
            </w:pPr>
            <w:r w:rsidRPr="00AC0CA3">
              <w:rPr>
                <w:rFonts w:ascii="Arial Narrow" w:hAnsi="Arial Narrow"/>
              </w:rPr>
              <w:t>Olaparib</w:t>
            </w:r>
          </w:p>
          <w:p w14:paraId="45FE32F8" w14:textId="77777777" w:rsidR="00AC0CA3" w:rsidRPr="00AC0CA3" w:rsidRDefault="00AC0CA3" w:rsidP="004072A8">
            <w:pPr>
              <w:keepNext/>
              <w:spacing w:before="0"/>
              <w:jc w:val="left"/>
              <w:rPr>
                <w:rFonts w:ascii="Arial Narrow" w:hAnsi="Arial Narrow"/>
              </w:rPr>
            </w:pPr>
            <w:r w:rsidRPr="00AC0CA3">
              <w:rPr>
                <w:rFonts w:ascii="Arial Narrow" w:hAnsi="Arial Narrow"/>
              </w:rPr>
              <w:t>N=806</w:t>
            </w:r>
          </w:p>
        </w:tc>
        <w:tc>
          <w:tcPr>
            <w:tcW w:w="1701" w:type="dxa"/>
            <w:shd w:val="clear" w:color="auto" w:fill="auto"/>
            <w:tcMar>
              <w:top w:w="15" w:type="dxa"/>
              <w:left w:w="66" w:type="dxa"/>
              <w:bottom w:w="0" w:type="dxa"/>
              <w:right w:w="66" w:type="dxa"/>
            </w:tcMar>
            <w:hideMark/>
          </w:tcPr>
          <w:p w14:paraId="43F63B6C" w14:textId="77777777" w:rsidR="00AC0CA3" w:rsidRPr="00AC0CA3" w:rsidRDefault="00AC0CA3" w:rsidP="00525AE7">
            <w:pPr>
              <w:spacing w:before="0"/>
              <w:jc w:val="left"/>
              <w:rPr>
                <w:rFonts w:ascii="Arial Narrow" w:hAnsi="Arial Narrow"/>
              </w:rPr>
            </w:pPr>
            <w:r w:rsidRPr="00AC0CA3">
              <w:rPr>
                <w:rFonts w:ascii="Arial Narrow" w:hAnsi="Arial Narrow"/>
              </w:rPr>
              <w:t xml:space="preserve">Myriad </w:t>
            </w:r>
            <w:proofErr w:type="spellStart"/>
            <w:r w:rsidRPr="00AC0CA3">
              <w:rPr>
                <w:rFonts w:ascii="Arial Narrow" w:hAnsi="Arial Narrow"/>
              </w:rPr>
              <w:t>myChoice</w:t>
            </w:r>
            <w:proofErr w:type="spellEnd"/>
          </w:p>
          <w:p w14:paraId="0FA375BC" w14:textId="77777777" w:rsidR="0035284B" w:rsidRDefault="00AC0CA3" w:rsidP="00525AE7">
            <w:pPr>
              <w:spacing w:before="0"/>
              <w:jc w:val="left"/>
              <w:rPr>
                <w:rFonts w:ascii="Arial Narrow" w:hAnsi="Arial Narrow"/>
              </w:rPr>
            </w:pPr>
            <w:r w:rsidRPr="00AC0CA3">
              <w:rPr>
                <w:rFonts w:ascii="Arial Narrow" w:hAnsi="Arial Narrow"/>
              </w:rPr>
              <w:t>Threshold ≥42</w:t>
            </w:r>
          </w:p>
          <w:p w14:paraId="58526437" w14:textId="7E8DDAF9" w:rsidR="00AC0CA3" w:rsidRPr="00AC0CA3" w:rsidRDefault="00AC0CA3" w:rsidP="00525AE7">
            <w:pPr>
              <w:spacing w:before="0"/>
              <w:jc w:val="left"/>
              <w:rPr>
                <w:rFonts w:ascii="Arial Narrow" w:hAnsi="Arial Narrow"/>
              </w:rPr>
            </w:pPr>
            <w:r w:rsidRPr="00AC0CA3">
              <w:rPr>
                <w:rFonts w:ascii="Arial Narrow" w:hAnsi="Arial Narrow"/>
              </w:rPr>
              <w:t>(</w:t>
            </w:r>
            <w:r w:rsidR="0035284B" w:rsidRPr="00AC0CA3">
              <w:rPr>
                <w:rFonts w:ascii="Arial Narrow" w:hAnsi="Arial Narrow"/>
              </w:rPr>
              <w:t>≥</w:t>
            </w:r>
            <w:r w:rsidRPr="00AC0CA3">
              <w:rPr>
                <w:rFonts w:ascii="Arial Narrow" w:hAnsi="Arial Narrow"/>
              </w:rPr>
              <w:t>33</w:t>
            </w:r>
            <w:r w:rsidR="0035284B">
              <w:rPr>
                <w:rFonts w:ascii="Arial Narrow" w:hAnsi="Arial Narrow"/>
              </w:rPr>
              <w:t xml:space="preserve"> also reported</w:t>
            </w:r>
            <w:r w:rsidRPr="00AC0CA3">
              <w:rPr>
                <w:rFonts w:ascii="Arial Narrow" w:hAnsi="Arial Narrow"/>
              </w:rPr>
              <w:t>)</w:t>
            </w:r>
          </w:p>
        </w:tc>
        <w:tc>
          <w:tcPr>
            <w:tcW w:w="1559" w:type="dxa"/>
            <w:shd w:val="clear" w:color="auto" w:fill="auto"/>
            <w:tcMar>
              <w:top w:w="15" w:type="dxa"/>
              <w:left w:w="66" w:type="dxa"/>
              <w:bottom w:w="0" w:type="dxa"/>
              <w:right w:w="66" w:type="dxa"/>
            </w:tcMar>
            <w:hideMark/>
          </w:tcPr>
          <w:p w14:paraId="6BDB84D8" w14:textId="77777777" w:rsidR="00AC0CA3" w:rsidRPr="00AC0CA3" w:rsidRDefault="00AC0CA3" w:rsidP="00525AE7">
            <w:pPr>
              <w:spacing w:before="0"/>
              <w:jc w:val="center"/>
              <w:rPr>
                <w:rFonts w:ascii="Arial Narrow" w:hAnsi="Arial Narrow"/>
              </w:rPr>
            </w:pPr>
            <w:r w:rsidRPr="00AC0CA3">
              <w:rPr>
                <w:rFonts w:ascii="Arial Narrow" w:hAnsi="Arial Narrow"/>
                <w:i/>
                <w:iCs/>
                <w:lang w:val="it-IT"/>
              </w:rPr>
              <w:t>BRCA</w:t>
            </w:r>
            <w:r w:rsidRPr="00082946">
              <w:rPr>
                <w:rFonts w:ascii="Arial Narrow" w:hAnsi="Arial Narrow"/>
                <w:lang w:val="it-IT"/>
              </w:rPr>
              <w:t>wt/m</w:t>
            </w:r>
            <w:r w:rsidRPr="00AC0CA3">
              <w:rPr>
                <w:rFonts w:ascii="Arial Narrow" w:hAnsi="Arial Narrow"/>
                <w:lang w:val="it-IT"/>
              </w:rPr>
              <w:t xml:space="preserve"> (n=387)</w:t>
            </w:r>
          </w:p>
          <w:p w14:paraId="5F843DC4" w14:textId="31CD2A4D" w:rsidR="00AC0CA3" w:rsidRPr="00AC0CA3" w:rsidRDefault="00AC0CA3" w:rsidP="00525AE7">
            <w:pPr>
              <w:spacing w:before="0"/>
              <w:jc w:val="center"/>
              <w:rPr>
                <w:rFonts w:ascii="Arial Narrow" w:hAnsi="Arial Narrow"/>
              </w:rPr>
            </w:pPr>
            <w:r w:rsidRPr="00AC0CA3">
              <w:rPr>
                <w:rFonts w:ascii="Arial Narrow" w:hAnsi="Arial Narrow"/>
                <w:lang w:val="it-IT"/>
              </w:rPr>
              <w:t>0.33 (0.25</w:t>
            </w:r>
            <w:r w:rsidR="00525AE7">
              <w:rPr>
                <w:rFonts w:ascii="Arial Narrow" w:hAnsi="Arial Narrow"/>
                <w:lang w:val="it-IT"/>
              </w:rPr>
              <w:t xml:space="preserve">, </w:t>
            </w:r>
            <w:r w:rsidRPr="00AC0CA3">
              <w:rPr>
                <w:rFonts w:ascii="Arial Narrow" w:hAnsi="Arial Narrow"/>
                <w:lang w:val="it-IT"/>
              </w:rPr>
              <w:t>0.45)</w:t>
            </w:r>
          </w:p>
          <w:p w14:paraId="6F42663C" w14:textId="77777777" w:rsidR="00AC0CA3" w:rsidRPr="00AC0CA3" w:rsidRDefault="00AC0CA3" w:rsidP="00525AE7">
            <w:pPr>
              <w:spacing w:before="0"/>
              <w:jc w:val="center"/>
              <w:rPr>
                <w:rFonts w:ascii="Arial Narrow" w:hAnsi="Arial Narrow"/>
              </w:rPr>
            </w:pPr>
            <w:r w:rsidRPr="00AC0CA3">
              <w:rPr>
                <w:rFonts w:ascii="Arial Narrow" w:hAnsi="Arial Narrow"/>
                <w:i/>
                <w:iCs/>
                <w:lang w:val="pt-BR"/>
              </w:rPr>
              <w:t>BRCA</w:t>
            </w:r>
            <w:r w:rsidRPr="00082946">
              <w:rPr>
                <w:rFonts w:ascii="Arial Narrow" w:hAnsi="Arial Narrow"/>
                <w:lang w:val="pt-BR"/>
              </w:rPr>
              <w:t>wt</w:t>
            </w:r>
            <w:r w:rsidRPr="00AC0CA3">
              <w:rPr>
                <w:rFonts w:ascii="Arial Narrow" w:hAnsi="Arial Narrow"/>
                <w:lang w:val="pt-BR"/>
              </w:rPr>
              <w:t xml:space="preserve"> (n=152)</w:t>
            </w:r>
          </w:p>
          <w:p w14:paraId="61590A6D" w14:textId="6E7D4519" w:rsidR="00AC0CA3" w:rsidRPr="00AC0CA3" w:rsidRDefault="00AC0CA3" w:rsidP="00525AE7">
            <w:pPr>
              <w:spacing w:before="0"/>
              <w:jc w:val="center"/>
              <w:rPr>
                <w:rFonts w:ascii="Arial Narrow" w:hAnsi="Arial Narrow"/>
              </w:rPr>
            </w:pPr>
            <w:r w:rsidRPr="00AC0CA3">
              <w:rPr>
                <w:rFonts w:ascii="Arial Narrow" w:hAnsi="Arial Narrow"/>
                <w:lang w:val="pt-BR"/>
              </w:rPr>
              <w:t>0.43 (0.28</w:t>
            </w:r>
            <w:r w:rsidR="00525AE7">
              <w:rPr>
                <w:rFonts w:ascii="Arial Narrow" w:hAnsi="Arial Narrow"/>
                <w:lang w:val="pt-BR"/>
              </w:rPr>
              <w:t xml:space="preserve">, </w:t>
            </w:r>
            <w:r w:rsidRPr="00AC0CA3">
              <w:rPr>
                <w:rFonts w:ascii="Arial Narrow" w:hAnsi="Arial Narrow"/>
                <w:lang w:val="pt-BR"/>
              </w:rPr>
              <w:t>0.66)</w:t>
            </w:r>
          </w:p>
        </w:tc>
        <w:tc>
          <w:tcPr>
            <w:tcW w:w="2835" w:type="dxa"/>
            <w:shd w:val="clear" w:color="auto" w:fill="auto"/>
            <w:tcMar>
              <w:top w:w="15" w:type="dxa"/>
              <w:left w:w="66" w:type="dxa"/>
              <w:bottom w:w="0" w:type="dxa"/>
              <w:right w:w="66" w:type="dxa"/>
            </w:tcMar>
            <w:hideMark/>
          </w:tcPr>
          <w:p w14:paraId="2FF1D08A" w14:textId="55040405" w:rsidR="00AC0CA3" w:rsidRPr="00AC0CA3" w:rsidRDefault="00AC0CA3" w:rsidP="00525AE7">
            <w:pPr>
              <w:spacing w:before="0"/>
              <w:jc w:val="center"/>
              <w:rPr>
                <w:rFonts w:ascii="Arial Narrow" w:hAnsi="Arial Narrow"/>
              </w:rPr>
            </w:pPr>
            <w:r w:rsidRPr="00AC0CA3">
              <w:rPr>
                <w:rFonts w:ascii="Arial Narrow" w:hAnsi="Arial Narrow"/>
                <w:i/>
                <w:iCs/>
                <w:lang w:val="it-IT"/>
              </w:rPr>
              <w:t>BRCA</w:t>
            </w:r>
            <w:r w:rsidRPr="00082946">
              <w:rPr>
                <w:rFonts w:ascii="Arial Narrow" w:hAnsi="Arial Narrow"/>
                <w:lang w:val="it-IT"/>
              </w:rPr>
              <w:t>wt/m</w:t>
            </w:r>
            <w:r w:rsidRPr="00AC0CA3">
              <w:rPr>
                <w:rFonts w:ascii="Arial Narrow" w:hAnsi="Arial Narrow"/>
                <w:lang w:val="it-IT"/>
              </w:rPr>
              <w:t xml:space="preserve"> H</w:t>
            </w:r>
            <w:r w:rsidR="0035284B">
              <w:rPr>
                <w:rFonts w:ascii="Arial Narrow" w:hAnsi="Arial Narrow"/>
                <w:lang w:val="it-IT"/>
              </w:rPr>
              <w:t>R</w:t>
            </w:r>
            <w:r w:rsidRPr="00AC0CA3">
              <w:rPr>
                <w:rFonts w:ascii="Arial Narrow" w:hAnsi="Arial Narrow"/>
                <w:lang w:val="it-IT"/>
              </w:rPr>
              <w:t>D-</w:t>
            </w:r>
            <w:r w:rsidR="00525AE7" w:rsidRPr="0035284B">
              <w:rPr>
                <w:rFonts w:ascii="Arial Narrow" w:hAnsi="Arial Narrow"/>
                <w:lang w:val="it-IT"/>
              </w:rPr>
              <w:t xml:space="preserve"> </w:t>
            </w:r>
            <w:r w:rsidRPr="00AC0CA3">
              <w:rPr>
                <w:rFonts w:ascii="Arial Narrow" w:hAnsi="Arial Narrow"/>
                <w:lang w:val="it-IT"/>
              </w:rPr>
              <w:t>(n=277)</w:t>
            </w:r>
          </w:p>
          <w:p w14:paraId="6ADA08E9" w14:textId="45CE2542" w:rsidR="00AC0CA3" w:rsidRPr="00AC0CA3" w:rsidRDefault="00AC0CA3" w:rsidP="00525AE7">
            <w:pPr>
              <w:spacing w:before="0"/>
              <w:jc w:val="center"/>
              <w:rPr>
                <w:rFonts w:ascii="Arial Narrow" w:hAnsi="Arial Narrow"/>
              </w:rPr>
            </w:pPr>
            <w:r w:rsidRPr="00AC0CA3">
              <w:rPr>
                <w:rFonts w:ascii="Arial Narrow" w:hAnsi="Arial Narrow"/>
              </w:rPr>
              <w:t>1.00 (0.75,</w:t>
            </w:r>
            <w:r w:rsidR="00525AE7" w:rsidRPr="0035284B">
              <w:rPr>
                <w:rFonts w:ascii="Arial Narrow" w:hAnsi="Arial Narrow"/>
              </w:rPr>
              <w:t xml:space="preserve"> </w:t>
            </w:r>
            <w:r w:rsidRPr="00AC0CA3">
              <w:rPr>
                <w:rFonts w:ascii="Arial Narrow" w:hAnsi="Arial Narrow"/>
              </w:rPr>
              <w:t>1.3</w:t>
            </w:r>
            <w:r w:rsidR="00D64729">
              <w:rPr>
                <w:rFonts w:ascii="Arial Narrow" w:hAnsi="Arial Narrow"/>
              </w:rPr>
              <w:t>5</w:t>
            </w:r>
            <w:r w:rsidRPr="00AC0CA3">
              <w:rPr>
                <w:rFonts w:ascii="Arial Narrow" w:hAnsi="Arial Narrow"/>
              </w:rPr>
              <w:t>)</w:t>
            </w:r>
          </w:p>
          <w:p w14:paraId="4994B720" w14:textId="26A59AAE" w:rsidR="00AC0CA3" w:rsidRPr="00AC0CA3" w:rsidRDefault="00AC0CA3" w:rsidP="00525AE7">
            <w:pPr>
              <w:spacing w:before="0"/>
              <w:jc w:val="center"/>
              <w:rPr>
                <w:rFonts w:ascii="Arial Narrow" w:hAnsi="Arial Narrow"/>
              </w:rPr>
            </w:pPr>
            <w:r w:rsidRPr="00AC0CA3">
              <w:rPr>
                <w:rFonts w:ascii="Arial Narrow" w:hAnsi="Arial Narrow"/>
                <w:i/>
                <w:iCs/>
                <w:lang w:val="it-IT"/>
              </w:rPr>
              <w:t>BRCA</w:t>
            </w:r>
            <w:r w:rsidRPr="00082946">
              <w:rPr>
                <w:rFonts w:ascii="Arial Narrow" w:hAnsi="Arial Narrow"/>
                <w:lang w:val="it-IT"/>
              </w:rPr>
              <w:t>wt/m</w:t>
            </w:r>
            <w:r w:rsidRPr="00AC0CA3">
              <w:rPr>
                <w:rFonts w:ascii="Arial Narrow" w:hAnsi="Arial Narrow"/>
                <w:lang w:val="it-IT"/>
              </w:rPr>
              <w:t xml:space="preserve"> H</w:t>
            </w:r>
            <w:r w:rsidR="0035284B">
              <w:rPr>
                <w:rFonts w:ascii="Arial Narrow" w:hAnsi="Arial Narrow"/>
                <w:lang w:val="it-IT"/>
              </w:rPr>
              <w:t>R</w:t>
            </w:r>
            <w:r w:rsidRPr="00AC0CA3">
              <w:rPr>
                <w:rFonts w:ascii="Arial Narrow" w:hAnsi="Arial Narrow"/>
                <w:lang w:val="it-IT"/>
              </w:rPr>
              <w:t xml:space="preserve">D-/unknown </w:t>
            </w:r>
            <w:r w:rsidRPr="00AC0CA3">
              <w:rPr>
                <w:rFonts w:ascii="Arial Narrow" w:hAnsi="Arial Narrow"/>
              </w:rPr>
              <w:t>(n=419)</w:t>
            </w:r>
          </w:p>
          <w:p w14:paraId="6942106D" w14:textId="77777777" w:rsidR="00AC0CA3" w:rsidRPr="00AC0CA3" w:rsidRDefault="00AC0CA3" w:rsidP="00525AE7">
            <w:pPr>
              <w:spacing w:before="0"/>
              <w:jc w:val="center"/>
              <w:rPr>
                <w:rFonts w:ascii="Arial Narrow" w:hAnsi="Arial Narrow"/>
              </w:rPr>
            </w:pPr>
            <w:r w:rsidRPr="00AC0CA3">
              <w:rPr>
                <w:rFonts w:ascii="Arial Narrow" w:hAnsi="Arial Narrow"/>
              </w:rPr>
              <w:t>0.92 (0.72, 1.17)</w:t>
            </w:r>
          </w:p>
          <w:p w14:paraId="267D2294" w14:textId="3CFC8B38" w:rsidR="00AC0CA3" w:rsidRPr="00AC0CA3" w:rsidRDefault="00AC0CA3" w:rsidP="00525AE7">
            <w:pPr>
              <w:spacing w:before="0"/>
              <w:jc w:val="center"/>
              <w:rPr>
                <w:rFonts w:ascii="Arial Narrow" w:hAnsi="Arial Narrow"/>
              </w:rPr>
            </w:pPr>
            <w:proofErr w:type="spellStart"/>
            <w:r w:rsidRPr="00AC0CA3">
              <w:rPr>
                <w:rFonts w:ascii="Arial Narrow" w:hAnsi="Arial Narrow"/>
                <w:i/>
                <w:iCs/>
              </w:rPr>
              <w:t>BRCA</w:t>
            </w:r>
            <w:r w:rsidRPr="00082946">
              <w:rPr>
                <w:rFonts w:ascii="Arial Narrow" w:hAnsi="Arial Narrow"/>
              </w:rPr>
              <w:t>wt</w:t>
            </w:r>
            <w:proofErr w:type="spellEnd"/>
            <w:r w:rsidRPr="00AC0CA3">
              <w:rPr>
                <w:rFonts w:ascii="Arial Narrow" w:hAnsi="Arial Narrow"/>
              </w:rPr>
              <w:t xml:space="preserve"> H</w:t>
            </w:r>
            <w:r w:rsidR="0035284B">
              <w:rPr>
                <w:rFonts w:ascii="Arial Narrow" w:hAnsi="Arial Narrow"/>
              </w:rPr>
              <w:t>R</w:t>
            </w:r>
            <w:r w:rsidRPr="00AC0CA3">
              <w:rPr>
                <w:rFonts w:ascii="Arial Narrow" w:hAnsi="Arial Narrow"/>
              </w:rPr>
              <w:t>D</w:t>
            </w:r>
            <w:proofErr w:type="gramStart"/>
            <w:r w:rsidRPr="00AC0CA3">
              <w:rPr>
                <w:rFonts w:ascii="Arial Narrow" w:hAnsi="Arial Narrow"/>
              </w:rPr>
              <w:t>- ?</w:t>
            </w:r>
            <w:proofErr w:type="gramEnd"/>
          </w:p>
        </w:tc>
        <w:tc>
          <w:tcPr>
            <w:tcW w:w="1554" w:type="dxa"/>
            <w:vMerge w:val="restart"/>
            <w:shd w:val="clear" w:color="auto" w:fill="auto"/>
            <w:tcMar>
              <w:top w:w="15" w:type="dxa"/>
              <w:left w:w="66" w:type="dxa"/>
              <w:bottom w:w="0" w:type="dxa"/>
              <w:right w:w="66" w:type="dxa"/>
            </w:tcMar>
            <w:hideMark/>
          </w:tcPr>
          <w:p w14:paraId="29A460B5" w14:textId="117A8956" w:rsidR="00AC0CA3" w:rsidRPr="00AC0CA3" w:rsidRDefault="0035284B" w:rsidP="00525AE7">
            <w:pPr>
              <w:spacing w:before="0"/>
              <w:jc w:val="left"/>
              <w:rPr>
                <w:rFonts w:ascii="Arial Narrow" w:hAnsi="Arial Narrow"/>
                <w:iCs/>
              </w:rPr>
            </w:pPr>
            <w:r>
              <w:rPr>
                <w:rFonts w:ascii="Arial Narrow" w:hAnsi="Arial Narrow"/>
                <w:iCs/>
              </w:rPr>
              <w:t xml:space="preserve">ITT-based </w:t>
            </w:r>
            <w:r w:rsidR="00F132CB">
              <w:rPr>
                <w:rFonts w:ascii="Arial Narrow" w:hAnsi="Arial Narrow"/>
                <w:iCs/>
              </w:rPr>
              <w:t>risk of bias</w:t>
            </w:r>
            <w:r w:rsidR="00AC0CA3" w:rsidRPr="00AC0CA3">
              <w:rPr>
                <w:rFonts w:ascii="Arial Narrow" w:hAnsi="Arial Narrow"/>
                <w:iCs/>
              </w:rPr>
              <w:t xml:space="preserve"> assessed to be low. But </w:t>
            </w:r>
            <w:r w:rsidR="004E394A">
              <w:rPr>
                <w:rFonts w:ascii="Arial Narrow" w:hAnsi="Arial Narrow"/>
                <w:iCs/>
              </w:rPr>
              <w:t>risk of bias</w:t>
            </w:r>
            <w:r w:rsidR="00AC0CA3" w:rsidRPr="00AC0CA3">
              <w:rPr>
                <w:rFonts w:ascii="Arial Narrow" w:hAnsi="Arial Narrow"/>
                <w:iCs/>
              </w:rPr>
              <w:t xml:space="preserve"> in HRD subgroups may be high in PAOLA-1 and Coleman 2017: </w:t>
            </w:r>
            <w:r w:rsidR="00AC0CA3" w:rsidRPr="00AC0CA3">
              <w:rPr>
                <w:rFonts w:ascii="Arial Narrow" w:hAnsi="Arial Narrow"/>
                <w:iCs/>
                <w:lang w:val="en-US"/>
              </w:rPr>
              <w:t>HRD subgroups in PAOLA-1 were considered exploratory and were not included in the statistical analysis plan.</w:t>
            </w:r>
          </w:p>
        </w:tc>
      </w:tr>
      <w:tr w:rsidR="00525AE7" w:rsidRPr="00AC0CA3" w14:paraId="74E34746" w14:textId="77777777" w:rsidTr="00E15BE1">
        <w:trPr>
          <w:trHeight w:val="671"/>
        </w:trPr>
        <w:tc>
          <w:tcPr>
            <w:tcW w:w="1413" w:type="dxa"/>
            <w:shd w:val="clear" w:color="auto" w:fill="auto"/>
            <w:tcMar>
              <w:top w:w="15" w:type="dxa"/>
              <w:left w:w="66" w:type="dxa"/>
              <w:bottom w:w="0" w:type="dxa"/>
              <w:right w:w="66" w:type="dxa"/>
            </w:tcMar>
            <w:hideMark/>
          </w:tcPr>
          <w:p w14:paraId="124CA7E3" w14:textId="77777777" w:rsidR="00AC0CA3" w:rsidRPr="00AC0CA3" w:rsidRDefault="00AC0CA3" w:rsidP="004072A8">
            <w:pPr>
              <w:keepNext/>
              <w:spacing w:before="0"/>
              <w:jc w:val="left"/>
              <w:rPr>
                <w:rFonts w:ascii="Arial Narrow" w:hAnsi="Arial Narrow"/>
              </w:rPr>
            </w:pPr>
            <w:r w:rsidRPr="00AC0CA3">
              <w:rPr>
                <w:rFonts w:ascii="Arial Narrow" w:hAnsi="Arial Narrow"/>
              </w:rPr>
              <w:t>Coleman 2019</w:t>
            </w:r>
          </w:p>
          <w:p w14:paraId="21D17932" w14:textId="77777777" w:rsidR="00AC0CA3" w:rsidRPr="00AC0CA3" w:rsidRDefault="00AC0CA3" w:rsidP="004072A8">
            <w:pPr>
              <w:keepNext/>
              <w:spacing w:before="0"/>
              <w:jc w:val="left"/>
              <w:rPr>
                <w:rFonts w:ascii="Arial Narrow" w:hAnsi="Arial Narrow"/>
              </w:rPr>
            </w:pPr>
            <w:r w:rsidRPr="00AC0CA3">
              <w:rPr>
                <w:rFonts w:ascii="Arial Narrow" w:hAnsi="Arial Narrow"/>
              </w:rPr>
              <w:t>Veliparib</w:t>
            </w:r>
          </w:p>
          <w:p w14:paraId="7C2342CF" w14:textId="77777777" w:rsidR="00AC0CA3" w:rsidRPr="00AC0CA3" w:rsidRDefault="00AC0CA3" w:rsidP="004072A8">
            <w:pPr>
              <w:keepNext/>
              <w:spacing w:before="0"/>
              <w:jc w:val="left"/>
              <w:rPr>
                <w:rFonts w:ascii="Arial Narrow" w:hAnsi="Arial Narrow"/>
              </w:rPr>
            </w:pPr>
            <w:r w:rsidRPr="00AC0CA3">
              <w:rPr>
                <w:rFonts w:ascii="Arial Narrow" w:hAnsi="Arial Narrow"/>
              </w:rPr>
              <w:t>N=1140</w:t>
            </w:r>
          </w:p>
        </w:tc>
        <w:tc>
          <w:tcPr>
            <w:tcW w:w="1701" w:type="dxa"/>
            <w:shd w:val="clear" w:color="auto" w:fill="auto"/>
            <w:tcMar>
              <w:top w:w="15" w:type="dxa"/>
              <w:left w:w="66" w:type="dxa"/>
              <w:bottom w:w="0" w:type="dxa"/>
              <w:right w:w="66" w:type="dxa"/>
            </w:tcMar>
            <w:hideMark/>
          </w:tcPr>
          <w:p w14:paraId="6FC7029F" w14:textId="77777777" w:rsidR="00AC0CA3" w:rsidRPr="00AC0CA3" w:rsidRDefault="00AC0CA3" w:rsidP="00525AE7">
            <w:pPr>
              <w:spacing w:before="0"/>
              <w:jc w:val="left"/>
              <w:rPr>
                <w:rFonts w:ascii="Arial Narrow" w:hAnsi="Arial Narrow"/>
              </w:rPr>
            </w:pPr>
            <w:r w:rsidRPr="00AC0CA3">
              <w:rPr>
                <w:rFonts w:ascii="Arial Narrow" w:hAnsi="Arial Narrow"/>
              </w:rPr>
              <w:t xml:space="preserve">Myriad </w:t>
            </w:r>
            <w:proofErr w:type="spellStart"/>
            <w:r w:rsidRPr="00AC0CA3">
              <w:rPr>
                <w:rFonts w:ascii="Arial Narrow" w:hAnsi="Arial Narrow"/>
              </w:rPr>
              <w:t>myChoice</w:t>
            </w:r>
            <w:proofErr w:type="spellEnd"/>
          </w:p>
          <w:p w14:paraId="40BC7EAE" w14:textId="77777777" w:rsidR="00AC0CA3" w:rsidRPr="00AC0CA3" w:rsidRDefault="00AC0CA3" w:rsidP="00525AE7">
            <w:pPr>
              <w:spacing w:before="0"/>
              <w:jc w:val="left"/>
              <w:rPr>
                <w:rFonts w:ascii="Arial Narrow" w:hAnsi="Arial Narrow"/>
              </w:rPr>
            </w:pPr>
            <w:r w:rsidRPr="00AC0CA3">
              <w:rPr>
                <w:rFonts w:ascii="Arial Narrow" w:hAnsi="Arial Narrow"/>
              </w:rPr>
              <w:t>Threshold ≥33</w:t>
            </w:r>
          </w:p>
        </w:tc>
        <w:tc>
          <w:tcPr>
            <w:tcW w:w="1559" w:type="dxa"/>
            <w:shd w:val="clear" w:color="auto" w:fill="auto"/>
            <w:tcMar>
              <w:top w:w="15" w:type="dxa"/>
              <w:left w:w="66" w:type="dxa"/>
              <w:bottom w:w="0" w:type="dxa"/>
              <w:right w:w="66" w:type="dxa"/>
            </w:tcMar>
            <w:hideMark/>
          </w:tcPr>
          <w:p w14:paraId="062BA4E3" w14:textId="5361595A" w:rsidR="0035284B" w:rsidRPr="00AC0CA3" w:rsidRDefault="0035284B" w:rsidP="0035284B">
            <w:pPr>
              <w:spacing w:before="0"/>
              <w:jc w:val="center"/>
              <w:rPr>
                <w:rFonts w:ascii="Arial Narrow" w:hAnsi="Arial Narrow"/>
              </w:rPr>
            </w:pPr>
            <w:r w:rsidRPr="00AC0CA3">
              <w:rPr>
                <w:rFonts w:ascii="Arial Narrow" w:hAnsi="Arial Narrow"/>
                <w:i/>
                <w:iCs/>
                <w:lang w:val="it-IT"/>
              </w:rPr>
              <w:t>BRCA</w:t>
            </w:r>
            <w:r w:rsidRPr="00082946">
              <w:rPr>
                <w:rFonts w:ascii="Arial Narrow" w:hAnsi="Arial Narrow"/>
                <w:lang w:val="it-IT"/>
              </w:rPr>
              <w:t>wt/m</w:t>
            </w:r>
          </w:p>
          <w:p w14:paraId="1A54A8DD" w14:textId="0DD903B1" w:rsidR="00AC0CA3" w:rsidRPr="00AC0CA3" w:rsidRDefault="00AC0CA3" w:rsidP="00525AE7">
            <w:pPr>
              <w:spacing w:before="0"/>
              <w:jc w:val="center"/>
              <w:rPr>
                <w:rFonts w:ascii="Arial Narrow" w:hAnsi="Arial Narrow"/>
              </w:rPr>
            </w:pPr>
            <w:r w:rsidRPr="00AC0CA3">
              <w:rPr>
                <w:rFonts w:ascii="Arial Narrow" w:hAnsi="Arial Narrow"/>
                <w:lang w:val="it-IT"/>
              </w:rPr>
              <w:t>0.58 (0.44,</w:t>
            </w:r>
            <w:r w:rsidR="0035284B">
              <w:rPr>
                <w:rFonts w:ascii="Arial Narrow" w:hAnsi="Arial Narrow"/>
                <w:lang w:val="it-IT"/>
              </w:rPr>
              <w:t xml:space="preserve"> </w:t>
            </w:r>
            <w:r w:rsidRPr="00AC0CA3">
              <w:rPr>
                <w:rFonts w:ascii="Arial Narrow" w:hAnsi="Arial Narrow"/>
                <w:lang w:val="it-IT"/>
              </w:rPr>
              <w:t>0.76)</w:t>
            </w:r>
          </w:p>
        </w:tc>
        <w:tc>
          <w:tcPr>
            <w:tcW w:w="2835" w:type="dxa"/>
            <w:shd w:val="clear" w:color="auto" w:fill="auto"/>
            <w:tcMar>
              <w:top w:w="15" w:type="dxa"/>
              <w:left w:w="66" w:type="dxa"/>
              <w:bottom w:w="0" w:type="dxa"/>
              <w:right w:w="66" w:type="dxa"/>
            </w:tcMar>
            <w:hideMark/>
          </w:tcPr>
          <w:p w14:paraId="3CDEDCFC" w14:textId="48CFF250" w:rsidR="00AC0CA3" w:rsidRPr="00AC0CA3" w:rsidRDefault="00AC0CA3" w:rsidP="00525AE7">
            <w:pPr>
              <w:spacing w:before="0"/>
              <w:jc w:val="center"/>
              <w:rPr>
                <w:rFonts w:ascii="Arial Narrow" w:hAnsi="Arial Narrow"/>
              </w:rPr>
            </w:pPr>
            <w:r w:rsidRPr="00AC0CA3">
              <w:rPr>
                <w:rFonts w:ascii="Arial Narrow" w:hAnsi="Arial Narrow"/>
              </w:rPr>
              <w:t>0.81 (0.60,</w:t>
            </w:r>
            <w:r w:rsidR="00525AE7">
              <w:rPr>
                <w:rFonts w:ascii="Arial Narrow" w:hAnsi="Arial Narrow"/>
              </w:rPr>
              <w:t xml:space="preserve"> </w:t>
            </w:r>
            <w:r w:rsidRPr="00AC0CA3">
              <w:rPr>
                <w:rFonts w:ascii="Arial Narrow" w:hAnsi="Arial Narrow"/>
              </w:rPr>
              <w:t>1.09)</w:t>
            </w:r>
          </w:p>
        </w:tc>
        <w:tc>
          <w:tcPr>
            <w:tcW w:w="1554" w:type="dxa"/>
            <w:vMerge/>
            <w:vAlign w:val="center"/>
            <w:hideMark/>
          </w:tcPr>
          <w:p w14:paraId="4CD079F3" w14:textId="77777777" w:rsidR="00AC0CA3" w:rsidRPr="00AC0CA3" w:rsidRDefault="00AC0CA3" w:rsidP="00525AE7">
            <w:pPr>
              <w:spacing w:before="0"/>
              <w:jc w:val="left"/>
              <w:rPr>
                <w:rFonts w:ascii="Arial Narrow" w:hAnsi="Arial Narrow"/>
              </w:rPr>
            </w:pPr>
          </w:p>
        </w:tc>
      </w:tr>
      <w:tr w:rsidR="00525AE7" w:rsidRPr="00AC0CA3" w14:paraId="78E730E9" w14:textId="77777777" w:rsidTr="00E15BE1">
        <w:trPr>
          <w:trHeight w:val="798"/>
        </w:trPr>
        <w:tc>
          <w:tcPr>
            <w:tcW w:w="1413" w:type="dxa"/>
            <w:shd w:val="clear" w:color="auto" w:fill="auto"/>
            <w:tcMar>
              <w:top w:w="15" w:type="dxa"/>
              <w:left w:w="66" w:type="dxa"/>
              <w:bottom w:w="0" w:type="dxa"/>
              <w:right w:w="66" w:type="dxa"/>
            </w:tcMar>
            <w:hideMark/>
          </w:tcPr>
          <w:p w14:paraId="4E324D21" w14:textId="77777777" w:rsidR="00AC0CA3" w:rsidRPr="00AC0CA3" w:rsidRDefault="00AC0CA3" w:rsidP="004072A8">
            <w:pPr>
              <w:keepNext/>
              <w:spacing w:before="0"/>
              <w:jc w:val="left"/>
              <w:rPr>
                <w:rFonts w:ascii="Arial Narrow" w:hAnsi="Arial Narrow"/>
              </w:rPr>
            </w:pPr>
            <w:r w:rsidRPr="00AC0CA3">
              <w:rPr>
                <w:rFonts w:ascii="Arial Narrow" w:hAnsi="Arial Narrow"/>
              </w:rPr>
              <w:t>Gonzalez-Martin 2019</w:t>
            </w:r>
          </w:p>
          <w:p w14:paraId="7AC5B8D6" w14:textId="77777777" w:rsidR="00AC0CA3" w:rsidRPr="00AC0CA3" w:rsidRDefault="00AC0CA3" w:rsidP="004072A8">
            <w:pPr>
              <w:keepNext/>
              <w:spacing w:before="0"/>
              <w:jc w:val="left"/>
              <w:rPr>
                <w:rFonts w:ascii="Arial Narrow" w:hAnsi="Arial Narrow"/>
              </w:rPr>
            </w:pPr>
            <w:r w:rsidRPr="00AC0CA3">
              <w:rPr>
                <w:rFonts w:ascii="Arial Narrow" w:hAnsi="Arial Narrow"/>
              </w:rPr>
              <w:t>Niraparib</w:t>
            </w:r>
          </w:p>
          <w:p w14:paraId="0E50DF62" w14:textId="77777777" w:rsidR="00AC0CA3" w:rsidRPr="00AC0CA3" w:rsidRDefault="00AC0CA3" w:rsidP="004072A8">
            <w:pPr>
              <w:keepNext/>
              <w:spacing w:before="0"/>
              <w:jc w:val="left"/>
              <w:rPr>
                <w:rFonts w:ascii="Arial Narrow" w:hAnsi="Arial Narrow"/>
              </w:rPr>
            </w:pPr>
            <w:r w:rsidRPr="00AC0CA3">
              <w:rPr>
                <w:rFonts w:ascii="Arial Narrow" w:hAnsi="Arial Narrow"/>
              </w:rPr>
              <w:t>N=733</w:t>
            </w:r>
          </w:p>
        </w:tc>
        <w:tc>
          <w:tcPr>
            <w:tcW w:w="1701" w:type="dxa"/>
            <w:shd w:val="clear" w:color="auto" w:fill="auto"/>
            <w:tcMar>
              <w:top w:w="15" w:type="dxa"/>
              <w:left w:w="66" w:type="dxa"/>
              <w:bottom w:w="0" w:type="dxa"/>
              <w:right w:w="66" w:type="dxa"/>
            </w:tcMar>
            <w:hideMark/>
          </w:tcPr>
          <w:p w14:paraId="4F966CF8" w14:textId="7ED5CCF2" w:rsidR="00AC0CA3" w:rsidRPr="00AC0CA3" w:rsidRDefault="00AC0CA3" w:rsidP="00525AE7">
            <w:pPr>
              <w:spacing w:before="0"/>
              <w:jc w:val="left"/>
              <w:rPr>
                <w:rFonts w:ascii="Arial Narrow" w:hAnsi="Arial Narrow"/>
              </w:rPr>
            </w:pPr>
            <w:r w:rsidRPr="00AC0CA3">
              <w:rPr>
                <w:rFonts w:ascii="Arial Narrow" w:hAnsi="Arial Narrow"/>
              </w:rPr>
              <w:t xml:space="preserve">Myriad </w:t>
            </w:r>
            <w:proofErr w:type="spellStart"/>
            <w:r w:rsidRPr="00AC0CA3">
              <w:rPr>
                <w:rFonts w:ascii="Arial Narrow" w:hAnsi="Arial Narrow"/>
              </w:rPr>
              <w:t>myChoice</w:t>
            </w:r>
            <w:proofErr w:type="spellEnd"/>
          </w:p>
          <w:p w14:paraId="58DF530A" w14:textId="77777777" w:rsidR="00AC0CA3" w:rsidRPr="00AC0CA3" w:rsidRDefault="00AC0CA3" w:rsidP="00525AE7">
            <w:pPr>
              <w:spacing w:before="0"/>
              <w:jc w:val="left"/>
              <w:rPr>
                <w:rFonts w:ascii="Arial Narrow" w:hAnsi="Arial Narrow"/>
              </w:rPr>
            </w:pPr>
            <w:r w:rsidRPr="00AC0CA3">
              <w:rPr>
                <w:rFonts w:ascii="Arial Narrow" w:hAnsi="Arial Narrow"/>
              </w:rPr>
              <w:t>Threshold ≥42</w:t>
            </w:r>
          </w:p>
        </w:tc>
        <w:tc>
          <w:tcPr>
            <w:tcW w:w="1559" w:type="dxa"/>
            <w:shd w:val="clear" w:color="auto" w:fill="auto"/>
            <w:tcMar>
              <w:top w:w="15" w:type="dxa"/>
              <w:left w:w="66" w:type="dxa"/>
              <w:bottom w:w="0" w:type="dxa"/>
              <w:right w:w="66" w:type="dxa"/>
            </w:tcMar>
            <w:hideMark/>
          </w:tcPr>
          <w:p w14:paraId="70C957BC" w14:textId="77777777" w:rsidR="00D64729" w:rsidRPr="00AC0CA3" w:rsidRDefault="00D64729" w:rsidP="00D64729">
            <w:pPr>
              <w:spacing w:before="0"/>
              <w:jc w:val="center"/>
              <w:rPr>
                <w:rFonts w:ascii="Arial Narrow" w:hAnsi="Arial Narrow"/>
              </w:rPr>
            </w:pPr>
            <w:r w:rsidRPr="00AC0CA3">
              <w:rPr>
                <w:rFonts w:ascii="Arial Narrow" w:hAnsi="Arial Narrow"/>
                <w:i/>
                <w:iCs/>
                <w:lang w:val="it-IT"/>
              </w:rPr>
              <w:t>BRCA</w:t>
            </w:r>
            <w:r w:rsidRPr="00082946">
              <w:rPr>
                <w:rFonts w:ascii="Arial Narrow" w:hAnsi="Arial Narrow"/>
                <w:lang w:val="it-IT"/>
              </w:rPr>
              <w:t>wt/m</w:t>
            </w:r>
          </w:p>
          <w:p w14:paraId="22258C83" w14:textId="59CA478B" w:rsidR="00D64729" w:rsidRPr="00AC0CA3" w:rsidRDefault="00AC0CA3" w:rsidP="00D64729">
            <w:pPr>
              <w:spacing w:before="0"/>
              <w:jc w:val="center"/>
              <w:rPr>
                <w:rFonts w:ascii="Arial Narrow" w:hAnsi="Arial Narrow"/>
              </w:rPr>
            </w:pPr>
            <w:r w:rsidRPr="00AC0CA3">
              <w:rPr>
                <w:rFonts w:ascii="Arial Narrow" w:hAnsi="Arial Narrow"/>
              </w:rPr>
              <w:t>0.</w:t>
            </w:r>
            <w:r w:rsidR="00D64729">
              <w:rPr>
                <w:rFonts w:ascii="Arial Narrow" w:hAnsi="Arial Narrow"/>
              </w:rPr>
              <w:t>4</w:t>
            </w:r>
            <w:r w:rsidRPr="00AC0CA3">
              <w:rPr>
                <w:rFonts w:ascii="Arial Narrow" w:hAnsi="Arial Narrow"/>
              </w:rPr>
              <w:t>0, (0.</w:t>
            </w:r>
            <w:r w:rsidR="00D64729">
              <w:rPr>
                <w:rFonts w:ascii="Arial Narrow" w:hAnsi="Arial Narrow"/>
              </w:rPr>
              <w:t>27</w:t>
            </w:r>
            <w:r w:rsidRPr="00AC0CA3">
              <w:rPr>
                <w:rFonts w:ascii="Arial Narrow" w:hAnsi="Arial Narrow"/>
              </w:rPr>
              <w:t>,</w:t>
            </w:r>
            <w:r w:rsidR="0035284B">
              <w:rPr>
                <w:rFonts w:ascii="Arial Narrow" w:hAnsi="Arial Narrow"/>
              </w:rPr>
              <w:t xml:space="preserve"> </w:t>
            </w:r>
            <w:r w:rsidRPr="00AC0CA3">
              <w:rPr>
                <w:rFonts w:ascii="Arial Narrow" w:hAnsi="Arial Narrow"/>
              </w:rPr>
              <w:t>0.</w:t>
            </w:r>
            <w:r w:rsidR="00D64729">
              <w:rPr>
                <w:rFonts w:ascii="Arial Narrow" w:hAnsi="Arial Narrow"/>
              </w:rPr>
              <w:t>62</w:t>
            </w:r>
            <w:r w:rsidRPr="00AC0CA3">
              <w:rPr>
                <w:rFonts w:ascii="Arial Narrow" w:hAnsi="Arial Narrow"/>
              </w:rPr>
              <w:t>)</w:t>
            </w:r>
          </w:p>
          <w:p w14:paraId="158C3ABC" w14:textId="33F16B4E" w:rsidR="00D64729" w:rsidRPr="00AC0CA3" w:rsidRDefault="00D64729" w:rsidP="00D64729">
            <w:pPr>
              <w:spacing w:before="0"/>
              <w:jc w:val="center"/>
              <w:rPr>
                <w:rFonts w:ascii="Arial Narrow" w:hAnsi="Arial Narrow"/>
              </w:rPr>
            </w:pPr>
            <w:r w:rsidRPr="00AC0CA3">
              <w:rPr>
                <w:rFonts w:ascii="Arial Narrow" w:hAnsi="Arial Narrow"/>
                <w:i/>
                <w:iCs/>
                <w:lang w:val="pt-BR"/>
              </w:rPr>
              <w:t>BRCA</w:t>
            </w:r>
            <w:r w:rsidRPr="00082946">
              <w:rPr>
                <w:rFonts w:ascii="Arial Narrow" w:hAnsi="Arial Narrow"/>
                <w:lang w:val="pt-BR"/>
              </w:rPr>
              <w:t>wt</w:t>
            </w:r>
          </w:p>
          <w:p w14:paraId="0A818486" w14:textId="2D94DD39" w:rsidR="00AC0CA3" w:rsidRPr="00AC0CA3" w:rsidRDefault="00D64729" w:rsidP="00525AE7">
            <w:pPr>
              <w:spacing w:before="0"/>
              <w:jc w:val="center"/>
              <w:rPr>
                <w:rFonts w:ascii="Arial Narrow" w:hAnsi="Arial Narrow"/>
              </w:rPr>
            </w:pPr>
            <w:r w:rsidRPr="00AC0CA3">
              <w:rPr>
                <w:rFonts w:ascii="Arial Narrow" w:hAnsi="Arial Narrow"/>
              </w:rPr>
              <w:t>0.50, (0.31,</w:t>
            </w:r>
            <w:r>
              <w:rPr>
                <w:rFonts w:ascii="Arial Narrow" w:hAnsi="Arial Narrow"/>
              </w:rPr>
              <w:t xml:space="preserve"> </w:t>
            </w:r>
            <w:r w:rsidRPr="00AC0CA3">
              <w:rPr>
                <w:rFonts w:ascii="Arial Narrow" w:hAnsi="Arial Narrow"/>
              </w:rPr>
              <w:t>0.83)</w:t>
            </w:r>
          </w:p>
        </w:tc>
        <w:tc>
          <w:tcPr>
            <w:tcW w:w="2835" w:type="dxa"/>
            <w:shd w:val="clear" w:color="auto" w:fill="auto"/>
            <w:tcMar>
              <w:top w:w="15" w:type="dxa"/>
              <w:left w:w="66" w:type="dxa"/>
              <w:bottom w:w="0" w:type="dxa"/>
              <w:right w:w="66" w:type="dxa"/>
            </w:tcMar>
            <w:hideMark/>
          </w:tcPr>
          <w:p w14:paraId="25C5ACA6" w14:textId="6204EE4B" w:rsidR="00AC0CA3" w:rsidRPr="00AC0CA3" w:rsidRDefault="00AC0CA3" w:rsidP="00525AE7">
            <w:pPr>
              <w:spacing w:before="0"/>
              <w:jc w:val="center"/>
              <w:rPr>
                <w:rFonts w:ascii="Arial Narrow" w:hAnsi="Arial Narrow"/>
              </w:rPr>
            </w:pPr>
            <w:r w:rsidRPr="00AC0CA3">
              <w:rPr>
                <w:rFonts w:ascii="Arial Narrow" w:hAnsi="Arial Narrow"/>
                <w:lang w:val="it-IT"/>
              </w:rPr>
              <w:t>0.68 (0.40,</w:t>
            </w:r>
            <w:r w:rsidR="00525AE7">
              <w:rPr>
                <w:rFonts w:ascii="Arial Narrow" w:hAnsi="Arial Narrow"/>
                <w:lang w:val="it-IT"/>
              </w:rPr>
              <w:t xml:space="preserve"> </w:t>
            </w:r>
            <w:r w:rsidRPr="00AC0CA3">
              <w:rPr>
                <w:rFonts w:ascii="Arial Narrow" w:hAnsi="Arial Narrow"/>
                <w:lang w:val="it-IT"/>
              </w:rPr>
              <w:t>0.94)</w:t>
            </w:r>
          </w:p>
        </w:tc>
        <w:tc>
          <w:tcPr>
            <w:tcW w:w="1554" w:type="dxa"/>
            <w:vMerge/>
            <w:vAlign w:val="center"/>
            <w:hideMark/>
          </w:tcPr>
          <w:p w14:paraId="2B7D16FA" w14:textId="77777777" w:rsidR="00AC0CA3" w:rsidRPr="00AC0CA3" w:rsidRDefault="00AC0CA3" w:rsidP="00525AE7">
            <w:pPr>
              <w:spacing w:before="0"/>
              <w:jc w:val="left"/>
              <w:rPr>
                <w:rFonts w:ascii="Arial Narrow" w:hAnsi="Arial Narrow"/>
              </w:rPr>
            </w:pPr>
          </w:p>
        </w:tc>
      </w:tr>
      <w:tr w:rsidR="00525AE7" w:rsidRPr="00AC0CA3" w14:paraId="35FDC14E" w14:textId="77777777" w:rsidTr="00E15BE1">
        <w:trPr>
          <w:trHeight w:val="967"/>
        </w:trPr>
        <w:tc>
          <w:tcPr>
            <w:tcW w:w="1413" w:type="dxa"/>
            <w:shd w:val="clear" w:color="auto" w:fill="auto"/>
            <w:tcMar>
              <w:top w:w="15" w:type="dxa"/>
              <w:left w:w="66" w:type="dxa"/>
              <w:bottom w:w="0" w:type="dxa"/>
              <w:right w:w="66" w:type="dxa"/>
            </w:tcMar>
            <w:hideMark/>
          </w:tcPr>
          <w:p w14:paraId="584C4E68" w14:textId="77777777" w:rsidR="00AC0CA3" w:rsidRPr="00AC0CA3" w:rsidRDefault="00AC0CA3" w:rsidP="004072A8">
            <w:pPr>
              <w:keepNext/>
              <w:spacing w:before="0"/>
              <w:jc w:val="left"/>
              <w:rPr>
                <w:rFonts w:ascii="Arial Narrow" w:hAnsi="Arial Narrow"/>
              </w:rPr>
            </w:pPr>
            <w:r w:rsidRPr="00AC0CA3">
              <w:rPr>
                <w:rFonts w:ascii="Arial Narrow" w:hAnsi="Arial Narrow"/>
              </w:rPr>
              <w:t>Coleman 2017</w:t>
            </w:r>
          </w:p>
          <w:p w14:paraId="0268DE0D" w14:textId="77777777" w:rsidR="00AC0CA3" w:rsidRPr="00AC0CA3" w:rsidRDefault="00AC0CA3" w:rsidP="004072A8">
            <w:pPr>
              <w:keepNext/>
              <w:spacing w:before="0"/>
              <w:jc w:val="left"/>
              <w:rPr>
                <w:rFonts w:ascii="Arial Narrow" w:hAnsi="Arial Narrow"/>
              </w:rPr>
            </w:pPr>
            <w:r w:rsidRPr="00AC0CA3">
              <w:rPr>
                <w:rFonts w:ascii="Arial Narrow" w:hAnsi="Arial Narrow"/>
              </w:rPr>
              <w:t>Rucaparib</w:t>
            </w:r>
          </w:p>
          <w:p w14:paraId="0C1B4C47" w14:textId="77777777" w:rsidR="00AC0CA3" w:rsidRPr="00AC0CA3" w:rsidRDefault="00AC0CA3" w:rsidP="004072A8">
            <w:pPr>
              <w:keepNext/>
              <w:spacing w:before="0"/>
              <w:jc w:val="left"/>
              <w:rPr>
                <w:rFonts w:ascii="Arial Narrow" w:hAnsi="Arial Narrow"/>
              </w:rPr>
            </w:pPr>
            <w:r w:rsidRPr="00AC0CA3">
              <w:rPr>
                <w:rFonts w:ascii="Arial Narrow" w:hAnsi="Arial Narrow"/>
              </w:rPr>
              <w:t>N=564</w:t>
            </w:r>
          </w:p>
        </w:tc>
        <w:tc>
          <w:tcPr>
            <w:tcW w:w="1701" w:type="dxa"/>
            <w:shd w:val="clear" w:color="auto" w:fill="auto"/>
            <w:tcMar>
              <w:top w:w="15" w:type="dxa"/>
              <w:left w:w="66" w:type="dxa"/>
              <w:bottom w:w="0" w:type="dxa"/>
              <w:right w:w="66" w:type="dxa"/>
            </w:tcMar>
            <w:hideMark/>
          </w:tcPr>
          <w:p w14:paraId="0E49F213" w14:textId="6E0988E6" w:rsidR="00AC0CA3" w:rsidRPr="00AC0CA3" w:rsidRDefault="00AC0CA3" w:rsidP="00525AE7">
            <w:pPr>
              <w:spacing w:before="0"/>
              <w:jc w:val="left"/>
              <w:rPr>
                <w:rFonts w:ascii="Arial Narrow" w:hAnsi="Arial Narrow"/>
              </w:rPr>
            </w:pPr>
            <w:r w:rsidRPr="00AC0CA3">
              <w:rPr>
                <w:rFonts w:ascii="Arial Narrow" w:hAnsi="Arial Narrow"/>
              </w:rPr>
              <w:t>Foundation Medicine</w:t>
            </w:r>
          </w:p>
          <w:p w14:paraId="45D888CD" w14:textId="77777777" w:rsidR="00AC0CA3" w:rsidRPr="00AC0CA3" w:rsidRDefault="00AC0CA3" w:rsidP="00525AE7">
            <w:pPr>
              <w:spacing w:before="0"/>
              <w:jc w:val="left"/>
              <w:rPr>
                <w:rFonts w:ascii="Arial Narrow" w:hAnsi="Arial Narrow"/>
              </w:rPr>
            </w:pPr>
            <w:r w:rsidRPr="00AC0CA3">
              <w:rPr>
                <w:rFonts w:ascii="Arial Narrow" w:hAnsi="Arial Narrow"/>
              </w:rPr>
              <w:t>Threshold ≥16%</w:t>
            </w:r>
          </w:p>
        </w:tc>
        <w:tc>
          <w:tcPr>
            <w:tcW w:w="1559" w:type="dxa"/>
            <w:shd w:val="clear" w:color="auto" w:fill="auto"/>
            <w:tcMar>
              <w:top w:w="15" w:type="dxa"/>
              <w:left w:w="66" w:type="dxa"/>
              <w:bottom w:w="0" w:type="dxa"/>
              <w:right w:w="66" w:type="dxa"/>
            </w:tcMar>
            <w:hideMark/>
          </w:tcPr>
          <w:p w14:paraId="1F04FD20" w14:textId="52728346" w:rsidR="00AC0CA3" w:rsidRPr="00AC0CA3" w:rsidRDefault="00AC0CA3" w:rsidP="00525AE7">
            <w:pPr>
              <w:spacing w:before="0"/>
              <w:jc w:val="center"/>
              <w:rPr>
                <w:rFonts w:ascii="Arial Narrow" w:hAnsi="Arial Narrow"/>
              </w:rPr>
            </w:pPr>
            <w:proofErr w:type="spellStart"/>
            <w:r w:rsidRPr="00AC0CA3">
              <w:rPr>
                <w:rFonts w:ascii="Arial Narrow" w:hAnsi="Arial Narrow"/>
                <w:i/>
                <w:iCs/>
                <w:lang w:val="fr-FR"/>
              </w:rPr>
              <w:t>BRCA</w:t>
            </w:r>
            <w:r w:rsidR="00D64729" w:rsidRPr="00082946">
              <w:rPr>
                <w:rFonts w:ascii="Arial Narrow" w:hAnsi="Arial Narrow"/>
                <w:lang w:val="fr-FR"/>
              </w:rPr>
              <w:t>wt</w:t>
            </w:r>
            <w:proofErr w:type="spellEnd"/>
            <w:r w:rsidR="00D64729" w:rsidRPr="00082946">
              <w:rPr>
                <w:rFonts w:ascii="Arial Narrow" w:hAnsi="Arial Narrow"/>
                <w:lang w:val="fr-FR"/>
              </w:rPr>
              <w:t>/</w:t>
            </w:r>
            <w:r w:rsidRPr="00082946">
              <w:rPr>
                <w:rFonts w:ascii="Arial Narrow" w:hAnsi="Arial Narrow"/>
                <w:lang w:val="fr-FR"/>
              </w:rPr>
              <w:t>m</w:t>
            </w:r>
          </w:p>
          <w:p w14:paraId="1D6F6BED" w14:textId="1E9A528B" w:rsidR="00AC0CA3" w:rsidRPr="00AC0CA3" w:rsidRDefault="00AC0CA3" w:rsidP="00525AE7">
            <w:pPr>
              <w:spacing w:before="0"/>
              <w:jc w:val="center"/>
              <w:rPr>
                <w:rFonts w:ascii="Arial Narrow" w:hAnsi="Arial Narrow"/>
              </w:rPr>
            </w:pPr>
            <w:r w:rsidRPr="00AC0CA3">
              <w:rPr>
                <w:rFonts w:ascii="Arial Narrow" w:hAnsi="Arial Narrow"/>
                <w:lang w:val="fr-FR"/>
              </w:rPr>
              <w:t>0.32 (0.24,</w:t>
            </w:r>
            <w:r w:rsidR="0035284B">
              <w:rPr>
                <w:rFonts w:ascii="Arial Narrow" w:hAnsi="Arial Narrow"/>
                <w:lang w:val="fr-FR"/>
              </w:rPr>
              <w:t xml:space="preserve"> </w:t>
            </w:r>
            <w:r w:rsidRPr="00AC0CA3">
              <w:rPr>
                <w:rFonts w:ascii="Arial Narrow" w:hAnsi="Arial Narrow"/>
                <w:lang w:val="fr-FR"/>
              </w:rPr>
              <w:t>0.42)</w:t>
            </w:r>
          </w:p>
          <w:p w14:paraId="568C1885" w14:textId="01917D3F" w:rsidR="00AC0CA3" w:rsidRPr="00AC0CA3" w:rsidRDefault="00AC0CA3" w:rsidP="00525AE7">
            <w:pPr>
              <w:spacing w:before="0"/>
              <w:jc w:val="center"/>
              <w:rPr>
                <w:rFonts w:ascii="Arial Narrow" w:hAnsi="Arial Narrow"/>
              </w:rPr>
            </w:pPr>
            <w:proofErr w:type="spellStart"/>
            <w:r w:rsidRPr="00AC0CA3">
              <w:rPr>
                <w:rFonts w:ascii="Arial Narrow" w:hAnsi="Arial Narrow"/>
                <w:i/>
                <w:iCs/>
              </w:rPr>
              <w:t>BRCA</w:t>
            </w:r>
            <w:r w:rsidRPr="00082946">
              <w:rPr>
                <w:rFonts w:ascii="Arial Narrow" w:hAnsi="Arial Narrow"/>
              </w:rPr>
              <w:t>wt</w:t>
            </w:r>
            <w:proofErr w:type="spellEnd"/>
          </w:p>
          <w:p w14:paraId="579593B6" w14:textId="5AFE9338" w:rsidR="00AC0CA3" w:rsidRPr="00AC0CA3" w:rsidRDefault="00AC0CA3" w:rsidP="00525AE7">
            <w:pPr>
              <w:spacing w:before="0"/>
              <w:jc w:val="center"/>
              <w:rPr>
                <w:rFonts w:ascii="Arial Narrow" w:hAnsi="Arial Narrow"/>
              </w:rPr>
            </w:pPr>
            <w:r w:rsidRPr="00AC0CA3">
              <w:rPr>
                <w:rFonts w:ascii="Arial Narrow" w:hAnsi="Arial Narrow"/>
              </w:rPr>
              <w:t>0.44 (0.29,</w:t>
            </w:r>
            <w:r w:rsidR="0035284B">
              <w:rPr>
                <w:rFonts w:ascii="Arial Narrow" w:hAnsi="Arial Narrow"/>
              </w:rPr>
              <w:t xml:space="preserve"> </w:t>
            </w:r>
            <w:r w:rsidRPr="00AC0CA3">
              <w:rPr>
                <w:rFonts w:ascii="Arial Narrow" w:hAnsi="Arial Narrow"/>
              </w:rPr>
              <w:t>0.66)</w:t>
            </w:r>
          </w:p>
        </w:tc>
        <w:tc>
          <w:tcPr>
            <w:tcW w:w="2835" w:type="dxa"/>
            <w:shd w:val="clear" w:color="auto" w:fill="auto"/>
            <w:tcMar>
              <w:top w:w="15" w:type="dxa"/>
              <w:left w:w="66" w:type="dxa"/>
              <w:bottom w:w="0" w:type="dxa"/>
              <w:right w:w="66" w:type="dxa"/>
            </w:tcMar>
            <w:hideMark/>
          </w:tcPr>
          <w:p w14:paraId="230DECB7" w14:textId="216EF6B1" w:rsidR="00525AE7" w:rsidRPr="00525AE7" w:rsidRDefault="00AC0CA3" w:rsidP="00525AE7">
            <w:pPr>
              <w:spacing w:before="0"/>
              <w:jc w:val="center"/>
              <w:rPr>
                <w:rFonts w:ascii="Arial Narrow" w:hAnsi="Arial Narrow"/>
                <w:lang w:val="it-IT"/>
              </w:rPr>
            </w:pPr>
            <w:r w:rsidRPr="00AC0CA3">
              <w:rPr>
                <w:rFonts w:ascii="Arial Narrow" w:hAnsi="Arial Narrow"/>
                <w:i/>
                <w:iCs/>
                <w:lang w:val="it-IT"/>
              </w:rPr>
              <w:t>BRCA</w:t>
            </w:r>
            <w:r w:rsidRPr="00082946">
              <w:rPr>
                <w:rFonts w:ascii="Arial Narrow" w:hAnsi="Arial Narrow"/>
                <w:lang w:val="it-IT"/>
              </w:rPr>
              <w:t>wt/m</w:t>
            </w:r>
            <w:r w:rsidRPr="00AC0CA3">
              <w:rPr>
                <w:rFonts w:ascii="Arial Narrow" w:hAnsi="Arial Narrow"/>
                <w:lang w:val="it-IT"/>
              </w:rPr>
              <w:t xml:space="preserve"> H</w:t>
            </w:r>
            <w:r w:rsidR="0035284B">
              <w:rPr>
                <w:rFonts w:ascii="Arial Narrow" w:hAnsi="Arial Narrow"/>
                <w:lang w:val="it-IT"/>
              </w:rPr>
              <w:t>R</w:t>
            </w:r>
            <w:r w:rsidRPr="00AC0CA3">
              <w:rPr>
                <w:rFonts w:ascii="Arial Narrow" w:hAnsi="Arial Narrow"/>
                <w:lang w:val="it-IT"/>
              </w:rPr>
              <w:t>D-</w:t>
            </w:r>
          </w:p>
          <w:p w14:paraId="20508E74" w14:textId="6C8FC1A6" w:rsidR="00AC0CA3" w:rsidRPr="00AC0CA3" w:rsidRDefault="00AC0CA3" w:rsidP="00525AE7">
            <w:pPr>
              <w:spacing w:before="0"/>
              <w:jc w:val="center"/>
              <w:rPr>
                <w:rFonts w:ascii="Arial Narrow" w:hAnsi="Arial Narrow"/>
              </w:rPr>
            </w:pPr>
            <w:r w:rsidRPr="00AC0CA3">
              <w:rPr>
                <w:rFonts w:ascii="Arial Narrow" w:hAnsi="Arial Narrow"/>
                <w:lang w:val="it-IT"/>
              </w:rPr>
              <w:t>0.58 (0.40,</w:t>
            </w:r>
            <w:r w:rsidR="00525AE7">
              <w:rPr>
                <w:rFonts w:ascii="Arial Narrow" w:hAnsi="Arial Narrow"/>
                <w:lang w:val="it-IT"/>
              </w:rPr>
              <w:t xml:space="preserve"> </w:t>
            </w:r>
            <w:r w:rsidRPr="00AC0CA3">
              <w:rPr>
                <w:rFonts w:ascii="Arial Narrow" w:hAnsi="Arial Narrow"/>
                <w:lang w:val="it-IT"/>
              </w:rPr>
              <w:t>0.85)</w:t>
            </w:r>
          </w:p>
        </w:tc>
        <w:tc>
          <w:tcPr>
            <w:tcW w:w="1554" w:type="dxa"/>
            <w:vMerge/>
            <w:vAlign w:val="center"/>
            <w:hideMark/>
          </w:tcPr>
          <w:p w14:paraId="4D75A9BE" w14:textId="77777777" w:rsidR="00AC0CA3" w:rsidRPr="00AC0CA3" w:rsidRDefault="00AC0CA3" w:rsidP="00525AE7">
            <w:pPr>
              <w:spacing w:before="0"/>
              <w:jc w:val="left"/>
              <w:rPr>
                <w:rFonts w:ascii="Arial Narrow" w:hAnsi="Arial Narrow"/>
              </w:rPr>
            </w:pPr>
          </w:p>
        </w:tc>
      </w:tr>
    </w:tbl>
    <w:p w14:paraId="62DFA713" w14:textId="421B4E7D" w:rsidR="00D64729" w:rsidRPr="000C4977" w:rsidRDefault="00D64729" w:rsidP="00FD7777">
      <w:pPr>
        <w:widowControl w:val="0"/>
        <w:spacing w:before="0" w:after="0"/>
        <w:contextualSpacing/>
        <w:rPr>
          <w:rFonts w:ascii="Arial Narrow" w:eastAsia="Times New Roman" w:hAnsi="Arial Narrow" w:cs="Arial"/>
          <w:snapToGrid w:val="0"/>
          <w:sz w:val="18"/>
          <w:szCs w:val="18"/>
        </w:rPr>
      </w:pPr>
      <w:proofErr w:type="spellStart"/>
      <w:r w:rsidRPr="65106A7D">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m</w:t>
      </w:r>
      <w:proofErr w:type="spellEnd"/>
      <w:r w:rsidRPr="000C4977">
        <w:rPr>
          <w:rFonts w:ascii="Arial Narrow" w:eastAsia="Times New Roman" w:hAnsi="Arial Narrow" w:cs="Arial"/>
          <w:snapToGrid w:val="0"/>
          <w:sz w:val="18"/>
          <w:szCs w:val="18"/>
        </w:rPr>
        <w:t xml:space="preserve"> = breast cancer gene mutation; </w:t>
      </w:r>
      <w:proofErr w:type="spellStart"/>
      <w:r w:rsidRPr="65106A7D">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wt</w:t>
      </w:r>
      <w:proofErr w:type="spellEnd"/>
      <w:r w:rsidRPr="000C4977">
        <w:rPr>
          <w:rFonts w:ascii="Arial Narrow" w:eastAsia="Times New Roman" w:hAnsi="Arial Narrow" w:cs="Arial"/>
          <w:snapToGrid w:val="0"/>
          <w:sz w:val="18"/>
          <w:szCs w:val="18"/>
        </w:rPr>
        <w:t xml:space="preserve"> = breast cancer gene wild type; HR = hazard ratio; HRD =</w:t>
      </w:r>
      <w:r w:rsidR="00F132CB">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homologous recombination deficiency; </w:t>
      </w:r>
      <w:r>
        <w:rPr>
          <w:rFonts w:ascii="Arial Narrow" w:eastAsia="Times New Roman" w:hAnsi="Arial Narrow" w:cs="Arial"/>
          <w:snapToGrid w:val="0"/>
          <w:sz w:val="18"/>
          <w:szCs w:val="18"/>
        </w:rPr>
        <w:t xml:space="preserve">ITT = intention-to-treat; </w:t>
      </w:r>
      <w:r w:rsidR="00576A21">
        <w:rPr>
          <w:rFonts w:ascii="Arial Narrow" w:eastAsia="Times New Roman" w:hAnsi="Arial Narrow" w:cs="Arial"/>
          <w:snapToGrid w:val="0"/>
          <w:sz w:val="18"/>
          <w:szCs w:val="18"/>
        </w:rPr>
        <w:t xml:space="preserve">PARP = </w:t>
      </w:r>
      <w:r w:rsidR="00576A21" w:rsidRPr="00576A21">
        <w:rPr>
          <w:rFonts w:ascii="Arial Narrow" w:eastAsia="Times New Roman" w:hAnsi="Arial Narrow" w:cs="Arial"/>
          <w:snapToGrid w:val="0"/>
          <w:sz w:val="18"/>
          <w:szCs w:val="18"/>
        </w:rPr>
        <w:t>poly adenosine diphosphate-ribose polymerase</w:t>
      </w:r>
      <w:r w:rsidR="00576A21">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PFS, progression-free </w:t>
      </w:r>
      <w:r w:rsidR="003E5728" w:rsidRPr="000C4977">
        <w:rPr>
          <w:rFonts w:ascii="Arial Narrow" w:eastAsia="Times New Roman" w:hAnsi="Arial Narrow" w:cs="Arial"/>
          <w:snapToGrid w:val="0"/>
          <w:sz w:val="18"/>
          <w:szCs w:val="18"/>
        </w:rPr>
        <w:t>survival</w:t>
      </w:r>
    </w:p>
    <w:p w14:paraId="6ACF239C" w14:textId="65BBA7C0" w:rsidR="0062391F" w:rsidRPr="00AA0B48" w:rsidRDefault="00DA175D" w:rsidP="00A75241">
      <w:pPr>
        <w:jc w:val="left"/>
      </w:pPr>
      <w:r>
        <w:t xml:space="preserve">MSAC noted </w:t>
      </w:r>
      <w:r w:rsidR="00A75241" w:rsidRPr="00A75241">
        <w:t xml:space="preserve">that </w:t>
      </w:r>
      <w:proofErr w:type="gramStart"/>
      <w:r w:rsidR="00A75241" w:rsidRPr="00A75241">
        <w:t>the majority of</w:t>
      </w:r>
      <w:proofErr w:type="gramEnd"/>
      <w:r w:rsidR="00A75241" w:rsidRPr="00A75241">
        <w:t xml:space="preserve"> studies provided in the application used the Myriad assay, although </w:t>
      </w:r>
      <w:r>
        <w:t>some</w:t>
      </w:r>
      <w:r w:rsidRPr="00A75241">
        <w:t xml:space="preserve"> </w:t>
      </w:r>
      <w:r w:rsidR="00A75241" w:rsidRPr="00A75241">
        <w:t xml:space="preserve">studies used different </w:t>
      </w:r>
      <w:r w:rsidR="00A75241" w:rsidRPr="00AA0B48">
        <w:t xml:space="preserve">thresholds for HRD positivity. </w:t>
      </w:r>
      <w:r w:rsidR="0062391F" w:rsidRPr="00AA0B48">
        <w:t xml:space="preserve">MSAC considered that there was uncertainty about whether the treatment effect is predicted by the combination of </w:t>
      </w:r>
      <w:r w:rsidR="0062391F" w:rsidRPr="00AA0B48">
        <w:rPr>
          <w:i/>
          <w:iCs/>
        </w:rPr>
        <w:t>BRCA1/2</w:t>
      </w:r>
      <w:r w:rsidR="0062391F" w:rsidRPr="00AA0B48">
        <w:t xml:space="preserve"> status and </w:t>
      </w:r>
      <w:r w:rsidR="004E394A" w:rsidRPr="00AA0B48">
        <w:t>genomic instability</w:t>
      </w:r>
      <w:r w:rsidR="0062391F" w:rsidRPr="00AA0B48">
        <w:t xml:space="preserve">, compared with either </w:t>
      </w:r>
      <w:r w:rsidR="0062391F" w:rsidRPr="00AA0B48">
        <w:rPr>
          <w:i/>
          <w:iCs/>
        </w:rPr>
        <w:t>BRCA1/2</w:t>
      </w:r>
      <w:r w:rsidR="0062391F" w:rsidRPr="00AA0B48">
        <w:t xml:space="preserve"> status or </w:t>
      </w:r>
      <w:r w:rsidR="004E394A" w:rsidRPr="00AA0B48">
        <w:t>genomic instability</w:t>
      </w:r>
      <w:r w:rsidR="0062391F" w:rsidRPr="00AA0B48">
        <w:t xml:space="preserve"> alone.</w:t>
      </w:r>
      <w:r w:rsidR="00B83E7A" w:rsidRPr="00AA0B48">
        <w:t xml:space="preserve"> MSAC noted that response to platinum-based chemotherapy itself is a predictor of response to PARP inhibitors.</w:t>
      </w:r>
    </w:p>
    <w:p w14:paraId="545D6AE1" w14:textId="73452101" w:rsidR="00A75241" w:rsidRPr="00A75241" w:rsidRDefault="00A75241" w:rsidP="00A75241">
      <w:pPr>
        <w:jc w:val="left"/>
      </w:pPr>
      <w:r w:rsidRPr="00AA0B48">
        <w:t>MSAC noted data on comparative clinical effectiveness from the PAOLA-1 trial, which showed improved progression-free survival (PFS) but no improvement in overall survival (OS)</w:t>
      </w:r>
      <w:r w:rsidR="00FD157D" w:rsidRPr="00AA0B48">
        <w:t xml:space="preserve"> in the ITT population, the HRD-</w:t>
      </w:r>
      <w:r w:rsidR="003E5728" w:rsidRPr="00AA0B48">
        <w:t>positive</w:t>
      </w:r>
      <w:r w:rsidR="00FD157D" w:rsidRPr="00AA0B48">
        <w:t xml:space="preserve"> subgroup and the HRD-positive </w:t>
      </w:r>
      <w:proofErr w:type="spellStart"/>
      <w:r w:rsidR="00FD157D" w:rsidRPr="00AA0B48">
        <w:rPr>
          <w:i/>
          <w:iCs/>
        </w:rPr>
        <w:t>BRCA</w:t>
      </w:r>
      <w:r w:rsidR="00FD157D" w:rsidRPr="00AA0B48">
        <w:t>wt</w:t>
      </w:r>
      <w:proofErr w:type="spellEnd"/>
      <w:r w:rsidR="00FD157D" w:rsidRPr="00AA0B48">
        <w:t xml:space="preserve"> subgroup</w:t>
      </w:r>
      <w:r w:rsidRPr="00AA0B48">
        <w:t xml:space="preserve">. </w:t>
      </w:r>
      <w:r w:rsidR="0062391F" w:rsidRPr="00AA0B48">
        <w:t xml:space="preserve">MSAC considered that data demonstrating an improvement in OS would be ideal, however considered that this is unlikely to available </w:t>
      </w:r>
      <w:proofErr w:type="gramStart"/>
      <w:r w:rsidR="0062391F" w:rsidRPr="00AA0B48">
        <w:t>in the near future</w:t>
      </w:r>
      <w:proofErr w:type="gramEnd"/>
      <w:r w:rsidR="0062391F" w:rsidRPr="00AA0B48">
        <w:t xml:space="preserve"> due to long post-progression survival.</w:t>
      </w:r>
    </w:p>
    <w:p w14:paraId="1EDA208B" w14:textId="030BB10E" w:rsidR="00A75241" w:rsidRPr="00A75241" w:rsidRDefault="00A75241" w:rsidP="00A75241">
      <w:pPr>
        <w:jc w:val="left"/>
      </w:pPr>
      <w:r w:rsidRPr="00A75241">
        <w:t xml:space="preserve">MSAC noted the economic evaluation, which was a cost-utility analysis. MSAC noted that the uncertainty relating to the analytic performance of the </w:t>
      </w:r>
      <w:proofErr w:type="spellStart"/>
      <w:r w:rsidRPr="00A75241">
        <w:t>SOPHiA</w:t>
      </w:r>
      <w:proofErr w:type="spellEnd"/>
      <w:r w:rsidRPr="00A75241">
        <w:t xml:space="preserve"> test compared with the Myriad test also flowed through to the economic model. MSAC noted the applicant’s pre-MSAC response, which acknowledged that costs and outcomes associated with inconclusive test results were omitted from the initial analysis. The applicant stated that, although 17% of samples in the PAOLA-1 trial were inconclusive, the </w:t>
      </w:r>
      <w:r w:rsidR="00A8205F" w:rsidRPr="00A8205F">
        <w:rPr>
          <w:color w:val="000000"/>
          <w:spacing w:val="73"/>
          <w:w w:val="81"/>
          <w:shd w:val="solid" w:color="000000" w:fill="000000"/>
          <w:fitText w:val="252" w:id="-1450960638"/>
          <w14:textFill>
            <w14:solidFill>
              <w14:srgbClr w14:val="000000">
                <w14:alpha w14:val="100000"/>
              </w14:srgbClr>
            </w14:solidFill>
          </w14:textFill>
        </w:rPr>
        <w:t>|</w:t>
      </w:r>
      <w:r w:rsidR="00A8205F" w:rsidRPr="00A8205F">
        <w:rPr>
          <w:color w:val="000000"/>
          <w:spacing w:val="1"/>
          <w:w w:val="81"/>
          <w:shd w:val="solid" w:color="000000" w:fill="000000"/>
          <w:fitText w:val="252" w:id="-1450960638"/>
          <w14:textFill>
            <w14:solidFill>
              <w14:srgbClr w14:val="000000">
                <w14:alpha w14:val="100000"/>
              </w14:srgbClr>
            </w14:solidFill>
          </w14:textFill>
        </w:rPr>
        <w:t>|</w:t>
      </w:r>
      <w:r w:rsidR="00A8205F" w:rsidRPr="00A8205F">
        <w:t xml:space="preserve"> </w:t>
      </w:r>
      <w:r w:rsidRPr="00A75241">
        <w:t>study found that 10–13% of samples were inconclusive, and this would be expected to decrease over time with education and awareness about extracting adequate tumour tissue.</w:t>
      </w:r>
    </w:p>
    <w:p w14:paraId="311F3011" w14:textId="03A05E59" w:rsidR="00A75241" w:rsidRPr="00A75241" w:rsidRDefault="00A75241" w:rsidP="00A75241">
      <w:pPr>
        <w:jc w:val="left"/>
      </w:pPr>
      <w:r w:rsidRPr="00A75241">
        <w:t xml:space="preserve">MSAC noted the financial </w:t>
      </w:r>
      <w:r w:rsidR="007147B6">
        <w:t>implications</w:t>
      </w:r>
      <w:r w:rsidR="009C187A">
        <w:t>, with two utilisation scenarios. In the base case, t</w:t>
      </w:r>
      <w:r w:rsidRPr="00A75241">
        <w:t>he total cost to the MBS was estimated at $</w:t>
      </w:r>
      <w:r w:rsidRPr="00F663C7">
        <w:t>1,470,612</w:t>
      </w:r>
      <w:r w:rsidRPr="00A75241">
        <w:t xml:space="preserve"> in year 1, and the total cost to the PBS and MBS was </w:t>
      </w:r>
      <w:r w:rsidR="007147B6">
        <w:t xml:space="preserve">estimated at </w:t>
      </w:r>
      <w:bookmarkStart w:id="9" w:name="_Hlk114232200"/>
      <w:r w:rsidR="00B3437A" w:rsidRPr="00B3437A">
        <w:t>$10 million to &lt; $20 million</w:t>
      </w:r>
      <w:r w:rsidR="00B3437A">
        <w:t xml:space="preserve"> </w:t>
      </w:r>
      <w:bookmarkEnd w:id="9"/>
      <w:r w:rsidRPr="00A75241">
        <w:t>in year 1.</w:t>
      </w:r>
    </w:p>
    <w:p w14:paraId="35AE77B0" w14:textId="759CD464" w:rsidR="00C20BC3" w:rsidRDefault="00FE5C51" w:rsidP="00A75241">
      <w:pPr>
        <w:jc w:val="left"/>
      </w:pPr>
      <w:r w:rsidRPr="00AA0B48">
        <w:t xml:space="preserve">Overall, MSAC considered that the </w:t>
      </w:r>
      <w:r w:rsidR="00B2297B" w:rsidRPr="00AA0B48">
        <w:t xml:space="preserve">current </w:t>
      </w:r>
      <w:r w:rsidRPr="00AA0B48">
        <w:t xml:space="preserve">evidence was not sufficient to ascertain the clinical validity of HRD tests </w:t>
      </w:r>
      <w:r w:rsidR="00480A9A" w:rsidRPr="00AA0B48">
        <w:t xml:space="preserve">broadly </w:t>
      </w:r>
      <w:r w:rsidRPr="00AA0B48">
        <w:t>for predicting benefits of PARP inhibitors in patients with these cancers</w:t>
      </w:r>
      <w:r w:rsidR="00CB544E" w:rsidRPr="00AA0B48">
        <w:t xml:space="preserve">, especially when removing </w:t>
      </w:r>
      <w:proofErr w:type="spellStart"/>
      <w:r w:rsidR="00CB544E" w:rsidRPr="00AA0B48">
        <w:rPr>
          <w:i/>
          <w:iCs/>
        </w:rPr>
        <w:t>BRCA</w:t>
      </w:r>
      <w:r w:rsidR="00CB544E" w:rsidRPr="00AA0B48">
        <w:t>m</w:t>
      </w:r>
      <w:proofErr w:type="spellEnd"/>
      <w:r w:rsidR="00CB544E" w:rsidRPr="00AA0B48">
        <w:t xml:space="preserve"> as the basis for defining the cancer as being HRD-positive</w:t>
      </w:r>
      <w:r w:rsidRPr="00AA0B48">
        <w:t xml:space="preserve">. </w:t>
      </w:r>
      <w:r w:rsidR="004D32D1" w:rsidRPr="00AA0B48">
        <w:t xml:space="preserve">MSAC considered that this was necessary to enable </w:t>
      </w:r>
      <w:r w:rsidR="006C31E6" w:rsidRPr="00AA0B48">
        <w:t xml:space="preserve">a </w:t>
      </w:r>
      <w:proofErr w:type="gramStart"/>
      <w:r w:rsidR="004D32D1" w:rsidRPr="00AA0B48">
        <w:t>tradename-agnostic</w:t>
      </w:r>
      <w:proofErr w:type="gramEnd"/>
      <w:r w:rsidR="004D32D1" w:rsidRPr="00AA0B48">
        <w:t xml:space="preserve"> HRD test listing on the MBS </w:t>
      </w:r>
      <w:r w:rsidR="006C31E6" w:rsidRPr="00AA0B48">
        <w:t xml:space="preserve">including to </w:t>
      </w:r>
      <w:r w:rsidR="004D32D1" w:rsidRPr="00AA0B48">
        <w:t xml:space="preserve">enable </w:t>
      </w:r>
      <w:r w:rsidR="006C31E6" w:rsidRPr="00AA0B48">
        <w:t xml:space="preserve">a </w:t>
      </w:r>
      <w:r w:rsidR="004D32D1" w:rsidRPr="00AA0B48">
        <w:t xml:space="preserve">benchmarking </w:t>
      </w:r>
      <w:r w:rsidR="006C31E6" w:rsidRPr="00AA0B48">
        <w:t xml:space="preserve">HRD test and threshold </w:t>
      </w:r>
      <w:r w:rsidR="004D32D1" w:rsidRPr="00AA0B48">
        <w:t xml:space="preserve">and </w:t>
      </w:r>
      <w:r w:rsidR="006C31E6" w:rsidRPr="00AA0B48">
        <w:t xml:space="preserve">thus </w:t>
      </w:r>
      <w:r w:rsidR="004D32D1" w:rsidRPr="00AA0B48">
        <w:t>comparison across different HRD test</w:t>
      </w:r>
      <w:r w:rsidR="006C31E6" w:rsidRPr="00AA0B48">
        <w:t xml:space="preserve"> and threshold option</w:t>
      </w:r>
      <w:r w:rsidR="004D32D1" w:rsidRPr="00AA0B48">
        <w:t xml:space="preserve">s. </w:t>
      </w:r>
      <w:r w:rsidR="00A75241" w:rsidRPr="00AA0B48">
        <w:t xml:space="preserve">MSAC considered that further </w:t>
      </w:r>
      <w:r w:rsidR="00517711" w:rsidRPr="00AA0B48">
        <w:t xml:space="preserve">biological and clinical rationale </w:t>
      </w:r>
      <w:r w:rsidR="00A75241" w:rsidRPr="00AA0B48">
        <w:t xml:space="preserve">was required </w:t>
      </w:r>
      <w:r w:rsidR="002530A5" w:rsidRPr="00AA0B48">
        <w:t xml:space="preserve">to elucidate which aspects of HRD may predict response to </w:t>
      </w:r>
      <w:proofErr w:type="spellStart"/>
      <w:r w:rsidR="002530A5" w:rsidRPr="00AA0B48">
        <w:t>olaparib</w:t>
      </w:r>
      <w:proofErr w:type="spellEnd"/>
      <w:r w:rsidR="002530A5" w:rsidRPr="00AA0B48">
        <w:t xml:space="preserve"> and other PARP</w:t>
      </w:r>
      <w:r w:rsidR="002530A5">
        <w:t xml:space="preserve"> inhibitor</w:t>
      </w:r>
      <w:r w:rsidR="00517711">
        <w:t xml:space="preserve">s. </w:t>
      </w:r>
      <w:r w:rsidR="0062391F">
        <w:t xml:space="preserve">With respect to the clinical utility standard, MSAC queried the relative importance of LOH, TAI and LST in predicting response to </w:t>
      </w:r>
      <w:proofErr w:type="spellStart"/>
      <w:r w:rsidR="0062391F">
        <w:t>olaparib</w:t>
      </w:r>
      <w:proofErr w:type="spellEnd"/>
      <w:r w:rsidR="0062391F">
        <w:t xml:space="preserve">. </w:t>
      </w:r>
      <w:r w:rsidR="00E5217B">
        <w:t xml:space="preserve">MSAC </w:t>
      </w:r>
      <w:r w:rsidR="00FC33BA">
        <w:t>noted</w:t>
      </w:r>
      <w:r w:rsidR="00E5217B">
        <w:t xml:space="preserve"> the results of Takaya (2020) </w:t>
      </w:r>
      <w:r w:rsidR="00FC33BA">
        <w:t xml:space="preserve">which reported that a GIS threshold of ≥63 for identifying </w:t>
      </w:r>
      <w:r w:rsidR="00FC33BA">
        <w:lastRenderedPageBreak/>
        <w:t xml:space="preserve">HRD in ovarian </w:t>
      </w:r>
      <w:r w:rsidR="00FC33BA" w:rsidRPr="00AA0B48">
        <w:t xml:space="preserve">cancer, however, this group was also enriched with </w:t>
      </w:r>
      <w:r w:rsidR="00FC33BA" w:rsidRPr="00AA0B48">
        <w:rPr>
          <w:i/>
          <w:iCs/>
        </w:rPr>
        <w:t xml:space="preserve">BRCA1/2 </w:t>
      </w:r>
      <w:r w:rsidR="00FC33BA" w:rsidRPr="00AA0B48">
        <w:t xml:space="preserve">variants. </w:t>
      </w:r>
      <w:r w:rsidRPr="00AA0B48">
        <w:t xml:space="preserve">There was uncertainty about whether the treatment effect is predicted by the combination of </w:t>
      </w:r>
      <w:r w:rsidRPr="00AA0B48">
        <w:rPr>
          <w:i/>
          <w:iCs/>
        </w:rPr>
        <w:t>BRCA1/2</w:t>
      </w:r>
      <w:r w:rsidRPr="00AA0B48">
        <w:t xml:space="preserve"> status and genomic instability compared with either </w:t>
      </w:r>
      <w:r w:rsidRPr="00AA0B48">
        <w:rPr>
          <w:i/>
          <w:iCs/>
        </w:rPr>
        <w:t>BRCA1/2</w:t>
      </w:r>
      <w:r w:rsidRPr="00AA0B48">
        <w:t xml:space="preserve"> status or genomic instability alone.</w:t>
      </w:r>
      <w:r w:rsidR="00334A6D" w:rsidRPr="00AA0B48">
        <w:t xml:space="preserve"> </w:t>
      </w:r>
      <w:bookmarkStart w:id="10" w:name="_Hlk113452795"/>
      <w:r w:rsidR="00A75241" w:rsidRPr="00AA0B48">
        <w:t>MSAC requested the Department to contact Australia</w:t>
      </w:r>
      <w:r w:rsidR="00480A9A" w:rsidRPr="00AA0B48">
        <w:t>n and overseas</w:t>
      </w:r>
      <w:r w:rsidR="00A75241" w:rsidRPr="00AA0B48">
        <w:t xml:space="preserve"> </w:t>
      </w:r>
      <w:r w:rsidRPr="00AA0B48">
        <w:t>experts</w:t>
      </w:r>
      <w:r w:rsidR="00480A9A" w:rsidRPr="00AA0B48">
        <w:t xml:space="preserve"> </w:t>
      </w:r>
      <w:r w:rsidRPr="00AA0B48">
        <w:t xml:space="preserve">on HRD to </w:t>
      </w:r>
      <w:r w:rsidR="00A75241" w:rsidRPr="00AA0B48">
        <w:t xml:space="preserve">seek their expert </w:t>
      </w:r>
      <w:r w:rsidR="004160CF" w:rsidRPr="00AA0B48">
        <w:t>advice</w:t>
      </w:r>
      <w:r w:rsidR="006C31E6" w:rsidRPr="00AA0B48">
        <w:t xml:space="preserve"> on the possible roles of the HRD biomarker and </w:t>
      </w:r>
      <w:proofErr w:type="gramStart"/>
      <w:r w:rsidR="006C31E6" w:rsidRPr="00AA0B48">
        <w:t>the means by which</w:t>
      </w:r>
      <w:proofErr w:type="gramEnd"/>
      <w:r w:rsidR="006C31E6" w:rsidRPr="00AA0B48">
        <w:t xml:space="preserve"> it is detected by testing in order for MSAC to better judge whether it has been sufficiently established for the purpose requested and by the means proposed</w:t>
      </w:r>
      <w:bookmarkEnd w:id="10"/>
      <w:r w:rsidR="00A75241" w:rsidRPr="00AA0B48">
        <w:t>.</w:t>
      </w:r>
      <w:r w:rsidR="00BC5CBA" w:rsidRPr="00AA0B48">
        <w:t xml:space="preserve"> </w:t>
      </w:r>
      <w:r w:rsidR="00C20BC3" w:rsidRPr="00AA0B48">
        <w:t xml:space="preserve">MSAC noted that most HRD assays assessing genomic instability have underlying </w:t>
      </w:r>
      <w:r w:rsidR="003E5728" w:rsidRPr="00AA0B48">
        <w:t>proprietary</w:t>
      </w:r>
      <w:r w:rsidR="00C20BC3" w:rsidRPr="00AA0B48">
        <w:t xml:space="preserve"> </w:t>
      </w:r>
      <w:r w:rsidR="00F70B9A" w:rsidRPr="00AA0B48">
        <w:t xml:space="preserve">multifactorial </w:t>
      </w:r>
      <w:r w:rsidR="00C20BC3" w:rsidRPr="00AA0B48">
        <w:t xml:space="preserve">algorithms. </w:t>
      </w:r>
      <w:r w:rsidR="00F70B9A" w:rsidRPr="00AA0B48">
        <w:t xml:space="preserve">MSAC considered the MBS fees for tests based on </w:t>
      </w:r>
      <w:r w:rsidR="003E5728" w:rsidRPr="00AA0B48">
        <w:t>proprietary</w:t>
      </w:r>
      <w:r w:rsidR="00F70B9A" w:rsidRPr="00AA0B48">
        <w:t xml:space="preserve"> multifactorial algorithms should include a </w:t>
      </w:r>
      <w:r w:rsidR="006C31E6" w:rsidRPr="00AA0B48">
        <w:t xml:space="preserve">separate </w:t>
      </w:r>
      <w:r w:rsidR="003D11AB" w:rsidRPr="00AA0B48">
        <w:t>justification</w:t>
      </w:r>
      <w:r w:rsidR="00F70B9A" w:rsidRPr="00AA0B48">
        <w:t xml:space="preserve"> for the pathology laboratory component </w:t>
      </w:r>
      <w:r w:rsidR="003D11AB" w:rsidRPr="00AA0B48">
        <w:t xml:space="preserve">of the fee and the algorithm component of the </w:t>
      </w:r>
      <w:r w:rsidR="006C31E6" w:rsidRPr="00AA0B48">
        <w:t>fee</w:t>
      </w:r>
      <w:r w:rsidR="003D11AB" w:rsidRPr="00AA0B48">
        <w:t>.</w:t>
      </w:r>
      <w:r w:rsidR="00BC5CBA" w:rsidRPr="00AA0B48">
        <w:t xml:space="preserve"> </w:t>
      </w:r>
      <w:r w:rsidR="00855CFB" w:rsidRPr="00AA0B48">
        <w:t xml:space="preserve">MSAC </w:t>
      </w:r>
      <w:bookmarkStart w:id="11" w:name="_Hlk111489873"/>
      <w:r w:rsidR="00EE7211" w:rsidRPr="00AA0B48">
        <w:t xml:space="preserve">considered that it could not yet advise the PBAC </w:t>
      </w:r>
      <w:bookmarkEnd w:id="11"/>
      <w:r w:rsidR="00EE7211" w:rsidRPr="00AA0B48">
        <w:t xml:space="preserve">on </w:t>
      </w:r>
      <w:r w:rsidR="00855CFB" w:rsidRPr="00AA0B48">
        <w:t xml:space="preserve">the equivalence or validation of the </w:t>
      </w:r>
      <w:proofErr w:type="spellStart"/>
      <w:r w:rsidR="00855CFB" w:rsidRPr="00AA0B48">
        <w:t>SOPHiA</w:t>
      </w:r>
      <w:proofErr w:type="spellEnd"/>
      <w:r w:rsidR="00855CFB" w:rsidRPr="00AA0B48">
        <w:t xml:space="preserve"> assay versus the clinical utility standard due to the lack of </w:t>
      </w:r>
      <w:r w:rsidR="006C31E6" w:rsidRPr="00AA0B48">
        <w:t xml:space="preserve">an </w:t>
      </w:r>
      <w:r w:rsidR="00855CFB" w:rsidRPr="00AA0B48">
        <w:t xml:space="preserve">established definition of HRD. MSAC </w:t>
      </w:r>
      <w:r w:rsidR="00EE7211" w:rsidRPr="00AA0B48">
        <w:t>considered that it could not yet advise the PBAC on the threshold that should be used to define HRD positivity for determining eligibility for PARP inhibitor eligibility</w:t>
      </w:r>
      <w:r w:rsidR="006C31E6" w:rsidRPr="00AA0B48">
        <w:t xml:space="preserve">, including </w:t>
      </w:r>
      <w:proofErr w:type="spellStart"/>
      <w:r w:rsidR="006C31E6" w:rsidRPr="00AA0B48">
        <w:t>olaparib</w:t>
      </w:r>
      <w:proofErr w:type="spellEnd"/>
      <w:r w:rsidR="00EE7211" w:rsidRPr="00AA0B48">
        <w:t xml:space="preserve">. </w:t>
      </w:r>
      <w:r w:rsidR="00EE7211" w:rsidRPr="00AA0B48">
        <w:rPr>
          <w:i/>
          <w:iCs/>
        </w:rPr>
        <w:t xml:space="preserve">MSAC considered that the threshold would </w:t>
      </w:r>
      <w:r w:rsidR="00212C56" w:rsidRPr="00AA0B48">
        <w:rPr>
          <w:i/>
          <w:iCs/>
        </w:rPr>
        <w:t xml:space="preserve">need to </w:t>
      </w:r>
      <w:r w:rsidR="00EE7211" w:rsidRPr="00AA0B48">
        <w:rPr>
          <w:i/>
          <w:iCs/>
        </w:rPr>
        <w:t>be specific to each HRD test assessing genomic instability</w:t>
      </w:r>
      <w:r w:rsidR="00212C56" w:rsidRPr="00AA0B48">
        <w:rPr>
          <w:i/>
          <w:iCs/>
        </w:rPr>
        <w:t xml:space="preserve"> and so any tradename agnostic MBS item for HRD testing would need to be linked with an accepted clinical utility standard threshold against which other HRD test options should be validated</w:t>
      </w:r>
      <w:r w:rsidR="00B56E97" w:rsidRPr="00AA0B48">
        <w:t>.</w:t>
      </w:r>
    </w:p>
    <w:p w14:paraId="53675AFC" w14:textId="1340F19C" w:rsidR="005A2E34" w:rsidRDefault="005A2E34" w:rsidP="00A75241">
      <w:pPr>
        <w:jc w:val="left"/>
      </w:pPr>
      <w:r>
        <w:t xml:space="preserve">MSAC considered that a resubmission would </w:t>
      </w:r>
      <w:r w:rsidR="004072A8">
        <w:t xml:space="preserve">particularly </w:t>
      </w:r>
      <w:r>
        <w:t>need to:</w:t>
      </w:r>
    </w:p>
    <w:p w14:paraId="6EF15FCF" w14:textId="64328F91" w:rsidR="005A2E34" w:rsidRDefault="005A2E34" w:rsidP="005A2E34">
      <w:pPr>
        <w:pStyle w:val="ListParagraph"/>
        <w:numPr>
          <w:ilvl w:val="0"/>
          <w:numId w:val="61"/>
        </w:numPr>
        <w:jc w:val="left"/>
      </w:pPr>
      <w:r>
        <w:t>Provide a definition of HRD which can be applied confidently in clinical practice</w:t>
      </w:r>
      <w:r w:rsidR="00B2297B">
        <w:t xml:space="preserve"> </w:t>
      </w:r>
    </w:p>
    <w:p w14:paraId="110DBEA1" w14:textId="0041BC54" w:rsidR="005A2E34" w:rsidRDefault="005A2E34" w:rsidP="005A2E34">
      <w:pPr>
        <w:pStyle w:val="ListParagraph"/>
        <w:numPr>
          <w:ilvl w:val="0"/>
          <w:numId w:val="61"/>
        </w:numPr>
        <w:jc w:val="left"/>
      </w:pPr>
      <w:r>
        <w:t xml:space="preserve">Provide a basis to define </w:t>
      </w:r>
      <w:r w:rsidR="00B2297B">
        <w:t xml:space="preserve">and ideally harmonise </w:t>
      </w:r>
      <w:r w:rsidR="00E502C0">
        <w:t xml:space="preserve">test </w:t>
      </w:r>
      <w:r>
        <w:t xml:space="preserve">thresholds of HRD positivity </w:t>
      </w:r>
      <w:r w:rsidR="00B2297B">
        <w:t xml:space="preserve">for different proprietary tests </w:t>
      </w:r>
      <w:r>
        <w:t xml:space="preserve">that </w:t>
      </w:r>
      <w:r w:rsidR="00E502C0">
        <w:t xml:space="preserve">can confidently </w:t>
      </w:r>
      <w:r>
        <w:t xml:space="preserve">distinguish </w:t>
      </w:r>
      <w:r w:rsidR="00E502C0">
        <w:t xml:space="preserve">clinically meaningful </w:t>
      </w:r>
      <w:r>
        <w:t>variation in the treatment effect of PARP inhibitors in ovarian cancer</w:t>
      </w:r>
    </w:p>
    <w:p w14:paraId="799183AB" w14:textId="1683FE58" w:rsidR="005A2E34" w:rsidRDefault="005A2E34" w:rsidP="005A2E34">
      <w:pPr>
        <w:pStyle w:val="ListParagraph"/>
        <w:numPr>
          <w:ilvl w:val="0"/>
          <w:numId w:val="61"/>
        </w:numPr>
        <w:jc w:val="left"/>
      </w:pPr>
      <w:r>
        <w:t xml:space="preserve">Provide a basis to demonstrate how </w:t>
      </w:r>
      <w:r w:rsidR="00B2297B">
        <w:t xml:space="preserve">the </w:t>
      </w:r>
      <w:r>
        <w:t xml:space="preserve">different definitions in this threshold of HRD positivity affects </w:t>
      </w:r>
      <w:r w:rsidR="00B2297B">
        <w:t xml:space="preserve">the </w:t>
      </w:r>
      <w:r>
        <w:t>ability to distinguish treatment effect variation, specifically definitions based on being</w:t>
      </w:r>
      <w:r w:rsidR="00E502C0">
        <w:t xml:space="preserve"> (a)</w:t>
      </w:r>
      <w:r>
        <w:t xml:space="preserve"> </w:t>
      </w:r>
      <w:proofErr w:type="spellStart"/>
      <w:r w:rsidRPr="00E502C0">
        <w:rPr>
          <w:i/>
          <w:iCs/>
        </w:rPr>
        <w:t>BRCA</w:t>
      </w:r>
      <w:r>
        <w:t>m</w:t>
      </w:r>
      <w:proofErr w:type="spellEnd"/>
      <w:r>
        <w:t xml:space="preserve"> or </w:t>
      </w:r>
      <w:r w:rsidR="00E502C0">
        <w:t>(b)</w:t>
      </w:r>
      <w:r>
        <w:t xml:space="preserve"> </w:t>
      </w:r>
      <w:proofErr w:type="spellStart"/>
      <w:r w:rsidRPr="00E502C0">
        <w:rPr>
          <w:i/>
          <w:iCs/>
        </w:rPr>
        <w:t>BRC</w:t>
      </w:r>
      <w:r w:rsidR="00E502C0" w:rsidRPr="00E502C0">
        <w:rPr>
          <w:i/>
          <w:iCs/>
        </w:rPr>
        <w:t>A</w:t>
      </w:r>
      <w:r>
        <w:t>wt</w:t>
      </w:r>
      <w:proofErr w:type="spellEnd"/>
      <w:r>
        <w:t xml:space="preserve"> and </w:t>
      </w:r>
      <w:r w:rsidR="00E502C0">
        <w:t>HRD positive (</w:t>
      </w:r>
      <w:proofErr w:type="gramStart"/>
      <w:r w:rsidR="003E5728">
        <w:t>e.g.</w:t>
      </w:r>
      <w:proofErr w:type="gramEnd"/>
      <w:r w:rsidR="00E502C0">
        <w:t xml:space="preserve"> algorithm-based genomic instability positive)</w:t>
      </w:r>
    </w:p>
    <w:p w14:paraId="20A7017D" w14:textId="4A4F9A8F" w:rsidR="00E502C0" w:rsidRDefault="00E502C0" w:rsidP="005A2E34">
      <w:pPr>
        <w:pStyle w:val="ListParagraph"/>
        <w:numPr>
          <w:ilvl w:val="0"/>
          <w:numId w:val="61"/>
        </w:numPr>
        <w:jc w:val="left"/>
      </w:pPr>
      <w:r>
        <w:t xml:space="preserve">Provide a basis to demonstrate that </w:t>
      </w:r>
      <w:r w:rsidR="00B2297B">
        <w:t xml:space="preserve">the </w:t>
      </w:r>
      <w:r>
        <w:t xml:space="preserve">different test options that might become available in Australia have sufficient concordance to confidently distinguish clinically meaningful variation in the treatment effect of PARP inhibitors in patients who have </w:t>
      </w:r>
      <w:proofErr w:type="spellStart"/>
      <w:r w:rsidRPr="00E502C0">
        <w:rPr>
          <w:i/>
          <w:iCs/>
        </w:rPr>
        <w:t>BRCA</w:t>
      </w:r>
      <w:r>
        <w:t>wt</w:t>
      </w:r>
      <w:proofErr w:type="spellEnd"/>
      <w:r>
        <w:t xml:space="preserve"> ovarian cancer</w:t>
      </w:r>
    </w:p>
    <w:p w14:paraId="009DC5FC" w14:textId="57E3E57B" w:rsidR="00BC5CBA" w:rsidRDefault="00BC5CBA" w:rsidP="005A2E34">
      <w:pPr>
        <w:pStyle w:val="ListParagraph"/>
        <w:numPr>
          <w:ilvl w:val="0"/>
          <w:numId w:val="61"/>
        </w:numPr>
        <w:jc w:val="left"/>
      </w:pPr>
      <w:r>
        <w:t>Provide the preferred method of reporting HRD results and specify whether the results of underlying genetic mutations (</w:t>
      </w:r>
      <w:r w:rsidR="00122507">
        <w:t>beyond</w:t>
      </w:r>
      <w:r>
        <w:t xml:space="preserve"> </w:t>
      </w:r>
      <w:r w:rsidRPr="005B2AFE">
        <w:rPr>
          <w:i/>
          <w:iCs/>
        </w:rPr>
        <w:t>BRCA</w:t>
      </w:r>
      <w:r>
        <w:t xml:space="preserve"> status) will be included in reports and how interpretation will be considered in the light of discordance (</w:t>
      </w:r>
      <w:proofErr w:type="spellStart"/>
      <w:proofErr w:type="gramStart"/>
      <w:r w:rsidR="003E5728">
        <w:t>eg</w:t>
      </w:r>
      <w:proofErr w:type="spellEnd"/>
      <w:proofErr w:type="gramEnd"/>
      <w:r>
        <w:t xml:space="preserve"> </w:t>
      </w:r>
      <w:proofErr w:type="spellStart"/>
      <w:r w:rsidRPr="005B2AFE">
        <w:rPr>
          <w:i/>
          <w:iCs/>
        </w:rPr>
        <w:t>BRCA</w:t>
      </w:r>
      <w:r w:rsidRPr="00082946">
        <w:t>wt</w:t>
      </w:r>
      <w:proofErr w:type="spellEnd"/>
      <w:r>
        <w:t xml:space="preserve"> but HRD positive).</w:t>
      </w:r>
    </w:p>
    <w:p w14:paraId="15181FAA" w14:textId="2AD15455" w:rsidR="00E502C0" w:rsidRPr="005A2E34" w:rsidRDefault="00E502C0" w:rsidP="005A2E34">
      <w:pPr>
        <w:pStyle w:val="ListParagraph"/>
        <w:numPr>
          <w:ilvl w:val="0"/>
          <w:numId w:val="61"/>
        </w:numPr>
        <w:jc w:val="left"/>
      </w:pPr>
      <w:r>
        <w:t>Provide a justification for the proposed fee, with separate justifications for the assay component of the fee and the algorithm component of the fee.</w:t>
      </w:r>
    </w:p>
    <w:p w14:paraId="21E94E3B" w14:textId="3C123506" w:rsidR="000952A6" w:rsidRPr="00A75241" w:rsidRDefault="00A75241" w:rsidP="00A75241">
      <w:pPr>
        <w:jc w:val="left"/>
      </w:pPr>
      <w:r w:rsidRPr="00A75241">
        <w:t xml:space="preserve">MSAC noted that the PBAC had nominated the early re-entry pathway for this application; however, MSAC considered that the consultation required to resolve these issues would </w:t>
      </w:r>
      <w:r w:rsidR="00212C56">
        <w:t xml:space="preserve">require evaluation, including by </w:t>
      </w:r>
      <w:r w:rsidR="00A51170">
        <w:t xml:space="preserve">its </w:t>
      </w:r>
      <w:r w:rsidR="00212C56">
        <w:t xml:space="preserve">ESC, which would </w:t>
      </w:r>
      <w:r w:rsidRPr="00A75241">
        <w:t xml:space="preserve">prevent </w:t>
      </w:r>
      <w:r w:rsidR="00216CCF">
        <w:t>MSAC reconsideration at its November 2022 meeting</w:t>
      </w:r>
      <w:r w:rsidRPr="00A75241">
        <w:t>.</w:t>
      </w:r>
    </w:p>
    <w:p w14:paraId="0FB69697" w14:textId="0808DAB1"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12" w:name="_Toc69491416"/>
      <w:bookmarkEnd w:id="3"/>
      <w:r>
        <w:rPr>
          <w:rFonts w:ascii="Franklin Gothic Medium" w:eastAsiaTheme="majorEastAsia" w:hAnsi="Franklin Gothic Medium" w:cstheme="majorBidi"/>
          <w:color w:val="000000" w:themeColor="text1"/>
          <w:sz w:val="32"/>
          <w:szCs w:val="26"/>
        </w:rPr>
        <w:t>4</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Background</w:t>
      </w:r>
      <w:bookmarkEnd w:id="12"/>
    </w:p>
    <w:p w14:paraId="6ABBEA3B" w14:textId="77777777" w:rsidR="000C4977" w:rsidRPr="000C4977" w:rsidRDefault="000C4977" w:rsidP="000C4977">
      <w:pPr>
        <w:spacing w:line="259" w:lineRule="auto"/>
        <w:jc w:val="left"/>
      </w:pPr>
      <w:bookmarkStart w:id="13" w:name="_Hlk69734494"/>
      <w:r w:rsidRPr="000C4977">
        <w:t>MSAC has not previously considered this combination of HRD testing to allow access to treatment for ovarian cancer or for any other indication.</w:t>
      </w:r>
    </w:p>
    <w:p w14:paraId="4615CF4C" w14:textId="77777777" w:rsidR="000C4977" w:rsidRPr="000C4977" w:rsidRDefault="000C4977" w:rsidP="000C4977">
      <w:pPr>
        <w:spacing w:line="259" w:lineRule="auto"/>
        <w:jc w:val="left"/>
      </w:pPr>
      <w:r w:rsidRPr="000C4977">
        <w:t xml:space="preserve">In February 2017 </w:t>
      </w:r>
      <w:proofErr w:type="spellStart"/>
      <w:r w:rsidRPr="000C4977">
        <w:t>olaparib</w:t>
      </w:r>
      <w:proofErr w:type="spellEnd"/>
      <w:r w:rsidRPr="000C4977">
        <w:t xml:space="preserve"> was first listed on the PBS (Items 11034R and 11050N) as maintenance treatment for patients with platinum sensitive, relapsed high grade ovarian, fallopian tube or primary peritoneal cancer who have a germline </w:t>
      </w:r>
      <w:bookmarkStart w:id="14" w:name="_Hlk96022246"/>
      <w:r w:rsidRPr="000C4977">
        <w:rPr>
          <w:i/>
          <w:iCs/>
        </w:rPr>
        <w:t xml:space="preserve">BRCA1/2 </w:t>
      </w:r>
      <w:r w:rsidRPr="000C4977">
        <w:t xml:space="preserve">gene mutation </w:t>
      </w:r>
      <w:bookmarkEnd w:id="14"/>
      <w:r w:rsidRPr="000C4977">
        <w:lastRenderedPageBreak/>
        <w:t xml:space="preserve">(codependent MSAC/PBAC Application 1380). The detection of germline </w:t>
      </w:r>
      <w:r w:rsidRPr="000C4977">
        <w:rPr>
          <w:i/>
          <w:iCs/>
        </w:rPr>
        <w:t>BRCA1/2</w:t>
      </w:r>
      <w:r w:rsidRPr="000C4977">
        <w:t xml:space="preserve"> gene mutations (MBS Item 73295) in patients with platinum sensitive, relapsed high grade serous ovarian cancer (HGSOC) or HGEOC was listed on the MBS to determine eligibility for PBS treatment with </w:t>
      </w:r>
      <w:proofErr w:type="spellStart"/>
      <w:r w:rsidRPr="000C4977">
        <w:t>olaparib</w:t>
      </w:r>
      <w:proofErr w:type="spellEnd"/>
      <w:r w:rsidRPr="000C4977">
        <w:t>.</w:t>
      </w:r>
    </w:p>
    <w:p w14:paraId="4DBE65BC" w14:textId="77777777" w:rsidR="000C4977" w:rsidRPr="000C4977" w:rsidRDefault="000C4977" w:rsidP="000C4977">
      <w:pPr>
        <w:spacing w:line="259" w:lineRule="auto"/>
        <w:jc w:val="left"/>
      </w:pPr>
      <w:r w:rsidRPr="000C4977">
        <w:t xml:space="preserve">Testing of tumour tissue to detect </w:t>
      </w:r>
      <w:r w:rsidRPr="000C4977">
        <w:rPr>
          <w:i/>
          <w:iCs/>
        </w:rPr>
        <w:t>BRCA</w:t>
      </w:r>
      <w:r w:rsidRPr="000C4977">
        <w:t xml:space="preserve"> (germline and somatic) mutation was MBS listed in August 2020 (73301) and the PBS listing of </w:t>
      </w:r>
      <w:proofErr w:type="spellStart"/>
      <w:r w:rsidRPr="000C4977">
        <w:t>olaparib</w:t>
      </w:r>
      <w:proofErr w:type="spellEnd"/>
      <w:r w:rsidRPr="000C4977">
        <w:t xml:space="preserve"> in germline </w:t>
      </w:r>
      <w:r w:rsidRPr="000C4977">
        <w:rPr>
          <w:i/>
          <w:iCs/>
        </w:rPr>
        <w:t>BRCA1/2</w:t>
      </w:r>
      <w:r w:rsidRPr="000C4977">
        <w:t xml:space="preserve"> mutation(s) (</w:t>
      </w:r>
      <w:proofErr w:type="spellStart"/>
      <w:r w:rsidRPr="000C4977">
        <w:rPr>
          <w:i/>
          <w:iCs/>
        </w:rPr>
        <w:t>BRCA</w:t>
      </w:r>
      <w:r w:rsidRPr="000C4977">
        <w:t>m</w:t>
      </w:r>
      <w:proofErr w:type="spellEnd"/>
      <w:r w:rsidRPr="000C4977">
        <w:t xml:space="preserve">) platinum sensitive recurrent HGSOC or HGEOC was extended to include somatic </w:t>
      </w:r>
      <w:r w:rsidRPr="000C4977">
        <w:rPr>
          <w:i/>
          <w:iCs/>
        </w:rPr>
        <w:t>BRCA</w:t>
      </w:r>
      <w:r w:rsidRPr="000C4977">
        <w:t xml:space="preserve"> mutated patients.</w:t>
      </w:r>
    </w:p>
    <w:p w14:paraId="1C51AFF2" w14:textId="77777777" w:rsidR="000C4977" w:rsidRPr="000C4977" w:rsidRDefault="000C4977" w:rsidP="000C4977">
      <w:pPr>
        <w:spacing w:line="259" w:lineRule="auto"/>
        <w:jc w:val="left"/>
      </w:pPr>
      <w:r w:rsidRPr="000C4977">
        <w:t xml:space="preserve">In November 2020 </w:t>
      </w:r>
      <w:proofErr w:type="spellStart"/>
      <w:r w:rsidRPr="000C4977">
        <w:t>olaparib</w:t>
      </w:r>
      <w:proofErr w:type="spellEnd"/>
      <w:r w:rsidRPr="000C4977">
        <w:t xml:space="preserve"> was PBS listed for patients newly diagnosed with </w:t>
      </w:r>
      <w:proofErr w:type="spellStart"/>
      <w:r w:rsidRPr="000C4977">
        <w:rPr>
          <w:i/>
          <w:iCs/>
        </w:rPr>
        <w:t>BRCA</w:t>
      </w:r>
      <w:r w:rsidRPr="000C4977">
        <w:t>m</w:t>
      </w:r>
      <w:proofErr w:type="spellEnd"/>
      <w:r w:rsidRPr="000C4977">
        <w:t xml:space="preserve"> advanced HGEOC. Most recently, </w:t>
      </w:r>
      <w:proofErr w:type="spellStart"/>
      <w:r w:rsidRPr="000C4977">
        <w:t>olaparib</w:t>
      </w:r>
      <w:proofErr w:type="spellEnd"/>
      <w:r w:rsidRPr="000C4977">
        <w:t xml:space="preserve"> was recommended for patients with </w:t>
      </w:r>
      <w:proofErr w:type="spellStart"/>
      <w:r w:rsidRPr="000C4977">
        <w:rPr>
          <w:i/>
          <w:iCs/>
        </w:rPr>
        <w:t>BRCA</w:t>
      </w:r>
      <w:r w:rsidRPr="000C4977">
        <w:t>m</w:t>
      </w:r>
      <w:proofErr w:type="spellEnd"/>
      <w:r w:rsidRPr="000C4977">
        <w:t xml:space="preserve"> metastatic castration resistant prostate cancer (November 2021).</w:t>
      </w:r>
    </w:p>
    <w:p w14:paraId="04D797CE" w14:textId="06AA6C22"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15" w:name="_Toc69491417"/>
      <w:bookmarkEnd w:id="13"/>
      <w:r>
        <w:rPr>
          <w:rFonts w:ascii="Franklin Gothic Medium" w:eastAsiaTheme="majorEastAsia" w:hAnsi="Franklin Gothic Medium" w:cstheme="majorBidi"/>
          <w:color w:val="000000" w:themeColor="text1"/>
          <w:sz w:val="32"/>
          <w:szCs w:val="26"/>
        </w:rPr>
        <w:t>5</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Prerequisites to implementation of any funding advice</w:t>
      </w:r>
      <w:bookmarkEnd w:id="15"/>
    </w:p>
    <w:p w14:paraId="5DE778D9" w14:textId="7F2A0D4B" w:rsidR="000C4977" w:rsidRPr="000C4977" w:rsidRDefault="000C4977" w:rsidP="000C4977">
      <w:pPr>
        <w:spacing w:line="259" w:lineRule="auto"/>
        <w:jc w:val="left"/>
      </w:pPr>
      <w:r w:rsidRPr="000C4977">
        <w:t>The proposed combination HRD test is not registered in Australia, although there are Australian laboratories that currently offer</w:t>
      </w:r>
      <w:r w:rsidR="004A7CF7">
        <w:t xml:space="preserve"> MBS-funded</w:t>
      </w:r>
      <w:r w:rsidRPr="000C4977">
        <w:t xml:space="preserve"> </w:t>
      </w:r>
      <w:r w:rsidRPr="000C4977">
        <w:rPr>
          <w:i/>
          <w:iCs/>
        </w:rPr>
        <w:t>BRCA</w:t>
      </w:r>
      <w:r w:rsidRPr="000C4977">
        <w:t xml:space="preserve"> pathogenic variant tests.</w:t>
      </w:r>
    </w:p>
    <w:p w14:paraId="141413D2" w14:textId="42A1E419" w:rsidR="000C4977" w:rsidRPr="000C4977" w:rsidRDefault="000C4977" w:rsidP="000C4977">
      <w:pPr>
        <w:spacing w:line="259" w:lineRule="auto"/>
        <w:jc w:val="left"/>
      </w:pPr>
      <w:r w:rsidRPr="000C4977">
        <w:t xml:space="preserve">The submission (p41) reported that the </w:t>
      </w:r>
      <w:r w:rsidR="00A8205F" w:rsidRPr="00A8205F">
        <w:rPr>
          <w:color w:val="000000"/>
          <w:spacing w:val="77"/>
          <w:w w:val="85"/>
          <w:shd w:val="solid" w:color="000000" w:fill="000000"/>
          <w:fitText w:val="264" w:id="-1450961662"/>
          <w14:textFill>
            <w14:solidFill>
              <w14:srgbClr w14:val="000000">
                <w14:alpha w14:val="100000"/>
              </w14:srgbClr>
            </w14:solidFill>
          </w14:textFill>
        </w:rPr>
        <w:t>|</w:t>
      </w:r>
      <w:r w:rsidR="00A8205F" w:rsidRPr="00A8205F">
        <w:rPr>
          <w:color w:val="000000"/>
          <w:spacing w:val="1"/>
          <w:w w:val="85"/>
          <w:shd w:val="solid" w:color="000000" w:fill="000000"/>
          <w:fitText w:val="264" w:id="-1450961662"/>
          <w14:textFill>
            <w14:solidFill>
              <w14:srgbClr w14:val="000000">
                <w14:alpha w14:val="100000"/>
              </w14:srgbClr>
            </w14:solidFill>
          </w14:textFill>
        </w:rPr>
        <w:t>|</w:t>
      </w:r>
      <w:r w:rsidR="00A8205F" w:rsidRPr="000C4977">
        <w:t xml:space="preserve"> </w:t>
      </w:r>
      <w:r w:rsidRPr="000C4977">
        <w:t>(</w:t>
      </w:r>
      <w:r w:rsidR="00A8205F" w:rsidRPr="00A8205F">
        <w:rPr>
          <w:color w:val="000000"/>
          <w:spacing w:val="77"/>
          <w:w w:val="85"/>
          <w:shd w:val="solid" w:color="000000" w:fill="000000"/>
          <w:fitText w:val="264" w:id="-1450961661"/>
          <w14:textFill>
            <w14:solidFill>
              <w14:srgbClr w14:val="000000">
                <w14:alpha w14:val="100000"/>
              </w14:srgbClr>
            </w14:solidFill>
          </w14:textFill>
        </w:rPr>
        <w:t>|</w:t>
      </w:r>
      <w:r w:rsidR="00A8205F" w:rsidRPr="00A8205F">
        <w:rPr>
          <w:color w:val="000000"/>
          <w:spacing w:val="1"/>
          <w:w w:val="85"/>
          <w:shd w:val="solid" w:color="000000" w:fill="000000"/>
          <w:fitText w:val="264" w:id="-1450961661"/>
          <w14:textFill>
            <w14:solidFill>
              <w14:srgbClr w14:val="000000">
                <w14:alpha w14:val="100000"/>
              </w14:srgbClr>
            </w14:solidFill>
          </w14:textFill>
        </w:rPr>
        <w:t>|</w:t>
      </w:r>
      <w:r w:rsidRPr="000C4977">
        <w:t xml:space="preserve">) is currently establishing a HRD test to be performed locally based on the </w:t>
      </w:r>
      <w:proofErr w:type="spellStart"/>
      <w:r w:rsidRPr="000C4977">
        <w:t>SOPHiA</w:t>
      </w:r>
      <w:proofErr w:type="spellEnd"/>
      <w:r w:rsidRPr="000C4977">
        <w:t xml:space="preserve"> Genetics assay (referred to as the </w:t>
      </w:r>
      <w:proofErr w:type="spellStart"/>
      <w:r w:rsidRPr="000C4977">
        <w:t>SOPHiA</w:t>
      </w:r>
      <w:proofErr w:type="spellEnd"/>
      <w:r w:rsidRPr="000C4977">
        <w:t xml:space="preserve"> assay herein). The sponsor stated that this HRD assay will be TGA notified as a Class 3 in-house in vitro diagnostic (IVD) following the completion of local validation, including a concordance study with the commercial Myriad </w:t>
      </w:r>
      <w:proofErr w:type="spellStart"/>
      <w:r w:rsidRPr="000C4977">
        <w:t>myChoice</w:t>
      </w:r>
      <w:proofErr w:type="spellEnd"/>
      <w:r w:rsidRPr="000C4977">
        <w:t xml:space="preserve">® </w:t>
      </w:r>
      <w:proofErr w:type="spellStart"/>
      <w:r w:rsidRPr="000C4977">
        <w:t>CDx</w:t>
      </w:r>
      <w:proofErr w:type="spellEnd"/>
      <w:r w:rsidRPr="000C4977">
        <w:t xml:space="preserve"> assay.</w:t>
      </w:r>
    </w:p>
    <w:p w14:paraId="614923D9" w14:textId="4AD79147" w:rsidR="000C4977" w:rsidRPr="000C4977" w:rsidRDefault="000C4977" w:rsidP="000C4977">
      <w:pPr>
        <w:spacing w:line="259" w:lineRule="auto"/>
        <w:jc w:val="left"/>
      </w:pPr>
      <w:r w:rsidRPr="000C4977">
        <w:t xml:space="preserve">The pre-ESC response advised that completion of all requirements for NATA accreditation has been delayed and will likely be at the end of the third quarter of 2022. As advised in the submission (dated February 2022), the sponsor anticipates that the </w:t>
      </w:r>
      <w:r w:rsidR="00A8205F" w:rsidRPr="00A8205F">
        <w:rPr>
          <w:color w:val="000000"/>
          <w:spacing w:val="77"/>
          <w:w w:val="85"/>
          <w:shd w:val="solid" w:color="000000" w:fill="000000"/>
          <w:fitText w:val="264" w:id="-1450961660"/>
          <w14:textFill>
            <w14:solidFill>
              <w14:srgbClr w14:val="000000">
                <w14:alpha w14:val="100000"/>
              </w14:srgbClr>
            </w14:solidFill>
          </w14:textFill>
        </w:rPr>
        <w:t>|</w:t>
      </w:r>
      <w:r w:rsidR="00A8205F" w:rsidRPr="00A8205F">
        <w:rPr>
          <w:color w:val="000000"/>
          <w:spacing w:val="1"/>
          <w:w w:val="85"/>
          <w:shd w:val="solid" w:color="000000" w:fill="000000"/>
          <w:fitText w:val="264" w:id="-1450961660"/>
          <w14:textFill>
            <w14:solidFill>
              <w14:srgbClr w14:val="000000">
                <w14:alpha w14:val="100000"/>
              </w14:srgbClr>
            </w14:solidFill>
          </w14:textFill>
        </w:rPr>
        <w:t>|</w:t>
      </w:r>
      <w:r w:rsidR="0033153F">
        <w:t xml:space="preserve"> </w:t>
      </w:r>
      <w:r w:rsidRPr="000C4977">
        <w:t>will notify the TGA on receipt of accreditation from NATA. The submission initially reported that NATA accreditation and TGA notification is expected to be complete prior to the PBAC and MSAC’s consideration of the submission in July.</w:t>
      </w:r>
    </w:p>
    <w:p w14:paraId="4DF11D63" w14:textId="3575AB84"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16" w:name="_Toc69491418"/>
      <w:r>
        <w:rPr>
          <w:rFonts w:ascii="Franklin Gothic Medium" w:eastAsiaTheme="majorEastAsia" w:hAnsi="Franklin Gothic Medium" w:cstheme="majorBidi"/>
          <w:color w:val="000000" w:themeColor="text1"/>
          <w:sz w:val="32"/>
          <w:szCs w:val="26"/>
        </w:rPr>
        <w:t>6</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Proposal for public funding</w:t>
      </w:r>
      <w:bookmarkEnd w:id="16"/>
    </w:p>
    <w:p w14:paraId="3CE33883" w14:textId="5FAAADBE" w:rsidR="000952A6" w:rsidRPr="001050BC" w:rsidRDefault="000952A6" w:rsidP="00FD7777">
      <w:pPr>
        <w:pStyle w:val="Caption"/>
      </w:pPr>
      <w:r w:rsidRPr="001050BC">
        <w:t xml:space="preserve">Table </w:t>
      </w:r>
      <w:fldSimple w:instr=" SEQ Table \* ARABIC ">
        <w:r w:rsidR="00D8603B">
          <w:rPr>
            <w:noProof/>
          </w:rPr>
          <w:t>2</w:t>
        </w:r>
      </w:fldSimple>
      <w:r w:rsidR="001050BC" w:rsidRPr="001050BC">
        <w:tab/>
        <w:t xml:space="preserve">Proposed </w:t>
      </w:r>
      <w:r w:rsidR="00FD7777">
        <w:t xml:space="preserve">MBS </w:t>
      </w:r>
      <w:r w:rsidR="001050BC" w:rsidRPr="001050BC">
        <w:t>item</w:t>
      </w:r>
    </w:p>
    <w:tbl>
      <w:tblPr>
        <w:tblStyle w:val="TableGrid2"/>
        <w:tblW w:w="0" w:type="auto"/>
        <w:tblLook w:val="04A0" w:firstRow="1" w:lastRow="0" w:firstColumn="1" w:lastColumn="0" w:noHBand="0" w:noVBand="1"/>
      </w:tblPr>
      <w:tblGrid>
        <w:gridCol w:w="9016"/>
      </w:tblGrid>
      <w:tr w:rsidR="000952A6" w14:paraId="00C38919" w14:textId="77777777" w:rsidTr="000952A6">
        <w:tc>
          <w:tcPr>
            <w:tcW w:w="9016" w:type="dxa"/>
          </w:tcPr>
          <w:p w14:paraId="34A388CA" w14:textId="6C583037" w:rsidR="000952A6" w:rsidRPr="000952A6" w:rsidRDefault="000952A6" w:rsidP="00FD7777">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Category 6 – Pathology Services</w:t>
            </w:r>
          </w:p>
        </w:tc>
      </w:tr>
      <w:tr w:rsidR="000952A6" w14:paraId="0F9624E6" w14:textId="77777777" w:rsidTr="000952A6">
        <w:tc>
          <w:tcPr>
            <w:tcW w:w="9016" w:type="dxa"/>
          </w:tcPr>
          <w:p w14:paraId="06C9B55C" w14:textId="77777777" w:rsidR="000952A6" w:rsidRPr="000952A6" w:rsidRDefault="000952A6" w:rsidP="00FD7777">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MBS item XXXXX</w:t>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r>
            <w:r w:rsidRPr="000952A6">
              <w:rPr>
                <w:rFonts w:ascii="Arial Narrow" w:hAnsi="Arial Narrow" w:cs="Arial"/>
                <w:snapToGrid w:val="0"/>
                <w:szCs w:val="22"/>
              </w:rPr>
              <w:tab/>
              <w:t>Group P7 - Genetics</w:t>
            </w:r>
          </w:p>
          <w:p w14:paraId="2E3BDAF3" w14:textId="079B3659" w:rsidR="000952A6" w:rsidRDefault="000952A6" w:rsidP="00FD7777">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 xml:space="preserve">A test of tumour tissue from a patient with advanced (FIGO III-IV), high-grade serous or high-grade epithelial ovarian, fallopian tube or primary peritoneal cancer, requested by a specialist or consultant physician, to detect homologous recombination deficiency (HRD), including </w:t>
            </w:r>
            <w:r w:rsidRPr="000952A6">
              <w:rPr>
                <w:rFonts w:ascii="Arial Narrow" w:hAnsi="Arial Narrow" w:cs="Arial"/>
                <w:i/>
                <w:iCs/>
                <w:snapToGrid w:val="0"/>
                <w:szCs w:val="22"/>
              </w:rPr>
              <w:t>BRCA1</w:t>
            </w:r>
            <w:r w:rsidRPr="000952A6">
              <w:rPr>
                <w:rFonts w:ascii="Arial Narrow" w:hAnsi="Arial Narrow" w:cs="Arial"/>
                <w:snapToGrid w:val="0"/>
                <w:szCs w:val="22"/>
              </w:rPr>
              <w:t xml:space="preserve"> or </w:t>
            </w:r>
            <w:r w:rsidRPr="000952A6">
              <w:rPr>
                <w:rFonts w:ascii="Arial Narrow" w:hAnsi="Arial Narrow" w:cs="Arial"/>
                <w:i/>
                <w:iCs/>
                <w:snapToGrid w:val="0"/>
                <w:szCs w:val="22"/>
              </w:rPr>
              <w:t>BRCA2</w:t>
            </w:r>
            <w:r w:rsidRPr="000952A6">
              <w:rPr>
                <w:rFonts w:ascii="Arial Narrow" w:hAnsi="Arial Narrow" w:cs="Arial"/>
                <w:snapToGrid w:val="0"/>
                <w:szCs w:val="22"/>
              </w:rPr>
              <w:t xml:space="preserve"> pathogenic or likely pathogenic gene variants to determine patient eligibility to access </w:t>
            </w:r>
            <w:proofErr w:type="spellStart"/>
            <w:r w:rsidRPr="000952A6">
              <w:rPr>
                <w:rFonts w:ascii="Arial Narrow" w:hAnsi="Arial Narrow" w:cs="Arial"/>
                <w:snapToGrid w:val="0"/>
                <w:szCs w:val="22"/>
              </w:rPr>
              <w:t>olaparib</w:t>
            </w:r>
            <w:proofErr w:type="spellEnd"/>
            <w:r w:rsidRPr="000952A6">
              <w:rPr>
                <w:rFonts w:ascii="Arial Narrow" w:hAnsi="Arial Narrow" w:cs="Arial"/>
                <w:snapToGrid w:val="0"/>
                <w:szCs w:val="22"/>
              </w:rPr>
              <w:t xml:space="preserve"> with or without bevacizumab under the Pharmaceutical Benefits Scheme (PBS).</w:t>
            </w:r>
          </w:p>
          <w:p w14:paraId="6880A110" w14:textId="77777777" w:rsidR="001050BC" w:rsidRPr="000952A6" w:rsidRDefault="001050BC" w:rsidP="00FD7777">
            <w:pPr>
              <w:keepNext/>
              <w:widowControl w:val="0"/>
              <w:spacing w:before="0" w:after="0"/>
              <w:ind w:left="0"/>
              <w:contextualSpacing/>
              <w:rPr>
                <w:rFonts w:ascii="Arial Narrow" w:hAnsi="Arial Narrow" w:cs="Arial"/>
                <w:snapToGrid w:val="0"/>
                <w:szCs w:val="22"/>
              </w:rPr>
            </w:pPr>
          </w:p>
          <w:p w14:paraId="494B68C8" w14:textId="29AFCD83" w:rsidR="000952A6" w:rsidRDefault="000952A6" w:rsidP="00FD7777">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Once per primary tumour diagnosis</w:t>
            </w:r>
          </w:p>
          <w:p w14:paraId="586BE73E" w14:textId="77777777" w:rsidR="001050BC" w:rsidRPr="000952A6" w:rsidRDefault="001050BC" w:rsidP="00FD7777">
            <w:pPr>
              <w:keepNext/>
              <w:widowControl w:val="0"/>
              <w:spacing w:before="0" w:after="0"/>
              <w:ind w:left="0"/>
              <w:contextualSpacing/>
              <w:rPr>
                <w:rFonts w:ascii="Arial Narrow" w:hAnsi="Arial Narrow" w:cs="Arial"/>
                <w:snapToGrid w:val="0"/>
                <w:szCs w:val="22"/>
              </w:rPr>
            </w:pPr>
          </w:p>
          <w:p w14:paraId="686F4425" w14:textId="0321B755" w:rsidR="000952A6" w:rsidRPr="000952A6" w:rsidRDefault="000952A6" w:rsidP="00FD7777">
            <w:pPr>
              <w:keepNext/>
              <w:widowControl w:val="0"/>
              <w:spacing w:before="0" w:after="0"/>
              <w:ind w:left="0"/>
              <w:contextualSpacing/>
              <w:rPr>
                <w:rFonts w:ascii="Arial Narrow" w:hAnsi="Arial Narrow" w:cs="Arial"/>
                <w:snapToGrid w:val="0"/>
                <w:szCs w:val="22"/>
              </w:rPr>
            </w:pPr>
            <w:r w:rsidRPr="000952A6">
              <w:rPr>
                <w:rFonts w:ascii="Arial Narrow" w:hAnsi="Arial Narrow" w:cs="Arial"/>
                <w:snapToGrid w:val="0"/>
                <w:szCs w:val="22"/>
              </w:rPr>
              <w:t>Fee:</w:t>
            </w:r>
            <w:r w:rsidR="00AB21C8">
              <w:rPr>
                <w:rFonts w:ascii="Arial Narrow" w:hAnsi="Arial Narrow" w:cs="Arial"/>
                <w:snapToGrid w:val="0"/>
                <w:szCs w:val="22"/>
              </w:rPr>
              <w:t xml:space="preserve"> </w:t>
            </w:r>
            <w:r w:rsidRPr="000952A6">
              <w:rPr>
                <w:rFonts w:ascii="Arial Narrow" w:hAnsi="Arial Narrow" w:cs="Arial"/>
                <w:snapToGrid w:val="0"/>
                <w:szCs w:val="22"/>
              </w:rPr>
              <w:t>$</w:t>
            </w:r>
            <w:r w:rsidRPr="00F663C7">
              <w:rPr>
                <w:rFonts w:ascii="Arial Narrow" w:hAnsi="Arial Narrow" w:cs="Arial"/>
                <w:snapToGrid w:val="0"/>
                <w:szCs w:val="22"/>
              </w:rPr>
              <w:t>2,500</w:t>
            </w:r>
            <w:r w:rsidRPr="000952A6">
              <w:rPr>
                <w:rFonts w:ascii="Arial Narrow" w:hAnsi="Arial Narrow" w:cs="Arial"/>
                <w:snapToGrid w:val="0"/>
                <w:szCs w:val="22"/>
              </w:rPr>
              <w:t xml:space="preserve"> (TO BE CONFIRMED)</w:t>
            </w:r>
          </w:p>
        </w:tc>
      </w:tr>
    </w:tbl>
    <w:p w14:paraId="66122973" w14:textId="77777777" w:rsidR="000952A6" w:rsidRDefault="000952A6" w:rsidP="000952A6">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1.9, p43 of the submission</w:t>
      </w:r>
    </w:p>
    <w:p w14:paraId="56C22E2B" w14:textId="14FA402A" w:rsidR="000C4977" w:rsidRPr="000C4977" w:rsidRDefault="000C4977" w:rsidP="000C4977">
      <w:pPr>
        <w:spacing w:line="259" w:lineRule="auto"/>
        <w:jc w:val="left"/>
        <w:rPr>
          <w:snapToGrid w:val="0"/>
        </w:rPr>
      </w:pPr>
      <w:r w:rsidRPr="000C4977">
        <w:rPr>
          <w:snapToGrid w:val="0"/>
        </w:rPr>
        <w:t>The commentary considered the proposed MBS item was not entirely aligned with the proposed PBS listing. The proposed PBS listing requests use in patients with high grade stage III/IV epithelial ovarian, fallopian tube or primary peritoneal cancer and not in patients with high-grade serous ovarian cancer. However as serous cancer is a subtype of epithelial cancer this was unlikely to be an issue in practice.</w:t>
      </w:r>
    </w:p>
    <w:p w14:paraId="72720BF3" w14:textId="24D23D95" w:rsidR="000C4977" w:rsidRPr="000C4977" w:rsidRDefault="000C4977" w:rsidP="000C4977">
      <w:pPr>
        <w:spacing w:line="259" w:lineRule="auto"/>
        <w:jc w:val="left"/>
        <w:rPr>
          <w:snapToGrid w:val="0"/>
        </w:rPr>
      </w:pPr>
      <w:r w:rsidRPr="000C4977">
        <w:rPr>
          <w:snapToGrid w:val="0"/>
        </w:rPr>
        <w:t xml:space="preserve">The proposed MBS item descriptor is identical to the descriptor detailed in the </w:t>
      </w:r>
      <w:hyperlink r:id="rId10" w:history="1">
        <w:r w:rsidR="00631421" w:rsidRPr="00631421">
          <w:rPr>
            <w:rStyle w:val="Hyperlink"/>
            <w:snapToGrid w:val="0"/>
          </w:rPr>
          <w:t>R</w:t>
        </w:r>
        <w:r w:rsidRPr="00631421">
          <w:rPr>
            <w:rStyle w:val="Hyperlink"/>
            <w:snapToGrid w:val="0"/>
          </w:rPr>
          <w:t xml:space="preserve">atified PICO </w:t>
        </w:r>
        <w:r w:rsidR="00631421" w:rsidRPr="00631421">
          <w:rPr>
            <w:rStyle w:val="Hyperlink"/>
            <w:snapToGrid w:val="0"/>
          </w:rPr>
          <w:t>C</w:t>
        </w:r>
        <w:r w:rsidRPr="00631421">
          <w:rPr>
            <w:rStyle w:val="Hyperlink"/>
            <w:snapToGrid w:val="0"/>
          </w:rPr>
          <w:t>onfirmation</w:t>
        </w:r>
      </w:hyperlink>
      <w:r w:rsidRPr="000C4977">
        <w:rPr>
          <w:snapToGrid w:val="0"/>
        </w:rPr>
        <w:t>.</w:t>
      </w:r>
    </w:p>
    <w:p w14:paraId="1C414B70" w14:textId="07E52D59" w:rsidR="000C4977" w:rsidRPr="00FA7014" w:rsidRDefault="000C4977" w:rsidP="000C4977">
      <w:pPr>
        <w:spacing w:line="259" w:lineRule="auto"/>
        <w:jc w:val="left"/>
        <w:rPr>
          <w:snapToGrid w:val="0"/>
        </w:rPr>
      </w:pPr>
      <w:r w:rsidRPr="000C4977">
        <w:rPr>
          <w:snapToGrid w:val="0"/>
        </w:rPr>
        <w:lastRenderedPageBreak/>
        <w:t xml:space="preserve">The proposed clinical management algorithm included HRD testing for all patients after diagnosis of HGEOC, thereby establishing both </w:t>
      </w:r>
      <w:r w:rsidRPr="000C4977">
        <w:rPr>
          <w:i/>
          <w:snapToGrid w:val="0"/>
        </w:rPr>
        <w:t>BRCA</w:t>
      </w:r>
      <w:r w:rsidRPr="000C4977">
        <w:rPr>
          <w:snapToGrid w:val="0"/>
        </w:rPr>
        <w:t xml:space="preserve"> variant status and </w:t>
      </w:r>
      <w:r w:rsidR="009339A5" w:rsidRPr="009339A5">
        <w:rPr>
          <w:snapToGrid w:val="0"/>
        </w:rPr>
        <w:t>genomic instability</w:t>
      </w:r>
      <w:r w:rsidRPr="000C4977">
        <w:rPr>
          <w:snapToGrid w:val="0"/>
        </w:rPr>
        <w:t xml:space="preserve"> status. The commentary considered </w:t>
      </w:r>
      <w:r w:rsidRPr="00AA0B48">
        <w:rPr>
          <w:snapToGrid w:val="0"/>
        </w:rPr>
        <w:t xml:space="preserve">that HRD testing is a broad concept that encompasses different methods of defining HRD, rather than being a specific test. The different methods of HRD testing differ in terms of the HRR genes and the types of </w:t>
      </w:r>
      <w:r w:rsidR="009339A5" w:rsidRPr="00AA0B48">
        <w:rPr>
          <w:snapToGrid w:val="0"/>
        </w:rPr>
        <w:t xml:space="preserve">genomic instability </w:t>
      </w:r>
      <w:r w:rsidRPr="00AA0B48">
        <w:rPr>
          <w:snapToGrid w:val="0"/>
        </w:rPr>
        <w:t xml:space="preserve">they detect as well as how the presence of HRR and </w:t>
      </w:r>
      <w:r w:rsidR="009339A5" w:rsidRPr="00AA0B48">
        <w:rPr>
          <w:snapToGrid w:val="0"/>
        </w:rPr>
        <w:t>genomic instability</w:t>
      </w:r>
      <w:r w:rsidRPr="00AA0B48">
        <w:rPr>
          <w:snapToGrid w:val="0"/>
        </w:rPr>
        <w:t xml:space="preserve"> is scored by the bespoke (often proprietary) algorithms with a threshold that is unique to each algorithm in order to provide a binary result (</w:t>
      </w:r>
      <w:proofErr w:type="gramStart"/>
      <w:r w:rsidRPr="00AA0B48">
        <w:rPr>
          <w:snapToGrid w:val="0"/>
        </w:rPr>
        <w:t>I.e.</w:t>
      </w:r>
      <w:proofErr w:type="gramEnd"/>
      <w:r w:rsidRPr="00AA0B48">
        <w:rPr>
          <w:snapToGrid w:val="0"/>
        </w:rPr>
        <w:t xml:space="preserve"> HRD positive or negative). As such, these different methods may not provide identical results or identify identical populations. For example, Mills 2020</w:t>
      </w:r>
      <w:r w:rsidR="00631421" w:rsidRPr="00AA0B48">
        <w:rPr>
          <w:snapToGrid w:val="0"/>
        </w:rPr>
        <w:t> </w:t>
      </w:r>
      <w:r w:rsidRPr="00AA0B48">
        <w:rPr>
          <w:snapToGrid w:val="0"/>
          <w:vertAlign w:val="superscript"/>
        </w:rPr>
        <w:footnoteReference w:id="4"/>
      </w:r>
      <w:r w:rsidRPr="00AA0B48">
        <w:rPr>
          <w:snapToGrid w:val="0"/>
        </w:rPr>
        <w:t xml:space="preserve"> examined whether different genomic instability </w:t>
      </w:r>
      <w:r w:rsidR="00EE062D" w:rsidRPr="00AA0B48">
        <w:rPr>
          <w:snapToGrid w:val="0"/>
        </w:rPr>
        <w:t xml:space="preserve">aggregated </w:t>
      </w:r>
      <w:r w:rsidR="00EE062D" w:rsidRPr="00FA7014">
        <w:rPr>
          <w:snapToGrid w:val="0"/>
        </w:rPr>
        <w:t>results</w:t>
      </w:r>
      <w:r w:rsidRPr="00FA7014">
        <w:rPr>
          <w:snapToGrid w:val="0"/>
        </w:rPr>
        <w:t xml:space="preserve"> are equivalent and reported that the correlation between the “Myriad </w:t>
      </w:r>
      <w:proofErr w:type="spellStart"/>
      <w:r w:rsidRPr="00FA7014">
        <w:rPr>
          <w:snapToGrid w:val="0"/>
        </w:rPr>
        <w:t>myChoice</w:t>
      </w:r>
      <w:proofErr w:type="spellEnd"/>
      <w:r w:rsidRPr="00FA7014">
        <w:rPr>
          <w:snapToGrid w:val="0"/>
        </w:rPr>
        <w:t xml:space="preserve"> HRD” test and loss of heterozygosity (LOH) was 0.864 and between the “Myriad </w:t>
      </w:r>
      <w:proofErr w:type="spellStart"/>
      <w:r w:rsidRPr="00FA7014">
        <w:rPr>
          <w:snapToGrid w:val="0"/>
        </w:rPr>
        <w:t>myChoice</w:t>
      </w:r>
      <w:proofErr w:type="spellEnd"/>
      <w:r w:rsidRPr="00FA7014">
        <w:rPr>
          <w:snapToGrid w:val="0"/>
        </w:rPr>
        <w:t xml:space="preserve"> HRD” test and % LOH was 0.845.</w:t>
      </w:r>
    </w:p>
    <w:p w14:paraId="0FF7B95E" w14:textId="5CC28257" w:rsidR="000C4977" w:rsidRPr="00FA7014" w:rsidRDefault="000C4977" w:rsidP="000C4977">
      <w:pPr>
        <w:spacing w:line="259" w:lineRule="auto"/>
        <w:jc w:val="left"/>
        <w:rPr>
          <w:snapToGrid w:val="0"/>
        </w:rPr>
      </w:pPr>
      <w:r w:rsidRPr="00FA7014">
        <w:rPr>
          <w:snapToGrid w:val="0"/>
        </w:rPr>
        <w:t xml:space="preserve">The </w:t>
      </w:r>
      <w:proofErr w:type="spellStart"/>
      <w:r w:rsidRPr="00FA7014">
        <w:rPr>
          <w:snapToGrid w:val="0"/>
        </w:rPr>
        <w:t>SOPHiA</w:t>
      </w:r>
      <w:proofErr w:type="spellEnd"/>
      <w:r w:rsidRPr="00FA7014">
        <w:rPr>
          <w:snapToGrid w:val="0"/>
        </w:rPr>
        <w:t xml:space="preserve"> assay (the proposed test for implementation) is a next generation sequencing (NGS) based test that performs Low-pass Whole Genome Sequencing (</w:t>
      </w:r>
      <w:proofErr w:type="spellStart"/>
      <w:r w:rsidRPr="00FA7014">
        <w:rPr>
          <w:snapToGrid w:val="0"/>
        </w:rPr>
        <w:t>lpWGS</w:t>
      </w:r>
      <w:proofErr w:type="spellEnd"/>
      <w:r w:rsidRPr="00FA7014">
        <w:rPr>
          <w:snapToGrid w:val="0"/>
        </w:rPr>
        <w:t xml:space="preserve">). The analytical algorithm processes the </w:t>
      </w:r>
      <w:proofErr w:type="spellStart"/>
      <w:r w:rsidRPr="00FA7014">
        <w:rPr>
          <w:snapToGrid w:val="0"/>
        </w:rPr>
        <w:t>lpWGS</w:t>
      </w:r>
      <w:proofErr w:type="spellEnd"/>
      <w:r w:rsidRPr="00FA7014">
        <w:rPr>
          <w:snapToGrid w:val="0"/>
        </w:rPr>
        <w:t xml:space="preserve"> data via a deep-learning algorithm capable of quantifying genomic integrity. This provides a genomic instability </w:t>
      </w:r>
      <w:r w:rsidR="00EE062D" w:rsidRPr="00FA7014">
        <w:rPr>
          <w:snapToGrid w:val="0"/>
        </w:rPr>
        <w:t>result</w:t>
      </w:r>
      <w:r w:rsidRPr="00FA7014">
        <w:rPr>
          <w:snapToGrid w:val="0"/>
        </w:rPr>
        <w:t xml:space="preserve"> known as a Genomic Integrity Index (GII). The GII measures the amount of genomic scarring as determined by the algorithm. Anything above a threshold of “0” is considered HRD-positive and anything below “0” is considered HRD-negative. The ADAR contends that the </w:t>
      </w:r>
      <w:proofErr w:type="spellStart"/>
      <w:r w:rsidRPr="00FA7014">
        <w:rPr>
          <w:snapToGrid w:val="0"/>
        </w:rPr>
        <w:t>SOPHiA</w:t>
      </w:r>
      <w:proofErr w:type="spellEnd"/>
      <w:r w:rsidRPr="00FA7014">
        <w:rPr>
          <w:snapToGrid w:val="0"/>
        </w:rPr>
        <w:t xml:space="preserve"> assay’s GII demonstrated very strong agreement with the clinical utility standard (Myriad </w:t>
      </w:r>
      <w:proofErr w:type="spellStart"/>
      <w:r w:rsidRPr="00FA7014">
        <w:rPr>
          <w:snapToGrid w:val="0"/>
        </w:rPr>
        <w:t>MyChoice</w:t>
      </w:r>
      <w:proofErr w:type="spellEnd"/>
      <w:r w:rsidRPr="00FA7014">
        <w:rPr>
          <w:snapToGrid w:val="0"/>
        </w:rPr>
        <w:t xml:space="preserve"> HRD plus assay using the GIS score of 42).</w:t>
      </w:r>
    </w:p>
    <w:p w14:paraId="2D8F0F09" w14:textId="7C301AB4" w:rsidR="000C4977" w:rsidRPr="00FA7014" w:rsidRDefault="000C4977" w:rsidP="000C4977">
      <w:pPr>
        <w:spacing w:line="259" w:lineRule="auto"/>
        <w:jc w:val="left"/>
        <w:rPr>
          <w:snapToGrid w:val="0"/>
        </w:rPr>
      </w:pPr>
      <w:r w:rsidRPr="00FA7014">
        <w:rPr>
          <w:snapToGrid w:val="0"/>
        </w:rPr>
        <w:t xml:space="preserve">The </w:t>
      </w:r>
      <w:proofErr w:type="spellStart"/>
      <w:r w:rsidRPr="00FA7014">
        <w:rPr>
          <w:snapToGrid w:val="0"/>
        </w:rPr>
        <w:t>SOPHiA</w:t>
      </w:r>
      <w:proofErr w:type="spellEnd"/>
      <w:r w:rsidRPr="00FA7014">
        <w:rPr>
          <w:snapToGrid w:val="0"/>
        </w:rPr>
        <w:t xml:space="preserve"> assay also performs targeted sequencing of </w:t>
      </w:r>
      <w:r w:rsidRPr="00FA7014">
        <w:rPr>
          <w:i/>
          <w:snapToGrid w:val="0"/>
        </w:rPr>
        <w:t>BRCA1</w:t>
      </w:r>
      <w:r w:rsidRPr="00FA7014">
        <w:rPr>
          <w:snapToGrid w:val="0"/>
        </w:rPr>
        <w:t xml:space="preserve">, </w:t>
      </w:r>
      <w:r w:rsidRPr="00FA7014">
        <w:rPr>
          <w:i/>
          <w:snapToGrid w:val="0"/>
        </w:rPr>
        <w:t>BRCA2</w:t>
      </w:r>
      <w:r w:rsidRPr="00FA7014">
        <w:rPr>
          <w:snapToGrid w:val="0"/>
        </w:rPr>
        <w:t xml:space="preserve">, as well as 26 other genes involved in HRR or linked to HRD. The commentary highlighted that the </w:t>
      </w:r>
      <w:proofErr w:type="spellStart"/>
      <w:r w:rsidRPr="00FA7014">
        <w:rPr>
          <w:snapToGrid w:val="0"/>
        </w:rPr>
        <w:t>eviQ</w:t>
      </w:r>
      <w:proofErr w:type="spellEnd"/>
      <w:r w:rsidRPr="00FA7014">
        <w:rPr>
          <w:snapToGrid w:val="0"/>
        </w:rPr>
        <w:t xml:space="preserve"> guidelines recommend germline testing in for some non-</w:t>
      </w:r>
      <w:r w:rsidRPr="00FA7014">
        <w:rPr>
          <w:i/>
          <w:snapToGrid w:val="0"/>
        </w:rPr>
        <w:t>BRCA</w:t>
      </w:r>
      <w:r w:rsidRPr="00FA7014">
        <w:rPr>
          <w:snapToGrid w:val="0"/>
        </w:rPr>
        <w:t xml:space="preserve"> genes if they are identified in solid tumours.</w:t>
      </w:r>
      <w:r w:rsidRPr="00FA7014">
        <w:rPr>
          <w:snapToGrid w:val="0"/>
          <w:vertAlign w:val="superscript"/>
        </w:rPr>
        <w:footnoteReference w:id="5"/>
      </w:r>
      <w:r w:rsidRPr="00FA7014">
        <w:rPr>
          <w:snapToGrid w:val="0"/>
        </w:rPr>
        <w:t xml:space="preserve"> These include </w:t>
      </w:r>
      <w:r w:rsidRPr="00FA7014">
        <w:rPr>
          <w:i/>
          <w:iCs/>
          <w:snapToGrid w:val="0"/>
        </w:rPr>
        <w:t>BRIP1</w:t>
      </w:r>
      <w:r w:rsidRPr="00FA7014">
        <w:rPr>
          <w:snapToGrid w:val="0"/>
        </w:rPr>
        <w:t xml:space="preserve">, </w:t>
      </w:r>
      <w:r w:rsidRPr="00FA7014">
        <w:rPr>
          <w:i/>
          <w:iCs/>
          <w:snapToGrid w:val="0"/>
        </w:rPr>
        <w:t>PALB2</w:t>
      </w:r>
      <w:r w:rsidRPr="00FA7014">
        <w:rPr>
          <w:snapToGrid w:val="0"/>
        </w:rPr>
        <w:t xml:space="preserve">, </w:t>
      </w:r>
      <w:r w:rsidRPr="00FA7014">
        <w:rPr>
          <w:i/>
          <w:iCs/>
          <w:snapToGrid w:val="0"/>
        </w:rPr>
        <w:t>RAD51C</w:t>
      </w:r>
      <w:r w:rsidRPr="00FA7014">
        <w:rPr>
          <w:snapToGrid w:val="0"/>
        </w:rPr>
        <w:t xml:space="preserve">, and </w:t>
      </w:r>
      <w:r w:rsidRPr="00FA7014">
        <w:rPr>
          <w:i/>
          <w:iCs/>
          <w:snapToGrid w:val="0"/>
        </w:rPr>
        <w:t>RAD51D</w:t>
      </w:r>
      <w:r w:rsidRPr="00FA7014">
        <w:rPr>
          <w:snapToGrid w:val="0"/>
        </w:rPr>
        <w:t>. Other genes have more complex guidance regarding the clinical utility of germline testing (</w:t>
      </w:r>
      <w:r w:rsidRPr="00FA7014">
        <w:rPr>
          <w:i/>
          <w:iCs/>
          <w:snapToGrid w:val="0"/>
        </w:rPr>
        <w:t>ATM</w:t>
      </w:r>
      <w:r w:rsidRPr="00FA7014">
        <w:rPr>
          <w:snapToGrid w:val="0"/>
        </w:rPr>
        <w:t xml:space="preserve">, </w:t>
      </w:r>
      <w:r w:rsidRPr="00FA7014">
        <w:rPr>
          <w:i/>
          <w:iCs/>
          <w:snapToGrid w:val="0"/>
        </w:rPr>
        <w:t>CHEC2</w:t>
      </w:r>
      <w:r w:rsidRPr="00FA7014">
        <w:rPr>
          <w:snapToGrid w:val="0"/>
        </w:rPr>
        <w:t xml:space="preserve"> and </w:t>
      </w:r>
      <w:r w:rsidRPr="00FA7014">
        <w:rPr>
          <w:i/>
          <w:iCs/>
          <w:snapToGrid w:val="0"/>
        </w:rPr>
        <w:t>TP53</w:t>
      </w:r>
      <w:r w:rsidRPr="00FA7014">
        <w:rPr>
          <w:snapToGrid w:val="0"/>
        </w:rPr>
        <w:t xml:space="preserve">) where the guidance for germline testing varies </w:t>
      </w:r>
      <w:proofErr w:type="gramStart"/>
      <w:r w:rsidRPr="00FA7014">
        <w:rPr>
          <w:snapToGrid w:val="0"/>
        </w:rPr>
        <w:t>depending</w:t>
      </w:r>
      <w:proofErr w:type="gramEnd"/>
      <w:r w:rsidRPr="00FA7014">
        <w:rPr>
          <w:snapToGrid w:val="0"/>
        </w:rPr>
        <w:t xml:space="preserve"> factors specific to each patient such as family history, the specific variant, and age of diagnosis.</w:t>
      </w:r>
    </w:p>
    <w:p w14:paraId="64409579" w14:textId="5C7D59C2" w:rsidR="000C4977" w:rsidRPr="000C4977" w:rsidRDefault="000C4977" w:rsidP="000C4977">
      <w:pPr>
        <w:spacing w:line="259" w:lineRule="auto"/>
        <w:jc w:val="left"/>
        <w:rPr>
          <w:snapToGrid w:val="0"/>
        </w:rPr>
      </w:pPr>
      <w:r w:rsidRPr="00FA7014">
        <w:rPr>
          <w:snapToGrid w:val="0"/>
        </w:rPr>
        <w:t xml:space="preserve">The ESCs noted that the </w:t>
      </w:r>
      <w:proofErr w:type="spellStart"/>
      <w:r w:rsidRPr="00FA7014">
        <w:rPr>
          <w:snapToGrid w:val="0"/>
        </w:rPr>
        <w:t>SOPHiA</w:t>
      </w:r>
      <w:proofErr w:type="spellEnd"/>
      <w:r w:rsidRPr="000C4977">
        <w:rPr>
          <w:snapToGrid w:val="0"/>
        </w:rPr>
        <w:t xml:space="preserve"> HRD assay appeared to be different to the HRD tests considered by PASC.</w:t>
      </w:r>
    </w:p>
    <w:p w14:paraId="1CB32E8E" w14:textId="7483464A" w:rsidR="000C4977" w:rsidRPr="000C4977" w:rsidRDefault="000C4977" w:rsidP="000C4977">
      <w:pPr>
        <w:spacing w:line="259" w:lineRule="auto"/>
        <w:jc w:val="left"/>
        <w:rPr>
          <w:snapToGrid w:val="0"/>
        </w:rPr>
      </w:pPr>
      <w:r w:rsidRPr="000C4977">
        <w:rPr>
          <w:snapToGrid w:val="0"/>
        </w:rPr>
        <w:t xml:space="preserve">The submission proposed that the medical service for the requested HRD test should replace MBS item 73301 that is currently </w:t>
      </w:r>
      <w:r w:rsidRPr="00A33EFF">
        <w:rPr>
          <w:snapToGrid w:val="0"/>
        </w:rPr>
        <w:t xml:space="preserve">used to determine eligibility relating to </w:t>
      </w:r>
      <w:r w:rsidRPr="00A33EFF">
        <w:rPr>
          <w:i/>
          <w:snapToGrid w:val="0"/>
        </w:rPr>
        <w:t>BRCA</w:t>
      </w:r>
      <w:r w:rsidRPr="00A33EFF">
        <w:rPr>
          <w:snapToGrid w:val="0"/>
        </w:rPr>
        <w:t xml:space="preserve"> status for access to </w:t>
      </w:r>
      <w:proofErr w:type="spellStart"/>
      <w:r w:rsidRPr="00A33EFF">
        <w:rPr>
          <w:snapToGrid w:val="0"/>
        </w:rPr>
        <w:t>olaparib</w:t>
      </w:r>
      <w:proofErr w:type="spellEnd"/>
      <w:r w:rsidRPr="00A33EFF">
        <w:rPr>
          <w:snapToGrid w:val="0"/>
        </w:rPr>
        <w:t xml:space="preserve"> in patients with advanced ovarian cancer. The commentary considered that patients who only require </w:t>
      </w:r>
      <w:r w:rsidRPr="00A33EFF">
        <w:rPr>
          <w:i/>
          <w:snapToGrid w:val="0"/>
        </w:rPr>
        <w:t>BRCA</w:t>
      </w:r>
      <w:r w:rsidRPr="00A33EFF">
        <w:rPr>
          <w:snapToGrid w:val="0"/>
        </w:rPr>
        <w:t xml:space="preserve"> testing (</w:t>
      </w:r>
      <w:proofErr w:type="gramStart"/>
      <w:r w:rsidRPr="00A33EFF">
        <w:rPr>
          <w:snapToGrid w:val="0"/>
        </w:rPr>
        <w:t>i.e.</w:t>
      </w:r>
      <w:proofErr w:type="gramEnd"/>
      <w:r w:rsidRPr="00A33EFF">
        <w:rPr>
          <w:snapToGrid w:val="0"/>
        </w:rPr>
        <w:t xml:space="preserve"> </w:t>
      </w:r>
      <w:proofErr w:type="spellStart"/>
      <w:r w:rsidRPr="00A33EFF">
        <w:rPr>
          <w:i/>
          <w:snapToGrid w:val="0"/>
        </w:rPr>
        <w:t>BRCA</w:t>
      </w:r>
      <w:r w:rsidRPr="00A33EFF">
        <w:rPr>
          <w:snapToGrid w:val="0"/>
        </w:rPr>
        <w:t>m</w:t>
      </w:r>
      <w:proofErr w:type="spellEnd"/>
      <w:r w:rsidRPr="00A33EFF">
        <w:rPr>
          <w:snapToGrid w:val="0"/>
        </w:rPr>
        <w:t xml:space="preserve"> patients who are eligible for </w:t>
      </w:r>
      <w:proofErr w:type="spellStart"/>
      <w:r w:rsidRPr="00A33EFF">
        <w:rPr>
          <w:snapToGrid w:val="0"/>
        </w:rPr>
        <w:t>olaparib</w:t>
      </w:r>
      <w:proofErr w:type="spellEnd"/>
      <w:r w:rsidRPr="00A33EFF">
        <w:rPr>
          <w:snapToGrid w:val="0"/>
        </w:rPr>
        <w:t xml:space="preserve"> under the current PBS-listed ovarian cancer indications) would be required to undergo fuller HRD testing and could incur additional out of pocket expenses associated with the fuller HRD test for no additional benefit and potentially have higher risks of misclassification and thus receive suboptimal treatment. The requested PBS restriction for </w:t>
      </w:r>
      <w:proofErr w:type="spellStart"/>
      <w:r w:rsidRPr="00A33EFF">
        <w:rPr>
          <w:snapToGrid w:val="0"/>
        </w:rPr>
        <w:t>olaparib</w:t>
      </w:r>
      <w:proofErr w:type="spellEnd"/>
      <w:r w:rsidRPr="00A33EFF">
        <w:rPr>
          <w:snapToGrid w:val="0"/>
        </w:rPr>
        <w:t xml:space="preserve"> plus bevacizumab excludes treatment in </w:t>
      </w:r>
      <w:proofErr w:type="spellStart"/>
      <w:r w:rsidRPr="00A33EFF">
        <w:rPr>
          <w:i/>
          <w:snapToGrid w:val="0"/>
        </w:rPr>
        <w:t>BRCA</w:t>
      </w:r>
      <w:r w:rsidRPr="00A33EFF">
        <w:rPr>
          <w:snapToGrid w:val="0"/>
        </w:rPr>
        <w:t>m</w:t>
      </w:r>
      <w:proofErr w:type="spellEnd"/>
      <w:r w:rsidRPr="00A33EFF">
        <w:rPr>
          <w:snapToGrid w:val="0"/>
        </w:rPr>
        <w:t xml:space="preserve"> patients.</w:t>
      </w:r>
    </w:p>
    <w:p w14:paraId="210DD122" w14:textId="70643410" w:rsidR="000C4977" w:rsidRPr="000C4977" w:rsidRDefault="000C4977" w:rsidP="000C4977">
      <w:pPr>
        <w:spacing w:line="259" w:lineRule="auto"/>
        <w:jc w:val="left"/>
        <w:rPr>
          <w:snapToGrid w:val="0"/>
        </w:rPr>
      </w:pPr>
      <w:r w:rsidRPr="000C4977">
        <w:rPr>
          <w:snapToGrid w:val="0"/>
        </w:rPr>
        <w:t xml:space="preserve">PASC (ratified PICO confirmation, p16) considered that, should the proposed test replace the current MBS item for testing for </w:t>
      </w:r>
      <w:r w:rsidRPr="000C4977">
        <w:rPr>
          <w:i/>
          <w:snapToGrid w:val="0"/>
        </w:rPr>
        <w:t>BRCA1/2</w:t>
      </w:r>
      <w:r w:rsidRPr="000C4977">
        <w:rPr>
          <w:snapToGrid w:val="0"/>
        </w:rPr>
        <w:t xml:space="preserve"> pathogenic variant status in tumour samples (MBS item 73301), it would also be important to demonstrate that the proposed test, which tests for HRD status and </w:t>
      </w:r>
      <w:r w:rsidRPr="000C4977">
        <w:rPr>
          <w:i/>
          <w:snapToGrid w:val="0"/>
        </w:rPr>
        <w:t>BRCA1/2</w:t>
      </w:r>
      <w:r w:rsidRPr="000C4977">
        <w:rPr>
          <w:snapToGrid w:val="0"/>
        </w:rPr>
        <w:t xml:space="preserve"> pathogenic variant status, has the same or very similar concordance </w:t>
      </w:r>
      <w:r w:rsidRPr="000C4977">
        <w:rPr>
          <w:snapToGrid w:val="0"/>
        </w:rPr>
        <w:lastRenderedPageBreak/>
        <w:t xml:space="preserve">and discordance for </w:t>
      </w:r>
      <w:r w:rsidRPr="000C4977">
        <w:rPr>
          <w:i/>
          <w:snapToGrid w:val="0"/>
        </w:rPr>
        <w:t>BRCA1/2</w:t>
      </w:r>
      <w:r w:rsidRPr="000C4977">
        <w:rPr>
          <w:snapToGrid w:val="0"/>
        </w:rPr>
        <w:t xml:space="preserve"> as the current </w:t>
      </w:r>
      <w:r w:rsidRPr="00A33EFF">
        <w:rPr>
          <w:snapToGrid w:val="0"/>
        </w:rPr>
        <w:t xml:space="preserve">MBS tests. </w:t>
      </w:r>
      <w:proofErr w:type="gramStart"/>
      <w:r w:rsidRPr="00A33EFF">
        <w:rPr>
          <w:snapToGrid w:val="0"/>
        </w:rPr>
        <w:t>In particular, it</w:t>
      </w:r>
      <w:proofErr w:type="gramEnd"/>
      <w:r w:rsidRPr="00A33EFF">
        <w:rPr>
          <w:snapToGrid w:val="0"/>
        </w:rPr>
        <w:t xml:space="preserve"> should be demonstrated that the new test would identify the same patients that respond to </w:t>
      </w:r>
      <w:proofErr w:type="spellStart"/>
      <w:r w:rsidRPr="00A33EFF">
        <w:rPr>
          <w:snapToGrid w:val="0"/>
        </w:rPr>
        <w:t>olaparib</w:t>
      </w:r>
      <w:proofErr w:type="spellEnd"/>
      <w:r w:rsidRPr="00A33EFF">
        <w:rPr>
          <w:snapToGrid w:val="0"/>
        </w:rPr>
        <w:t xml:space="preserve"> monotherapy as the current tests for MBS item 73301. However, no concordance or validation of the </w:t>
      </w:r>
      <w:proofErr w:type="spellStart"/>
      <w:r w:rsidRPr="00A33EFF">
        <w:rPr>
          <w:snapToGrid w:val="0"/>
        </w:rPr>
        <w:t>SOPHiA</w:t>
      </w:r>
      <w:proofErr w:type="spellEnd"/>
      <w:r w:rsidRPr="00A33EFF">
        <w:rPr>
          <w:snapToGrid w:val="0"/>
        </w:rPr>
        <w:t xml:space="preserve"> assay to the nominated comparator (current testing for </w:t>
      </w:r>
      <w:r w:rsidRPr="00A33EFF">
        <w:rPr>
          <w:i/>
          <w:snapToGrid w:val="0"/>
        </w:rPr>
        <w:t>BRCA1/2</w:t>
      </w:r>
      <w:r w:rsidRPr="00A33EFF">
        <w:rPr>
          <w:snapToGrid w:val="0"/>
        </w:rPr>
        <w:t xml:space="preserve"> pathogenic variant status) was presented by the submission.</w:t>
      </w:r>
    </w:p>
    <w:p w14:paraId="2A1CCD22" w14:textId="27BF36A9" w:rsidR="000C4977" w:rsidRPr="000C4977" w:rsidRDefault="000C4977" w:rsidP="000C4977">
      <w:pPr>
        <w:spacing w:line="259" w:lineRule="auto"/>
        <w:jc w:val="left"/>
      </w:pPr>
      <w:r w:rsidRPr="000C4977">
        <w:rPr>
          <w:snapToGrid w:val="0"/>
        </w:rPr>
        <w:t xml:space="preserve">An MBS fee was not proposed as </w:t>
      </w:r>
      <w:r w:rsidRPr="00E6634C">
        <w:rPr>
          <w:snapToGrid w:val="0"/>
        </w:rPr>
        <w:t>part of the item descriptor, however a fee of $2,500 was used in the economic model and financial estimates. A justification was not provided for this fee, so it is not clear whether it is higher than would be needed once economies of scale occur or there may be any out-of-pocket costs if it is too low. The applicant is requested to confirm that the proposed test can be performed for a fee of $</w:t>
      </w:r>
      <w:r w:rsidRPr="00F663C7">
        <w:rPr>
          <w:snapToGrid w:val="0"/>
        </w:rPr>
        <w:t>2,500</w:t>
      </w:r>
      <w:r w:rsidRPr="00E6634C">
        <w:rPr>
          <w:snapToGrid w:val="0"/>
        </w:rPr>
        <w:t>.</w:t>
      </w:r>
    </w:p>
    <w:p w14:paraId="2DF66BA4" w14:textId="77777777" w:rsidR="000C4977" w:rsidRPr="000C4977" w:rsidRDefault="000C4977" w:rsidP="000C4977">
      <w:pPr>
        <w:spacing w:line="259" w:lineRule="auto"/>
        <w:jc w:val="left"/>
      </w:pPr>
      <w:r w:rsidRPr="000C4977">
        <w:rPr>
          <w:snapToGrid w:val="0"/>
        </w:rPr>
        <w:t xml:space="preserve">The cost of the </w:t>
      </w:r>
      <w:r w:rsidRPr="373443CE">
        <w:rPr>
          <w:i/>
          <w:iCs/>
          <w:snapToGrid w:val="0"/>
        </w:rPr>
        <w:t>BRCA</w:t>
      </w:r>
      <w:r w:rsidRPr="000C4977">
        <w:rPr>
          <w:snapToGrid w:val="0"/>
        </w:rPr>
        <w:t xml:space="preserve"> test (MBS item 73301) is currently listed as $1,200. MSAC previously advised (p1, Application No. 1618 MSAC PSD, MSAC meeting November 2021) that the fee for MBS items to test for pathogenic variants in only the </w:t>
      </w:r>
      <w:r w:rsidRPr="373443CE">
        <w:rPr>
          <w:i/>
          <w:iCs/>
          <w:snapToGrid w:val="0"/>
        </w:rPr>
        <w:t>BRCA1</w:t>
      </w:r>
      <w:r w:rsidRPr="000C4977">
        <w:rPr>
          <w:snapToGrid w:val="0"/>
        </w:rPr>
        <w:t xml:space="preserve"> and </w:t>
      </w:r>
      <w:r w:rsidRPr="373443CE">
        <w:rPr>
          <w:i/>
          <w:iCs/>
          <w:snapToGrid w:val="0"/>
        </w:rPr>
        <w:t>BRCA2</w:t>
      </w:r>
      <w:r w:rsidRPr="000C4977">
        <w:rPr>
          <w:snapToGrid w:val="0"/>
        </w:rPr>
        <w:t xml:space="preserve"> genes should be reduced from $1,200 to $1,000 as the cost of this testing has decreased. Therefore, the cost of fuller HRD testing (based on the inputs used in the economic evaluation) is estimated to be $1,500 more than </w:t>
      </w:r>
      <w:r w:rsidRPr="373443CE">
        <w:rPr>
          <w:i/>
          <w:iCs/>
          <w:snapToGrid w:val="0"/>
        </w:rPr>
        <w:t>BRCA</w:t>
      </w:r>
      <w:r w:rsidRPr="000C4977">
        <w:rPr>
          <w:snapToGrid w:val="0"/>
        </w:rPr>
        <w:t xml:space="preserve"> testing.</w:t>
      </w:r>
    </w:p>
    <w:p w14:paraId="5DA75EB0" w14:textId="279FB993" w:rsidR="000C4977" w:rsidRPr="000C4977" w:rsidRDefault="000C4977" w:rsidP="000C4977">
      <w:pPr>
        <w:spacing w:line="259" w:lineRule="auto"/>
        <w:jc w:val="left"/>
      </w:pPr>
      <w:r w:rsidRPr="000C4977">
        <w:rPr>
          <w:snapToGrid w:val="0"/>
        </w:rPr>
        <w:t xml:space="preserve">The commentary queried whether </w:t>
      </w:r>
      <w:r w:rsidR="00A8205F" w:rsidRPr="00A8205F">
        <w:rPr>
          <w:color w:val="000000"/>
          <w:spacing w:val="77"/>
          <w:w w:val="85"/>
          <w:shd w:val="solid" w:color="000000" w:fill="000000"/>
          <w:fitText w:val="264" w:id="-1450961659"/>
          <w14:textFill>
            <w14:solidFill>
              <w14:srgbClr w14:val="000000">
                <w14:alpha w14:val="100000"/>
              </w14:srgbClr>
            </w14:solidFill>
          </w14:textFill>
        </w:rPr>
        <w:t>|</w:t>
      </w:r>
      <w:r w:rsidR="00A8205F" w:rsidRPr="00A8205F">
        <w:rPr>
          <w:color w:val="000000"/>
          <w:spacing w:val="1"/>
          <w:w w:val="85"/>
          <w:shd w:val="solid" w:color="000000" w:fill="000000"/>
          <w:fitText w:val="264" w:id="-1450961659"/>
          <w14:textFill>
            <w14:solidFill>
              <w14:srgbClr w14:val="000000">
                <w14:alpha w14:val="100000"/>
              </w14:srgbClr>
            </w14:solidFill>
          </w14:textFill>
        </w:rPr>
        <w:t>|</w:t>
      </w:r>
      <w:r w:rsidR="0033153F">
        <w:t xml:space="preserve"> </w:t>
      </w:r>
      <w:r w:rsidRPr="000C4977">
        <w:rPr>
          <w:snapToGrid w:val="0"/>
        </w:rPr>
        <w:t xml:space="preserve">would have the capacity to process the number of tests estimated in the first and subsequent years following the listing. The pre-ESC response stated that </w:t>
      </w:r>
      <w:r w:rsidR="00A8205F" w:rsidRPr="00A8205F">
        <w:rPr>
          <w:color w:val="000000"/>
          <w:spacing w:val="77"/>
          <w:w w:val="85"/>
          <w:shd w:val="solid" w:color="000000" w:fill="000000"/>
          <w:fitText w:val="264" w:id="-1450961658"/>
          <w14:textFill>
            <w14:solidFill>
              <w14:srgbClr w14:val="000000">
                <w14:alpha w14:val="100000"/>
              </w14:srgbClr>
            </w14:solidFill>
          </w14:textFill>
        </w:rPr>
        <w:t>|</w:t>
      </w:r>
      <w:r w:rsidR="00A8205F" w:rsidRPr="00A8205F">
        <w:rPr>
          <w:color w:val="000000"/>
          <w:spacing w:val="1"/>
          <w:w w:val="85"/>
          <w:shd w:val="solid" w:color="000000" w:fill="000000"/>
          <w:fitText w:val="264" w:id="-1450961658"/>
          <w14:textFill>
            <w14:solidFill>
              <w14:srgbClr w14:val="000000">
                <w14:alpha w14:val="100000"/>
              </w14:srgbClr>
            </w14:solidFill>
          </w14:textFill>
        </w:rPr>
        <w:t>|</w:t>
      </w:r>
      <w:r w:rsidRPr="000C4977">
        <w:rPr>
          <w:snapToGrid w:val="0"/>
        </w:rPr>
        <w:t xml:space="preserve"> perform approximately </w:t>
      </w:r>
      <w:r w:rsidRPr="00C336A0">
        <w:rPr>
          <w:snapToGrid w:val="0"/>
        </w:rPr>
        <w:t>80</w:t>
      </w:r>
      <w:r w:rsidRPr="000C4977">
        <w:rPr>
          <w:snapToGrid w:val="0"/>
        </w:rPr>
        <w:t xml:space="preserve">% of tumour </w:t>
      </w:r>
      <w:r w:rsidRPr="000C4977">
        <w:rPr>
          <w:i/>
          <w:iCs/>
          <w:snapToGrid w:val="0"/>
        </w:rPr>
        <w:t>BRCA</w:t>
      </w:r>
      <w:r w:rsidRPr="000C4977">
        <w:rPr>
          <w:snapToGrid w:val="0"/>
        </w:rPr>
        <w:t xml:space="preserve"> tests. The ESCs considered </w:t>
      </w:r>
      <w:r w:rsidR="00A8205F" w:rsidRPr="00A8205F">
        <w:rPr>
          <w:color w:val="000000"/>
          <w:spacing w:val="77"/>
          <w:w w:val="85"/>
          <w:shd w:val="solid" w:color="000000" w:fill="000000"/>
          <w:fitText w:val="264" w:id="-1450961657"/>
          <w14:textFill>
            <w14:solidFill>
              <w14:srgbClr w14:val="000000">
                <w14:alpha w14:val="100000"/>
              </w14:srgbClr>
            </w14:solidFill>
          </w14:textFill>
        </w:rPr>
        <w:t>|</w:t>
      </w:r>
      <w:r w:rsidR="00A8205F" w:rsidRPr="00A8205F">
        <w:rPr>
          <w:color w:val="000000"/>
          <w:spacing w:val="1"/>
          <w:w w:val="85"/>
          <w:shd w:val="solid" w:color="000000" w:fill="000000"/>
          <w:fitText w:val="264" w:id="-1450961657"/>
          <w14:textFill>
            <w14:solidFill>
              <w14:srgbClr w14:val="000000">
                <w14:alpha w14:val="100000"/>
              </w14:srgbClr>
            </w14:solidFill>
          </w14:textFill>
        </w:rPr>
        <w:t>|</w:t>
      </w:r>
      <w:r w:rsidRPr="000C4977">
        <w:rPr>
          <w:snapToGrid w:val="0"/>
        </w:rPr>
        <w:t xml:space="preserve"> may be able to meet national demand for testing.</w:t>
      </w:r>
    </w:p>
    <w:p w14:paraId="0A0794EB" w14:textId="3EE65870"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17" w:name="_Toc69491419"/>
      <w:r>
        <w:rPr>
          <w:rFonts w:ascii="Franklin Gothic Medium" w:eastAsiaTheme="majorEastAsia" w:hAnsi="Franklin Gothic Medium" w:cstheme="majorBidi"/>
          <w:color w:val="000000" w:themeColor="text1"/>
          <w:sz w:val="32"/>
          <w:szCs w:val="26"/>
        </w:rPr>
        <w:t>7</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Population</w:t>
      </w:r>
      <w:bookmarkEnd w:id="17"/>
    </w:p>
    <w:p w14:paraId="5FE8BEE1" w14:textId="29F9BA88" w:rsidR="000C4977" w:rsidRPr="000C4977" w:rsidRDefault="000C4977" w:rsidP="000C4977">
      <w:pPr>
        <w:spacing w:line="259" w:lineRule="auto"/>
        <w:jc w:val="left"/>
      </w:pPr>
      <w:r w:rsidRPr="000C4977">
        <w:t xml:space="preserve">The proposed MBS item descriptor is intended to allow testing of tumour tissue from patients with HGEOC and would provide HRD status (both </w:t>
      </w:r>
      <w:r w:rsidRPr="000C4977">
        <w:rPr>
          <w:i/>
          <w:iCs/>
        </w:rPr>
        <w:t>BRCA</w:t>
      </w:r>
      <w:r w:rsidRPr="000C4977">
        <w:t xml:space="preserve"> and </w:t>
      </w:r>
      <w:r w:rsidR="009339A5" w:rsidRPr="009339A5">
        <w:t xml:space="preserve">genomic instability </w:t>
      </w:r>
      <w:r w:rsidR="00EE062D">
        <w:t>result</w:t>
      </w:r>
      <w:r w:rsidRPr="000C4977">
        <w:t xml:space="preserve"> in parallel), with the base case presented by the submission </w:t>
      </w:r>
      <w:proofErr w:type="gramStart"/>
      <w:r w:rsidRPr="000C4977">
        <w:t>assuming that</w:t>
      </w:r>
      <w:proofErr w:type="gramEnd"/>
      <w:r w:rsidRPr="000C4977">
        <w:t xml:space="preserve"> testing occurs upfront following diagnosis of advanced HGEOC. The HRD testing will determine whether patients are eligible to receive treatment with </w:t>
      </w:r>
      <w:proofErr w:type="spellStart"/>
      <w:r w:rsidRPr="000C4977">
        <w:t>olaparib</w:t>
      </w:r>
      <w:proofErr w:type="spellEnd"/>
      <w:r w:rsidRPr="000C4977">
        <w:t xml:space="preserve"> (plus bevacizumab) for patients with advanced ovarian cancer who are both HRD positive and </w:t>
      </w:r>
      <w:proofErr w:type="spellStart"/>
      <w:r w:rsidRPr="000C4977">
        <w:rPr>
          <w:i/>
          <w:iCs/>
        </w:rPr>
        <w:t>BRCA</w:t>
      </w:r>
      <w:r w:rsidRPr="000C4977">
        <w:t>wt</w:t>
      </w:r>
      <w:proofErr w:type="spellEnd"/>
      <w:r w:rsidRPr="000C4977">
        <w:t xml:space="preserve"> (referred to as HRD positive </w:t>
      </w:r>
      <w:proofErr w:type="spellStart"/>
      <w:r w:rsidRPr="000C4977">
        <w:rPr>
          <w:i/>
          <w:iCs/>
        </w:rPr>
        <w:t>BRCA</w:t>
      </w:r>
      <w:r w:rsidRPr="000C4977">
        <w:t>wt</w:t>
      </w:r>
      <w:proofErr w:type="spellEnd"/>
      <w:r w:rsidRPr="000C4977">
        <w:t xml:space="preserve"> herein) under the proposed PBS listing.</w:t>
      </w:r>
    </w:p>
    <w:p w14:paraId="7EEFB0D3" w14:textId="702E8613" w:rsidR="000C4977" w:rsidRPr="000C4977" w:rsidRDefault="000C4977" w:rsidP="000C4977">
      <w:pPr>
        <w:spacing w:line="259" w:lineRule="auto"/>
        <w:jc w:val="left"/>
      </w:pPr>
      <w:r w:rsidRPr="000C4977">
        <w:t>HRD is a phenotype that is characterised by the inability of a cell to effectively repair DNA double-strand breaks using the homologous recombination repair (HRR) pathway. Alterations in these genes have been deemed “causes” of HRD (</w:t>
      </w:r>
      <w:proofErr w:type="gramStart"/>
      <w:r w:rsidR="00776599" w:rsidRPr="000C4977">
        <w:t>e.g.</w:t>
      </w:r>
      <w:proofErr w:type="gramEnd"/>
      <w:r w:rsidRPr="000C4977">
        <w:t xml:space="preserve"> genetic events and epigenetic events). This can result in an impaired HRR pathway, which can be assessed by probing the genome for evidence of genomic instability (</w:t>
      </w:r>
      <w:proofErr w:type="gramStart"/>
      <w:r w:rsidR="00776599" w:rsidRPr="000C4977">
        <w:t>e.g.</w:t>
      </w:r>
      <w:proofErr w:type="gramEnd"/>
      <w:r w:rsidRPr="000C4977">
        <w:t xml:space="preserve"> chromosomal instability and other genomic signatures). Loss-of-function genes involved in this pathway can sensitise tumours to </w:t>
      </w:r>
      <w:proofErr w:type="gramStart"/>
      <w:r w:rsidRPr="000C4977">
        <w:t>poly(</w:t>
      </w:r>
      <w:proofErr w:type="gramEnd"/>
      <w:r w:rsidRPr="000C4977">
        <w:t>adenosine diphosphate [ADP]-ribose) polymerase (PARP) inhibitors and platinum-based chemotherapy, which target the destruction of cancer cells by working in concert with HRD through synthetic lethality (Stewart 2022</w:t>
      </w:r>
      <w:r w:rsidRPr="000C4977">
        <w:rPr>
          <w:vertAlign w:val="superscript"/>
        </w:rPr>
        <w:footnoteReference w:id="6"/>
      </w:r>
      <w:r w:rsidRPr="000C4977">
        <w:t xml:space="preserve">). Refer to </w:t>
      </w:r>
      <w:r w:rsidR="00631421">
        <w:fldChar w:fldCharType="begin"/>
      </w:r>
      <w:r w:rsidR="00631421">
        <w:instrText xml:space="preserve"> REF _Ref111812272 \h </w:instrText>
      </w:r>
      <w:r w:rsidR="00631421">
        <w:fldChar w:fldCharType="separate"/>
      </w:r>
      <w:r w:rsidR="00D8603B">
        <w:t xml:space="preserve">Figure </w:t>
      </w:r>
      <w:r w:rsidR="00D8603B">
        <w:rPr>
          <w:noProof/>
        </w:rPr>
        <w:t>1</w:t>
      </w:r>
      <w:r w:rsidR="00631421">
        <w:fldChar w:fldCharType="end"/>
      </w:r>
      <w:r w:rsidR="00631421">
        <w:t xml:space="preserve"> </w:t>
      </w:r>
      <w:r w:rsidRPr="000C4977">
        <w:t>below for an overview of HRD.</w:t>
      </w:r>
    </w:p>
    <w:p w14:paraId="71E062CA" w14:textId="01058D5E" w:rsidR="00631421" w:rsidRPr="00631421" w:rsidRDefault="00631421" w:rsidP="00631421">
      <w:pPr>
        <w:pStyle w:val="Caption"/>
        <w:rPr>
          <w:bCs/>
        </w:rPr>
      </w:pPr>
      <w:bookmarkStart w:id="18" w:name="_Ref111812272"/>
      <w:r>
        <w:lastRenderedPageBreak/>
        <w:t xml:space="preserve">Figure </w:t>
      </w:r>
      <w:fldSimple w:instr=" SEQ Figure \* ARABIC ">
        <w:r w:rsidR="00D8603B">
          <w:rPr>
            <w:noProof/>
          </w:rPr>
          <w:t>1</w:t>
        </w:r>
      </w:fldSimple>
      <w:bookmarkEnd w:id="18"/>
      <w:r w:rsidRPr="000C4977">
        <w:rPr>
          <w:b w:val="0"/>
          <w:iCs w:val="0"/>
        </w:rPr>
        <w:tab/>
      </w:r>
      <w:r w:rsidRPr="00631421">
        <w:rPr>
          <w:bCs/>
          <w:iCs w:val="0"/>
        </w:rPr>
        <w:t>Overview of homologous recombination deficiency (HRD)</w:t>
      </w:r>
    </w:p>
    <w:p w14:paraId="08F8394F" w14:textId="77777777" w:rsidR="000C4977" w:rsidRPr="000C4977" w:rsidRDefault="000C4977" w:rsidP="000C4977">
      <w:pPr>
        <w:jc w:val="center"/>
      </w:pPr>
      <w:r w:rsidRPr="000C4977">
        <w:rPr>
          <w:noProof/>
          <w:lang w:eastAsia="en-AU"/>
        </w:rPr>
        <w:drawing>
          <wp:inline distT="0" distB="0" distL="0" distR="0" wp14:anchorId="5C7A7467" wp14:editId="4A0CD292">
            <wp:extent cx="5529491" cy="3107199"/>
            <wp:effectExtent l="0" t="0" r="0" b="0"/>
            <wp:docPr id="83" name="Picture 83" descr="Figure 1 Overview of homologous recombination deficiency (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Figure 1 Overview of homologous recombination deficiency (HRD)"/>
                    <pic:cNvPicPr/>
                  </pic:nvPicPr>
                  <pic:blipFill>
                    <a:blip r:embed="rId11"/>
                    <a:stretch>
                      <a:fillRect/>
                    </a:stretch>
                  </pic:blipFill>
                  <pic:spPr>
                    <a:xfrm>
                      <a:off x="0" y="0"/>
                      <a:ext cx="5533057" cy="3109203"/>
                    </a:xfrm>
                    <a:prstGeom prst="rect">
                      <a:avLst/>
                    </a:prstGeom>
                  </pic:spPr>
                </pic:pic>
              </a:graphicData>
            </a:graphic>
          </wp:inline>
        </w:drawing>
      </w:r>
    </w:p>
    <w:p w14:paraId="35BB45B2" w14:textId="7A33CE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 breast cancer gene; GIS = </w:t>
      </w:r>
      <w:r w:rsidR="00EE062D">
        <w:rPr>
          <w:rFonts w:ascii="Arial Narrow" w:eastAsia="Times New Roman" w:hAnsi="Arial Narrow" w:cs="Arial"/>
          <w:snapToGrid w:val="0"/>
          <w:sz w:val="18"/>
          <w:szCs w:val="20"/>
        </w:rPr>
        <w:t>G</w:t>
      </w:r>
      <w:r w:rsidRPr="000C4977">
        <w:rPr>
          <w:rFonts w:ascii="Arial Narrow" w:eastAsia="Times New Roman" w:hAnsi="Arial Narrow" w:cs="Arial"/>
          <w:snapToGrid w:val="0"/>
          <w:sz w:val="18"/>
          <w:szCs w:val="20"/>
        </w:rPr>
        <w:t xml:space="preserve">enomic </w:t>
      </w:r>
      <w:r w:rsidR="00EE062D">
        <w:rPr>
          <w:rFonts w:ascii="Arial Narrow" w:eastAsia="Times New Roman" w:hAnsi="Arial Narrow" w:cs="Arial"/>
          <w:snapToGrid w:val="0"/>
          <w:sz w:val="18"/>
          <w:szCs w:val="20"/>
        </w:rPr>
        <w:t>I</w:t>
      </w:r>
      <w:r w:rsidRPr="000C4977">
        <w:rPr>
          <w:rFonts w:ascii="Arial Narrow" w:eastAsia="Times New Roman" w:hAnsi="Arial Narrow" w:cs="Arial"/>
          <w:snapToGrid w:val="0"/>
          <w:sz w:val="18"/>
          <w:szCs w:val="20"/>
        </w:rPr>
        <w:t xml:space="preserve">nstability </w:t>
      </w:r>
      <w:r w:rsidR="00EE062D">
        <w:rPr>
          <w:rFonts w:ascii="Arial Narrow" w:eastAsia="Times New Roman" w:hAnsi="Arial Narrow" w:cs="Arial"/>
          <w:snapToGrid w:val="0"/>
          <w:sz w:val="18"/>
          <w:szCs w:val="20"/>
        </w:rPr>
        <w:t>S</w:t>
      </w:r>
      <w:r w:rsidRPr="000C4977">
        <w:rPr>
          <w:rFonts w:ascii="Arial Narrow" w:eastAsia="Times New Roman" w:hAnsi="Arial Narrow" w:cs="Arial"/>
          <w:snapToGrid w:val="0"/>
          <w:sz w:val="18"/>
          <w:szCs w:val="20"/>
        </w:rPr>
        <w:t xml:space="preserve">core; </w:t>
      </w:r>
      <w:proofErr w:type="spellStart"/>
      <w:r w:rsidRPr="000C4977">
        <w:rPr>
          <w:rFonts w:ascii="Arial Narrow" w:eastAsia="Times New Roman" w:hAnsi="Arial Narrow" w:cs="Arial"/>
          <w:snapToGrid w:val="0"/>
          <w:sz w:val="18"/>
          <w:szCs w:val="20"/>
        </w:rPr>
        <w:t>gLOH</w:t>
      </w:r>
      <w:proofErr w:type="spellEnd"/>
      <w:r w:rsidRPr="000C4977">
        <w:rPr>
          <w:rFonts w:ascii="Arial Narrow" w:eastAsia="Times New Roman" w:hAnsi="Arial Narrow" w:cs="Arial"/>
          <w:snapToGrid w:val="0"/>
          <w:sz w:val="18"/>
          <w:szCs w:val="20"/>
        </w:rPr>
        <w:t xml:space="preserve"> = genomic patterns of loss of heterozygosity; HRD = homologous recombination deficiency</w:t>
      </w:r>
      <w:r w:rsidR="004E7388">
        <w:rPr>
          <w:rFonts w:ascii="Arial Narrow" w:eastAsia="Times New Roman" w:hAnsi="Arial Narrow" w:cs="Arial"/>
          <w:snapToGrid w:val="0"/>
          <w:sz w:val="18"/>
          <w:szCs w:val="20"/>
        </w:rPr>
        <w:t>;</w:t>
      </w:r>
      <w:r w:rsidRPr="000C4977">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PARPi</w:t>
      </w:r>
      <w:proofErr w:type="spellEnd"/>
      <w:r w:rsidRPr="000C4977">
        <w:rPr>
          <w:rFonts w:ascii="Arial Narrow" w:eastAsia="Times New Roman" w:hAnsi="Arial Narrow" w:cs="Arial"/>
          <w:snapToGrid w:val="0"/>
          <w:sz w:val="18"/>
          <w:szCs w:val="20"/>
        </w:rPr>
        <w:t xml:space="preserve"> = poly (ADP-ribose) polymerase inhibitors</w:t>
      </w:r>
    </w:p>
    <w:p w14:paraId="6C6D87C4" w14:textId="4D0CF30A"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Stewart 2022, Figure 2</w:t>
      </w:r>
    </w:p>
    <w:p w14:paraId="40FE5CB2" w14:textId="35E1A559" w:rsidR="000C4977" w:rsidRPr="000C4977" w:rsidRDefault="000C4977" w:rsidP="000C4977">
      <w:pPr>
        <w:spacing w:line="259" w:lineRule="auto"/>
        <w:jc w:val="left"/>
      </w:pPr>
      <w:r w:rsidRPr="000C4977">
        <w:t>A key current challenge to measuring HRD is that there is no standardized method to define, measure, and report HR status using diagnostics in the clinical setting (Stewart 2022).</w:t>
      </w:r>
    </w:p>
    <w:p w14:paraId="7936E11E" w14:textId="668B67E2" w:rsidR="000C4977" w:rsidRPr="000C4977" w:rsidRDefault="000C4977" w:rsidP="000C4977">
      <w:pPr>
        <w:spacing w:line="259" w:lineRule="auto"/>
        <w:jc w:val="left"/>
      </w:pPr>
      <w:r w:rsidRPr="000C4977">
        <w:t xml:space="preserve">HRD positive status was defined in the submission as having either tumour </w:t>
      </w:r>
      <w:proofErr w:type="spellStart"/>
      <w:r w:rsidRPr="000C4977">
        <w:rPr>
          <w:i/>
          <w:iCs/>
        </w:rPr>
        <w:t>BRCA</w:t>
      </w:r>
      <w:r w:rsidRPr="005B2AFE">
        <w:t>m</w:t>
      </w:r>
      <w:proofErr w:type="spellEnd"/>
      <w:r w:rsidRPr="000C4977">
        <w:t xml:space="preserve"> or a GIS greater than a predefined threshold (</w:t>
      </w:r>
      <w:r w:rsidRPr="000C4977">
        <w:rPr>
          <w:rFonts w:cstheme="minorHAnsi"/>
        </w:rPr>
        <w:t>≥</w:t>
      </w:r>
      <w:r w:rsidRPr="000C4977">
        <w:t xml:space="preserve">42 for the Myriad </w:t>
      </w:r>
      <w:proofErr w:type="spellStart"/>
      <w:r w:rsidRPr="000C4977">
        <w:t>myChoice</w:t>
      </w:r>
      <w:proofErr w:type="spellEnd"/>
      <w:r w:rsidRPr="000C4977">
        <w:t xml:space="preserve"> HRD plus and Myriad </w:t>
      </w:r>
      <w:proofErr w:type="spellStart"/>
      <w:r w:rsidRPr="000C4977">
        <w:t>myChoice</w:t>
      </w:r>
      <w:proofErr w:type="spellEnd"/>
      <w:r w:rsidRPr="000C4977">
        <w:t xml:space="preserve"> </w:t>
      </w:r>
      <w:proofErr w:type="spellStart"/>
      <w:r w:rsidRPr="000C4977">
        <w:t>CDx</w:t>
      </w:r>
      <w:proofErr w:type="spellEnd"/>
      <w:r w:rsidRPr="000C4977">
        <w:t>). This was based on the applicant’s definition and is consistent with the definitions used to define subgroups in PAOLA-1. Given this relationship, GIS positivity implies HRD positivity, and they are therefore used interchangeably at times.</w:t>
      </w:r>
      <w:r w:rsidRPr="000C4977">
        <w:rPr>
          <w:i/>
          <w:iCs/>
        </w:rPr>
        <w:t xml:space="preserve"> </w:t>
      </w:r>
      <w:r w:rsidRPr="000C4977">
        <w:t>The commentary noted that the term ‘HRD positive’ has been used in the commentary to allow consistency as it has previously been used by the PBAC (</w:t>
      </w:r>
      <w:proofErr w:type="gramStart"/>
      <w:r w:rsidR="00776599" w:rsidRPr="000C4977">
        <w:t>e.g.</w:t>
      </w:r>
      <w:proofErr w:type="gramEnd"/>
      <w:r w:rsidRPr="000C4977">
        <w:t xml:space="preserve"> niraparib PSD, PBAC Meeting March 2021) and by the sponsor in the requested restrictions. However, the term ‘GIS threshold’ has been used in the commentary rather than ‘HRD threshold’ when describing specific threshold criteria to </w:t>
      </w:r>
      <w:r w:rsidR="00776599" w:rsidRPr="000C4977">
        <w:t>reflect more accurately</w:t>
      </w:r>
      <w:r w:rsidRPr="000C4977">
        <w:t xml:space="preserve"> what was being tested.</w:t>
      </w:r>
    </w:p>
    <w:p w14:paraId="49672E8A" w14:textId="229AE8AC" w:rsidR="000C4977" w:rsidRPr="000C4977" w:rsidRDefault="000C4977" w:rsidP="000C4977">
      <w:pPr>
        <w:spacing w:line="259" w:lineRule="auto"/>
        <w:jc w:val="left"/>
        <w:rPr>
          <w:rFonts w:ascii="Times New Roman" w:hAnsi="Times New Roman"/>
        </w:rPr>
      </w:pPr>
      <w:r w:rsidRPr="000C4977">
        <w:t>The submission proposed that testing of tumours to identify HRD (</w:t>
      </w:r>
      <w:r w:rsidRPr="000C4977">
        <w:rPr>
          <w:i/>
          <w:iCs/>
        </w:rPr>
        <w:t>BRCA</w:t>
      </w:r>
      <w:r w:rsidRPr="000C4977">
        <w:t xml:space="preserve"> and GI) status should occur once per primary tumour diagnosis, as part of routine diagnostic work-up for women with advanced (FIGO stage III-IV) high-grade epithelial ovarian, fallopian tube or primary peritoneal cancer. Tumour tissue for HRD testing would be collected during diagnostic biopsy or cytoreductive surgery. The submission (p21) stated that HRD testing includes two components (</w:t>
      </w:r>
      <w:r w:rsidRPr="000C4977">
        <w:rPr>
          <w:i/>
        </w:rPr>
        <w:t>BRCA</w:t>
      </w:r>
      <w:r w:rsidRPr="000C4977">
        <w:t xml:space="preserve"> and GI) which occur in parallel and enables conservation of tumour tissue</w:t>
      </w:r>
      <w:r w:rsidRPr="000C4977">
        <w:rPr>
          <w:i/>
          <w:iCs/>
        </w:rPr>
        <w:t xml:space="preserve">, </w:t>
      </w:r>
      <w:r w:rsidRPr="000C4977">
        <w:t xml:space="preserve">however HRD testing could be more accurately described as providing two outputs (GI positivity status and </w:t>
      </w:r>
      <w:r w:rsidRPr="000C4977">
        <w:rPr>
          <w:i/>
          <w:iCs/>
        </w:rPr>
        <w:t>BRCA</w:t>
      </w:r>
      <w:r w:rsidRPr="000C4977">
        <w:t xml:space="preserve"> status).</w:t>
      </w:r>
    </w:p>
    <w:p w14:paraId="16713AAE" w14:textId="2BDCC82F" w:rsidR="000C4977" w:rsidRPr="000C4977" w:rsidRDefault="000C4977" w:rsidP="000C4977">
      <w:pPr>
        <w:spacing w:line="259" w:lineRule="auto"/>
        <w:jc w:val="left"/>
      </w:pPr>
      <w:r w:rsidRPr="000C4977">
        <w:t xml:space="preserve">The submission noted that testing at diagnosis rather than after response to first-line platinum-based chemotherapy avoids treatment delay and ensures the most efficient testing sequence of tumour tissue testing. </w:t>
      </w:r>
      <w:r w:rsidRPr="004F5247">
        <w:t xml:space="preserve">The commentary considered that this also leads to unnecessary testing and increases the total cost of testing as patients who do not respond to platinum-based chemotherapy would not have been eligible for maintenance therapy with </w:t>
      </w:r>
      <w:proofErr w:type="spellStart"/>
      <w:r w:rsidRPr="004F5247">
        <w:t>olaparib</w:t>
      </w:r>
      <w:proofErr w:type="spellEnd"/>
      <w:r w:rsidRPr="004F5247">
        <w:t xml:space="preserve"> irrespective of HRD or </w:t>
      </w:r>
      <w:r w:rsidRPr="00F35E31">
        <w:rPr>
          <w:i/>
          <w:iCs/>
        </w:rPr>
        <w:t>BRCA</w:t>
      </w:r>
      <w:r w:rsidRPr="004F5247">
        <w:t xml:space="preserve"> status. The ESCs noted that parallel testing was generally less costly than </w:t>
      </w:r>
      <w:r w:rsidRPr="004F5247">
        <w:lastRenderedPageBreak/>
        <w:t xml:space="preserve">sequential testing </w:t>
      </w:r>
      <w:r w:rsidRPr="000C4977">
        <w:t>approaches requested by PASC and could be the preferred approach to testing.</w:t>
      </w:r>
    </w:p>
    <w:p w14:paraId="10E4D0D3" w14:textId="0FFE3EA4" w:rsidR="000C4977" w:rsidRPr="000C4977" w:rsidRDefault="000C4977" w:rsidP="000C4977">
      <w:pPr>
        <w:spacing w:line="259" w:lineRule="auto"/>
        <w:jc w:val="left"/>
      </w:pPr>
      <w:r w:rsidRPr="000C4977">
        <w:t>PASC requested the submission explore the following testing scenarios:</w:t>
      </w:r>
    </w:p>
    <w:p w14:paraId="352BD731" w14:textId="7DB87E32" w:rsidR="000C4977" w:rsidRPr="000C4977" w:rsidRDefault="000C4977" w:rsidP="000C4977">
      <w:pPr>
        <w:numPr>
          <w:ilvl w:val="0"/>
          <w:numId w:val="42"/>
        </w:numPr>
        <w:spacing w:line="259" w:lineRule="auto"/>
        <w:contextualSpacing/>
        <w:jc w:val="left"/>
      </w:pPr>
      <w:r w:rsidRPr="000C4977">
        <w:t>Population 1: HRD testing (</w:t>
      </w:r>
      <w:r w:rsidRPr="000C4977">
        <w:rPr>
          <w:i/>
          <w:iCs/>
        </w:rPr>
        <w:t>BRCA</w:t>
      </w:r>
      <w:r w:rsidRPr="000C4977">
        <w:t xml:space="preserve"> and</w:t>
      </w:r>
      <w:r w:rsidR="009339A5">
        <w:t xml:space="preserve"> genomic instability </w:t>
      </w:r>
      <w:r w:rsidRPr="000C4977">
        <w:t>in parallel, reports both status) occurs upfront at diagnosis of advanced HGEOC (Base case; proposed patient population).</w:t>
      </w:r>
    </w:p>
    <w:p w14:paraId="6DEB308A" w14:textId="678F2E00" w:rsidR="000C4977" w:rsidRPr="000C4977" w:rsidRDefault="000C4977" w:rsidP="000C4977">
      <w:pPr>
        <w:numPr>
          <w:ilvl w:val="0"/>
          <w:numId w:val="42"/>
        </w:numPr>
        <w:spacing w:line="259" w:lineRule="auto"/>
        <w:contextualSpacing/>
        <w:jc w:val="left"/>
      </w:pPr>
      <w:r w:rsidRPr="000C4977">
        <w:t xml:space="preserve">Population 2: Tumour </w:t>
      </w:r>
      <w:r w:rsidRPr="000C4977">
        <w:rPr>
          <w:i/>
          <w:iCs/>
        </w:rPr>
        <w:t>BRCA</w:t>
      </w:r>
      <w:r w:rsidRPr="000C4977">
        <w:t xml:space="preserve"> testing occurs upfront at diagnosis of advanced HGEOC, whereby patients returning a negative </w:t>
      </w:r>
      <w:r w:rsidRPr="000C4977">
        <w:rPr>
          <w:i/>
          <w:iCs/>
        </w:rPr>
        <w:t>BRCA</w:t>
      </w:r>
      <w:r w:rsidRPr="000C4977">
        <w:t xml:space="preserve"> result will be tested for</w:t>
      </w:r>
      <w:r w:rsidR="009339A5">
        <w:t xml:space="preserve"> genomic instability </w:t>
      </w:r>
      <w:r w:rsidRPr="000C4977">
        <w:t xml:space="preserve">status soon after. </w:t>
      </w:r>
    </w:p>
    <w:p w14:paraId="72B211BF" w14:textId="5021685E" w:rsidR="000C4977" w:rsidRPr="000C4977" w:rsidRDefault="000C4977" w:rsidP="000C4977">
      <w:pPr>
        <w:numPr>
          <w:ilvl w:val="0"/>
          <w:numId w:val="42"/>
        </w:numPr>
        <w:spacing w:line="259" w:lineRule="auto"/>
        <w:contextualSpacing/>
        <w:jc w:val="left"/>
      </w:pPr>
      <w:r w:rsidRPr="000C4977">
        <w:t>Population 3: Patients with advanced HGEOC who have received bevacizumab as part of initial treatment with first-line platinum-based chemotherapy will be tested to identify</w:t>
      </w:r>
      <w:r w:rsidR="009339A5">
        <w:t xml:space="preserve"> genomic instability </w:t>
      </w:r>
      <w:r w:rsidRPr="000C4977">
        <w:t xml:space="preserve">status. Patients who have not received bevacizumab as part of initial first-line platinum-based chemotherapy will be tested for tumour </w:t>
      </w:r>
      <w:r w:rsidRPr="000C4977">
        <w:rPr>
          <w:i/>
          <w:iCs/>
        </w:rPr>
        <w:t>BRCA</w:t>
      </w:r>
      <w:r w:rsidRPr="000C4977">
        <w:t xml:space="preserve"> at diagnosis. Those patients determined to receive bevacizumab will be tested for</w:t>
      </w:r>
      <w:r w:rsidR="009339A5">
        <w:t xml:space="preserve"> genomic instability </w:t>
      </w:r>
      <w:r w:rsidRPr="000C4977">
        <w:t>status during their treatment with first-line platinum plus bevacizumab chemotherapy. The submission further divided this into two subpopulations:</w:t>
      </w:r>
    </w:p>
    <w:p w14:paraId="345FB0B7" w14:textId="77777777" w:rsidR="000C4977" w:rsidRPr="000C4977" w:rsidRDefault="000C4977" w:rsidP="000C4977">
      <w:pPr>
        <w:numPr>
          <w:ilvl w:val="1"/>
          <w:numId w:val="42"/>
        </w:numPr>
        <w:spacing w:line="259" w:lineRule="auto"/>
        <w:contextualSpacing/>
        <w:jc w:val="left"/>
        <w:rPr>
          <w:color w:val="000000" w:themeColor="text1"/>
        </w:rPr>
      </w:pPr>
      <w:r w:rsidRPr="000C4977">
        <w:rPr>
          <w:color w:val="000000" w:themeColor="text1"/>
        </w:rPr>
        <w:t xml:space="preserve">Population 3a: Patients treated with bevacizumab alongside platinum-based chemotherapy will undergo HRD testing at diagnosis. Patients who do not receive bevacizumab alongside platinum-based chemotherapy will undergo </w:t>
      </w:r>
      <w:r w:rsidRPr="000C4977">
        <w:rPr>
          <w:i/>
          <w:color w:val="000000" w:themeColor="text1"/>
        </w:rPr>
        <w:t>BRCA</w:t>
      </w:r>
      <w:r w:rsidRPr="000C4977">
        <w:rPr>
          <w:color w:val="000000" w:themeColor="text1"/>
        </w:rPr>
        <w:t xml:space="preserve"> testing; and</w:t>
      </w:r>
    </w:p>
    <w:p w14:paraId="560B3EB6" w14:textId="77777777" w:rsidR="000C4977" w:rsidRPr="000C4977" w:rsidRDefault="000C4977" w:rsidP="000C4977">
      <w:pPr>
        <w:numPr>
          <w:ilvl w:val="1"/>
          <w:numId w:val="42"/>
        </w:numPr>
        <w:spacing w:line="259" w:lineRule="auto"/>
        <w:contextualSpacing/>
        <w:jc w:val="left"/>
        <w:rPr>
          <w:color w:val="000000" w:themeColor="text1"/>
        </w:rPr>
      </w:pPr>
      <w:r w:rsidRPr="000C4977">
        <w:rPr>
          <w:color w:val="000000" w:themeColor="text1"/>
        </w:rPr>
        <w:t xml:space="preserve">Population 3b: All patients undergo </w:t>
      </w:r>
      <w:r w:rsidRPr="000C4977">
        <w:rPr>
          <w:i/>
          <w:color w:val="000000" w:themeColor="text1"/>
        </w:rPr>
        <w:t>BRCA</w:t>
      </w:r>
      <w:r w:rsidRPr="000C4977">
        <w:rPr>
          <w:color w:val="000000" w:themeColor="text1"/>
        </w:rPr>
        <w:t xml:space="preserve"> testing at diagnosis, and patients who were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and treated with bevacizumab alongside platinum-based chemotherapy will undergo HRD testing.</w:t>
      </w:r>
    </w:p>
    <w:p w14:paraId="0871AAFB" w14:textId="77777777" w:rsidR="000C4977" w:rsidRPr="000C4977" w:rsidRDefault="000C4977" w:rsidP="002F0BC8">
      <w:pPr>
        <w:spacing w:line="259" w:lineRule="auto"/>
        <w:ind w:left="709"/>
        <w:jc w:val="left"/>
      </w:pPr>
      <w:r w:rsidRPr="000C4977">
        <w:t xml:space="preserve">Populations 3a and 3b presuppose that only patients treated with bevacizumab alongside their platinum-based chemotherapy would receive </w:t>
      </w:r>
      <w:proofErr w:type="spellStart"/>
      <w:r w:rsidRPr="000C4977">
        <w:t>olaparib</w:t>
      </w:r>
      <w:proofErr w:type="spellEnd"/>
      <w:r w:rsidRPr="000C4977">
        <w:t xml:space="preserve"> plus bevacizumab, which is consistent with the enrolment criteria in PAOLA-1.</w:t>
      </w:r>
    </w:p>
    <w:p w14:paraId="0BB91104" w14:textId="40BA5922" w:rsidR="000C4977" w:rsidRPr="00E6634C" w:rsidRDefault="000C4977" w:rsidP="000C4977">
      <w:pPr>
        <w:spacing w:line="259" w:lineRule="auto"/>
        <w:jc w:val="left"/>
      </w:pPr>
      <w:r w:rsidRPr="000C4977">
        <w:t xml:space="preserve">The submission noted that the methods used to prepare tumour tissue samples for HRD testing are </w:t>
      </w:r>
      <w:proofErr w:type="gramStart"/>
      <w:r w:rsidRPr="000C4977">
        <w:t>similar to</w:t>
      </w:r>
      <w:proofErr w:type="gramEnd"/>
      <w:r w:rsidRPr="000C4977">
        <w:t xml:space="preserve"> those used for current </w:t>
      </w:r>
      <w:r w:rsidRPr="000C4977">
        <w:rPr>
          <w:i/>
          <w:iCs/>
        </w:rPr>
        <w:t>BRCA</w:t>
      </w:r>
      <w:r w:rsidRPr="000C4977">
        <w:t xml:space="preserve"> testing alone and that in order to perform HRD testing, a sufficient quantity of tumour cells is required to ensure that an adequate amount of tumour DNA is extracted for analysis. </w:t>
      </w:r>
      <w:proofErr w:type="gramStart"/>
      <w:r w:rsidRPr="000C4977">
        <w:t>Thus</w:t>
      </w:r>
      <w:proofErr w:type="gramEnd"/>
      <w:r w:rsidRPr="000C4977">
        <w:t xml:space="preserve"> tumour biopsy samples are the most suitable, commonly available and preferred type. The submission stated that it is necessary to ensure adequate tissue material is obtained when carrying out HRD testing, provided this poses no additional risk to the patient, but did not include details of how much tissue is collected during these procedures and if there would be adequate tissue available for retesting if the initial HRD testing failed to obtain a result.</w:t>
      </w:r>
      <w:r w:rsidRPr="000C4977">
        <w:rPr>
          <w:rFonts w:eastAsia="Calibri" w:cs="Times New Roman"/>
        </w:rPr>
        <w:t xml:space="preserve"> </w:t>
      </w:r>
      <w:r w:rsidRPr="000C4977">
        <w:t xml:space="preserve">The pre-ESC response stated that the </w:t>
      </w:r>
      <w:r w:rsidR="00A8205F" w:rsidRPr="00A8205F">
        <w:rPr>
          <w:color w:val="000000"/>
          <w:spacing w:val="77"/>
          <w:w w:val="85"/>
          <w:shd w:val="solid" w:color="000000" w:fill="000000"/>
          <w:fitText w:val="264" w:id="-1450961408"/>
          <w14:textFill>
            <w14:solidFill>
              <w14:srgbClr w14:val="000000">
                <w14:alpha w14:val="100000"/>
              </w14:srgbClr>
            </w14:solidFill>
          </w14:textFill>
        </w:rPr>
        <w:t>|</w:t>
      </w:r>
      <w:r w:rsidR="00A8205F" w:rsidRPr="00A8205F">
        <w:rPr>
          <w:color w:val="000000"/>
          <w:spacing w:val="1"/>
          <w:w w:val="85"/>
          <w:shd w:val="solid" w:color="000000" w:fill="000000"/>
          <w:fitText w:val="264" w:id="-1450961408"/>
          <w14:textFill>
            <w14:solidFill>
              <w14:srgbClr w14:val="000000">
                <w14:alpha w14:val="100000"/>
              </w14:srgbClr>
            </w14:solidFill>
          </w14:textFill>
        </w:rPr>
        <w:t>|</w:t>
      </w:r>
      <w:r w:rsidRPr="000C4977">
        <w:t xml:space="preserve"> validation is being repeated using 100</w:t>
      </w:r>
      <w:r w:rsidR="00CC7AA6">
        <w:t> </w:t>
      </w:r>
      <w:r w:rsidRPr="000C4977">
        <w:t xml:space="preserve">ng input DNA due to the high number </w:t>
      </w:r>
      <w:r w:rsidRPr="00E6634C">
        <w:t>of inconclusive results when using 50</w:t>
      </w:r>
      <w:r w:rsidR="00CC7AA6" w:rsidRPr="00E6634C">
        <w:t> </w:t>
      </w:r>
      <w:r w:rsidRPr="00E6634C">
        <w:t xml:space="preserve">ng input DNA (as per manufacturer recommendation). The ESCs noted the pre-ESC response reported the proportion of samples with a ≥30% tumour purity as a quality metric for the </w:t>
      </w:r>
      <w:proofErr w:type="spellStart"/>
      <w:r w:rsidRPr="00E6634C">
        <w:t>SOPHiA</w:t>
      </w:r>
      <w:proofErr w:type="spellEnd"/>
      <w:r w:rsidRPr="00E6634C">
        <w:t xml:space="preserve"> HRD assay. The ESC</w:t>
      </w:r>
      <w:r w:rsidR="003D23FB" w:rsidRPr="00E6634C">
        <w:t>s</w:t>
      </w:r>
      <w:r w:rsidRPr="00E6634C">
        <w:t xml:space="preserve"> queried whether this meant that some samples will not be suitable for testing or if microdissection is needed to enable testing.</w:t>
      </w:r>
    </w:p>
    <w:p w14:paraId="55CE71E9" w14:textId="4D6206A2" w:rsidR="000C4977" w:rsidRPr="000C4977" w:rsidRDefault="000C4977" w:rsidP="000C4977">
      <w:pPr>
        <w:spacing w:line="259" w:lineRule="auto"/>
        <w:jc w:val="left"/>
      </w:pPr>
      <w:r w:rsidRPr="00E6634C">
        <w:t xml:space="preserve">The commentary considered that it may not be reasonable or equitable to exclude </w:t>
      </w:r>
      <w:proofErr w:type="spellStart"/>
      <w:r w:rsidRPr="00E6634C">
        <w:rPr>
          <w:i/>
          <w:iCs/>
        </w:rPr>
        <w:t>BRCA</w:t>
      </w:r>
      <w:r w:rsidRPr="00E6634C">
        <w:t>m</w:t>
      </w:r>
      <w:proofErr w:type="spellEnd"/>
      <w:r w:rsidRPr="00E6634C">
        <w:t xml:space="preserve"> patients from treatment with </w:t>
      </w:r>
      <w:proofErr w:type="spellStart"/>
      <w:r w:rsidRPr="00E6634C">
        <w:t>olaparib</w:t>
      </w:r>
      <w:proofErr w:type="spellEnd"/>
      <w:r w:rsidRPr="00E6634C">
        <w:t xml:space="preserve"> plus bevacizumab as the PAOLA-1 data found that all patients with HRD positive tumours were benefited by treatment with </w:t>
      </w:r>
      <w:proofErr w:type="spellStart"/>
      <w:r w:rsidRPr="00E6634C">
        <w:t>olaparib</w:t>
      </w:r>
      <w:proofErr w:type="spellEnd"/>
      <w:r w:rsidRPr="00E6634C">
        <w:t xml:space="preserve"> plus bevacizumab (progression</w:t>
      </w:r>
      <w:r w:rsidR="002F0BC8" w:rsidRPr="00E6634C">
        <w:t>-</w:t>
      </w:r>
      <w:r w:rsidRPr="00E6634C">
        <w:t>free survival (PFS) HR = 0.38, 95% CI 0.29, 0.50).</w:t>
      </w:r>
    </w:p>
    <w:p w14:paraId="6BF4DEF8" w14:textId="74B2BF7D"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19" w:name="_Toc69491420"/>
      <w:r>
        <w:rPr>
          <w:rFonts w:ascii="Franklin Gothic Medium" w:eastAsiaTheme="majorEastAsia" w:hAnsi="Franklin Gothic Medium" w:cstheme="majorBidi"/>
          <w:color w:val="000000" w:themeColor="text1"/>
          <w:sz w:val="32"/>
          <w:szCs w:val="26"/>
        </w:rPr>
        <w:lastRenderedPageBreak/>
        <w:t>8</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Comparator</w:t>
      </w:r>
      <w:bookmarkEnd w:id="19"/>
    </w:p>
    <w:p w14:paraId="2C1ABC71" w14:textId="1DC34A3E" w:rsidR="000C4977" w:rsidRPr="000C4977" w:rsidRDefault="000C4977" w:rsidP="000C4977">
      <w:pPr>
        <w:spacing w:line="259" w:lineRule="auto"/>
        <w:jc w:val="left"/>
      </w:pPr>
      <w:r w:rsidRPr="000C4977">
        <w:t xml:space="preserve">Currently tumour </w:t>
      </w:r>
      <w:r w:rsidRPr="000C4977">
        <w:rPr>
          <w:i/>
          <w:iCs/>
        </w:rPr>
        <w:t>BRCA</w:t>
      </w:r>
      <w:r w:rsidRPr="000C4977">
        <w:t xml:space="preserve"> testing is MBS funded under MBS item 73301 upon diagnosis of advanced ovarian cancer. This test was nominated by the submission as the main comparator to the proposed test as the submission proposed that the HRD test will replace the existing tumour </w:t>
      </w:r>
      <w:r w:rsidRPr="000C4977">
        <w:rPr>
          <w:i/>
          <w:iCs/>
        </w:rPr>
        <w:t>BRCA</w:t>
      </w:r>
      <w:r w:rsidRPr="000C4977">
        <w:t xml:space="preserve"> test, given that the HRD test will provide both </w:t>
      </w:r>
      <w:r w:rsidRPr="000C4977">
        <w:rPr>
          <w:i/>
          <w:iCs/>
        </w:rPr>
        <w:t>BRCA</w:t>
      </w:r>
      <w:r w:rsidRPr="000C4977">
        <w:t xml:space="preserve"> and</w:t>
      </w:r>
      <w:r w:rsidR="009339A5">
        <w:t xml:space="preserve"> genomic instability </w:t>
      </w:r>
      <w:r w:rsidRPr="000C4977">
        <w:t>status.</w:t>
      </w:r>
    </w:p>
    <w:p w14:paraId="18BC07B5" w14:textId="77777777" w:rsidR="000C4977" w:rsidRPr="000C4977" w:rsidRDefault="000C4977" w:rsidP="000C4977">
      <w:pPr>
        <w:spacing w:line="259" w:lineRule="auto"/>
        <w:jc w:val="left"/>
      </w:pPr>
      <w:r w:rsidRPr="000C4977">
        <w:t xml:space="preserve">The ratified PICO confirmation (p21) detailed that PASC considered that, as proposed by the applicant, the current testing for </w:t>
      </w:r>
      <w:r w:rsidRPr="00E656BC">
        <w:rPr>
          <w:i/>
          <w:iCs/>
        </w:rPr>
        <w:t xml:space="preserve">BRCA1/2 </w:t>
      </w:r>
      <w:r w:rsidRPr="000C4977">
        <w:t xml:space="preserve">pathogenic variants (MBS item 73301) is an appropriate comparator for the proposed HRD test that would also test for </w:t>
      </w:r>
      <w:r w:rsidRPr="00E656BC">
        <w:rPr>
          <w:i/>
          <w:iCs/>
        </w:rPr>
        <w:t>BRCA1/2</w:t>
      </w:r>
      <w:r w:rsidRPr="000C4977">
        <w:t xml:space="preserve"> pathogenic variants in a parallel (rather than a sequential) manner. As such, PASC accepted the intention for MBS item 73301 to be completely replaced by the new item corresponding to the proposed HRD test.</w:t>
      </w:r>
    </w:p>
    <w:p w14:paraId="00805744" w14:textId="2E136C22" w:rsidR="000C4977" w:rsidRPr="000C4977" w:rsidRDefault="000C4977" w:rsidP="000C4977">
      <w:pPr>
        <w:spacing w:line="259" w:lineRule="auto"/>
        <w:jc w:val="left"/>
      </w:pPr>
      <w:r w:rsidRPr="00E6634C">
        <w:t xml:space="preserve">PASC (ratified PICO confirmation, p16) also considered that, should the proposed test replace the current MBS item for testing for </w:t>
      </w:r>
      <w:r w:rsidRPr="00E6634C">
        <w:rPr>
          <w:i/>
          <w:iCs/>
        </w:rPr>
        <w:t>BRCA1/2</w:t>
      </w:r>
      <w:r w:rsidRPr="00E6634C">
        <w:t xml:space="preserve"> pathogenic variant status in tumour samples (MBS item 73301), it would also be important to demonstrate that the proposed test, which tests for HRD status and </w:t>
      </w:r>
      <w:r w:rsidRPr="00E6634C">
        <w:rPr>
          <w:i/>
          <w:iCs/>
        </w:rPr>
        <w:t>BRCA1/2</w:t>
      </w:r>
      <w:r w:rsidRPr="00E6634C">
        <w:t xml:space="preserve"> pathogenic variant status, has the same or very similar concordance and discordance for as the current MBS tests. </w:t>
      </w:r>
      <w:proofErr w:type="gramStart"/>
      <w:r w:rsidRPr="00E6634C">
        <w:t>In particular, it</w:t>
      </w:r>
      <w:proofErr w:type="gramEnd"/>
      <w:r w:rsidRPr="00E6634C">
        <w:t xml:space="preserve"> should be demonstrated that the new test would identify the same patients that respond to </w:t>
      </w:r>
      <w:proofErr w:type="spellStart"/>
      <w:r w:rsidRPr="00E6634C">
        <w:t>olaparib</w:t>
      </w:r>
      <w:proofErr w:type="spellEnd"/>
      <w:r w:rsidRPr="00E6634C">
        <w:t xml:space="preserve"> monotherapy as the current tests for MBS item 73301. However, it is noted that no concordance or validation of the </w:t>
      </w:r>
      <w:proofErr w:type="spellStart"/>
      <w:r w:rsidRPr="00E6634C">
        <w:t>SOPHiA</w:t>
      </w:r>
      <w:proofErr w:type="spellEnd"/>
      <w:r w:rsidRPr="00E6634C">
        <w:t xml:space="preserve"> assay to the nominated comparator (current testing for </w:t>
      </w:r>
      <w:r w:rsidRPr="00E6634C">
        <w:rPr>
          <w:i/>
          <w:iCs/>
        </w:rPr>
        <w:t>BRCA1/2</w:t>
      </w:r>
      <w:r w:rsidRPr="00E6634C">
        <w:t xml:space="preserve"> pathogenic variant status using</w:t>
      </w:r>
      <w:r w:rsidRPr="000C4977">
        <w:t xml:space="preserve"> NGS) was presented by the submission.</w:t>
      </w:r>
    </w:p>
    <w:p w14:paraId="65A0A05E" w14:textId="6D842AAE" w:rsidR="000C4977" w:rsidRPr="000C4977" w:rsidRDefault="000C4977" w:rsidP="000C4977">
      <w:pPr>
        <w:spacing w:line="259" w:lineRule="auto"/>
        <w:jc w:val="left"/>
      </w:pPr>
      <w:r w:rsidRPr="000C4977">
        <w:t xml:space="preserve">The submission referenced several different Myriad HRD tests in the submission but did not confirm the equivalence of the tests. The clinical utility standard, as per the definition in the MSAC Guidelines, is the Myriad </w:t>
      </w:r>
      <w:proofErr w:type="spellStart"/>
      <w:r w:rsidRPr="000C4977">
        <w:t>myChoice</w:t>
      </w:r>
      <w:proofErr w:type="spellEnd"/>
      <w:r w:rsidRPr="000C4977">
        <w:t xml:space="preserve"> HRD plus test – the test used in the PAOLA-1 trial (based on the protocol and CSR). The references to the Myriad tests used are summarised in </w:t>
      </w:r>
      <w:r w:rsidR="00546B21" w:rsidRPr="00546B21">
        <w:fldChar w:fldCharType="begin"/>
      </w:r>
      <w:r w:rsidR="00546B21" w:rsidRPr="00546B21">
        <w:instrText xml:space="preserve"> REF _Ref111812783 \h  \* MERGEFORMAT </w:instrText>
      </w:r>
      <w:r w:rsidR="00546B21" w:rsidRPr="00546B21">
        <w:fldChar w:fldCharType="separate"/>
      </w:r>
      <w:r w:rsidR="00D8603B">
        <w:t xml:space="preserve">Table </w:t>
      </w:r>
      <w:r w:rsidR="00D8603B">
        <w:rPr>
          <w:noProof/>
        </w:rPr>
        <w:t>3</w:t>
      </w:r>
      <w:r w:rsidR="00546B21" w:rsidRPr="00546B21">
        <w:fldChar w:fldCharType="end"/>
      </w:r>
      <w:r w:rsidRPr="00546B21">
        <w:t>.</w:t>
      </w:r>
    </w:p>
    <w:p w14:paraId="450B877E" w14:textId="31D82E43" w:rsidR="0082024A" w:rsidRDefault="0082024A" w:rsidP="0082024A">
      <w:pPr>
        <w:pStyle w:val="Caption"/>
      </w:pPr>
      <w:bookmarkStart w:id="20" w:name="_Ref111812783"/>
      <w:r>
        <w:t xml:space="preserve">Table </w:t>
      </w:r>
      <w:fldSimple w:instr=" SEQ Table \* ARABIC ">
        <w:r w:rsidR="00D8603B">
          <w:rPr>
            <w:noProof/>
          </w:rPr>
          <w:t>3</w:t>
        </w:r>
      </w:fldSimple>
      <w:bookmarkEnd w:id="20"/>
      <w:r>
        <w:rPr>
          <w:b w:val="0"/>
          <w:iCs w:val="0"/>
        </w:rPr>
        <w:tab/>
      </w:r>
      <w:r w:rsidRPr="0082024A">
        <w:rPr>
          <w:bCs/>
          <w:iCs w:val="0"/>
        </w:rPr>
        <w:t>Nomenclature around Myriad test used to determine HRD in various studies</w:t>
      </w:r>
    </w:p>
    <w:tbl>
      <w:tblPr>
        <w:tblStyle w:val="PBAC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1"/>
      </w:tblGrid>
      <w:tr w:rsidR="000C4977" w:rsidRPr="000C4977" w14:paraId="3FA54CAB"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53488C3" w14:textId="77777777" w:rsidR="000C4977" w:rsidRPr="000C4977" w:rsidRDefault="000C4977" w:rsidP="000C4977">
            <w:pPr>
              <w:pStyle w:val="Tabletext0"/>
            </w:pPr>
            <w:r w:rsidRPr="000C4977">
              <w:t>Study</w:t>
            </w:r>
          </w:p>
        </w:tc>
        <w:tc>
          <w:tcPr>
            <w:tcW w:w="7461" w:type="dxa"/>
            <w:shd w:val="clear" w:color="auto" w:fill="auto"/>
          </w:tcPr>
          <w:p w14:paraId="3B6F8099"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pPr>
            <w:r w:rsidRPr="000C4977">
              <w:t xml:space="preserve">Myriad Test used </w:t>
            </w:r>
          </w:p>
        </w:tc>
      </w:tr>
      <w:tr w:rsidR="000C4977" w:rsidRPr="000C4977" w14:paraId="297AF5B3"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437B02DB" w14:textId="77777777" w:rsidR="000C4977" w:rsidRPr="000C4977" w:rsidRDefault="000C4977" w:rsidP="000C4977">
            <w:pPr>
              <w:pStyle w:val="Tabletext0"/>
            </w:pPr>
            <w:r w:rsidRPr="000C4977">
              <w:t>PAOLA 1</w:t>
            </w:r>
          </w:p>
        </w:tc>
        <w:tc>
          <w:tcPr>
            <w:tcW w:w="7461" w:type="dxa"/>
            <w:shd w:val="clear" w:color="auto" w:fill="auto"/>
          </w:tcPr>
          <w:p w14:paraId="61295104"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HRD plus (CSR)</w:t>
            </w:r>
          </w:p>
          <w:p w14:paraId="0915EEE8"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w:t>
            </w:r>
            <w:proofErr w:type="spellStart"/>
            <w:r w:rsidRPr="000C4977">
              <w:t>CDx</w:t>
            </w:r>
            <w:proofErr w:type="spellEnd"/>
            <w:r w:rsidRPr="000C4977">
              <w:t xml:space="preserve"> PLUS (</w:t>
            </w:r>
            <w:proofErr w:type="spellStart"/>
            <w:r w:rsidRPr="000C4977">
              <w:t>myChoice</w:t>
            </w:r>
            <w:proofErr w:type="spellEnd"/>
            <w:r w:rsidRPr="000C4977">
              <w:t xml:space="preserve"> </w:t>
            </w:r>
            <w:proofErr w:type="spellStart"/>
            <w:r w:rsidRPr="000C4977">
              <w:t>CDx</w:t>
            </w:r>
            <w:proofErr w:type="spellEnd"/>
            <w:r w:rsidRPr="000C4977">
              <w:t xml:space="preserve"> PLUS technical document and Table 2.33 of submission)</w:t>
            </w:r>
          </w:p>
        </w:tc>
      </w:tr>
      <w:tr w:rsidR="000C4977" w:rsidRPr="000C4977" w14:paraId="1BD2A5F6"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6D30AF70" w14:textId="0ED9A456" w:rsidR="000C4977" w:rsidRPr="000C4977" w:rsidRDefault="00A8205F" w:rsidP="000C4977">
            <w:pPr>
              <w:pStyle w:val="Tabletext0"/>
            </w:pPr>
            <w:r w:rsidRPr="00A8205F">
              <w:rPr>
                <w:color w:val="000000"/>
                <w:spacing w:val="178"/>
                <w:shd w:val="solid" w:color="000000" w:fill="000000"/>
                <w:fitText w:val="264" w:id="-1450962170"/>
                <w14:textFill>
                  <w14:solidFill>
                    <w14:srgbClr w14:val="000000">
                      <w14:alpha w14:val="100000"/>
                    </w14:srgbClr>
                  </w14:solidFill>
                </w14:textFill>
              </w:rPr>
              <w:t>|</w:t>
            </w:r>
            <w:r w:rsidRPr="00A8205F">
              <w:rPr>
                <w:color w:val="000000"/>
                <w:spacing w:val="1"/>
                <w:shd w:val="solid" w:color="000000" w:fill="000000"/>
                <w:fitText w:val="264" w:id="-1450962170"/>
                <w14:textFill>
                  <w14:solidFill>
                    <w14:srgbClr w14:val="000000">
                      <w14:alpha w14:val="100000"/>
                    </w14:srgbClr>
                  </w14:solidFill>
                </w14:textFill>
              </w:rPr>
              <w:t>|</w:t>
            </w:r>
            <w:r w:rsidR="000C4977" w:rsidRPr="000C4977">
              <w:t xml:space="preserve"> validation</w:t>
            </w:r>
          </w:p>
        </w:tc>
        <w:tc>
          <w:tcPr>
            <w:tcW w:w="7461" w:type="dxa"/>
            <w:shd w:val="clear" w:color="auto" w:fill="auto"/>
          </w:tcPr>
          <w:p w14:paraId="7FC74C9A"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w:t>
            </w:r>
            <w:proofErr w:type="spellStart"/>
            <w:r w:rsidRPr="000C4977">
              <w:t>CDx</w:t>
            </w:r>
            <w:proofErr w:type="spellEnd"/>
            <w:r w:rsidRPr="000C4977">
              <w:t xml:space="preserve"> </w:t>
            </w:r>
          </w:p>
        </w:tc>
      </w:tr>
      <w:tr w:rsidR="000C4977" w:rsidRPr="000C4977" w14:paraId="1FF62ACF"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7B358523" w14:textId="77777777" w:rsidR="000C4977" w:rsidRPr="000C4977" w:rsidRDefault="000C4977" w:rsidP="000C4977">
            <w:pPr>
              <w:pStyle w:val="Tabletext0"/>
            </w:pPr>
            <w:r w:rsidRPr="000C4977">
              <w:t>FDA 2019</w:t>
            </w:r>
          </w:p>
        </w:tc>
        <w:tc>
          <w:tcPr>
            <w:tcW w:w="7461" w:type="dxa"/>
            <w:shd w:val="clear" w:color="auto" w:fill="auto"/>
          </w:tcPr>
          <w:p w14:paraId="4F418773"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w:t>
            </w:r>
            <w:proofErr w:type="spellStart"/>
            <w:r w:rsidRPr="000C4977">
              <w:t>CDx</w:t>
            </w:r>
            <w:proofErr w:type="spellEnd"/>
          </w:p>
        </w:tc>
      </w:tr>
      <w:tr w:rsidR="000C4977" w:rsidRPr="000C4977" w14:paraId="4A3BEA43"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41D50D7B" w14:textId="77777777" w:rsidR="000C4977" w:rsidRPr="000C4977" w:rsidRDefault="000C4977" w:rsidP="000C4977">
            <w:pPr>
              <w:pStyle w:val="Tabletext0"/>
            </w:pPr>
            <w:r w:rsidRPr="000C4977">
              <w:t>Hodgson 2018</w:t>
            </w:r>
          </w:p>
        </w:tc>
        <w:tc>
          <w:tcPr>
            <w:tcW w:w="7461" w:type="dxa"/>
            <w:shd w:val="clear" w:color="auto" w:fill="auto"/>
          </w:tcPr>
          <w:p w14:paraId="25731010"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“The reported results are based on a research assay performed at Myriad Genetics and not upon the commercially available test”</w:t>
            </w:r>
          </w:p>
        </w:tc>
      </w:tr>
      <w:tr w:rsidR="000C4977" w:rsidRPr="000C4977" w14:paraId="0278ACD6"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7796EBDF" w14:textId="77777777" w:rsidR="000C4977" w:rsidRPr="000C4977" w:rsidRDefault="000C4977" w:rsidP="000C4977">
            <w:pPr>
              <w:pStyle w:val="Tabletext0"/>
            </w:pPr>
            <w:r w:rsidRPr="000C4977">
              <w:t>Coleman 2019</w:t>
            </w:r>
          </w:p>
        </w:tc>
        <w:tc>
          <w:tcPr>
            <w:tcW w:w="7461" w:type="dxa"/>
            <w:shd w:val="clear" w:color="auto" w:fill="auto"/>
          </w:tcPr>
          <w:p w14:paraId="73E3BA8D"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HRD </w:t>
            </w:r>
            <w:proofErr w:type="spellStart"/>
            <w:r w:rsidRPr="000C4977">
              <w:t>CDx</w:t>
            </w:r>
            <w:proofErr w:type="spellEnd"/>
            <w:r w:rsidRPr="000C4977">
              <w:t xml:space="preserve"> assay” – submission (p75 and 91) claimed this was the </w:t>
            </w:r>
            <w:proofErr w:type="spellStart"/>
            <w:r w:rsidRPr="000C4977">
              <w:t>myChoice</w:t>
            </w:r>
            <w:proofErr w:type="spellEnd"/>
            <w:r w:rsidRPr="000C4977">
              <w:t xml:space="preserve"> </w:t>
            </w:r>
            <w:proofErr w:type="spellStart"/>
            <w:r w:rsidRPr="000C4977">
              <w:t>CDx</w:t>
            </w:r>
            <w:proofErr w:type="spellEnd"/>
          </w:p>
        </w:tc>
      </w:tr>
      <w:tr w:rsidR="000C4977" w:rsidRPr="000C4977" w14:paraId="7997D3C7" w14:textId="77777777" w:rsidTr="00A91280">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6A8B39B9" w14:textId="77777777" w:rsidR="000C4977" w:rsidRPr="000C4977" w:rsidRDefault="000C4977" w:rsidP="000C4977">
            <w:pPr>
              <w:pStyle w:val="Tabletext0"/>
            </w:pPr>
            <w:r w:rsidRPr="000C4977">
              <w:t>Gonzalez-Martin 2019</w:t>
            </w:r>
          </w:p>
        </w:tc>
        <w:tc>
          <w:tcPr>
            <w:tcW w:w="7461" w:type="dxa"/>
            <w:shd w:val="clear" w:color="auto" w:fill="auto"/>
          </w:tcPr>
          <w:p w14:paraId="7A325FF3" w14:textId="7777777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pPr>
            <w:r w:rsidRPr="000C4977">
              <w:t xml:space="preserve">“Myriad </w:t>
            </w:r>
            <w:proofErr w:type="spellStart"/>
            <w:r w:rsidRPr="000C4977">
              <w:t>myChoice</w:t>
            </w:r>
            <w:proofErr w:type="spellEnd"/>
            <w:r w:rsidRPr="000C4977">
              <w:t xml:space="preserve"> HRD test” as nominated in supplement to Gonzalez-Martin 2019, but the </w:t>
            </w:r>
            <w:proofErr w:type="spellStart"/>
            <w:r w:rsidRPr="000C4977">
              <w:t>myChoice</w:t>
            </w:r>
            <w:proofErr w:type="spellEnd"/>
            <w:r w:rsidRPr="000C4977">
              <w:t xml:space="preserve"> </w:t>
            </w:r>
            <w:proofErr w:type="spellStart"/>
            <w:r w:rsidRPr="000C4977">
              <w:t>CDx</w:t>
            </w:r>
            <w:proofErr w:type="spellEnd"/>
            <w:r w:rsidRPr="000C4977">
              <w:t xml:space="preserve"> PLUS technical document implies test was conducted using </w:t>
            </w:r>
            <w:proofErr w:type="spellStart"/>
            <w:r w:rsidRPr="000C4977">
              <w:t>myChoice</w:t>
            </w:r>
            <w:proofErr w:type="spellEnd"/>
            <w:r w:rsidRPr="000C4977">
              <w:t xml:space="preserve"> CDX </w:t>
            </w:r>
          </w:p>
        </w:tc>
      </w:tr>
    </w:tbl>
    <w:p w14:paraId="50A465B7" w14:textId="67CBB194"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18"/>
        </w:rPr>
      </w:pPr>
      <w:r w:rsidRPr="000C4977">
        <w:rPr>
          <w:rFonts w:ascii="Arial Narrow" w:eastAsia="Times New Roman" w:hAnsi="Arial Narrow" w:cs="Arial"/>
          <w:snapToGrid w:val="0"/>
          <w:sz w:val="18"/>
          <w:szCs w:val="18"/>
        </w:rPr>
        <w:t>HRD =</w:t>
      </w:r>
      <w:r w:rsidR="004E7388">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homologous recombination deficiency; </w:t>
      </w:r>
      <w:r w:rsidR="00A8205F" w:rsidRPr="00A8205F">
        <w:rPr>
          <w:color w:val="000000"/>
          <w:spacing w:val="77"/>
          <w:w w:val="85"/>
          <w:shd w:val="solid" w:color="000000" w:fill="000000"/>
          <w:fitText w:val="264" w:id="-1450961407"/>
          <w14:textFill>
            <w14:solidFill>
              <w14:srgbClr w14:val="000000">
                <w14:alpha w14:val="100000"/>
              </w14:srgbClr>
            </w14:solidFill>
          </w14:textFill>
        </w:rPr>
        <w:t>|</w:t>
      </w:r>
      <w:r w:rsidR="00A8205F" w:rsidRPr="00A8205F">
        <w:rPr>
          <w:color w:val="000000"/>
          <w:spacing w:val="1"/>
          <w:w w:val="85"/>
          <w:shd w:val="solid" w:color="000000" w:fill="000000"/>
          <w:fitText w:val="264" w:id="-1450961407"/>
          <w14:textFill>
            <w14:solidFill>
              <w14:srgbClr w14:val="000000">
                <w14:alpha w14:val="100000"/>
              </w14:srgbClr>
            </w14:solidFill>
          </w14:textFill>
        </w:rPr>
        <w:t>|</w:t>
      </w:r>
    </w:p>
    <w:p w14:paraId="4DDEF106" w14:textId="77777777" w:rsidR="000C4977" w:rsidRPr="000C4977" w:rsidRDefault="000C4977" w:rsidP="004E7388">
      <w:pPr>
        <w:keepLines/>
        <w:widowControl w:val="0"/>
        <w:spacing w:before="0" w:after="0"/>
        <w:contextualSpacing/>
        <w:rPr>
          <w:rFonts w:ascii="Arial Narrow" w:eastAsia="Times New Roman" w:hAnsi="Arial Narrow" w:cs="Arial"/>
          <w:snapToGrid w:val="0"/>
          <w:sz w:val="20"/>
          <w:szCs w:val="20"/>
        </w:rPr>
      </w:pPr>
      <w:r w:rsidRPr="000C4977">
        <w:rPr>
          <w:rFonts w:ascii="Arial Narrow" w:eastAsia="Times New Roman" w:hAnsi="Arial Narrow" w:cs="Arial"/>
          <w:snapToGrid w:val="0"/>
          <w:sz w:val="20"/>
          <w:szCs w:val="20"/>
        </w:rPr>
        <w:t>Source: constructed during evaluation</w:t>
      </w:r>
    </w:p>
    <w:p w14:paraId="7CD16152" w14:textId="3B595E78" w:rsidR="000C4977" w:rsidRPr="004631C6" w:rsidRDefault="000C4977" w:rsidP="0094480A">
      <w:pPr>
        <w:spacing w:after="120"/>
        <w:jc w:val="left"/>
        <w:rPr>
          <w:szCs w:val="20"/>
        </w:rPr>
      </w:pPr>
      <w:r w:rsidRPr="000C4977">
        <w:rPr>
          <w:szCs w:val="20"/>
        </w:rPr>
        <w:t xml:space="preserve">The commentary considered that it was not clear on how the different Myriad </w:t>
      </w:r>
      <w:proofErr w:type="spellStart"/>
      <w:r w:rsidRPr="000C4977">
        <w:rPr>
          <w:szCs w:val="20"/>
        </w:rPr>
        <w:t>MyChoice</w:t>
      </w:r>
      <w:proofErr w:type="spellEnd"/>
      <w:r w:rsidRPr="000C4977">
        <w:rPr>
          <w:szCs w:val="20"/>
        </w:rPr>
        <w:t xml:space="preserve"> HRD tests differed with respect to determining the GIS. However</w:t>
      </w:r>
      <w:r w:rsidR="0094480A">
        <w:rPr>
          <w:szCs w:val="20"/>
        </w:rPr>
        <w:t>,</w:t>
      </w:r>
      <w:r w:rsidRPr="000C4977">
        <w:rPr>
          <w:szCs w:val="20"/>
        </w:rPr>
        <w:t xml:space="preserve"> both tests were likely testing for similar signs of</w:t>
      </w:r>
      <w:r w:rsidR="009339A5">
        <w:rPr>
          <w:szCs w:val="20"/>
        </w:rPr>
        <w:t xml:space="preserve"> genomic instability </w:t>
      </w:r>
      <w:proofErr w:type="gramStart"/>
      <w:r w:rsidRPr="000C4977">
        <w:rPr>
          <w:szCs w:val="20"/>
        </w:rPr>
        <w:t>based on the fact that</w:t>
      </w:r>
      <w:proofErr w:type="gramEnd"/>
      <w:r w:rsidRPr="000C4977">
        <w:rPr>
          <w:szCs w:val="20"/>
        </w:rPr>
        <w:t xml:space="preserve"> both tests used the same scoring threshold of </w:t>
      </w:r>
      <w:r w:rsidRPr="000C4977">
        <w:rPr>
          <w:rFonts w:cstheme="minorHAnsi"/>
          <w:szCs w:val="20"/>
        </w:rPr>
        <w:t>≥</w:t>
      </w:r>
      <w:r w:rsidRPr="000C4977">
        <w:rPr>
          <w:szCs w:val="20"/>
        </w:rPr>
        <w:t xml:space="preserve">42 to determine GIS positivity. Some concordance information between the Myriad </w:t>
      </w:r>
      <w:proofErr w:type="spellStart"/>
      <w:r w:rsidRPr="000C4977">
        <w:rPr>
          <w:szCs w:val="20"/>
        </w:rPr>
        <w:lastRenderedPageBreak/>
        <w:t>myChoice</w:t>
      </w:r>
      <w:proofErr w:type="spellEnd"/>
      <w:r w:rsidRPr="000C4977">
        <w:rPr>
          <w:szCs w:val="20"/>
        </w:rPr>
        <w:t xml:space="preserve"> HRD plus assay and the Myriad </w:t>
      </w:r>
      <w:proofErr w:type="spellStart"/>
      <w:r w:rsidRPr="000C4977">
        <w:rPr>
          <w:szCs w:val="20"/>
        </w:rPr>
        <w:t>myChoice</w:t>
      </w:r>
      <w:proofErr w:type="spellEnd"/>
      <w:r w:rsidRPr="000C4977">
        <w:rPr>
          <w:szCs w:val="20"/>
        </w:rPr>
        <w:t xml:space="preserve"> </w:t>
      </w:r>
      <w:proofErr w:type="spellStart"/>
      <w:r w:rsidRPr="000C4977">
        <w:rPr>
          <w:szCs w:val="20"/>
        </w:rPr>
        <w:t>CDx</w:t>
      </w:r>
      <w:proofErr w:type="spellEnd"/>
      <w:r w:rsidRPr="000C4977">
        <w:rPr>
          <w:szCs w:val="20"/>
        </w:rPr>
        <w:t xml:space="preserve"> assay was identified in the Myriad </w:t>
      </w:r>
      <w:proofErr w:type="spellStart"/>
      <w:r w:rsidRPr="000C4977">
        <w:rPr>
          <w:szCs w:val="20"/>
        </w:rPr>
        <w:t>myChoice</w:t>
      </w:r>
      <w:proofErr w:type="spellEnd"/>
      <w:r w:rsidRPr="000C4977">
        <w:rPr>
          <w:szCs w:val="20"/>
        </w:rPr>
        <w:t xml:space="preserve"> </w:t>
      </w:r>
      <w:proofErr w:type="spellStart"/>
      <w:r w:rsidRPr="000C4977">
        <w:rPr>
          <w:szCs w:val="20"/>
        </w:rPr>
        <w:t>CDx</w:t>
      </w:r>
      <w:proofErr w:type="spellEnd"/>
      <w:r w:rsidRPr="000C4977">
        <w:rPr>
          <w:szCs w:val="20"/>
        </w:rPr>
        <w:t xml:space="preserve"> PLUS technical specification document.</w:t>
      </w:r>
      <w:r w:rsidRPr="000C4977">
        <w:rPr>
          <w:szCs w:val="20"/>
          <w:vertAlign w:val="superscript"/>
        </w:rPr>
        <w:footnoteReference w:id="7"/>
      </w:r>
    </w:p>
    <w:p w14:paraId="65A3128E" w14:textId="41ABD718"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21" w:name="_Toc69491421"/>
      <w:r>
        <w:rPr>
          <w:rFonts w:ascii="Franklin Gothic Medium" w:eastAsiaTheme="majorEastAsia" w:hAnsi="Franklin Gothic Medium" w:cstheme="majorBidi"/>
          <w:color w:val="000000" w:themeColor="text1"/>
          <w:sz w:val="32"/>
          <w:szCs w:val="26"/>
        </w:rPr>
        <w:t>9</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Summary of public consultation input</w:t>
      </w:r>
      <w:bookmarkEnd w:id="21"/>
    </w:p>
    <w:p w14:paraId="3C0BBED5" w14:textId="38258966" w:rsidR="000C4977" w:rsidRPr="000C4977" w:rsidRDefault="000C4977" w:rsidP="000C4977">
      <w:pPr>
        <w:spacing w:line="259" w:lineRule="auto"/>
        <w:jc w:val="left"/>
      </w:pPr>
      <w:r w:rsidRPr="000C4977">
        <w:t xml:space="preserve">Consultation input was received from </w:t>
      </w:r>
      <w:r w:rsidR="003128E6">
        <w:t>seven</w:t>
      </w:r>
      <w:r w:rsidRPr="000C4977">
        <w:t xml:space="preserve"> organisations, </w:t>
      </w:r>
      <w:r w:rsidR="00F27656">
        <w:t>five</w:t>
      </w:r>
      <w:r w:rsidR="00F27656" w:rsidRPr="000C4977">
        <w:t xml:space="preserve"> </w:t>
      </w:r>
      <w:r w:rsidRPr="000C4977">
        <w:t xml:space="preserve">from pathology service providers, two medical organisations, and </w:t>
      </w:r>
      <w:r w:rsidR="00F27656">
        <w:t>one</w:t>
      </w:r>
      <w:r w:rsidR="00F27656" w:rsidRPr="000C4977">
        <w:t xml:space="preserve"> </w:t>
      </w:r>
      <w:r w:rsidRPr="000C4977">
        <w:t xml:space="preserve">from </w:t>
      </w:r>
      <w:r w:rsidR="00F27656">
        <w:t xml:space="preserve">a </w:t>
      </w:r>
      <w:r w:rsidRPr="000C4977">
        <w:t>consumer group. The organisations that submitted input were:</w:t>
      </w:r>
    </w:p>
    <w:p w14:paraId="29A4C4C7" w14:textId="364B789A" w:rsidR="000C4977" w:rsidRPr="000C4977" w:rsidRDefault="000C4977" w:rsidP="000C4977">
      <w:pPr>
        <w:numPr>
          <w:ilvl w:val="0"/>
          <w:numId w:val="55"/>
        </w:numPr>
        <w:spacing w:line="259" w:lineRule="auto"/>
        <w:contextualSpacing/>
        <w:jc w:val="left"/>
      </w:pPr>
      <w:r w:rsidRPr="000C4977">
        <w:t>Royal College of Pathologists Australasia (RCPA)</w:t>
      </w:r>
    </w:p>
    <w:p w14:paraId="311DC024" w14:textId="77777777" w:rsidR="000C4977" w:rsidRPr="000C4977" w:rsidRDefault="000C4977" w:rsidP="000C4977">
      <w:pPr>
        <w:numPr>
          <w:ilvl w:val="0"/>
          <w:numId w:val="55"/>
        </w:numPr>
        <w:spacing w:line="259" w:lineRule="auto"/>
        <w:contextualSpacing/>
        <w:jc w:val="left"/>
      </w:pPr>
      <w:r w:rsidRPr="000C4977">
        <w:t>Royal Australian and New Zealand College of Obstetricians and Gynaecologists (RANZCOG)</w:t>
      </w:r>
    </w:p>
    <w:p w14:paraId="5D60E13E" w14:textId="77A3185B" w:rsidR="000C4977" w:rsidRPr="000C4977" w:rsidRDefault="000C4977" w:rsidP="000C4977">
      <w:pPr>
        <w:numPr>
          <w:ilvl w:val="0"/>
          <w:numId w:val="55"/>
        </w:numPr>
        <w:spacing w:line="259" w:lineRule="auto"/>
        <w:contextualSpacing/>
        <w:jc w:val="left"/>
      </w:pPr>
      <w:r w:rsidRPr="000C4977">
        <w:t>Queensland Genomics (Queensland Cancer Clinical Network and Queensland Cancer Genomics Steering Committee)</w:t>
      </w:r>
    </w:p>
    <w:p w14:paraId="68AE0241" w14:textId="2A230584" w:rsidR="000C4977" w:rsidRPr="000C4977" w:rsidRDefault="000C4977" w:rsidP="000C4977">
      <w:pPr>
        <w:numPr>
          <w:ilvl w:val="0"/>
          <w:numId w:val="55"/>
        </w:numPr>
        <w:spacing w:line="259" w:lineRule="auto"/>
        <w:contextualSpacing/>
        <w:jc w:val="left"/>
      </w:pPr>
      <w:r w:rsidRPr="000C4977">
        <w:t>Australian Genomics</w:t>
      </w:r>
    </w:p>
    <w:p w14:paraId="769965AE" w14:textId="4A4F9A8F" w:rsidR="000C4977" w:rsidRPr="000C4977" w:rsidRDefault="000C4977" w:rsidP="000C4977">
      <w:pPr>
        <w:numPr>
          <w:ilvl w:val="0"/>
          <w:numId w:val="55"/>
        </w:numPr>
        <w:spacing w:line="259" w:lineRule="auto"/>
        <w:contextualSpacing/>
        <w:jc w:val="left"/>
      </w:pPr>
      <w:proofErr w:type="spellStart"/>
      <w:r w:rsidRPr="000C4977">
        <w:t>Omico</w:t>
      </w:r>
      <w:proofErr w:type="spellEnd"/>
      <w:r w:rsidRPr="000C4977">
        <w:t xml:space="preserve"> (Australian Genomic Cancer Medicine Centre)</w:t>
      </w:r>
    </w:p>
    <w:p w14:paraId="5390F698" w14:textId="2BB77045" w:rsidR="00F27656" w:rsidRDefault="00F27656" w:rsidP="003128E6">
      <w:pPr>
        <w:numPr>
          <w:ilvl w:val="0"/>
          <w:numId w:val="55"/>
        </w:numPr>
        <w:spacing w:line="259" w:lineRule="auto"/>
        <w:ind w:left="714" w:hanging="357"/>
        <w:jc w:val="left"/>
      </w:pPr>
      <w:r>
        <w:t xml:space="preserve">Myriad Genetics Australia and Myriad Genetics International </w:t>
      </w:r>
    </w:p>
    <w:p w14:paraId="75DEBDE4" w14:textId="17A2973E" w:rsidR="000C4977" w:rsidRPr="000C4977" w:rsidRDefault="003128E6" w:rsidP="003128E6">
      <w:pPr>
        <w:numPr>
          <w:ilvl w:val="0"/>
          <w:numId w:val="55"/>
        </w:numPr>
        <w:spacing w:line="259" w:lineRule="auto"/>
        <w:ind w:left="714" w:hanging="357"/>
        <w:jc w:val="left"/>
      </w:pPr>
      <w:r>
        <w:t>Ovarian Cancer Australia</w:t>
      </w:r>
    </w:p>
    <w:p w14:paraId="7D27D36D" w14:textId="26A62299" w:rsidR="000C4977" w:rsidRPr="000C4977" w:rsidRDefault="000C4977" w:rsidP="000C4977">
      <w:pPr>
        <w:spacing w:line="259" w:lineRule="auto"/>
        <w:jc w:val="left"/>
      </w:pPr>
      <w:r w:rsidRPr="000C4977">
        <w:t>The consumer group</w:t>
      </w:r>
      <w:r w:rsidR="003128E6">
        <w:t>s were</w:t>
      </w:r>
      <w:r w:rsidRPr="000C4977">
        <w:t xml:space="preserve"> supportive of the application. The remaining consultation feedback was mixed. Some supported the proposed intervention. Others raised concerns that:</w:t>
      </w:r>
    </w:p>
    <w:p w14:paraId="7BE709AF" w14:textId="77777777" w:rsidR="000C4977" w:rsidRPr="000C4977" w:rsidRDefault="000C4977" w:rsidP="000C4977">
      <w:pPr>
        <w:numPr>
          <w:ilvl w:val="0"/>
          <w:numId w:val="57"/>
        </w:numPr>
        <w:spacing w:before="0" w:after="200" w:line="276" w:lineRule="auto"/>
        <w:contextualSpacing/>
        <w:jc w:val="left"/>
      </w:pPr>
      <w:r w:rsidRPr="000C4977">
        <w:t>Several approaches to testing HRD with the original application not clearly specifying the type of HRD test. The other measures include:</w:t>
      </w:r>
    </w:p>
    <w:p w14:paraId="696B7FF9" w14:textId="77777777" w:rsidR="000C4977" w:rsidRPr="000C4977" w:rsidRDefault="000C4977" w:rsidP="000C4977">
      <w:pPr>
        <w:numPr>
          <w:ilvl w:val="1"/>
          <w:numId w:val="57"/>
        </w:numPr>
        <w:spacing w:before="0" w:after="200" w:line="276" w:lineRule="auto"/>
        <w:contextualSpacing/>
        <w:jc w:val="left"/>
      </w:pPr>
      <w:r w:rsidRPr="000C4977">
        <w:t xml:space="preserve">pathogenic variants in somatic HRD </w:t>
      </w:r>
      <w:proofErr w:type="gramStart"/>
      <w:r w:rsidRPr="000C4977">
        <w:t>genes;</w:t>
      </w:r>
      <w:proofErr w:type="gramEnd"/>
    </w:p>
    <w:p w14:paraId="5C1967F8" w14:textId="77777777" w:rsidR="000C4977" w:rsidRPr="000C4977" w:rsidRDefault="000C4977" w:rsidP="000C4977">
      <w:pPr>
        <w:numPr>
          <w:ilvl w:val="1"/>
          <w:numId w:val="57"/>
        </w:numPr>
        <w:spacing w:before="0" w:after="200" w:line="276" w:lineRule="auto"/>
        <w:contextualSpacing/>
        <w:jc w:val="left"/>
      </w:pPr>
      <w:r w:rsidRPr="000C4977">
        <w:t>pathogenic variants in non-</w:t>
      </w:r>
      <w:r w:rsidRPr="000C4977">
        <w:rPr>
          <w:i/>
          <w:iCs/>
        </w:rPr>
        <w:t>BRCA1/2</w:t>
      </w:r>
      <w:r w:rsidRPr="000C4977">
        <w:t xml:space="preserve"> germline HRD </w:t>
      </w:r>
      <w:proofErr w:type="gramStart"/>
      <w:r w:rsidRPr="000C4977">
        <w:t>genes;</w:t>
      </w:r>
      <w:proofErr w:type="gramEnd"/>
    </w:p>
    <w:p w14:paraId="55B6803D" w14:textId="77777777" w:rsidR="000C4977" w:rsidRPr="00CD7C8F" w:rsidRDefault="000C4977" w:rsidP="000C4977">
      <w:pPr>
        <w:numPr>
          <w:ilvl w:val="1"/>
          <w:numId w:val="57"/>
        </w:numPr>
        <w:spacing w:before="0" w:after="200" w:line="276" w:lineRule="auto"/>
        <w:contextualSpacing/>
        <w:jc w:val="left"/>
      </w:pPr>
      <w:r w:rsidRPr="000C4977">
        <w:t xml:space="preserve">evaluation of a genomic </w:t>
      </w:r>
      <w:r w:rsidRPr="00CD7C8F">
        <w:t>scar; or</w:t>
      </w:r>
    </w:p>
    <w:p w14:paraId="55629A9F" w14:textId="77777777" w:rsidR="000C4977" w:rsidRPr="00CD7C8F" w:rsidRDefault="000C4977" w:rsidP="000C4977">
      <w:pPr>
        <w:numPr>
          <w:ilvl w:val="1"/>
          <w:numId w:val="57"/>
        </w:numPr>
        <w:spacing w:before="0" w:after="200" w:line="276" w:lineRule="auto"/>
        <w:contextualSpacing/>
        <w:jc w:val="left"/>
      </w:pPr>
      <w:r w:rsidRPr="00CD7C8F">
        <w:t>a combination of the above.</w:t>
      </w:r>
    </w:p>
    <w:p w14:paraId="42D2A645" w14:textId="3E477A81" w:rsidR="000C4977" w:rsidRPr="00CD7C8F" w:rsidRDefault="000C4977" w:rsidP="000C4977">
      <w:pPr>
        <w:numPr>
          <w:ilvl w:val="0"/>
          <w:numId w:val="56"/>
        </w:numPr>
        <w:spacing w:line="259" w:lineRule="auto"/>
        <w:contextualSpacing/>
        <w:jc w:val="left"/>
      </w:pPr>
      <w:r w:rsidRPr="00CD7C8F">
        <w:t>An MBS item should not be funded for a test or an analyte that is not clearly defined</w:t>
      </w:r>
      <w:r w:rsidR="004631C6" w:rsidRPr="00CD7C8F">
        <w:t>.</w:t>
      </w:r>
    </w:p>
    <w:p w14:paraId="26417D1C" w14:textId="15B77E81" w:rsidR="000C4977" w:rsidRPr="00CD7C8F" w:rsidRDefault="000C4977" w:rsidP="000C4977">
      <w:pPr>
        <w:numPr>
          <w:ilvl w:val="0"/>
          <w:numId w:val="56"/>
        </w:numPr>
        <w:spacing w:line="259" w:lineRule="auto"/>
        <w:contextualSpacing/>
        <w:jc w:val="left"/>
      </w:pPr>
      <w:r w:rsidRPr="00CD7C8F">
        <w:t xml:space="preserve">The proposed service should be compared to the </w:t>
      </w:r>
      <w:r w:rsidR="004631C6" w:rsidRPr="00CD7C8F">
        <w:t>clinical utility</w:t>
      </w:r>
      <w:r w:rsidRPr="00CD7C8F">
        <w:t xml:space="preserve"> standard</w:t>
      </w:r>
      <w:r w:rsidR="004631C6" w:rsidRPr="00CD7C8F">
        <w:t>.</w:t>
      </w:r>
    </w:p>
    <w:p w14:paraId="39695F0F" w14:textId="70848BBE" w:rsidR="000C4977" w:rsidRPr="00CD7C8F" w:rsidRDefault="000C4977" w:rsidP="000C4977">
      <w:pPr>
        <w:numPr>
          <w:ilvl w:val="0"/>
          <w:numId w:val="56"/>
        </w:numPr>
        <w:spacing w:line="259" w:lineRule="auto"/>
        <w:contextualSpacing/>
        <w:jc w:val="left"/>
      </w:pPr>
      <w:r w:rsidRPr="00CD7C8F">
        <w:t xml:space="preserve">Tumour HRD testing should occur at the same time as </w:t>
      </w:r>
      <w:r w:rsidRPr="00CD7C8F">
        <w:rPr>
          <w:i/>
          <w:iCs/>
        </w:rPr>
        <w:t>BRCA1/2</w:t>
      </w:r>
      <w:r w:rsidRPr="00CD7C8F">
        <w:t xml:space="preserve"> testing to limit the need to use and access tissue, however, the result is only needed after </w:t>
      </w:r>
      <w:r w:rsidR="004631C6" w:rsidRPr="00CD7C8F">
        <w:t xml:space="preserve">response to </w:t>
      </w:r>
      <w:r w:rsidRPr="00CD7C8F">
        <w:t>initial chemotherapy</w:t>
      </w:r>
      <w:r w:rsidR="004631C6" w:rsidRPr="00CD7C8F">
        <w:t xml:space="preserve"> has been established.</w:t>
      </w:r>
    </w:p>
    <w:p w14:paraId="1A708BA8" w14:textId="27F1FB26" w:rsidR="000C4977" w:rsidRPr="000C4977" w:rsidRDefault="000C4977" w:rsidP="000C4977">
      <w:pPr>
        <w:numPr>
          <w:ilvl w:val="0"/>
          <w:numId w:val="56"/>
        </w:numPr>
        <w:spacing w:line="259" w:lineRule="auto"/>
        <w:contextualSpacing/>
        <w:jc w:val="left"/>
      </w:pPr>
      <w:r w:rsidRPr="000C4977">
        <w:t>The clinical utility of HRD tests needs to be established</w:t>
      </w:r>
      <w:r w:rsidR="004631C6">
        <w:t>.</w:t>
      </w:r>
    </w:p>
    <w:p w14:paraId="6AAA7143" w14:textId="40775516" w:rsidR="000C4977" w:rsidRPr="000C4977" w:rsidRDefault="004631C6" w:rsidP="004631C6">
      <w:pPr>
        <w:numPr>
          <w:ilvl w:val="0"/>
          <w:numId w:val="56"/>
        </w:numPr>
        <w:spacing w:line="259" w:lineRule="auto"/>
        <w:ind w:left="714" w:hanging="357"/>
        <w:jc w:val="left"/>
      </w:pPr>
      <w:r>
        <w:t xml:space="preserve">There is a preference to add </w:t>
      </w:r>
      <w:r w:rsidR="000C4977" w:rsidRPr="000C4977">
        <w:t>reflex testing of germline HRD genes.</w:t>
      </w:r>
    </w:p>
    <w:p w14:paraId="414A8C08" w14:textId="48C59EC8"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22" w:name="_Toc69491422"/>
      <w:r>
        <w:rPr>
          <w:rFonts w:ascii="Franklin Gothic Medium" w:eastAsiaTheme="majorEastAsia" w:hAnsi="Franklin Gothic Medium" w:cstheme="majorBidi"/>
          <w:color w:val="000000" w:themeColor="text1"/>
          <w:sz w:val="32"/>
          <w:szCs w:val="26"/>
        </w:rPr>
        <w:t>10</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Characteristics of the evidence base</w:t>
      </w:r>
      <w:bookmarkEnd w:id="22"/>
    </w:p>
    <w:p w14:paraId="63EAE931" w14:textId="77777777" w:rsidR="000C4977" w:rsidRPr="000C4977" w:rsidRDefault="000C4977" w:rsidP="000C4977">
      <w:pPr>
        <w:spacing w:line="259" w:lineRule="auto"/>
        <w:jc w:val="left"/>
      </w:pPr>
      <w:r w:rsidRPr="000C4977">
        <w:t xml:space="preserve">The submission presented a linked evidence approach to support the contention that patients with HGEOC whose tumours are HRD positive </w:t>
      </w:r>
      <w:proofErr w:type="spellStart"/>
      <w:r w:rsidRPr="000C4977">
        <w:rPr>
          <w:i/>
          <w:iCs/>
        </w:rPr>
        <w:t>BRCA</w:t>
      </w:r>
      <w:r w:rsidRPr="000C4977">
        <w:t>wt</w:t>
      </w:r>
      <w:proofErr w:type="spellEnd"/>
      <w:r w:rsidRPr="000C4977">
        <w:t xml:space="preserve"> who respond to first line chemotherapy (with or without concurrent bevacizumab) will derive benefit from maintenance treatment with </w:t>
      </w:r>
      <w:proofErr w:type="spellStart"/>
      <w:r w:rsidRPr="000C4977">
        <w:t>olaparib</w:t>
      </w:r>
      <w:proofErr w:type="spellEnd"/>
      <w:r w:rsidRPr="000C4977">
        <w:t xml:space="preserve"> plus bevacizumab.</w:t>
      </w:r>
    </w:p>
    <w:p w14:paraId="4600F848" w14:textId="3615736C" w:rsidR="000C4977" w:rsidRPr="004631C6" w:rsidRDefault="000C4977" w:rsidP="000C4977">
      <w:pPr>
        <w:spacing w:line="259" w:lineRule="auto"/>
        <w:jc w:val="left"/>
      </w:pPr>
      <w:r w:rsidRPr="000C4977">
        <w:t xml:space="preserve">A randomised controlled trial of </w:t>
      </w:r>
      <w:proofErr w:type="spellStart"/>
      <w:r w:rsidRPr="000C4977">
        <w:t>olaparib</w:t>
      </w:r>
      <w:proofErr w:type="spellEnd"/>
      <w:r w:rsidRPr="000C4977">
        <w:t xml:space="preserve"> plus bevacizumab versus bevacizumab alone as maintenance therapy after response to chemotherapy and bevacizumab (PAOLA-1) was presented in the submission in which all randomised patients were stratified based on tumour </w:t>
      </w:r>
      <w:r w:rsidRPr="000C4977">
        <w:rPr>
          <w:i/>
          <w:iCs/>
        </w:rPr>
        <w:lastRenderedPageBreak/>
        <w:t>BRCA</w:t>
      </w:r>
      <w:r w:rsidRPr="000C4977">
        <w:t xml:space="preserve"> status, with GIS status subsequently determined post randomisation (where possible) using the Myriad </w:t>
      </w:r>
      <w:proofErr w:type="spellStart"/>
      <w:r w:rsidRPr="000C4977">
        <w:t>myChoice</w:t>
      </w:r>
      <w:proofErr w:type="spellEnd"/>
      <w:r w:rsidRPr="000C4977">
        <w:t xml:space="preserve">® HRD Plus assay. A direct evidence approach could not be used as the method used to test HRD status (and </w:t>
      </w:r>
      <w:r w:rsidRPr="000C4977">
        <w:rPr>
          <w:i/>
          <w:iCs/>
        </w:rPr>
        <w:t>BRCA</w:t>
      </w:r>
      <w:r w:rsidRPr="000C4977">
        <w:t xml:space="preserve"> status) in the clinical trial was different to the proposed test to be used in Australia (which will be carried out at the </w:t>
      </w:r>
      <w:r w:rsidR="00A8205F" w:rsidRPr="00A8205F">
        <w:rPr>
          <w:color w:val="000000"/>
          <w:spacing w:val="77"/>
          <w:w w:val="85"/>
          <w:shd w:val="solid" w:color="000000" w:fill="000000"/>
          <w:fitText w:val="264" w:id="-1450961406"/>
          <w14:textFill>
            <w14:solidFill>
              <w14:srgbClr w14:val="000000">
                <w14:alpha w14:val="100000"/>
              </w14:srgbClr>
            </w14:solidFill>
          </w14:textFill>
        </w:rPr>
        <w:t>|</w:t>
      </w:r>
      <w:r w:rsidR="00A8205F" w:rsidRPr="00A8205F">
        <w:rPr>
          <w:color w:val="000000"/>
          <w:spacing w:val="1"/>
          <w:w w:val="85"/>
          <w:shd w:val="solid" w:color="000000" w:fill="000000"/>
          <w:fitText w:val="264" w:id="-1450961406"/>
          <w14:textFill>
            <w14:solidFill>
              <w14:srgbClr w14:val="000000">
                <w14:alpha w14:val="100000"/>
              </w14:srgbClr>
            </w14:solidFill>
          </w14:textFill>
        </w:rPr>
        <w:t>|</w:t>
      </w:r>
      <w:r w:rsidRPr="000C4977">
        <w:t xml:space="preserve"> using a test by </w:t>
      </w:r>
      <w:proofErr w:type="spellStart"/>
      <w:r w:rsidRPr="000C4977">
        <w:t>SOPHiA</w:t>
      </w:r>
      <w:proofErr w:type="spellEnd"/>
      <w:r w:rsidRPr="000C4977">
        <w:t xml:space="preserve"> Genetics). Instead, the evidence presented included:</w:t>
      </w:r>
    </w:p>
    <w:p w14:paraId="2E41C92F" w14:textId="4A4F9A8F" w:rsidR="000C4977" w:rsidRPr="000C4977" w:rsidRDefault="000C4977" w:rsidP="000C4977">
      <w:pPr>
        <w:numPr>
          <w:ilvl w:val="0"/>
          <w:numId w:val="43"/>
        </w:numPr>
        <w:spacing w:line="259" w:lineRule="auto"/>
        <w:contextualSpacing/>
        <w:jc w:val="left"/>
      </w:pPr>
      <w:r w:rsidRPr="000C4977">
        <w:t xml:space="preserve">Validation of the </w:t>
      </w:r>
      <w:proofErr w:type="spellStart"/>
      <w:r w:rsidRPr="000C4977">
        <w:t>SOPHiA</w:t>
      </w:r>
      <w:proofErr w:type="spellEnd"/>
      <w:r w:rsidRPr="000C4977">
        <w:t xml:space="preserve"> assay against the Myriad </w:t>
      </w:r>
      <w:proofErr w:type="spellStart"/>
      <w:r w:rsidRPr="000C4977">
        <w:t>myChoice</w:t>
      </w:r>
      <w:proofErr w:type="spellEnd"/>
      <w:r w:rsidRPr="000C4977">
        <w:t xml:space="preserve"> </w:t>
      </w:r>
      <w:proofErr w:type="spellStart"/>
      <w:r w:rsidRPr="000C4977">
        <w:t>CDx</w:t>
      </w:r>
      <w:proofErr w:type="spellEnd"/>
      <w:r w:rsidRPr="000C4977">
        <w:t xml:space="preserve"> assay in detection of </w:t>
      </w:r>
      <w:r w:rsidRPr="00F35E31">
        <w:rPr>
          <w:i/>
          <w:iCs/>
        </w:rPr>
        <w:t>BRCA</w:t>
      </w:r>
      <w:r w:rsidRPr="000C4977">
        <w:t xml:space="preserve"> and</w:t>
      </w:r>
      <w:r w:rsidR="009339A5">
        <w:t xml:space="preserve"> genomic instability </w:t>
      </w:r>
      <w:r w:rsidRPr="000C4977">
        <w:t xml:space="preserve">as well as detection of HRD </w:t>
      </w:r>
      <w:proofErr w:type="gramStart"/>
      <w:r w:rsidRPr="000C4977">
        <w:t>status;</w:t>
      </w:r>
      <w:proofErr w:type="gramEnd"/>
    </w:p>
    <w:p w14:paraId="2CCFE08C" w14:textId="4A4F9A8F" w:rsidR="000C4977" w:rsidRPr="000C4977" w:rsidRDefault="000C4977" w:rsidP="000C4977">
      <w:pPr>
        <w:numPr>
          <w:ilvl w:val="0"/>
          <w:numId w:val="43"/>
        </w:numPr>
        <w:spacing w:line="259" w:lineRule="auto"/>
        <w:contextualSpacing/>
        <w:jc w:val="left"/>
      </w:pPr>
      <w:r w:rsidRPr="000C4977">
        <w:t xml:space="preserve">Accuracy and performance of Myriad </w:t>
      </w:r>
      <w:proofErr w:type="spellStart"/>
      <w:r w:rsidRPr="000C4977">
        <w:t>myChoice</w:t>
      </w:r>
      <w:proofErr w:type="spellEnd"/>
      <w:r w:rsidRPr="000C4977">
        <w:t xml:space="preserve"> </w:t>
      </w:r>
      <w:proofErr w:type="spellStart"/>
      <w:r w:rsidRPr="000C4977">
        <w:t>CDx</w:t>
      </w:r>
      <w:proofErr w:type="spellEnd"/>
      <w:r w:rsidRPr="000C4977">
        <w:t xml:space="preserve"> and Myriad </w:t>
      </w:r>
      <w:proofErr w:type="spellStart"/>
      <w:r w:rsidRPr="000C4977">
        <w:t>myChoice</w:t>
      </w:r>
      <w:proofErr w:type="spellEnd"/>
      <w:r w:rsidRPr="000C4977">
        <w:t xml:space="preserve"> HRD plus assays compared to NGS and the Foundation Medicine T5 panel in detection of </w:t>
      </w:r>
      <w:r w:rsidRPr="00F35E31">
        <w:rPr>
          <w:i/>
          <w:iCs/>
        </w:rPr>
        <w:t>BRCA</w:t>
      </w:r>
      <w:r w:rsidRPr="000C4977">
        <w:t xml:space="preserve"> and</w:t>
      </w:r>
      <w:r w:rsidR="009339A5">
        <w:t xml:space="preserve"> genomic instability </w:t>
      </w:r>
      <w:r w:rsidRPr="000C4977">
        <w:t>as well as detection of HRD status; and</w:t>
      </w:r>
    </w:p>
    <w:p w14:paraId="3DE637D9" w14:textId="4A4F9A8F" w:rsidR="000C4977" w:rsidRPr="000C4977" w:rsidRDefault="000C4977" w:rsidP="004E67C5">
      <w:pPr>
        <w:numPr>
          <w:ilvl w:val="0"/>
          <w:numId w:val="43"/>
        </w:numPr>
        <w:spacing w:line="259" w:lineRule="auto"/>
        <w:ind w:left="714" w:hanging="357"/>
        <w:jc w:val="left"/>
      </w:pPr>
      <w:r w:rsidRPr="000C4977">
        <w:t xml:space="preserve">Longitudinal performance of the Myriad </w:t>
      </w:r>
      <w:proofErr w:type="spellStart"/>
      <w:r w:rsidRPr="000C4977">
        <w:t>myChoice</w:t>
      </w:r>
      <w:proofErr w:type="spellEnd"/>
      <w:r w:rsidRPr="000C4977">
        <w:t xml:space="preserve"> </w:t>
      </w:r>
      <w:proofErr w:type="spellStart"/>
      <w:r w:rsidRPr="000C4977">
        <w:t>CDx</w:t>
      </w:r>
      <w:proofErr w:type="spellEnd"/>
      <w:r w:rsidRPr="000C4977">
        <w:t xml:space="preserve"> and Myriad </w:t>
      </w:r>
      <w:proofErr w:type="spellStart"/>
      <w:r w:rsidRPr="000C4977">
        <w:t>myChoice</w:t>
      </w:r>
      <w:proofErr w:type="spellEnd"/>
      <w:r w:rsidRPr="000C4977">
        <w:t xml:space="preserve"> HRD Plus assays, considering the response of PARP inhibitors in HRD positive and HRD positive </w:t>
      </w:r>
      <w:proofErr w:type="spellStart"/>
      <w:r w:rsidRPr="00082946">
        <w:rPr>
          <w:i/>
          <w:iCs/>
        </w:rPr>
        <w:t>BRCA</w:t>
      </w:r>
      <w:r w:rsidRPr="000C4977">
        <w:t>wt</w:t>
      </w:r>
      <w:proofErr w:type="spellEnd"/>
      <w:r w:rsidRPr="000C4977">
        <w:t xml:space="preserve"> patients compared to HRD negative patients.</w:t>
      </w:r>
    </w:p>
    <w:p w14:paraId="02B243C9" w14:textId="4D738AD1" w:rsidR="00546B21" w:rsidRDefault="00546B21" w:rsidP="00546B21">
      <w:pPr>
        <w:pStyle w:val="Caption"/>
      </w:pPr>
      <w:r>
        <w:t xml:space="preserve">Table </w:t>
      </w:r>
      <w:fldSimple w:instr=" SEQ Table \* ARABIC ">
        <w:r w:rsidR="00D8603B">
          <w:rPr>
            <w:noProof/>
          </w:rPr>
          <w:t>4</w:t>
        </w:r>
      </w:fldSimple>
      <w:r w:rsidRPr="00546B21">
        <w:rPr>
          <w:bCs/>
          <w:iCs w:val="0"/>
        </w:rPr>
        <w:tab/>
        <w:t>Summary of the linked evidence approach</w:t>
      </w:r>
    </w:p>
    <w:tbl>
      <w:tblPr>
        <w:tblStyle w:val="ASDTable1"/>
        <w:tblW w:w="5000" w:type="pct"/>
        <w:tblLayout w:type="fixed"/>
        <w:tblLook w:val="04A0" w:firstRow="1" w:lastRow="0" w:firstColumn="1" w:lastColumn="0" w:noHBand="0" w:noVBand="1"/>
      </w:tblPr>
      <w:tblGrid>
        <w:gridCol w:w="1271"/>
        <w:gridCol w:w="3686"/>
        <w:gridCol w:w="1417"/>
        <w:gridCol w:w="2642"/>
      </w:tblGrid>
      <w:tr w:rsidR="000C4977" w:rsidRPr="000C4977" w14:paraId="78862436" w14:textId="77777777" w:rsidTr="373443CE">
        <w:trPr>
          <w:cantSplit/>
          <w:tblHeader/>
        </w:trPr>
        <w:tc>
          <w:tcPr>
            <w:tcW w:w="705" w:type="pct"/>
            <w:tcBorders>
              <w:top w:val="single" w:sz="4" w:space="0" w:color="auto"/>
              <w:left w:val="single" w:sz="4" w:space="0" w:color="auto"/>
              <w:bottom w:val="single" w:sz="4" w:space="0" w:color="auto"/>
              <w:right w:val="single" w:sz="4" w:space="0" w:color="auto"/>
            </w:tcBorders>
            <w:vAlign w:val="center"/>
          </w:tcPr>
          <w:p w14:paraId="4C9673D3" w14:textId="3CD16DD8" w:rsidR="000C4977" w:rsidRPr="000C4977" w:rsidRDefault="003922B0" w:rsidP="004E67C5">
            <w:pPr>
              <w:widowControl w:val="0"/>
              <w:spacing w:before="0"/>
              <w:jc w:val="left"/>
              <w:rPr>
                <w:rFonts w:ascii="Arial Narrow" w:hAnsi="Arial Narrow"/>
                <w:b/>
              </w:rPr>
            </w:pPr>
            <w:r>
              <w:rPr>
                <w:rFonts w:ascii="Arial Narrow" w:hAnsi="Arial Narrow"/>
                <w:b/>
              </w:rPr>
              <w:t>Assessment</w:t>
            </w:r>
          </w:p>
        </w:tc>
        <w:tc>
          <w:tcPr>
            <w:tcW w:w="2044" w:type="pct"/>
            <w:tcBorders>
              <w:top w:val="single" w:sz="4" w:space="0" w:color="auto"/>
              <w:left w:val="single" w:sz="4" w:space="0" w:color="auto"/>
              <w:bottom w:val="single" w:sz="4" w:space="0" w:color="auto"/>
              <w:right w:val="single" w:sz="4" w:space="0" w:color="auto"/>
            </w:tcBorders>
            <w:vAlign w:val="center"/>
            <w:hideMark/>
          </w:tcPr>
          <w:p w14:paraId="42E6439D" w14:textId="77777777" w:rsidR="000C4977" w:rsidRPr="000C4977" w:rsidRDefault="000C4977" w:rsidP="004E67C5">
            <w:pPr>
              <w:widowControl w:val="0"/>
              <w:spacing w:before="0"/>
              <w:jc w:val="center"/>
              <w:rPr>
                <w:rFonts w:ascii="Arial Narrow" w:hAnsi="Arial Narrow"/>
                <w:b/>
              </w:rPr>
            </w:pPr>
            <w:r w:rsidRPr="000C4977">
              <w:rPr>
                <w:rFonts w:ascii="Arial Narrow" w:hAnsi="Arial Narrow"/>
                <w:b/>
              </w:rPr>
              <w:t>Type of evidence supplied</w:t>
            </w:r>
          </w:p>
        </w:tc>
        <w:tc>
          <w:tcPr>
            <w:tcW w:w="786" w:type="pct"/>
            <w:tcBorders>
              <w:top w:val="single" w:sz="4" w:space="0" w:color="auto"/>
              <w:left w:val="single" w:sz="4" w:space="0" w:color="auto"/>
              <w:bottom w:val="single" w:sz="4" w:space="0" w:color="auto"/>
              <w:right w:val="single" w:sz="4" w:space="0" w:color="auto"/>
            </w:tcBorders>
            <w:vAlign w:val="center"/>
            <w:hideMark/>
          </w:tcPr>
          <w:p w14:paraId="16BCAF56" w14:textId="77777777" w:rsidR="000C4977" w:rsidRPr="000C4977" w:rsidRDefault="000C4977" w:rsidP="004E67C5">
            <w:pPr>
              <w:widowControl w:val="0"/>
              <w:spacing w:before="0"/>
              <w:jc w:val="center"/>
              <w:rPr>
                <w:rFonts w:ascii="Arial Narrow" w:hAnsi="Arial Narrow"/>
                <w:b/>
              </w:rPr>
            </w:pPr>
            <w:r w:rsidRPr="000C4977">
              <w:rPr>
                <w:rFonts w:ascii="Arial Narrow" w:hAnsi="Arial Narrow"/>
                <w:b/>
              </w:rPr>
              <w:t>Extent of evidence supplied</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9F2CCA" w14:textId="77777777" w:rsidR="000C4977" w:rsidRPr="000C4977" w:rsidRDefault="000C4977" w:rsidP="004E67C5">
            <w:pPr>
              <w:widowControl w:val="0"/>
              <w:spacing w:before="0"/>
              <w:jc w:val="center"/>
              <w:rPr>
                <w:rFonts w:ascii="Arial Narrow" w:hAnsi="Arial Narrow"/>
                <w:b/>
              </w:rPr>
            </w:pPr>
            <w:r w:rsidRPr="000C4977">
              <w:rPr>
                <w:rFonts w:ascii="Arial Narrow" w:hAnsi="Arial Narrow"/>
                <w:b/>
              </w:rPr>
              <w:t>Overall risk of bias in clinical trials</w:t>
            </w:r>
          </w:p>
        </w:tc>
      </w:tr>
      <w:tr w:rsidR="000C4977" w:rsidRPr="000C4977" w14:paraId="64F0DD1B" w14:textId="77777777" w:rsidTr="373443CE">
        <w:trPr>
          <w:cantSplit/>
        </w:trPr>
        <w:tc>
          <w:tcPr>
            <w:tcW w:w="705" w:type="pct"/>
            <w:tcBorders>
              <w:top w:val="single" w:sz="4" w:space="0" w:color="auto"/>
              <w:left w:val="single" w:sz="4" w:space="0" w:color="auto"/>
              <w:bottom w:val="single" w:sz="4" w:space="0" w:color="auto"/>
              <w:right w:val="single" w:sz="4" w:space="0" w:color="auto"/>
            </w:tcBorders>
            <w:vAlign w:val="center"/>
            <w:hideMark/>
          </w:tcPr>
          <w:p w14:paraId="4D281BDC" w14:textId="77777777" w:rsidR="000C4977" w:rsidRPr="000C4977" w:rsidRDefault="000C4977" w:rsidP="004E67C5">
            <w:pPr>
              <w:widowControl w:val="0"/>
              <w:spacing w:before="0"/>
              <w:jc w:val="left"/>
              <w:rPr>
                <w:rFonts w:ascii="Arial Narrow" w:hAnsi="Arial Narrow"/>
              </w:rPr>
            </w:pPr>
            <w:r w:rsidRPr="000C4977">
              <w:rPr>
                <w:rFonts w:ascii="Arial Narrow" w:hAnsi="Arial Narrow"/>
              </w:rPr>
              <w:t>Accuracy and performance of the test (cross-sectional accuracy)</w:t>
            </w:r>
          </w:p>
        </w:tc>
        <w:tc>
          <w:tcPr>
            <w:tcW w:w="2044" w:type="pct"/>
            <w:tcBorders>
              <w:top w:val="single" w:sz="4" w:space="0" w:color="auto"/>
              <w:left w:val="single" w:sz="4" w:space="0" w:color="auto"/>
              <w:bottom w:val="single" w:sz="4" w:space="0" w:color="auto"/>
              <w:right w:val="single" w:sz="4" w:space="0" w:color="auto"/>
            </w:tcBorders>
            <w:vAlign w:val="center"/>
            <w:hideMark/>
          </w:tcPr>
          <w:p w14:paraId="16C1A4A9" w14:textId="1F5E0261" w:rsidR="000C4977" w:rsidRPr="000C4977" w:rsidRDefault="000C4977" w:rsidP="004E67C5">
            <w:pPr>
              <w:widowControl w:val="0"/>
              <w:spacing w:before="0"/>
              <w:rPr>
                <w:rFonts w:ascii="Arial Narrow" w:hAnsi="Arial Narrow" w:cs="Arial"/>
                <w:color w:val="000000" w:themeColor="text1"/>
              </w:rPr>
            </w:pPr>
            <w:r w:rsidRPr="373443CE">
              <w:rPr>
                <w:rFonts w:ascii="Arial Narrow" w:hAnsi="Arial Narrow" w:cs="Arial"/>
                <w:color w:val="000000" w:themeColor="text1"/>
              </w:rPr>
              <w:t xml:space="preserve">The </w:t>
            </w:r>
            <w:r w:rsidR="00A8205F" w:rsidRPr="00A8205F">
              <w:rPr>
                <w:color w:val="000000"/>
                <w:spacing w:val="63"/>
                <w:shd w:val="solid" w:color="000000" w:fill="000000"/>
                <w:fitText w:val="264" w:id="-1450962170"/>
                <w14:textFill>
                  <w14:solidFill>
                    <w14:srgbClr w14:val="000000">
                      <w14:alpha w14:val="100000"/>
                    </w14:srgbClr>
                  </w14:solidFill>
                </w14:textFill>
              </w:rPr>
              <w:t>|</w:t>
            </w:r>
            <w:r w:rsidR="00A8205F" w:rsidRPr="00A8205F">
              <w:rPr>
                <w:color w:val="000000"/>
                <w:shd w:val="solid" w:color="000000" w:fill="000000"/>
                <w:fitText w:val="264" w:id="-1450962170"/>
                <w14:textFill>
                  <w14:solidFill>
                    <w14:srgbClr w14:val="000000">
                      <w14:alpha w14:val="100000"/>
                    </w14:srgbClr>
                  </w14:solidFill>
                </w14:textFill>
              </w:rPr>
              <w:t>|</w:t>
            </w:r>
            <w:r w:rsidRPr="373443CE">
              <w:rPr>
                <w:rFonts w:ascii="Arial Narrow" w:hAnsi="Arial Narrow" w:cs="Arial"/>
                <w:color w:val="000000" w:themeColor="text1"/>
              </w:rPr>
              <w:t xml:space="preserve"> validation study aimed to evaluate concordance between the Myriad </w:t>
            </w:r>
            <w:proofErr w:type="spellStart"/>
            <w:r w:rsidRPr="373443CE">
              <w:rPr>
                <w:rFonts w:ascii="Arial Narrow" w:hAnsi="Arial Narrow" w:cs="Arial"/>
                <w:color w:val="000000" w:themeColor="text1"/>
              </w:rPr>
              <w:t>myChoice</w:t>
            </w:r>
            <w:proofErr w:type="spellEnd"/>
            <w:r w:rsidRPr="373443CE">
              <w:rPr>
                <w:rFonts w:ascii="Arial Narrow" w:hAnsi="Arial Narrow" w:cs="Arial"/>
                <w:color w:val="000000" w:themeColor="text1"/>
              </w:rPr>
              <w:t xml:space="preserve"> </w:t>
            </w:r>
            <w:proofErr w:type="spellStart"/>
            <w:r w:rsidRPr="373443CE">
              <w:rPr>
                <w:rFonts w:ascii="Arial Narrow" w:hAnsi="Arial Narrow" w:cs="Arial"/>
                <w:color w:val="000000" w:themeColor="text1"/>
              </w:rPr>
              <w:t>CDx</w:t>
            </w:r>
            <w:proofErr w:type="spellEnd"/>
            <w:r w:rsidRPr="373443CE">
              <w:rPr>
                <w:rFonts w:ascii="Arial Narrow" w:hAnsi="Arial Narrow" w:cs="Arial"/>
                <w:color w:val="000000" w:themeColor="text1"/>
              </w:rPr>
              <w:t xml:space="preserve"> assay and the </w:t>
            </w:r>
            <w:r w:rsidR="00A8205F" w:rsidRPr="00A8205F">
              <w:rPr>
                <w:color w:val="000000"/>
                <w:spacing w:val="63"/>
                <w:shd w:val="solid" w:color="000000" w:fill="000000"/>
                <w:fitText w:val="264" w:id="-1450962170"/>
                <w14:textFill>
                  <w14:solidFill>
                    <w14:srgbClr w14:val="000000">
                      <w14:alpha w14:val="100000"/>
                    </w14:srgbClr>
                  </w14:solidFill>
                </w14:textFill>
              </w:rPr>
              <w:t>|</w:t>
            </w:r>
            <w:r w:rsidR="00A8205F" w:rsidRPr="00A8205F">
              <w:rPr>
                <w:color w:val="000000"/>
                <w:shd w:val="solid" w:color="000000" w:fill="000000"/>
                <w:fitText w:val="264" w:id="-1450962170"/>
                <w14:textFill>
                  <w14:solidFill>
                    <w14:srgbClr w14:val="000000">
                      <w14:alpha w14:val="100000"/>
                    </w14:srgbClr>
                  </w14:solidFill>
                </w14:textFill>
              </w:rPr>
              <w:t>|</w:t>
            </w:r>
            <w:r w:rsidRPr="373443CE">
              <w:rPr>
                <w:rFonts w:ascii="Arial Narrow" w:hAnsi="Arial Narrow" w:cs="Arial"/>
                <w:color w:val="000000" w:themeColor="text1"/>
              </w:rPr>
              <w:t xml:space="preserve"> test based on the </w:t>
            </w:r>
            <w:proofErr w:type="spellStart"/>
            <w:r w:rsidRPr="373443CE">
              <w:rPr>
                <w:rFonts w:ascii="Arial Narrow" w:hAnsi="Arial Narrow" w:cs="Arial"/>
                <w:color w:val="000000" w:themeColor="text1"/>
              </w:rPr>
              <w:t>SOPHiA</w:t>
            </w:r>
            <w:proofErr w:type="spellEnd"/>
            <w:r w:rsidRPr="373443CE">
              <w:rPr>
                <w:rFonts w:ascii="Arial Narrow" w:hAnsi="Arial Narrow" w:cs="Arial"/>
                <w:color w:val="000000" w:themeColor="text1"/>
              </w:rPr>
              <w:t xml:space="preserve"> assay. The </w:t>
            </w:r>
            <w:r w:rsidR="00A8205F" w:rsidRPr="00A8205F">
              <w:rPr>
                <w:color w:val="000000"/>
                <w:spacing w:val="63"/>
                <w:shd w:val="solid" w:color="000000" w:fill="000000"/>
                <w:fitText w:val="264" w:id="-1450962170"/>
                <w14:textFill>
                  <w14:solidFill>
                    <w14:srgbClr w14:val="000000">
                      <w14:alpha w14:val="100000"/>
                    </w14:srgbClr>
                  </w14:solidFill>
                </w14:textFill>
              </w:rPr>
              <w:t>|</w:t>
            </w:r>
            <w:r w:rsidR="00A8205F" w:rsidRPr="00A8205F">
              <w:rPr>
                <w:color w:val="000000"/>
                <w:shd w:val="solid" w:color="000000" w:fill="000000"/>
                <w:fitText w:val="264" w:id="-1450962170"/>
                <w14:textFill>
                  <w14:solidFill>
                    <w14:srgbClr w14:val="000000">
                      <w14:alpha w14:val="100000"/>
                    </w14:srgbClr>
                  </w14:solidFill>
                </w14:textFill>
              </w:rPr>
              <w:t>|</w:t>
            </w:r>
            <w:r w:rsidRPr="373443CE">
              <w:rPr>
                <w:rFonts w:ascii="Arial Narrow" w:hAnsi="Arial Narrow" w:cs="Arial"/>
                <w:color w:val="000000" w:themeColor="text1"/>
              </w:rPr>
              <w:t xml:space="preserve"> addendum provided during the evaluation process stated that phase 1 of the validation was conducted using contrived control samples and mixed tumour type samples including high grade serous ovarian carcinoma, squamous cell carcinomas, endometrial carcinomas, prostate carcinomas, thyroid carcinomas all orthogonally tested with other HRR/HRD assays including Myriad </w:t>
            </w:r>
            <w:proofErr w:type="spellStart"/>
            <w:r w:rsidRPr="373443CE">
              <w:rPr>
                <w:rFonts w:ascii="Arial Narrow" w:hAnsi="Arial Narrow" w:cs="Arial"/>
                <w:color w:val="000000" w:themeColor="text1"/>
              </w:rPr>
              <w:t>myChoice</w:t>
            </w:r>
            <w:proofErr w:type="spellEnd"/>
            <w:r w:rsidRPr="373443CE">
              <w:rPr>
                <w:rFonts w:ascii="Arial Narrow" w:hAnsi="Arial Narrow" w:cs="Arial"/>
                <w:color w:val="000000" w:themeColor="text1"/>
              </w:rPr>
              <w:t xml:space="preserve"> </w:t>
            </w:r>
            <w:proofErr w:type="spellStart"/>
            <w:r w:rsidRPr="373443CE">
              <w:rPr>
                <w:rFonts w:ascii="Arial Narrow" w:hAnsi="Arial Narrow" w:cs="Arial"/>
                <w:color w:val="000000" w:themeColor="text1"/>
              </w:rPr>
              <w:t>CDx</w:t>
            </w:r>
            <w:proofErr w:type="spellEnd"/>
            <w:r w:rsidRPr="373443CE">
              <w:rPr>
                <w:rFonts w:ascii="Arial Narrow" w:hAnsi="Arial Narrow" w:cs="Arial"/>
                <w:color w:val="000000" w:themeColor="text1"/>
              </w:rPr>
              <w:t xml:space="preserve">. </w:t>
            </w:r>
          </w:p>
          <w:p w14:paraId="1DD6A3CA" w14:textId="20FEA17E" w:rsidR="000C4977" w:rsidRPr="00474E58" w:rsidRDefault="000C4977" w:rsidP="004E67C5">
            <w:pPr>
              <w:widowControl w:val="0"/>
              <w:spacing w:before="0"/>
              <w:rPr>
                <w:rFonts w:ascii="Arial Narrow" w:hAnsi="Arial Narrow" w:cs="Arial"/>
                <w:color w:val="000000" w:themeColor="text1"/>
              </w:rPr>
            </w:pPr>
            <w:r w:rsidRPr="000C4977">
              <w:rPr>
                <w:rFonts w:ascii="Arial Narrow" w:hAnsi="Arial Narrow"/>
                <w:color w:val="000000" w:themeColor="text1"/>
              </w:rPr>
              <w:t xml:space="preserve">PAOLA-1 (n=806) </w:t>
            </w:r>
            <w:r w:rsidRPr="000C4977">
              <w:rPr>
                <w:rFonts w:ascii="Arial Narrow" w:hAnsi="Arial Narrow" w:cs="Arial"/>
                <w:color w:val="000000" w:themeColor="text1"/>
              </w:rPr>
              <w:t xml:space="preserve">used Myriad </w:t>
            </w:r>
            <w:proofErr w:type="spellStart"/>
            <w:r w:rsidRPr="000C4977">
              <w:rPr>
                <w:rFonts w:ascii="Arial Narrow" w:hAnsi="Arial Narrow" w:cs="Arial"/>
                <w:color w:val="000000" w:themeColor="text1"/>
              </w:rPr>
              <w:t>myChoice</w:t>
            </w:r>
            <w:proofErr w:type="spellEnd"/>
            <w:r w:rsidRPr="000C4977">
              <w:rPr>
                <w:rFonts w:ascii="Arial Narrow" w:hAnsi="Arial Narrow" w:cs="Arial"/>
                <w:color w:val="000000" w:themeColor="text1"/>
              </w:rPr>
              <w:t xml:space="preserve"> </w:t>
            </w:r>
            <w:r w:rsidRPr="000C4977">
              <w:rPr>
                <w:rFonts w:ascii="Arial Narrow" w:hAnsi="Arial Narrow"/>
                <w:color w:val="000000" w:themeColor="text1"/>
              </w:rPr>
              <w:t>HRD plus</w:t>
            </w:r>
            <w:r w:rsidRPr="000C4977">
              <w:rPr>
                <w:rFonts w:ascii="Arial Narrow" w:hAnsi="Arial Narrow" w:cs="Arial"/>
                <w:color w:val="000000" w:themeColor="text1"/>
              </w:rPr>
              <w:t xml:space="preserve"> with a threshold of ≥42 to determine HRD positivity. Similarly, the FDA 2019 study investigated Myriad </w:t>
            </w:r>
            <w:proofErr w:type="spellStart"/>
            <w:r w:rsidRPr="000C4977">
              <w:rPr>
                <w:rFonts w:ascii="Arial Narrow" w:hAnsi="Arial Narrow" w:cs="Arial"/>
                <w:color w:val="000000" w:themeColor="text1"/>
              </w:rPr>
              <w:t>myChoice</w:t>
            </w:r>
            <w:proofErr w:type="spellEnd"/>
            <w:r w:rsidRPr="000C4977">
              <w:rPr>
                <w:rFonts w:ascii="Arial Narrow" w:hAnsi="Arial Narrow" w:cs="Arial"/>
                <w:color w:val="000000" w:themeColor="text1"/>
              </w:rPr>
              <w:t xml:space="preserve"> </w:t>
            </w:r>
            <w:proofErr w:type="spellStart"/>
            <w:r w:rsidRPr="000C4977">
              <w:rPr>
                <w:rFonts w:ascii="Arial Narrow" w:hAnsi="Arial Narrow" w:cs="Arial"/>
                <w:color w:val="000000" w:themeColor="text1"/>
              </w:rPr>
              <w:t>CDx</w:t>
            </w:r>
            <w:proofErr w:type="spellEnd"/>
            <w:r w:rsidRPr="000C4977">
              <w:rPr>
                <w:rFonts w:ascii="Arial Narrow" w:hAnsi="Arial Narrow" w:cs="Arial"/>
                <w:color w:val="000000" w:themeColor="text1"/>
              </w:rPr>
              <w:t xml:space="preserve"> for determining HRD status in patients with advanced ovarian cancer. Both studies compared to NGS testing.</w:t>
            </w:r>
            <w:r w:rsidRPr="00474E58">
              <w:rPr>
                <w:rFonts w:ascii="Arial Narrow" w:hAnsi="Arial Narrow"/>
                <w:color w:val="000000" w:themeColor="text1"/>
              </w:rPr>
              <w:t xml:space="preserve"> O</w:t>
            </w:r>
            <w:r w:rsidRPr="00474E58">
              <w:rPr>
                <w:rFonts w:ascii="Arial Narrow" w:hAnsi="Arial Narrow" w:cs="Arial"/>
                <w:color w:val="000000" w:themeColor="text1"/>
              </w:rPr>
              <w:t xml:space="preserve">ne additional study (the Myriad </w:t>
            </w:r>
            <w:proofErr w:type="spellStart"/>
            <w:r w:rsidRPr="00474E58">
              <w:rPr>
                <w:rFonts w:ascii="Arial Narrow" w:hAnsi="Arial Narrow" w:cs="Arial"/>
                <w:color w:val="000000" w:themeColor="text1"/>
              </w:rPr>
              <w:t>myChoice</w:t>
            </w:r>
            <w:proofErr w:type="spellEnd"/>
            <w:r w:rsidRPr="00474E58">
              <w:rPr>
                <w:rFonts w:ascii="Arial Narrow" w:hAnsi="Arial Narrow" w:cs="Arial"/>
                <w:color w:val="000000" w:themeColor="text1"/>
              </w:rPr>
              <w:t xml:space="preserve"> </w:t>
            </w:r>
            <w:proofErr w:type="spellStart"/>
            <w:r w:rsidRPr="00474E58">
              <w:rPr>
                <w:rFonts w:ascii="Arial Narrow" w:hAnsi="Arial Narrow" w:cs="Arial"/>
                <w:color w:val="000000" w:themeColor="text1"/>
              </w:rPr>
              <w:t>CDx</w:t>
            </w:r>
            <w:proofErr w:type="spellEnd"/>
            <w:r w:rsidRPr="00474E58">
              <w:rPr>
                <w:rFonts w:ascii="Arial Narrow" w:hAnsi="Arial Narrow" w:cs="Arial"/>
                <w:color w:val="000000" w:themeColor="text1"/>
              </w:rPr>
              <w:t xml:space="preserve"> PLUS Technical Specifications) identified during evaluation compared Myriad </w:t>
            </w:r>
            <w:proofErr w:type="spellStart"/>
            <w:r w:rsidRPr="00474E58">
              <w:rPr>
                <w:rFonts w:ascii="Arial Narrow" w:hAnsi="Arial Narrow" w:cs="Arial"/>
                <w:color w:val="000000" w:themeColor="text1"/>
              </w:rPr>
              <w:t>myChoice</w:t>
            </w:r>
            <w:proofErr w:type="spellEnd"/>
            <w:r w:rsidRPr="00474E58">
              <w:rPr>
                <w:rFonts w:ascii="Arial Narrow" w:hAnsi="Arial Narrow" w:cs="Arial"/>
                <w:color w:val="000000" w:themeColor="text1"/>
              </w:rPr>
              <w:t xml:space="preserve"> </w:t>
            </w:r>
            <w:proofErr w:type="spellStart"/>
            <w:r w:rsidRPr="00474E58">
              <w:rPr>
                <w:rFonts w:ascii="Arial Narrow" w:hAnsi="Arial Narrow" w:cs="Arial"/>
                <w:color w:val="000000" w:themeColor="text1"/>
              </w:rPr>
              <w:t>CDx</w:t>
            </w:r>
            <w:proofErr w:type="spellEnd"/>
            <w:r w:rsidRPr="00474E58">
              <w:rPr>
                <w:rFonts w:ascii="Arial Narrow" w:hAnsi="Arial Narrow" w:cs="Arial"/>
                <w:color w:val="000000" w:themeColor="text1"/>
              </w:rPr>
              <w:t xml:space="preserve"> with Myriad </w:t>
            </w:r>
            <w:proofErr w:type="spellStart"/>
            <w:r w:rsidRPr="00474E58">
              <w:rPr>
                <w:rFonts w:ascii="Arial Narrow" w:hAnsi="Arial Narrow" w:cs="Arial"/>
                <w:color w:val="000000" w:themeColor="text1"/>
              </w:rPr>
              <w:t>myChoice</w:t>
            </w:r>
            <w:proofErr w:type="spellEnd"/>
            <w:r w:rsidRPr="00474E58">
              <w:rPr>
                <w:rFonts w:ascii="Arial Narrow" w:hAnsi="Arial Narrow" w:cs="Arial"/>
                <w:color w:val="000000" w:themeColor="text1"/>
              </w:rPr>
              <w:t xml:space="preserve"> HRD plus</w:t>
            </w:r>
            <w:r w:rsidR="00474E58">
              <w:rPr>
                <w:rFonts w:ascii="Arial Narrow" w:hAnsi="Arial Narrow" w:cs="Arial"/>
                <w:color w:val="000000" w:themeColor="text1"/>
              </w:rPr>
              <w:t>.</w:t>
            </w:r>
          </w:p>
          <w:p w14:paraId="4E563F4B" w14:textId="46A0C6FD" w:rsidR="000C4977" w:rsidRPr="000C4977" w:rsidRDefault="000C4977" w:rsidP="004E67C5">
            <w:pPr>
              <w:widowControl w:val="0"/>
              <w:spacing w:before="0"/>
              <w:rPr>
                <w:rFonts w:ascii="Arial Narrow" w:hAnsi="Arial Narrow"/>
                <w:color w:val="000000" w:themeColor="text1"/>
              </w:rPr>
            </w:pPr>
            <w:r w:rsidRPr="000C4977">
              <w:rPr>
                <w:rFonts w:ascii="Arial Narrow" w:hAnsi="Arial Narrow" w:cs="Arial"/>
                <w:color w:val="000000" w:themeColor="text1"/>
              </w:rPr>
              <w:t xml:space="preserve">Hodson 2018 evaluated Myriad tumour </w:t>
            </w:r>
            <w:r w:rsidRPr="000C4977">
              <w:rPr>
                <w:rFonts w:ascii="Arial Narrow" w:hAnsi="Arial Narrow" w:cs="Arial"/>
                <w:i/>
                <w:iCs/>
                <w:color w:val="000000" w:themeColor="text1"/>
              </w:rPr>
              <w:t>BRCA</w:t>
            </w:r>
            <w:r w:rsidRPr="000C4977">
              <w:rPr>
                <w:rFonts w:ascii="Arial Narrow" w:hAnsi="Arial Narrow" w:cs="Arial"/>
                <w:color w:val="000000" w:themeColor="text1"/>
              </w:rPr>
              <w:t xml:space="preserve"> assay for aiding in the determination of HRD status in patients with HGEOC and compared to the </w:t>
            </w:r>
            <w:r w:rsidRPr="000C4977">
              <w:rPr>
                <w:rFonts w:ascii="Arial Narrow" w:hAnsi="Arial Narrow"/>
                <w:color w:val="000000" w:themeColor="text1"/>
              </w:rPr>
              <w:t>Foundation Medicine T5 panel.</w:t>
            </w:r>
          </w:p>
        </w:tc>
        <w:tc>
          <w:tcPr>
            <w:tcW w:w="786" w:type="pct"/>
            <w:tcBorders>
              <w:top w:val="single" w:sz="4" w:space="0" w:color="auto"/>
              <w:left w:val="single" w:sz="4" w:space="0" w:color="auto"/>
              <w:bottom w:val="single" w:sz="4" w:space="0" w:color="auto"/>
              <w:right w:val="single" w:sz="4" w:space="0" w:color="auto"/>
            </w:tcBorders>
            <w:vAlign w:val="center"/>
            <w:hideMark/>
          </w:tcPr>
          <w:p w14:paraId="5DC701F3" w14:textId="2CE2A7BF" w:rsidR="000C4977" w:rsidRPr="000C4977" w:rsidRDefault="000C4977" w:rsidP="00F132CB">
            <w:pPr>
              <w:widowControl w:val="0"/>
              <w:tabs>
                <w:tab w:val="left" w:pos="391"/>
              </w:tabs>
              <w:spacing w:before="0"/>
              <w:jc w:val="center"/>
              <w:rPr>
                <w:rFonts w:ascii="Arial Narrow" w:hAnsi="Arial Narrow"/>
              </w:rPr>
            </w:pPr>
            <w:r w:rsidRPr="000C4977">
              <w:rPr>
                <w:rFonts w:ascii="Arial Narrow" w:hAnsi="Arial Narrow"/>
                <w:i/>
                <w:iCs/>
              </w:rPr>
              <w:t>k=</w:t>
            </w:r>
            <w:r w:rsidR="00F132CB">
              <w:rPr>
                <w:rFonts w:ascii="Arial Narrow" w:hAnsi="Arial Narrow"/>
              </w:rPr>
              <w:t xml:space="preserve"> </w:t>
            </w:r>
            <w:r w:rsidRPr="000C4977">
              <w:rPr>
                <w:rFonts w:ascii="Arial Narrow" w:hAnsi="Arial Narrow"/>
                <w:vertAlign w:val="superscript"/>
              </w:rPr>
              <w:t>a</w:t>
            </w:r>
            <w:r w:rsidR="00F132CB" w:rsidRPr="000C4977">
              <w:rPr>
                <w:rFonts w:ascii="Arial Narrow" w:hAnsi="Arial Narrow"/>
              </w:rPr>
              <w:tab/>
            </w:r>
            <w:r w:rsidRPr="000C4977">
              <w:rPr>
                <w:rFonts w:ascii="Arial Narrow" w:hAnsi="Arial Narrow"/>
              </w:rPr>
              <w:t>n=1,246</w:t>
            </w:r>
          </w:p>
          <w:p w14:paraId="36A2C216" w14:textId="77777777" w:rsidR="000C4977" w:rsidRPr="000C4977" w:rsidRDefault="000C4977" w:rsidP="004E67C5">
            <w:pPr>
              <w:widowControl w:val="0"/>
              <w:spacing w:before="0"/>
              <w:jc w:val="center"/>
              <w:rPr>
                <w:rFonts w:ascii="Arial Narrow" w:hAnsi="Arial Narrow"/>
              </w:rPr>
            </w:pPr>
          </w:p>
          <w:p w14:paraId="1CFC94AB" w14:textId="1A742FAC" w:rsidR="000C4977" w:rsidRPr="000C4977" w:rsidRDefault="000C4977" w:rsidP="004E67C5">
            <w:pPr>
              <w:widowControl w:val="0"/>
              <w:spacing w:before="0"/>
              <w:jc w:val="center"/>
              <w:rPr>
                <w:rFonts w:ascii="Arial Narrow" w:hAnsi="Arial Narrow"/>
              </w:rPr>
            </w:pPr>
            <w:r w:rsidRPr="000C4977">
              <w:rPr>
                <w:rFonts w:ascii="Arial Narrow" w:hAnsi="Arial Narrow"/>
              </w:rPr>
              <w:t>and</w:t>
            </w:r>
          </w:p>
          <w:p w14:paraId="20E03353" w14:textId="77777777" w:rsidR="000C4977" w:rsidRPr="000C4977" w:rsidRDefault="000C4977" w:rsidP="004E67C5">
            <w:pPr>
              <w:widowControl w:val="0"/>
              <w:spacing w:before="0"/>
              <w:jc w:val="center"/>
              <w:rPr>
                <w:rFonts w:ascii="Arial Narrow" w:hAnsi="Arial Narrow"/>
              </w:rPr>
            </w:pPr>
          </w:p>
          <w:p w14:paraId="541DAA67" w14:textId="77777777" w:rsidR="000C4977" w:rsidRPr="000C4977" w:rsidRDefault="000C4977" w:rsidP="004E67C5">
            <w:pPr>
              <w:widowControl w:val="0"/>
              <w:spacing w:before="0"/>
              <w:jc w:val="center"/>
              <w:rPr>
                <w:rFonts w:ascii="Arial Narrow" w:hAnsi="Arial Narrow"/>
              </w:rPr>
            </w:pPr>
            <w:proofErr w:type="spellStart"/>
            <w:r w:rsidRPr="000C4977">
              <w:rPr>
                <w:rFonts w:ascii="Arial Narrow" w:hAnsi="Arial Narrow"/>
              </w:rPr>
              <w:t>SOPHiA</w:t>
            </w:r>
            <w:proofErr w:type="spellEnd"/>
            <w:r w:rsidRPr="000C4977">
              <w:rPr>
                <w:rFonts w:ascii="Arial Narrow" w:hAnsi="Arial Narrow"/>
              </w:rPr>
              <w:t xml:space="preserve"> validation:</w:t>
            </w:r>
          </w:p>
          <w:p w14:paraId="111F148D" w14:textId="77777777" w:rsidR="000C4977" w:rsidRPr="000C4977" w:rsidRDefault="000C4977" w:rsidP="004E67C5">
            <w:pPr>
              <w:widowControl w:val="0"/>
              <w:spacing w:before="0"/>
              <w:jc w:val="center"/>
              <w:rPr>
                <w:rFonts w:ascii="Arial Narrow" w:hAnsi="Arial Narrow"/>
              </w:rPr>
            </w:pPr>
            <w:r w:rsidRPr="000C4977">
              <w:rPr>
                <w:rFonts w:ascii="Arial Narrow" w:hAnsi="Arial Narrow"/>
              </w:rPr>
              <w:t>k=1</w:t>
            </w:r>
            <w:r w:rsidRPr="000C4977">
              <w:rPr>
                <w:rFonts w:ascii="Arial Narrow" w:hAnsi="Arial Narrow"/>
              </w:rPr>
              <w:tab/>
              <w:t>n=78</w:t>
            </w:r>
            <w:r w:rsidRPr="000C4977">
              <w:rPr>
                <w:rFonts w:ascii="Arial Narrow" w:hAnsi="Arial Narrow"/>
                <w:vertAlign w:val="superscript"/>
              </w:rPr>
              <w:t xml:space="preserve"> a</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D6823" w14:textId="02CF4712" w:rsidR="000C4977" w:rsidRPr="000C4977" w:rsidRDefault="000C4977" w:rsidP="00D916CA">
            <w:pPr>
              <w:widowControl w:val="0"/>
              <w:spacing w:before="0"/>
              <w:rPr>
                <w:rFonts w:ascii="Arial Narrow" w:hAnsi="Arial Narrow"/>
              </w:rPr>
            </w:pPr>
            <w:r w:rsidRPr="000C4977">
              <w:rPr>
                <w:rFonts w:ascii="Arial Narrow" w:hAnsi="Arial Narrow"/>
              </w:rPr>
              <w:t>A QUADAS-2 assessment was provided in the submission. Risk of bias was likely to be high for all studies.</w:t>
            </w:r>
          </w:p>
        </w:tc>
      </w:tr>
      <w:tr w:rsidR="000C4977" w:rsidRPr="000C4977" w14:paraId="4E64A2F0" w14:textId="77777777" w:rsidTr="373443CE">
        <w:trPr>
          <w:cantSplit/>
        </w:trPr>
        <w:tc>
          <w:tcPr>
            <w:tcW w:w="705" w:type="pct"/>
            <w:tcBorders>
              <w:top w:val="single" w:sz="4" w:space="0" w:color="auto"/>
              <w:left w:val="single" w:sz="4" w:space="0" w:color="auto"/>
              <w:bottom w:val="single" w:sz="4" w:space="0" w:color="auto"/>
              <w:right w:val="single" w:sz="4" w:space="0" w:color="auto"/>
            </w:tcBorders>
            <w:vAlign w:val="center"/>
            <w:hideMark/>
          </w:tcPr>
          <w:p w14:paraId="075F3F36" w14:textId="77777777" w:rsidR="000C4977" w:rsidRPr="000C4977" w:rsidRDefault="000C4977" w:rsidP="004E67C5">
            <w:pPr>
              <w:widowControl w:val="0"/>
              <w:spacing w:before="0"/>
              <w:jc w:val="left"/>
              <w:rPr>
                <w:rFonts w:ascii="Arial Narrow" w:hAnsi="Arial Narrow"/>
              </w:rPr>
            </w:pPr>
            <w:r w:rsidRPr="000C4977">
              <w:rPr>
                <w:rFonts w:ascii="Arial Narrow" w:hAnsi="Arial Narrow"/>
              </w:rPr>
              <w:t>Prognostic evidence (longitudinal accuracy)</w:t>
            </w:r>
          </w:p>
        </w:tc>
        <w:tc>
          <w:tcPr>
            <w:tcW w:w="2044" w:type="pct"/>
            <w:tcBorders>
              <w:top w:val="single" w:sz="4" w:space="0" w:color="auto"/>
              <w:left w:val="single" w:sz="4" w:space="0" w:color="auto"/>
              <w:bottom w:val="single" w:sz="4" w:space="0" w:color="auto"/>
              <w:right w:val="single" w:sz="4" w:space="0" w:color="auto"/>
            </w:tcBorders>
            <w:vAlign w:val="center"/>
            <w:hideMark/>
          </w:tcPr>
          <w:p w14:paraId="6C08AB65" w14:textId="77777777" w:rsidR="000C4977" w:rsidRPr="000C4977" w:rsidRDefault="000C4977" w:rsidP="004E67C5">
            <w:pPr>
              <w:widowControl w:val="0"/>
              <w:spacing w:before="0"/>
              <w:rPr>
                <w:rFonts w:ascii="Arial Narrow" w:hAnsi="Arial Narrow"/>
                <w:color w:val="000000" w:themeColor="text1"/>
              </w:rPr>
            </w:pPr>
            <w:r w:rsidRPr="000C4977">
              <w:rPr>
                <w:rFonts w:ascii="Arial Narrow" w:hAnsi="Arial Narrow"/>
                <w:color w:val="000000" w:themeColor="text1"/>
              </w:rPr>
              <w:t>Longitudinal accuracy was assessed in the four trials (PAOLA-1, Coleman 2017, Coleman 2019, Gonzalez-Martin 2019) for the purpose of investigating clinical response to a PARP inhibitor (</w:t>
            </w:r>
            <w:proofErr w:type="gramStart"/>
            <w:r w:rsidRPr="000C4977">
              <w:rPr>
                <w:rFonts w:ascii="Arial Narrow" w:hAnsi="Arial Narrow"/>
                <w:color w:val="000000" w:themeColor="text1"/>
              </w:rPr>
              <w:t>i.e.</w:t>
            </w:r>
            <w:proofErr w:type="gramEnd"/>
            <w:r w:rsidRPr="000C4977">
              <w:rPr>
                <w:rFonts w:ascii="Arial Narrow" w:hAnsi="Arial Narrow"/>
                <w:color w:val="000000" w:themeColor="text1"/>
              </w:rPr>
              <w:t xml:space="preserve"> PFS, OS).</w:t>
            </w:r>
          </w:p>
          <w:p w14:paraId="23A4250C" w14:textId="77777777" w:rsidR="000C4977" w:rsidRPr="000C4977" w:rsidRDefault="000C4977" w:rsidP="004E67C5">
            <w:pPr>
              <w:widowControl w:val="0"/>
              <w:spacing w:before="0"/>
              <w:rPr>
                <w:rFonts w:ascii="Arial Narrow" w:hAnsi="Arial Narrow"/>
                <w:color w:val="000000" w:themeColor="text1"/>
              </w:rPr>
            </w:pPr>
            <w:r w:rsidRPr="000C4977">
              <w:rPr>
                <w:rFonts w:ascii="Arial Narrow" w:hAnsi="Arial Narrow"/>
                <w:color w:val="000000" w:themeColor="text1"/>
              </w:rPr>
              <w:t xml:space="preserve">Three studies used the Myriad </w:t>
            </w:r>
            <w:proofErr w:type="spellStart"/>
            <w:r w:rsidRPr="000C4977">
              <w:rPr>
                <w:rFonts w:ascii="Arial Narrow" w:hAnsi="Arial Narrow"/>
                <w:color w:val="000000" w:themeColor="text1"/>
              </w:rPr>
              <w:t>myChoice</w:t>
            </w:r>
            <w:proofErr w:type="spellEnd"/>
            <w:r w:rsidRPr="000C4977">
              <w:rPr>
                <w:rFonts w:ascii="Arial Narrow" w:hAnsi="Arial Narrow"/>
                <w:color w:val="000000" w:themeColor="text1"/>
              </w:rPr>
              <w:t>® assay and one study used the Foundation Medicine assay to identify patients with HRD tumours.</w:t>
            </w:r>
          </w:p>
        </w:tc>
        <w:tc>
          <w:tcPr>
            <w:tcW w:w="786" w:type="pct"/>
            <w:tcBorders>
              <w:top w:val="single" w:sz="4" w:space="0" w:color="auto"/>
              <w:left w:val="single" w:sz="4" w:space="0" w:color="auto"/>
              <w:bottom w:val="single" w:sz="4" w:space="0" w:color="auto"/>
              <w:right w:val="single" w:sz="4" w:space="0" w:color="auto"/>
            </w:tcBorders>
            <w:vAlign w:val="center"/>
            <w:hideMark/>
          </w:tcPr>
          <w:p w14:paraId="6B2E11CD" w14:textId="1B4CC217" w:rsidR="000C4977" w:rsidRPr="000C4977" w:rsidRDefault="000C4977" w:rsidP="004E67C5">
            <w:pPr>
              <w:widowControl w:val="0"/>
              <w:spacing w:before="0"/>
              <w:jc w:val="center"/>
              <w:rPr>
                <w:rFonts w:ascii="Arial Narrow" w:hAnsi="Arial Narrow"/>
              </w:rPr>
            </w:pPr>
            <w:r w:rsidRPr="000C4977">
              <w:rPr>
                <w:rFonts w:ascii="Arial Narrow" w:hAnsi="Arial Narrow"/>
              </w:rPr>
              <w:t>k=4</w:t>
            </w:r>
            <w:r w:rsidRPr="000C4977">
              <w:rPr>
                <w:rFonts w:ascii="Arial Narrow" w:hAnsi="Arial Narrow"/>
                <w:vertAlign w:val="superscript"/>
              </w:rPr>
              <w:t xml:space="preserve"> b</w:t>
            </w:r>
            <w:r w:rsidR="00AB21C8">
              <w:rPr>
                <w:rFonts w:ascii="Arial Narrow" w:hAnsi="Arial Narrow"/>
              </w:rPr>
              <w:t xml:space="preserve"> </w:t>
            </w:r>
            <w:r w:rsidRPr="000C4977">
              <w:rPr>
                <w:rFonts w:ascii="Arial Narrow" w:hAnsi="Arial Narrow"/>
              </w:rPr>
              <w:t>n=3,243</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6DDA82" w14:textId="2D3FB782" w:rsidR="000C4977" w:rsidRPr="000C4977" w:rsidRDefault="00D916CA" w:rsidP="004E67C5">
            <w:pPr>
              <w:widowControl w:val="0"/>
              <w:spacing w:before="0"/>
              <w:rPr>
                <w:rFonts w:ascii="Arial Narrow" w:hAnsi="Arial Narrow"/>
              </w:rPr>
            </w:pPr>
            <w:r>
              <w:rPr>
                <w:rFonts w:ascii="Arial Narrow" w:hAnsi="Arial Narrow"/>
              </w:rPr>
              <w:t>A r</w:t>
            </w:r>
            <w:r w:rsidR="000C4977" w:rsidRPr="000C4977">
              <w:rPr>
                <w:rFonts w:ascii="Arial Narrow" w:hAnsi="Arial Narrow"/>
              </w:rPr>
              <w:t xml:space="preserve">isk of bias assessment tool for RCTs </w:t>
            </w:r>
            <w:r>
              <w:rPr>
                <w:rFonts w:ascii="Arial Narrow" w:hAnsi="Arial Narrow"/>
              </w:rPr>
              <w:t xml:space="preserve">was provided </w:t>
            </w:r>
            <w:r w:rsidR="000C4977" w:rsidRPr="000C4977">
              <w:rPr>
                <w:rFonts w:ascii="Arial Narrow" w:hAnsi="Arial Narrow"/>
              </w:rPr>
              <w:t xml:space="preserve">in </w:t>
            </w:r>
            <w:r>
              <w:rPr>
                <w:rFonts w:ascii="Arial Narrow" w:hAnsi="Arial Narrow"/>
              </w:rPr>
              <w:t xml:space="preserve">the </w:t>
            </w:r>
            <w:r w:rsidR="000C4977" w:rsidRPr="000C4977">
              <w:rPr>
                <w:rFonts w:ascii="Arial Narrow" w:hAnsi="Arial Narrow"/>
              </w:rPr>
              <w:t xml:space="preserve">submission. </w:t>
            </w:r>
            <w:r>
              <w:rPr>
                <w:rFonts w:ascii="Arial Narrow" w:hAnsi="Arial Narrow"/>
              </w:rPr>
              <w:t>The r</w:t>
            </w:r>
            <w:r w:rsidR="000C4977" w:rsidRPr="000C4977">
              <w:rPr>
                <w:rFonts w:ascii="Arial Narrow" w:hAnsi="Arial Narrow"/>
              </w:rPr>
              <w:t>isk of bias was assessed to be low</w:t>
            </w:r>
            <w:r>
              <w:rPr>
                <w:rFonts w:ascii="Arial Narrow" w:hAnsi="Arial Narrow"/>
              </w:rPr>
              <w:t xml:space="preserve"> by the submission, but the commentary assessed the </w:t>
            </w:r>
            <w:r w:rsidR="000C4977" w:rsidRPr="00D916CA">
              <w:rPr>
                <w:rFonts w:ascii="Arial Narrow" w:hAnsi="Arial Narrow"/>
              </w:rPr>
              <w:t>risk of bias in HRD subgroups may be high in PAOLA-1 and Coleman 2017</w:t>
            </w:r>
            <w:r w:rsidRPr="00D916CA">
              <w:rPr>
                <w:rFonts w:ascii="Arial Narrow" w:hAnsi="Arial Narrow"/>
              </w:rPr>
              <w:t>.</w:t>
            </w:r>
          </w:p>
        </w:tc>
      </w:tr>
      <w:tr w:rsidR="000C4977" w:rsidRPr="000C4977" w14:paraId="2224C832" w14:textId="77777777" w:rsidTr="373443CE">
        <w:trPr>
          <w:cantSplit/>
        </w:trPr>
        <w:tc>
          <w:tcPr>
            <w:tcW w:w="705" w:type="pct"/>
            <w:tcBorders>
              <w:top w:val="single" w:sz="4" w:space="0" w:color="auto"/>
              <w:left w:val="single" w:sz="4" w:space="0" w:color="auto"/>
              <w:bottom w:val="single" w:sz="4" w:space="0" w:color="auto"/>
              <w:right w:val="single" w:sz="4" w:space="0" w:color="auto"/>
            </w:tcBorders>
            <w:vAlign w:val="center"/>
            <w:hideMark/>
          </w:tcPr>
          <w:p w14:paraId="05CBB8BE" w14:textId="77777777" w:rsidR="000C4977" w:rsidRPr="000C4977" w:rsidRDefault="000C4977" w:rsidP="004E67C5">
            <w:pPr>
              <w:widowControl w:val="0"/>
              <w:spacing w:before="0"/>
              <w:jc w:val="left"/>
              <w:rPr>
                <w:rFonts w:ascii="Arial Narrow" w:hAnsi="Arial Narrow"/>
              </w:rPr>
            </w:pPr>
            <w:r w:rsidRPr="000C4977">
              <w:rPr>
                <w:rFonts w:ascii="Arial Narrow" w:hAnsi="Arial Narrow"/>
              </w:rPr>
              <w:lastRenderedPageBreak/>
              <w:t xml:space="preserve">Change in patient management </w:t>
            </w:r>
          </w:p>
        </w:tc>
        <w:tc>
          <w:tcPr>
            <w:tcW w:w="2044" w:type="pct"/>
            <w:tcBorders>
              <w:top w:val="single" w:sz="4" w:space="0" w:color="auto"/>
              <w:left w:val="single" w:sz="4" w:space="0" w:color="auto"/>
              <w:bottom w:val="single" w:sz="4" w:space="0" w:color="auto"/>
              <w:right w:val="single" w:sz="4" w:space="0" w:color="auto"/>
            </w:tcBorders>
            <w:vAlign w:val="center"/>
            <w:hideMark/>
          </w:tcPr>
          <w:p w14:paraId="5190B25C" w14:textId="72E58ED1" w:rsidR="000C4977" w:rsidRPr="000C4977" w:rsidRDefault="000C4977" w:rsidP="00D916CA">
            <w:pPr>
              <w:widowControl w:val="0"/>
              <w:spacing w:before="0"/>
              <w:rPr>
                <w:rFonts w:ascii="Arial Narrow" w:hAnsi="Arial Narrow"/>
              </w:rPr>
            </w:pPr>
            <w:r w:rsidRPr="000C4977">
              <w:rPr>
                <w:rFonts w:ascii="Arial Narrow" w:hAnsi="Arial Narrow"/>
                <w:iCs/>
              </w:rPr>
              <w:t>Not explicitly assessed.</w:t>
            </w:r>
          </w:p>
          <w:p w14:paraId="37175FD8" w14:textId="30F79E2B" w:rsidR="000C4977" w:rsidRPr="000C4977" w:rsidRDefault="000C4977" w:rsidP="004E67C5">
            <w:pPr>
              <w:widowControl w:val="0"/>
              <w:spacing w:before="0"/>
              <w:rPr>
                <w:rFonts w:ascii="Arial Narrow" w:hAnsi="Arial Narrow"/>
              </w:rPr>
            </w:pPr>
            <w:r w:rsidRPr="000C4977">
              <w:rPr>
                <w:rFonts w:ascii="Arial Narrow" w:hAnsi="Arial Narrow"/>
              </w:rPr>
              <w:t xml:space="preserve">The </w:t>
            </w:r>
            <w:proofErr w:type="spellStart"/>
            <w:r w:rsidRPr="000C4977">
              <w:rPr>
                <w:rFonts w:ascii="Arial Narrow" w:hAnsi="Arial Narrow"/>
              </w:rPr>
              <w:t>SOPHiA</w:t>
            </w:r>
            <w:proofErr w:type="spellEnd"/>
            <w:r w:rsidRPr="000C4977">
              <w:rPr>
                <w:rFonts w:ascii="Arial Narrow" w:hAnsi="Arial Narrow"/>
              </w:rPr>
              <w:t xml:space="preserve"> assay to be used at the </w:t>
            </w:r>
            <w:r w:rsidR="00A8205F" w:rsidRPr="00AB21C8">
              <w:rPr>
                <w:color w:val="000000"/>
                <w:spacing w:val="18"/>
                <w:w w:val="73"/>
                <w:shd w:val="solid" w:color="000000" w:fill="000000"/>
                <w:fitText w:val="220" w:id="-1450960637"/>
                <w14:textFill>
                  <w14:solidFill>
                    <w14:srgbClr w14:val="000000">
                      <w14:alpha w14:val="100000"/>
                    </w14:srgbClr>
                  </w14:solidFill>
                </w14:textFill>
              </w:rPr>
              <w:t>|</w:t>
            </w:r>
            <w:r w:rsidR="00AB21C8" w:rsidRPr="00AB21C8">
              <w:rPr>
                <w:color w:val="000000"/>
                <w:spacing w:val="18"/>
                <w:w w:val="73"/>
                <w:shd w:val="solid" w:color="000000" w:fill="000000"/>
                <w:fitText w:val="220" w:id="-1450960637"/>
                <w14:textFill>
                  <w14:solidFill>
                    <w14:srgbClr w14:val="000000">
                      <w14:alpha w14:val="100000"/>
                    </w14:srgbClr>
                  </w14:solidFill>
                </w14:textFill>
              </w:rPr>
              <w:t xml:space="preserve"> </w:t>
            </w:r>
            <w:r w:rsidR="00A8205F" w:rsidRPr="00AB21C8">
              <w:rPr>
                <w:color w:val="000000"/>
                <w:spacing w:val="2"/>
                <w:w w:val="73"/>
                <w:shd w:val="solid" w:color="000000" w:fill="000000"/>
                <w:fitText w:val="220" w:id="-1450960637"/>
                <w14:textFill>
                  <w14:solidFill>
                    <w14:srgbClr w14:val="000000">
                      <w14:alpha w14:val="100000"/>
                    </w14:srgbClr>
                  </w14:solidFill>
                </w14:textFill>
              </w:rPr>
              <w:t>|</w:t>
            </w:r>
            <w:r w:rsidR="00A8205F">
              <w:t xml:space="preserve"> </w:t>
            </w:r>
            <w:r w:rsidRPr="000C4977">
              <w:rPr>
                <w:rFonts w:ascii="Arial Narrow" w:hAnsi="Arial Narrow"/>
              </w:rPr>
              <w:t xml:space="preserve">is being validated vs Myriad </w:t>
            </w:r>
            <w:proofErr w:type="spellStart"/>
            <w:r w:rsidRPr="000C4977">
              <w:rPr>
                <w:rFonts w:ascii="Arial Narrow" w:hAnsi="Arial Narrow"/>
              </w:rPr>
              <w:t>myChoice</w:t>
            </w:r>
            <w:proofErr w:type="spellEnd"/>
            <w:r w:rsidRPr="000C4977">
              <w:rPr>
                <w:rFonts w:ascii="Arial Narrow" w:hAnsi="Arial Narrow"/>
              </w:rPr>
              <w:t xml:space="preserve">® using the GIS threshold in PAOLA-1 (42). Patients designated as HRD positive </w:t>
            </w:r>
            <w:proofErr w:type="spellStart"/>
            <w:r w:rsidRPr="000C4977">
              <w:rPr>
                <w:rFonts w:ascii="Arial Narrow" w:hAnsi="Arial Narrow"/>
                <w:i/>
                <w:iCs/>
              </w:rPr>
              <w:t>BRCA</w:t>
            </w:r>
            <w:r w:rsidRPr="000C4977">
              <w:rPr>
                <w:rFonts w:ascii="Arial Narrow" w:hAnsi="Arial Narrow"/>
              </w:rPr>
              <w:t>wt</w:t>
            </w:r>
            <w:proofErr w:type="spellEnd"/>
            <w:r w:rsidRPr="000C4977">
              <w:rPr>
                <w:rFonts w:ascii="Arial Narrow" w:hAnsi="Arial Narrow"/>
              </w:rPr>
              <w:t xml:space="preserve"> would be eligible for </w:t>
            </w:r>
            <w:proofErr w:type="spellStart"/>
            <w:r w:rsidRPr="000C4977">
              <w:rPr>
                <w:rFonts w:ascii="Arial Narrow" w:hAnsi="Arial Narrow"/>
              </w:rPr>
              <w:t>olaparib</w:t>
            </w:r>
            <w:proofErr w:type="spellEnd"/>
            <w:r w:rsidRPr="000C4977">
              <w:rPr>
                <w:rFonts w:ascii="Arial Narrow" w:hAnsi="Arial Narrow"/>
              </w:rPr>
              <w:t xml:space="preserve"> + bevacizumab treatment.</w:t>
            </w:r>
          </w:p>
        </w:tc>
        <w:tc>
          <w:tcPr>
            <w:tcW w:w="786" w:type="pct"/>
            <w:tcBorders>
              <w:top w:val="single" w:sz="4" w:space="0" w:color="auto"/>
              <w:left w:val="single" w:sz="4" w:space="0" w:color="auto"/>
              <w:bottom w:val="single" w:sz="4" w:space="0" w:color="auto"/>
              <w:right w:val="single" w:sz="4" w:space="0" w:color="auto"/>
            </w:tcBorders>
            <w:vAlign w:val="center"/>
            <w:hideMark/>
          </w:tcPr>
          <w:p w14:paraId="16C4B4F1" w14:textId="77777777" w:rsidR="000C4977" w:rsidRPr="000C4977" w:rsidRDefault="000C4977" w:rsidP="004E67C5">
            <w:pPr>
              <w:widowControl w:val="0"/>
              <w:spacing w:before="0"/>
              <w:jc w:val="center"/>
              <w:rPr>
                <w:rFonts w:ascii="Arial Narrow" w:hAnsi="Arial Narrow"/>
              </w:rPr>
            </w:pPr>
            <w:r w:rsidRPr="000C4977">
              <w:rPr>
                <w:rFonts w:ascii="Arial Narrow" w:hAnsi="Arial Narrow"/>
              </w:rPr>
              <w:t>k=0</w:t>
            </w:r>
            <w:r w:rsidRPr="000C4977">
              <w:rPr>
                <w:rFonts w:ascii="Arial Narrow" w:hAnsi="Arial Narrow"/>
              </w:rPr>
              <w:tab/>
              <w:t>n=0</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35E425E" w14:textId="77777777" w:rsidR="000C4977" w:rsidRPr="000C4977" w:rsidRDefault="000C4977" w:rsidP="004E67C5">
            <w:pPr>
              <w:spacing w:before="0"/>
            </w:pPr>
            <w:r w:rsidRPr="000C4977">
              <w:t>-</w:t>
            </w:r>
          </w:p>
        </w:tc>
      </w:tr>
      <w:tr w:rsidR="000C4977" w:rsidRPr="000C4977" w14:paraId="5D068CB2" w14:textId="77777777" w:rsidTr="373443CE">
        <w:trPr>
          <w:cantSplit/>
        </w:trPr>
        <w:tc>
          <w:tcPr>
            <w:tcW w:w="705" w:type="pct"/>
            <w:tcBorders>
              <w:top w:val="nil"/>
              <w:left w:val="single" w:sz="4" w:space="0" w:color="auto"/>
              <w:bottom w:val="single" w:sz="4" w:space="0" w:color="auto"/>
              <w:right w:val="single" w:sz="4" w:space="0" w:color="auto"/>
            </w:tcBorders>
            <w:vAlign w:val="center"/>
            <w:hideMark/>
          </w:tcPr>
          <w:p w14:paraId="7820FAE8" w14:textId="77777777" w:rsidR="000C4977" w:rsidRPr="000C4977" w:rsidRDefault="000C4977" w:rsidP="004E67C5">
            <w:pPr>
              <w:keepNext/>
              <w:widowControl w:val="0"/>
              <w:spacing w:before="0"/>
              <w:jc w:val="left"/>
              <w:rPr>
                <w:rFonts w:ascii="Arial Narrow" w:hAnsi="Arial Narrow"/>
              </w:rPr>
            </w:pPr>
            <w:r w:rsidRPr="000C4977">
              <w:rPr>
                <w:rFonts w:ascii="Arial Narrow" w:hAnsi="Arial Narrow"/>
              </w:rPr>
              <w:t xml:space="preserve">Predictive effect (treatment effect variation) </w:t>
            </w:r>
          </w:p>
        </w:tc>
        <w:tc>
          <w:tcPr>
            <w:tcW w:w="2044" w:type="pct"/>
            <w:tcBorders>
              <w:top w:val="nil"/>
              <w:left w:val="single" w:sz="4" w:space="0" w:color="auto"/>
              <w:bottom w:val="single" w:sz="4" w:space="0" w:color="auto"/>
              <w:right w:val="single" w:sz="4" w:space="0" w:color="auto"/>
            </w:tcBorders>
            <w:vAlign w:val="center"/>
            <w:hideMark/>
          </w:tcPr>
          <w:p w14:paraId="244680D5" w14:textId="77777777" w:rsidR="000C4977" w:rsidRPr="000C4977" w:rsidRDefault="000C4977" w:rsidP="004E67C5">
            <w:pPr>
              <w:widowControl w:val="0"/>
              <w:spacing w:before="0"/>
              <w:rPr>
                <w:rFonts w:ascii="Arial Narrow" w:hAnsi="Arial Narrow"/>
              </w:rPr>
            </w:pPr>
            <w:r w:rsidRPr="000C4977">
              <w:rPr>
                <w:rFonts w:ascii="Arial Narrow" w:hAnsi="Arial Narrow"/>
              </w:rPr>
              <w:t>Based on PAOLA-1 using primary endpoint PFS (investigator assessed).</w:t>
            </w:r>
          </w:p>
          <w:p w14:paraId="3FC92A3E" w14:textId="77777777" w:rsidR="000C4977" w:rsidRPr="000C4977" w:rsidRDefault="000C4977" w:rsidP="004E67C5">
            <w:pPr>
              <w:widowControl w:val="0"/>
              <w:spacing w:before="0"/>
              <w:rPr>
                <w:rFonts w:ascii="Arial Narrow" w:hAnsi="Arial Narrow"/>
              </w:rPr>
            </w:pPr>
            <w:r w:rsidRPr="000C4977">
              <w:rPr>
                <w:rFonts w:ascii="Arial Narrow" w:hAnsi="Arial Narrow"/>
              </w:rPr>
              <w:t xml:space="preserve">Analysis of PAOLA-1 subgroups </w:t>
            </w:r>
            <w:r w:rsidRPr="000C4977">
              <w:rPr>
                <w:rFonts w:ascii="Arial Narrow" w:hAnsi="Arial Narrow"/>
                <w:color w:val="000000" w:themeColor="text1"/>
                <w:lang w:val="en-GB"/>
              </w:rPr>
              <w:t>conducted</w:t>
            </w:r>
            <w:r w:rsidRPr="000C4977">
              <w:rPr>
                <w:rFonts w:ascii="Arial Narrow" w:hAnsi="Arial Narrow"/>
              </w:rPr>
              <w:t xml:space="preserve"> (based on HRD and </w:t>
            </w:r>
            <w:r w:rsidRPr="000C4977">
              <w:rPr>
                <w:rFonts w:ascii="Arial Narrow" w:hAnsi="Arial Narrow"/>
                <w:i/>
                <w:iCs/>
              </w:rPr>
              <w:t>BRCA</w:t>
            </w:r>
            <w:r w:rsidRPr="000C4977">
              <w:rPr>
                <w:rFonts w:ascii="Arial Narrow" w:hAnsi="Arial Narrow"/>
              </w:rPr>
              <w:t xml:space="preserve"> status, </w:t>
            </w:r>
            <w:r w:rsidRPr="000C4977">
              <w:rPr>
                <w:rFonts w:ascii="Arial Narrow" w:hAnsi="Arial Narrow"/>
                <w:color w:val="000000" w:themeColor="text1"/>
                <w:lang w:val="en-GB"/>
              </w:rPr>
              <w:t xml:space="preserve">including HRD positive </w:t>
            </w:r>
            <w:proofErr w:type="spellStart"/>
            <w:r w:rsidRPr="000C4977">
              <w:rPr>
                <w:rFonts w:ascii="Arial Narrow" w:hAnsi="Arial Narrow"/>
                <w:i/>
                <w:iCs/>
                <w:color w:val="000000" w:themeColor="text1"/>
                <w:lang w:val="en-GB"/>
              </w:rPr>
              <w:t>BRCA</w:t>
            </w:r>
            <w:r w:rsidRPr="000C4977">
              <w:rPr>
                <w:rFonts w:ascii="Arial Narrow" w:hAnsi="Arial Narrow"/>
                <w:color w:val="000000" w:themeColor="text1"/>
                <w:lang w:val="en-GB"/>
              </w:rPr>
              <w:t>wt</w:t>
            </w:r>
            <w:proofErr w:type="spellEnd"/>
            <w:r w:rsidRPr="000C4977">
              <w:rPr>
                <w:rFonts w:ascii="Arial Narrow" w:hAnsi="Arial Narrow"/>
                <w:color w:val="000000" w:themeColor="text1"/>
                <w:lang w:val="en-GB"/>
              </w:rPr>
              <w:t>).</w:t>
            </w:r>
          </w:p>
        </w:tc>
        <w:tc>
          <w:tcPr>
            <w:tcW w:w="786" w:type="pct"/>
            <w:tcBorders>
              <w:top w:val="nil"/>
              <w:left w:val="single" w:sz="4" w:space="0" w:color="auto"/>
              <w:bottom w:val="single" w:sz="4" w:space="0" w:color="auto"/>
              <w:right w:val="single" w:sz="4" w:space="0" w:color="auto"/>
            </w:tcBorders>
            <w:vAlign w:val="center"/>
            <w:hideMark/>
          </w:tcPr>
          <w:p w14:paraId="23667593" w14:textId="77777777" w:rsidR="000C4977" w:rsidRPr="000C4977" w:rsidRDefault="000C4977" w:rsidP="004E67C5">
            <w:pPr>
              <w:widowControl w:val="0"/>
              <w:spacing w:before="0"/>
              <w:jc w:val="center"/>
              <w:rPr>
                <w:rFonts w:ascii="Arial Narrow" w:hAnsi="Arial Narrow"/>
              </w:rPr>
            </w:pPr>
            <w:r w:rsidRPr="000C4977">
              <w:rPr>
                <w:rFonts w:ascii="Arial Narrow" w:hAnsi="Arial Narrow"/>
              </w:rPr>
              <w:t>k=1</w:t>
            </w:r>
            <w:r w:rsidRPr="000C4977">
              <w:rPr>
                <w:rFonts w:ascii="Arial Narrow" w:hAnsi="Arial Narrow"/>
              </w:rPr>
              <w:tab/>
              <w:t>n=806</w:t>
            </w:r>
          </w:p>
        </w:tc>
        <w:tc>
          <w:tcPr>
            <w:tcW w:w="1465" w:type="pct"/>
            <w:tcBorders>
              <w:top w:val="nil"/>
              <w:left w:val="single" w:sz="4" w:space="0" w:color="auto"/>
              <w:bottom w:val="single" w:sz="4" w:space="0" w:color="auto"/>
              <w:right w:val="single" w:sz="4" w:space="0" w:color="auto"/>
            </w:tcBorders>
            <w:vAlign w:val="center"/>
            <w:hideMark/>
          </w:tcPr>
          <w:p w14:paraId="2CB95535" w14:textId="6AE8A504" w:rsidR="000C4977" w:rsidRPr="00D916CA" w:rsidRDefault="000C4977" w:rsidP="004E67C5">
            <w:pPr>
              <w:widowControl w:val="0"/>
              <w:spacing w:before="0"/>
              <w:rPr>
                <w:rFonts w:ascii="Arial Narrow" w:hAnsi="Arial Narrow"/>
              </w:rPr>
            </w:pPr>
            <w:r w:rsidRPr="00D916CA">
              <w:rPr>
                <w:rFonts w:ascii="Arial Narrow" w:hAnsi="Arial Narrow"/>
              </w:rPr>
              <w:t xml:space="preserve">The submission considered the risk of bias to be low however, </w:t>
            </w:r>
            <w:r w:rsidR="00D916CA" w:rsidRPr="00D916CA">
              <w:rPr>
                <w:rFonts w:ascii="Arial Narrow" w:hAnsi="Arial Narrow"/>
              </w:rPr>
              <w:t xml:space="preserve">the commentary </w:t>
            </w:r>
            <w:r w:rsidR="003E5728" w:rsidRPr="00D916CA">
              <w:rPr>
                <w:rFonts w:ascii="Arial Narrow" w:hAnsi="Arial Narrow"/>
              </w:rPr>
              <w:t>assessed</w:t>
            </w:r>
            <w:r w:rsidR="00D916CA" w:rsidRPr="00D916CA">
              <w:rPr>
                <w:rFonts w:ascii="Arial Narrow" w:hAnsi="Arial Narrow"/>
              </w:rPr>
              <w:t xml:space="preserve"> the risk of bias as likely to be at least moderate </w:t>
            </w:r>
            <w:r w:rsidRPr="00D916CA">
              <w:rPr>
                <w:rFonts w:ascii="Arial Narrow" w:hAnsi="Arial Narrow"/>
              </w:rPr>
              <w:t>given the retrospective determination of patient HRD status and the high proportion of patients with unknown HRD status (17.6% of the total PAOLA-1 population).</w:t>
            </w:r>
          </w:p>
        </w:tc>
      </w:tr>
    </w:tbl>
    <w:p w14:paraId="5F507C94" w14:textId="4415EFEC" w:rsidR="000C4977" w:rsidRPr="000C4977" w:rsidRDefault="000C4977" w:rsidP="004E67C5">
      <w:pPr>
        <w:widowControl w:val="0"/>
        <w:spacing w:before="0" w:after="0"/>
        <w:contextualSpacing/>
        <w:rPr>
          <w:rFonts w:ascii="Arial Narrow" w:eastAsia="Times New Roman" w:hAnsi="Arial Narrow" w:cs="Arial"/>
          <w:snapToGrid w:val="0"/>
          <w:sz w:val="18"/>
          <w:szCs w:val="18"/>
        </w:rPr>
      </w:pPr>
      <w:proofErr w:type="spellStart"/>
      <w:r w:rsidRPr="000C4977">
        <w:rPr>
          <w:rFonts w:ascii="Arial Narrow" w:eastAsia="Times New Roman" w:hAnsi="Arial Narrow" w:cs="Arial"/>
          <w:snapToGrid w:val="0"/>
          <w:sz w:val="18"/>
          <w:szCs w:val="18"/>
          <w:vertAlign w:val="superscript"/>
        </w:rPr>
        <w:t>a</w:t>
      </w:r>
      <w:proofErr w:type="spellEnd"/>
      <w:r w:rsidRPr="000C4977">
        <w:rPr>
          <w:rFonts w:ascii="Arial Narrow" w:eastAsia="Times New Roman" w:hAnsi="Arial Narrow" w:cs="Arial"/>
          <w:snapToGrid w:val="0"/>
          <w:sz w:val="18"/>
          <w:szCs w:val="18"/>
        </w:rPr>
        <w:t xml:space="preserve"> The </w:t>
      </w:r>
      <w:r w:rsidR="00A8205F" w:rsidRPr="00AB21C8">
        <w:rPr>
          <w:rFonts w:ascii="Arial Narrow" w:eastAsia="Times New Roman" w:hAnsi="Arial Narrow" w:cs="Arial"/>
          <w:snapToGrid w:val="0"/>
          <w:color w:val="000000"/>
          <w:w w:val="62"/>
          <w:sz w:val="18"/>
          <w:szCs w:val="18"/>
          <w:shd w:val="solid" w:color="000000" w:fill="000000"/>
          <w:fitText w:val="148" w:id="-1450960636"/>
          <w14:textFill>
            <w14:solidFill>
              <w14:srgbClr w14:val="000000">
                <w14:alpha w14:val="100000"/>
              </w14:srgbClr>
            </w14:solidFill>
          </w14:textFill>
        </w:rPr>
        <w:t>|</w:t>
      </w:r>
      <w:proofErr w:type="gramStart"/>
      <w:r w:rsidR="00A8205F" w:rsidRPr="00AB21C8">
        <w:rPr>
          <w:rFonts w:ascii="Arial Narrow" w:eastAsia="Times New Roman" w:hAnsi="Arial Narrow" w:cs="Arial"/>
          <w:snapToGrid w:val="0"/>
          <w:color w:val="000000"/>
          <w:w w:val="62"/>
          <w:sz w:val="18"/>
          <w:szCs w:val="18"/>
          <w:shd w:val="solid" w:color="000000" w:fill="000000"/>
          <w:fitText w:val="148" w:id="-1450960636"/>
          <w14:textFill>
            <w14:solidFill>
              <w14:srgbClr w14:val="000000">
                <w14:alpha w14:val="100000"/>
              </w14:srgbClr>
            </w14:solidFill>
          </w14:textFill>
        </w:rPr>
        <w:t>|  |</w:t>
      </w:r>
      <w:proofErr w:type="gramEnd"/>
      <w:r w:rsidR="00A8205F" w:rsidRPr="00AB21C8">
        <w:rPr>
          <w:rFonts w:ascii="Arial Narrow" w:eastAsia="Times New Roman" w:hAnsi="Arial Narrow" w:cs="Arial"/>
          <w:snapToGrid w:val="0"/>
          <w:color w:val="000000"/>
          <w:spacing w:val="2"/>
          <w:w w:val="62"/>
          <w:sz w:val="18"/>
          <w:szCs w:val="18"/>
          <w:shd w:val="solid" w:color="000000" w:fill="000000"/>
          <w:fitText w:val="148" w:id="-1450960636"/>
          <w14:textFill>
            <w14:solidFill>
              <w14:srgbClr w14:val="000000">
                <w14:alpha w14:val="100000"/>
              </w14:srgbClr>
            </w14:solidFill>
          </w14:textFill>
        </w:rPr>
        <w:t>|</w:t>
      </w:r>
      <w:r w:rsidR="00A8205F">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 validation of the </w:t>
      </w:r>
      <w:proofErr w:type="spellStart"/>
      <w:r w:rsidRPr="000C4977">
        <w:rPr>
          <w:rFonts w:ascii="Arial Narrow" w:eastAsia="Times New Roman" w:hAnsi="Arial Narrow" w:cs="Arial"/>
          <w:snapToGrid w:val="0"/>
          <w:sz w:val="18"/>
          <w:szCs w:val="18"/>
        </w:rPr>
        <w:t>SOPHiA</w:t>
      </w:r>
      <w:proofErr w:type="spellEnd"/>
      <w:r w:rsidRPr="000C4977">
        <w:rPr>
          <w:rFonts w:ascii="Arial Narrow" w:eastAsia="Times New Roman" w:hAnsi="Arial Narrow" w:cs="Arial"/>
          <w:snapToGrid w:val="0"/>
          <w:sz w:val="18"/>
          <w:szCs w:val="18"/>
        </w:rPr>
        <w:t xml:space="preserve"> test used 32 samples for phase 1 and 46 samples for phase 2.</w:t>
      </w:r>
    </w:p>
    <w:p w14:paraId="2DC81388" w14:textId="77777777" w:rsidR="000C4977" w:rsidRPr="000C4977" w:rsidRDefault="000C4977" w:rsidP="004E67C5">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PAOLA-1 included for both accuracy and performance and for prognostic evidence</w:t>
      </w:r>
    </w:p>
    <w:p w14:paraId="6FA2131B" w14:textId="1A18C2DE" w:rsidR="000C4977" w:rsidRPr="000C4977" w:rsidRDefault="000C4977" w:rsidP="004E67C5">
      <w:pPr>
        <w:widowControl w:val="0"/>
        <w:spacing w:before="0" w:after="0"/>
        <w:contextualSpacing/>
        <w:rPr>
          <w:rFonts w:ascii="Arial Narrow" w:eastAsia="Times New Roman" w:hAnsi="Arial Narrow" w:cs="Arial"/>
          <w:snapToGrid w:val="0"/>
          <w:sz w:val="18"/>
          <w:szCs w:val="18"/>
        </w:rPr>
      </w:pPr>
      <w:proofErr w:type="spellStart"/>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wt</w:t>
      </w:r>
      <w:proofErr w:type="spellEnd"/>
      <w:r w:rsidRPr="000C4977">
        <w:rPr>
          <w:rFonts w:ascii="Arial Narrow" w:eastAsia="Times New Roman" w:hAnsi="Arial Narrow" w:cs="Arial"/>
          <w:snapToGrid w:val="0"/>
          <w:sz w:val="18"/>
          <w:szCs w:val="18"/>
        </w:rPr>
        <w:t xml:space="preserve"> = breast cancer gene wild type; HGEOC = high grade epithelial ovarian cancer; HRD = homologous recombination deficiency; HRR = homologous recombination repair; </w:t>
      </w:r>
      <w:r w:rsidR="002F0BC8" w:rsidRPr="000C4977">
        <w:rPr>
          <w:rFonts w:ascii="Arial Narrow" w:eastAsia="Times New Roman" w:hAnsi="Arial Narrow" w:cs="Arial"/>
          <w:snapToGrid w:val="0"/>
          <w:sz w:val="18"/>
          <w:szCs w:val="18"/>
        </w:rPr>
        <w:t>k</w:t>
      </w:r>
      <w:r w:rsidR="002F0BC8">
        <w:rPr>
          <w:rFonts w:ascii="Arial Narrow" w:eastAsia="Times New Roman" w:hAnsi="Arial Narrow" w:cs="Arial"/>
          <w:snapToGrid w:val="0"/>
          <w:sz w:val="18"/>
          <w:szCs w:val="18"/>
        </w:rPr>
        <w:t xml:space="preserve"> </w:t>
      </w:r>
      <w:r w:rsidR="002F0BC8" w:rsidRPr="000C4977">
        <w:rPr>
          <w:rFonts w:ascii="Arial Narrow" w:eastAsia="Times New Roman" w:hAnsi="Arial Narrow" w:cs="Arial"/>
          <w:snapToGrid w:val="0"/>
          <w:sz w:val="18"/>
          <w:szCs w:val="18"/>
        </w:rPr>
        <w:t>=</w:t>
      </w:r>
      <w:r w:rsidR="002F0BC8">
        <w:rPr>
          <w:rFonts w:ascii="Arial Narrow" w:eastAsia="Times New Roman" w:hAnsi="Arial Narrow" w:cs="Arial"/>
          <w:snapToGrid w:val="0"/>
          <w:sz w:val="18"/>
          <w:szCs w:val="18"/>
        </w:rPr>
        <w:t xml:space="preserve"> </w:t>
      </w:r>
      <w:r w:rsidR="002F0BC8" w:rsidRPr="000C4977">
        <w:rPr>
          <w:rFonts w:ascii="Arial Narrow" w:eastAsia="Times New Roman" w:hAnsi="Arial Narrow" w:cs="Arial"/>
          <w:snapToGrid w:val="0"/>
          <w:sz w:val="18"/>
          <w:szCs w:val="18"/>
        </w:rPr>
        <w:t>number of studies; n</w:t>
      </w:r>
      <w:r w:rsidR="002F0BC8">
        <w:rPr>
          <w:rFonts w:ascii="Arial Narrow" w:eastAsia="Times New Roman" w:hAnsi="Arial Narrow" w:cs="Arial"/>
          <w:snapToGrid w:val="0"/>
          <w:sz w:val="18"/>
          <w:szCs w:val="18"/>
        </w:rPr>
        <w:t xml:space="preserve"> </w:t>
      </w:r>
      <w:r w:rsidR="002F0BC8" w:rsidRPr="000C4977">
        <w:rPr>
          <w:rFonts w:ascii="Arial Narrow" w:eastAsia="Times New Roman" w:hAnsi="Arial Narrow" w:cs="Arial"/>
          <w:snapToGrid w:val="0"/>
          <w:sz w:val="18"/>
          <w:szCs w:val="18"/>
        </w:rPr>
        <w:t>=</w:t>
      </w:r>
      <w:r w:rsidR="002F0BC8">
        <w:rPr>
          <w:rFonts w:ascii="Arial Narrow" w:eastAsia="Times New Roman" w:hAnsi="Arial Narrow" w:cs="Arial"/>
          <w:snapToGrid w:val="0"/>
          <w:sz w:val="18"/>
          <w:szCs w:val="18"/>
        </w:rPr>
        <w:t xml:space="preserve"> </w:t>
      </w:r>
      <w:r w:rsidR="002F0BC8" w:rsidRPr="000C4977">
        <w:rPr>
          <w:rFonts w:ascii="Arial Narrow" w:eastAsia="Times New Roman" w:hAnsi="Arial Narrow" w:cs="Arial"/>
          <w:snapToGrid w:val="0"/>
          <w:sz w:val="18"/>
          <w:szCs w:val="18"/>
        </w:rPr>
        <w:t xml:space="preserve">number of patients; </w:t>
      </w:r>
      <w:r w:rsidRPr="000C4977">
        <w:rPr>
          <w:rFonts w:ascii="Arial Narrow" w:eastAsia="Times New Roman" w:hAnsi="Arial Narrow" w:cs="Arial"/>
          <w:snapToGrid w:val="0"/>
          <w:sz w:val="18"/>
          <w:szCs w:val="18"/>
          <w:lang w:eastAsia="zh-CN"/>
        </w:rPr>
        <w:t>NGS = next</w:t>
      </w:r>
      <w:r w:rsidR="002F0BC8">
        <w:rPr>
          <w:rFonts w:ascii="Arial Narrow" w:eastAsia="Times New Roman" w:hAnsi="Arial Narrow" w:cs="Arial"/>
          <w:snapToGrid w:val="0"/>
          <w:sz w:val="18"/>
          <w:szCs w:val="18"/>
          <w:lang w:eastAsia="zh-CN"/>
        </w:rPr>
        <w:t xml:space="preserve"> </w:t>
      </w:r>
      <w:r w:rsidRPr="000C4977">
        <w:rPr>
          <w:rFonts w:ascii="Arial Narrow" w:eastAsia="Times New Roman" w:hAnsi="Arial Narrow" w:cs="Arial"/>
          <w:snapToGrid w:val="0"/>
          <w:sz w:val="18"/>
          <w:szCs w:val="18"/>
          <w:lang w:eastAsia="zh-CN"/>
        </w:rPr>
        <w:t>generation sequencing;</w:t>
      </w:r>
      <w:r w:rsidRPr="000C4977">
        <w:rPr>
          <w:rFonts w:ascii="Arial Narrow" w:eastAsia="Times New Roman" w:hAnsi="Arial Narrow" w:cs="Arial"/>
          <w:snapToGrid w:val="0"/>
          <w:sz w:val="18"/>
          <w:szCs w:val="18"/>
        </w:rPr>
        <w:t xml:space="preserve"> PFS = progression</w:t>
      </w:r>
      <w:r w:rsidR="004E7388">
        <w:rPr>
          <w:rFonts w:ascii="Arial Narrow" w:eastAsia="Times New Roman" w:hAnsi="Arial Narrow" w:cs="Arial"/>
          <w:snapToGrid w:val="0"/>
          <w:sz w:val="18"/>
          <w:szCs w:val="18"/>
        </w:rPr>
        <w:t>-</w:t>
      </w:r>
      <w:r w:rsidRPr="000C4977">
        <w:rPr>
          <w:rFonts w:ascii="Arial Narrow" w:eastAsia="Times New Roman" w:hAnsi="Arial Narrow" w:cs="Arial"/>
          <w:snapToGrid w:val="0"/>
          <w:sz w:val="18"/>
          <w:szCs w:val="18"/>
        </w:rPr>
        <w:t xml:space="preserve">free survival; </w:t>
      </w:r>
      <w:r w:rsidR="00A8205F" w:rsidRPr="00A8205F">
        <w:rPr>
          <w:rFonts w:ascii="Arial Narrow" w:eastAsia="Times New Roman" w:hAnsi="Arial Narrow" w:cs="Arial"/>
          <w:snapToGrid w:val="0"/>
          <w:color w:val="000000"/>
          <w:spacing w:val="8"/>
          <w:w w:val="44"/>
          <w:sz w:val="18"/>
          <w:szCs w:val="18"/>
          <w:shd w:val="solid" w:color="000000" w:fill="000000"/>
          <w:fitText w:val="148" w:id="-1450960635"/>
          <w14:textFill>
            <w14:solidFill>
              <w14:srgbClr w14:val="000000">
                <w14:alpha w14:val="100000"/>
              </w14:srgbClr>
            </w14:solidFill>
          </w14:textFill>
        </w:rPr>
        <w:t>|</w:t>
      </w:r>
      <w:proofErr w:type="gramStart"/>
      <w:r w:rsidR="00A8205F" w:rsidRPr="00A8205F">
        <w:rPr>
          <w:rFonts w:ascii="Arial Narrow" w:eastAsia="Times New Roman" w:hAnsi="Arial Narrow" w:cs="Arial"/>
          <w:snapToGrid w:val="0"/>
          <w:color w:val="000000"/>
          <w:spacing w:val="8"/>
          <w:w w:val="44"/>
          <w:sz w:val="18"/>
          <w:szCs w:val="18"/>
          <w:shd w:val="solid" w:color="000000" w:fill="000000"/>
          <w:fitText w:val="148" w:id="-1450960635"/>
          <w14:textFill>
            <w14:solidFill>
              <w14:srgbClr w14:val="000000">
                <w14:alpha w14:val="100000"/>
              </w14:srgbClr>
            </w14:solidFill>
          </w14:textFill>
        </w:rPr>
        <w:t>|  |</w:t>
      </w:r>
      <w:proofErr w:type="gramEnd"/>
      <w:r w:rsidR="00A8205F" w:rsidRPr="00A8205F">
        <w:rPr>
          <w:rFonts w:ascii="Arial Narrow" w:eastAsia="Times New Roman" w:hAnsi="Arial Narrow" w:cs="Arial"/>
          <w:snapToGrid w:val="0"/>
          <w:color w:val="000000"/>
          <w:spacing w:val="5"/>
          <w:w w:val="44"/>
          <w:sz w:val="18"/>
          <w:szCs w:val="18"/>
          <w:shd w:val="solid" w:color="000000" w:fill="000000"/>
          <w:fitText w:val="148" w:id="-1450960635"/>
          <w14:textFill>
            <w14:solidFill>
              <w14:srgbClr w14:val="000000">
                <w14:alpha w14:val="100000"/>
              </w14:srgbClr>
            </w14:solidFill>
          </w14:textFill>
        </w:rPr>
        <w:t>|</w:t>
      </w:r>
      <w:r w:rsidR="00A8205F" w:rsidRPr="00A8205F">
        <w:rPr>
          <w:rFonts w:ascii="Arial Narrow" w:eastAsia="Times New Roman" w:hAnsi="Arial Narrow" w:cs="Arial"/>
          <w:snapToGrid w:val="0"/>
          <w:sz w:val="18"/>
          <w:szCs w:val="18"/>
        </w:rPr>
        <w:t xml:space="preserve"> </w:t>
      </w:r>
      <w:r w:rsidR="002F0BC8" w:rsidRPr="000C4977">
        <w:rPr>
          <w:rFonts w:ascii="Arial Narrow" w:eastAsia="Times New Roman" w:hAnsi="Arial Narrow" w:cs="Arial"/>
          <w:snapToGrid w:val="0"/>
          <w:sz w:val="18"/>
          <w:szCs w:val="18"/>
        </w:rPr>
        <w:t xml:space="preserve"> = </w:t>
      </w:r>
      <w:r w:rsidR="00A8205F" w:rsidRPr="00A8205F">
        <w:rPr>
          <w:rFonts w:ascii="Arial Narrow" w:eastAsia="Times New Roman" w:hAnsi="Arial Narrow" w:cs="Arial"/>
          <w:snapToGrid w:val="0"/>
          <w:color w:val="000000"/>
          <w:spacing w:val="8"/>
          <w:w w:val="40"/>
          <w:sz w:val="18"/>
          <w:szCs w:val="18"/>
          <w:shd w:val="solid" w:color="000000" w:fill="000000"/>
          <w:fitText w:val="136" w:id="-1450960634"/>
          <w14:textFill>
            <w14:solidFill>
              <w14:srgbClr w14:val="000000">
                <w14:alpha w14:val="100000"/>
              </w14:srgbClr>
            </w14:solidFill>
          </w14:textFill>
        </w:rPr>
        <w:t>||  |</w:t>
      </w:r>
      <w:r w:rsidR="00A8205F" w:rsidRPr="00A8205F">
        <w:rPr>
          <w:rFonts w:ascii="Arial Narrow" w:eastAsia="Times New Roman" w:hAnsi="Arial Narrow" w:cs="Arial"/>
          <w:snapToGrid w:val="0"/>
          <w:color w:val="000000"/>
          <w:spacing w:val="2"/>
          <w:w w:val="40"/>
          <w:sz w:val="18"/>
          <w:szCs w:val="18"/>
          <w:shd w:val="solid" w:color="000000" w:fill="000000"/>
          <w:fitText w:val="136" w:id="-1450960634"/>
          <w14:textFill>
            <w14:solidFill>
              <w14:srgbClr w14:val="000000">
                <w14:alpha w14:val="100000"/>
              </w14:srgbClr>
            </w14:solidFill>
          </w14:textFill>
        </w:rPr>
        <w:t>|</w:t>
      </w:r>
      <w:r w:rsidR="002F0BC8" w:rsidRPr="000C4977">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QUADAS-2 = Quality Assessment of Diagnostic Accuracy Studies 2; RCT = randomised controlled trial</w:t>
      </w:r>
    </w:p>
    <w:p w14:paraId="37C3F6AF" w14:textId="083BC3C0" w:rsidR="000C4977" w:rsidRPr="000C4977" w:rsidRDefault="000C4977" w:rsidP="00474E58">
      <w:pPr>
        <w:widowControl w:val="0"/>
        <w:spacing w:before="0" w:after="240"/>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w:t>
      </w:r>
      <w:r w:rsidR="00474E58">
        <w:rPr>
          <w:rFonts w:ascii="Arial Narrow" w:eastAsia="Times New Roman" w:hAnsi="Arial Narrow" w:cs="Arial"/>
          <w:snapToGrid w:val="0"/>
          <w:sz w:val="18"/>
          <w:szCs w:val="20"/>
        </w:rPr>
        <w:t xml:space="preserve"> the</w:t>
      </w:r>
      <w:r w:rsidRPr="000C4977">
        <w:rPr>
          <w:rFonts w:ascii="Arial Narrow" w:eastAsia="Times New Roman" w:hAnsi="Arial Narrow" w:cs="Arial"/>
          <w:snapToGrid w:val="0"/>
          <w:sz w:val="18"/>
          <w:szCs w:val="20"/>
        </w:rPr>
        <w:t xml:space="preserve"> evaluation</w:t>
      </w:r>
    </w:p>
    <w:p w14:paraId="13EFACBF" w14:textId="4D603619" w:rsidR="000C4977" w:rsidRPr="000C4977" w:rsidRDefault="004C0EB2"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23" w:name="_Toc69491423"/>
      <w:r>
        <w:rPr>
          <w:rFonts w:ascii="Franklin Gothic Medium" w:eastAsiaTheme="majorEastAsia" w:hAnsi="Franklin Gothic Medium" w:cstheme="majorBidi"/>
          <w:color w:val="000000" w:themeColor="text1"/>
          <w:sz w:val="32"/>
          <w:szCs w:val="26"/>
        </w:rPr>
        <w:t>11</w:t>
      </w:r>
      <w:r w:rsidR="000C4977" w:rsidRPr="000C4977">
        <w:rPr>
          <w:rFonts w:ascii="Franklin Gothic Medium" w:eastAsiaTheme="majorEastAsia" w:hAnsi="Franklin Gothic Medium" w:cstheme="majorBidi"/>
          <w:color w:val="000000" w:themeColor="text1"/>
          <w:sz w:val="32"/>
          <w:szCs w:val="26"/>
        </w:rPr>
        <w:t>.</w:t>
      </w:r>
      <w:r w:rsidR="000C4977" w:rsidRPr="000C4977">
        <w:rPr>
          <w:rFonts w:ascii="Franklin Gothic Medium" w:eastAsiaTheme="majorEastAsia" w:hAnsi="Franklin Gothic Medium" w:cstheme="majorBidi"/>
          <w:color w:val="000000" w:themeColor="text1"/>
          <w:sz w:val="32"/>
          <w:szCs w:val="26"/>
        </w:rPr>
        <w:tab/>
        <w:t>Comparative safety</w:t>
      </w:r>
      <w:bookmarkEnd w:id="23"/>
    </w:p>
    <w:p w14:paraId="6CC2E1F7" w14:textId="77777777" w:rsidR="000C4977" w:rsidRPr="000C4977" w:rsidRDefault="000C4977" w:rsidP="000C4977">
      <w:pPr>
        <w:keepNext/>
        <w:keepLines/>
        <w:tabs>
          <w:tab w:val="left" w:pos="851"/>
        </w:tabs>
        <w:spacing w:before="360" w:after="200" w:line="259" w:lineRule="auto"/>
        <w:jc w:val="left"/>
        <w:outlineLvl w:val="2"/>
        <w:rPr>
          <w:rFonts w:ascii="Franklin Gothic Medium" w:eastAsiaTheme="majorEastAsia" w:hAnsi="Franklin Gothic Medium" w:cstheme="majorBidi"/>
          <w:szCs w:val="24"/>
        </w:rPr>
      </w:pPr>
      <w:r w:rsidRPr="000C4977">
        <w:rPr>
          <w:rFonts w:ascii="Franklin Gothic Medium" w:eastAsiaTheme="majorEastAsia" w:hAnsi="Franklin Gothic Medium" w:cstheme="majorBidi"/>
          <w:szCs w:val="24"/>
        </w:rPr>
        <w:t>Adverse events from testing</w:t>
      </w:r>
    </w:p>
    <w:p w14:paraId="0B63C4FC" w14:textId="1AEDD252" w:rsidR="000C4977" w:rsidRPr="00474E58" w:rsidRDefault="000C4977" w:rsidP="000C4977">
      <w:pPr>
        <w:spacing w:line="259" w:lineRule="auto"/>
        <w:jc w:val="left"/>
      </w:pPr>
      <w:r w:rsidRPr="00CD7C8F">
        <w:t xml:space="preserve">The submission reasonably stated that most patients with HGEOC undergo collection of a tumour sample for genetic testing as part of standard of care and it is therefore not expected that a new tumour sample would be required for </w:t>
      </w:r>
      <w:proofErr w:type="gramStart"/>
      <w:r w:rsidRPr="00CD7C8F">
        <w:t>the majority of</w:t>
      </w:r>
      <w:proofErr w:type="gramEnd"/>
      <w:r w:rsidRPr="00CD7C8F">
        <w:t xml:space="preserve"> patients, assuming that the first extraction was adequate. Failure in testing or inconclusive results from HRD tests occurred in around 17.6% of tests in PAOLA-1. The pre-ESC response considered the test failure rate in clinical practice would be approximately 10%. While the proposed HRD test uses less tissue than conducting </w:t>
      </w:r>
      <w:r w:rsidRPr="00CD7C8F">
        <w:rPr>
          <w:i/>
          <w:iCs/>
        </w:rPr>
        <w:t>BRCA</w:t>
      </w:r>
      <w:r w:rsidRPr="00CD7C8F">
        <w:t xml:space="preserve"> and</w:t>
      </w:r>
      <w:r w:rsidR="009339A5" w:rsidRPr="00CD7C8F">
        <w:t xml:space="preserve"> genomic instability </w:t>
      </w:r>
      <w:r w:rsidRPr="00CD7C8F">
        <w:t xml:space="preserve">testing one after the other, it is not clear if the proposed HRD test uses more tissue than the currently used </w:t>
      </w:r>
      <w:r w:rsidRPr="00CD7C8F">
        <w:rPr>
          <w:i/>
          <w:iCs/>
        </w:rPr>
        <w:t>BRCA</w:t>
      </w:r>
      <w:r w:rsidRPr="00CD7C8F">
        <w:t xml:space="preserve"> test. The submission did not detail what would happen in clinical practice if the amount of tissue sample available proved to be inadequate for testing</w:t>
      </w:r>
      <w:bookmarkStart w:id="24" w:name="_Hlk99967019"/>
      <w:r w:rsidRPr="00CD7C8F">
        <w:t xml:space="preserve"> other than to state (p128) that in the instance a new tumour sample and subsequent biopsy is necessary, it was assumed</w:t>
      </w:r>
      <w:r w:rsidRPr="000C4977">
        <w:t xml:space="preserve"> that the risk/benefit profile of tumour extraction would be properly assessed and managed by radiologists, surgeons, </w:t>
      </w:r>
      <w:proofErr w:type="gramStart"/>
      <w:r w:rsidRPr="000C4977">
        <w:t>oncologists</w:t>
      </w:r>
      <w:proofErr w:type="gramEnd"/>
      <w:r w:rsidRPr="000C4977">
        <w:t xml:space="preserve"> and pathologists. </w:t>
      </w:r>
      <w:bookmarkEnd w:id="24"/>
      <w:r w:rsidRPr="000C4977">
        <w:t>No consideration for failed tests was included in the economic or financial estimates in the submission.</w:t>
      </w:r>
    </w:p>
    <w:p w14:paraId="0D889B97" w14:textId="77777777" w:rsidR="000C4977" w:rsidRPr="000C4977" w:rsidRDefault="000C4977" w:rsidP="000C4977">
      <w:pPr>
        <w:keepNext/>
        <w:keepLines/>
        <w:tabs>
          <w:tab w:val="left" w:pos="851"/>
        </w:tabs>
        <w:spacing w:before="360" w:after="200" w:line="259" w:lineRule="auto"/>
        <w:jc w:val="left"/>
        <w:outlineLvl w:val="2"/>
        <w:rPr>
          <w:rFonts w:ascii="Franklin Gothic Medium" w:eastAsiaTheme="majorEastAsia" w:hAnsi="Franklin Gothic Medium" w:cstheme="majorBidi"/>
          <w:szCs w:val="24"/>
        </w:rPr>
      </w:pPr>
      <w:r w:rsidRPr="000C4977">
        <w:rPr>
          <w:rFonts w:ascii="Franklin Gothic Medium" w:eastAsiaTheme="majorEastAsia" w:hAnsi="Franklin Gothic Medium" w:cstheme="majorBidi"/>
          <w:szCs w:val="24"/>
        </w:rPr>
        <w:t>Adverse events from changes in management</w:t>
      </w:r>
    </w:p>
    <w:p w14:paraId="4CC5B17E" w14:textId="51C65322" w:rsidR="000C4977" w:rsidRPr="00474E58" w:rsidRDefault="000C4977" w:rsidP="000C4977">
      <w:pPr>
        <w:spacing w:line="259" w:lineRule="auto"/>
        <w:jc w:val="left"/>
      </w:pPr>
      <w:bookmarkStart w:id="25" w:name="_Hlk103082759"/>
      <w:r w:rsidRPr="000C4977">
        <w:t xml:space="preserve">The submission did not present any safety data specifically for patients whose HGEOC tumours were HRD positive </w:t>
      </w:r>
      <w:proofErr w:type="spellStart"/>
      <w:r w:rsidRPr="000C4977">
        <w:rPr>
          <w:i/>
          <w:iCs/>
        </w:rPr>
        <w:t>BRCA</w:t>
      </w:r>
      <w:r w:rsidRPr="000C4977">
        <w:t>wt</w:t>
      </w:r>
      <w:proofErr w:type="spellEnd"/>
      <w:r w:rsidRPr="000C4977">
        <w:t xml:space="preserve">. Only results for the PAOLA-1 safety analysis set (SAS) were available which allowed the comparison of </w:t>
      </w:r>
      <w:proofErr w:type="spellStart"/>
      <w:r w:rsidRPr="000C4977">
        <w:t>olaparib</w:t>
      </w:r>
      <w:proofErr w:type="spellEnd"/>
      <w:r w:rsidRPr="000C4977">
        <w:t xml:space="preserve"> plus bevacizumab versus bevacizumab monotherapy.</w:t>
      </w:r>
    </w:p>
    <w:bookmarkEnd w:id="25"/>
    <w:p w14:paraId="75FEB8F2" w14:textId="7DCF58A2" w:rsidR="000C4977" w:rsidRPr="000C4977" w:rsidRDefault="000C4977" w:rsidP="000C4977">
      <w:pPr>
        <w:spacing w:line="259" w:lineRule="auto"/>
        <w:jc w:val="left"/>
      </w:pPr>
      <w:r w:rsidRPr="000C4977">
        <w:t xml:space="preserve">Overall, among patients in the safety population, there were generally more severe (Common Terminology Criteria for Adverse Events (CTCAE) grade </w:t>
      </w:r>
      <w:r w:rsidRPr="000C4977">
        <w:rPr>
          <w:rFonts w:cs="Arial"/>
        </w:rPr>
        <w:t>≥</w:t>
      </w:r>
      <w:r w:rsidRPr="000C4977">
        <w:t xml:space="preserve">3) AEs reported in the </w:t>
      </w:r>
      <w:proofErr w:type="spellStart"/>
      <w:r w:rsidRPr="000C4977">
        <w:t>olaparib</w:t>
      </w:r>
      <w:proofErr w:type="spellEnd"/>
      <w:r w:rsidRPr="000C4977">
        <w:t xml:space="preserve"> plus bevacizumab arm compared with the placebo plus bevacizumab arm, as shown in the table below.</w:t>
      </w:r>
    </w:p>
    <w:p w14:paraId="38583CEE" w14:textId="64A162E5" w:rsidR="00546B21" w:rsidRDefault="00546B21" w:rsidP="00546B21">
      <w:pPr>
        <w:pStyle w:val="Caption"/>
      </w:pPr>
      <w:r>
        <w:lastRenderedPageBreak/>
        <w:t xml:space="preserve">Table </w:t>
      </w:r>
      <w:fldSimple w:instr=" SEQ Table \* ARABIC ">
        <w:r w:rsidR="00D8603B">
          <w:rPr>
            <w:noProof/>
          </w:rPr>
          <w:t>5</w:t>
        </w:r>
      </w:fldSimple>
      <w:r w:rsidRPr="00546B21">
        <w:rPr>
          <w:iCs w:val="0"/>
        </w:rPr>
        <w:tab/>
        <w:t>PAOLA-1 severe AEs of Grade ≥3 by system class, SAS (overall study duration)</w:t>
      </w:r>
    </w:p>
    <w:tbl>
      <w:tblPr>
        <w:tblStyle w:val="PBAC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560"/>
        <w:gridCol w:w="1560"/>
        <w:gridCol w:w="1791"/>
      </w:tblGrid>
      <w:tr w:rsidR="000C4977" w:rsidRPr="005A51AE" w14:paraId="1D326E04" w14:textId="77777777" w:rsidTr="00A91280">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4DAE8" w14:textId="77777777" w:rsidR="000C4977" w:rsidRPr="005A51AE" w:rsidRDefault="000C4977" w:rsidP="000C4977">
            <w:pPr>
              <w:keepNext/>
              <w:widowControl w:val="0"/>
              <w:spacing w:before="0" w:line="259" w:lineRule="auto"/>
              <w:jc w:val="left"/>
              <w:rPr>
                <w:rFonts w:ascii="Arial Narrow" w:eastAsia="Times New Roman" w:hAnsi="Arial Narrow" w:cs="Times New Roman"/>
                <w:bCs/>
                <w:color w:val="000000" w:themeColor="text1"/>
                <w:szCs w:val="20"/>
                <w:lang w:eastAsia="zh-CN"/>
              </w:rPr>
            </w:pPr>
            <w:r w:rsidRPr="005A51AE">
              <w:rPr>
                <w:rFonts w:ascii="Arial Narrow" w:eastAsia="Times New Roman" w:hAnsi="Arial Narrow" w:cs="Times New Roman"/>
                <w:bCs/>
                <w:color w:val="000000" w:themeColor="text1"/>
                <w:szCs w:val="20"/>
                <w:lang w:eastAsia="zh-CN"/>
              </w:rPr>
              <w:t>AE by system organ class &amp; preferred term, n (%)</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EDBE3" w14:textId="77777777" w:rsidR="000C4977" w:rsidRPr="005A51AE"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5A51AE">
              <w:rPr>
                <w:rFonts w:ascii="Arial Narrow" w:eastAsia="Times New Roman" w:hAnsi="Arial Narrow" w:cs="Times New Roman"/>
                <w:bCs/>
                <w:color w:val="000000" w:themeColor="text1"/>
                <w:szCs w:val="20"/>
                <w:lang w:eastAsia="zh-CN"/>
              </w:rPr>
              <w:t xml:space="preserve">Ola + </w:t>
            </w:r>
            <w:proofErr w:type="spellStart"/>
            <w:r w:rsidRPr="005A51AE">
              <w:rPr>
                <w:rFonts w:ascii="Arial Narrow" w:eastAsia="Times New Roman" w:hAnsi="Arial Narrow" w:cs="Times New Roman"/>
                <w:bCs/>
                <w:color w:val="000000" w:themeColor="text1"/>
                <w:szCs w:val="20"/>
                <w:lang w:eastAsia="zh-CN"/>
              </w:rPr>
              <w:t>beva</w:t>
            </w:r>
            <w:proofErr w:type="spellEnd"/>
          </w:p>
          <w:p w14:paraId="239652A2" w14:textId="77777777" w:rsidR="000C4977" w:rsidRPr="005A51AE"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5A51AE">
              <w:rPr>
                <w:rFonts w:ascii="Arial Narrow" w:eastAsia="Times New Roman" w:hAnsi="Arial Narrow" w:cs="Times New Roman"/>
                <w:bCs/>
                <w:color w:val="000000" w:themeColor="text1"/>
                <w:szCs w:val="20"/>
                <w:lang w:eastAsia="zh-CN"/>
              </w:rPr>
              <w:t>N=535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CC90C" w14:textId="77777777" w:rsidR="000C4977" w:rsidRPr="005A51AE"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proofErr w:type="spellStart"/>
            <w:r w:rsidRPr="005A51AE">
              <w:rPr>
                <w:rFonts w:ascii="Arial Narrow" w:eastAsia="Times New Roman" w:hAnsi="Arial Narrow" w:cs="Times New Roman"/>
                <w:bCs/>
                <w:color w:val="000000" w:themeColor="text1"/>
                <w:szCs w:val="20"/>
                <w:lang w:eastAsia="zh-CN"/>
              </w:rPr>
              <w:t>Pbo</w:t>
            </w:r>
            <w:proofErr w:type="spellEnd"/>
            <w:r w:rsidRPr="005A51AE">
              <w:rPr>
                <w:rFonts w:ascii="Arial Narrow" w:eastAsia="Times New Roman" w:hAnsi="Arial Narrow" w:cs="Times New Roman"/>
                <w:bCs/>
                <w:color w:val="000000" w:themeColor="text1"/>
                <w:szCs w:val="20"/>
                <w:lang w:eastAsia="zh-CN"/>
              </w:rPr>
              <w:t xml:space="preserve"> + </w:t>
            </w:r>
            <w:proofErr w:type="spellStart"/>
            <w:r w:rsidRPr="005A51AE">
              <w:rPr>
                <w:rFonts w:ascii="Arial Narrow" w:eastAsia="Times New Roman" w:hAnsi="Arial Narrow" w:cs="Times New Roman"/>
                <w:bCs/>
                <w:color w:val="000000" w:themeColor="text1"/>
                <w:szCs w:val="20"/>
                <w:lang w:eastAsia="zh-CN"/>
              </w:rPr>
              <w:t>beva</w:t>
            </w:r>
            <w:proofErr w:type="spellEnd"/>
          </w:p>
          <w:p w14:paraId="0EE9B40B" w14:textId="77777777" w:rsidR="000C4977" w:rsidRPr="005A51AE"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5A51AE">
              <w:rPr>
                <w:rFonts w:ascii="Arial Narrow" w:eastAsia="Times New Roman" w:hAnsi="Arial Narrow" w:cs="Times New Roman"/>
                <w:bCs/>
                <w:color w:val="000000" w:themeColor="text1"/>
                <w:szCs w:val="20"/>
                <w:lang w:eastAsia="zh-CN"/>
              </w:rPr>
              <w:t>N=267</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CC5F1" w14:textId="77777777" w:rsidR="000C4977" w:rsidRPr="00315695"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315695">
              <w:rPr>
                <w:rFonts w:ascii="Arial Narrow" w:eastAsia="Times New Roman" w:hAnsi="Arial Narrow" w:cs="Times New Roman"/>
                <w:bCs/>
                <w:color w:val="000000" w:themeColor="text1"/>
                <w:szCs w:val="20"/>
                <w:lang w:eastAsia="zh-CN"/>
              </w:rPr>
              <w:t>RR (95% CI)</w:t>
            </w:r>
          </w:p>
        </w:tc>
      </w:tr>
      <w:tr w:rsidR="000C4977" w:rsidRPr="005A51AE" w14:paraId="0CA9AA98"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32B36386"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Any AEs of CTCAE grade ≥3</w:t>
            </w:r>
          </w:p>
        </w:tc>
        <w:tc>
          <w:tcPr>
            <w:tcW w:w="865" w:type="pct"/>
            <w:tcBorders>
              <w:top w:val="single" w:sz="4" w:space="0" w:color="auto"/>
              <w:left w:val="single" w:sz="4" w:space="0" w:color="auto"/>
              <w:bottom w:val="single" w:sz="4" w:space="0" w:color="auto"/>
              <w:right w:val="single" w:sz="4" w:space="0" w:color="auto"/>
            </w:tcBorders>
            <w:hideMark/>
          </w:tcPr>
          <w:p w14:paraId="26FDDDE1"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311 (58.1)</w:t>
            </w:r>
          </w:p>
        </w:tc>
        <w:tc>
          <w:tcPr>
            <w:tcW w:w="865" w:type="pct"/>
            <w:tcBorders>
              <w:top w:val="single" w:sz="4" w:space="0" w:color="auto"/>
              <w:left w:val="single" w:sz="4" w:space="0" w:color="auto"/>
              <w:bottom w:val="single" w:sz="4" w:space="0" w:color="auto"/>
              <w:right w:val="single" w:sz="4" w:space="0" w:color="auto"/>
            </w:tcBorders>
            <w:hideMark/>
          </w:tcPr>
          <w:p w14:paraId="7435BE2D"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137 (51.3)</w:t>
            </w:r>
          </w:p>
        </w:tc>
        <w:tc>
          <w:tcPr>
            <w:tcW w:w="993" w:type="pct"/>
            <w:tcBorders>
              <w:top w:val="single" w:sz="4" w:space="0" w:color="auto"/>
              <w:left w:val="single" w:sz="4" w:space="0" w:color="auto"/>
              <w:bottom w:val="single" w:sz="4" w:space="0" w:color="auto"/>
              <w:right w:val="single" w:sz="4" w:space="0" w:color="auto"/>
            </w:tcBorders>
            <w:hideMark/>
          </w:tcPr>
          <w:p w14:paraId="4CCDC274"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1.13 (0.99, 1.31)</w:t>
            </w:r>
          </w:p>
        </w:tc>
      </w:tr>
      <w:tr w:rsidR="000C4977" w:rsidRPr="005A51AE" w14:paraId="270008AC"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64024383"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Blood and lymphatic system disorders</w:t>
            </w:r>
          </w:p>
        </w:tc>
        <w:tc>
          <w:tcPr>
            <w:tcW w:w="865" w:type="pct"/>
            <w:tcBorders>
              <w:top w:val="single" w:sz="4" w:space="0" w:color="auto"/>
              <w:left w:val="single" w:sz="4" w:space="0" w:color="auto"/>
              <w:bottom w:val="single" w:sz="4" w:space="0" w:color="auto"/>
              <w:right w:val="single" w:sz="4" w:space="0" w:color="auto"/>
            </w:tcBorders>
            <w:hideMark/>
          </w:tcPr>
          <w:p w14:paraId="45E4DE91"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141 (26.4)</w:t>
            </w:r>
          </w:p>
        </w:tc>
        <w:tc>
          <w:tcPr>
            <w:tcW w:w="865" w:type="pct"/>
            <w:tcBorders>
              <w:top w:val="single" w:sz="4" w:space="0" w:color="auto"/>
              <w:left w:val="single" w:sz="4" w:space="0" w:color="auto"/>
              <w:bottom w:val="single" w:sz="4" w:space="0" w:color="auto"/>
              <w:right w:val="single" w:sz="4" w:space="0" w:color="auto"/>
            </w:tcBorders>
            <w:hideMark/>
          </w:tcPr>
          <w:p w14:paraId="783B42AE"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12 (4.5)</w:t>
            </w:r>
          </w:p>
        </w:tc>
        <w:tc>
          <w:tcPr>
            <w:tcW w:w="993" w:type="pct"/>
            <w:tcBorders>
              <w:top w:val="single" w:sz="4" w:space="0" w:color="auto"/>
              <w:left w:val="single" w:sz="4" w:space="0" w:color="auto"/>
              <w:bottom w:val="single" w:sz="4" w:space="0" w:color="auto"/>
              <w:right w:val="single" w:sz="4" w:space="0" w:color="auto"/>
            </w:tcBorders>
            <w:hideMark/>
          </w:tcPr>
          <w:p w14:paraId="1479FD88"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5.86 (3.36, 10.35)</w:t>
            </w:r>
          </w:p>
        </w:tc>
      </w:tr>
      <w:tr w:rsidR="000C4977" w:rsidRPr="005A51AE" w14:paraId="21ED99C3"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47598626"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 xml:space="preserve">  </w:t>
            </w:r>
            <w:proofErr w:type="spellStart"/>
            <w:r w:rsidRPr="005A51AE">
              <w:rPr>
                <w:rFonts w:ascii="Arial Narrow" w:eastAsia="Times New Roman" w:hAnsi="Arial Narrow" w:cs="Times New Roman"/>
                <w:color w:val="000000" w:themeColor="text1"/>
                <w:szCs w:val="20"/>
                <w:lang w:eastAsia="zh-CN"/>
              </w:rPr>
              <w:t>Anaemia</w:t>
            </w:r>
            <w:proofErr w:type="spellEnd"/>
          </w:p>
        </w:tc>
        <w:tc>
          <w:tcPr>
            <w:tcW w:w="865" w:type="pct"/>
            <w:tcBorders>
              <w:top w:val="single" w:sz="4" w:space="0" w:color="auto"/>
              <w:left w:val="single" w:sz="4" w:space="0" w:color="auto"/>
              <w:bottom w:val="single" w:sz="4" w:space="0" w:color="auto"/>
              <w:right w:val="single" w:sz="4" w:space="0" w:color="auto"/>
            </w:tcBorders>
            <w:hideMark/>
          </w:tcPr>
          <w:p w14:paraId="507C4D93"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94 (17.6)</w:t>
            </w:r>
          </w:p>
        </w:tc>
        <w:tc>
          <w:tcPr>
            <w:tcW w:w="865" w:type="pct"/>
            <w:tcBorders>
              <w:top w:val="single" w:sz="4" w:space="0" w:color="auto"/>
              <w:left w:val="single" w:sz="4" w:space="0" w:color="auto"/>
              <w:bottom w:val="single" w:sz="4" w:space="0" w:color="auto"/>
              <w:right w:val="single" w:sz="4" w:space="0" w:color="auto"/>
            </w:tcBorders>
            <w:hideMark/>
          </w:tcPr>
          <w:p w14:paraId="4BB8DE36"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 (0.4)</w:t>
            </w:r>
          </w:p>
        </w:tc>
        <w:tc>
          <w:tcPr>
            <w:tcW w:w="993" w:type="pct"/>
            <w:tcBorders>
              <w:top w:val="single" w:sz="4" w:space="0" w:color="auto"/>
              <w:left w:val="single" w:sz="4" w:space="0" w:color="auto"/>
              <w:bottom w:val="single" w:sz="4" w:space="0" w:color="auto"/>
              <w:right w:val="single" w:sz="4" w:space="0" w:color="auto"/>
            </w:tcBorders>
            <w:hideMark/>
          </w:tcPr>
          <w:p w14:paraId="0E31A758"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46.9 (8.4, 267.3)</w:t>
            </w:r>
          </w:p>
        </w:tc>
      </w:tr>
      <w:tr w:rsidR="000C4977" w:rsidRPr="005A51AE" w14:paraId="32B2036B"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3330898F"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 xml:space="preserve">  Lymphopenia</w:t>
            </w:r>
          </w:p>
        </w:tc>
        <w:tc>
          <w:tcPr>
            <w:tcW w:w="865" w:type="pct"/>
            <w:tcBorders>
              <w:top w:val="single" w:sz="4" w:space="0" w:color="auto"/>
              <w:left w:val="single" w:sz="4" w:space="0" w:color="auto"/>
              <w:bottom w:val="single" w:sz="4" w:space="0" w:color="auto"/>
              <w:right w:val="single" w:sz="4" w:space="0" w:color="auto"/>
            </w:tcBorders>
            <w:hideMark/>
          </w:tcPr>
          <w:p w14:paraId="681A03DF"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37 (6.9)</w:t>
            </w:r>
          </w:p>
        </w:tc>
        <w:tc>
          <w:tcPr>
            <w:tcW w:w="865" w:type="pct"/>
            <w:tcBorders>
              <w:top w:val="single" w:sz="4" w:space="0" w:color="auto"/>
              <w:left w:val="single" w:sz="4" w:space="0" w:color="auto"/>
              <w:bottom w:val="single" w:sz="4" w:space="0" w:color="auto"/>
              <w:right w:val="single" w:sz="4" w:space="0" w:color="auto"/>
            </w:tcBorders>
            <w:hideMark/>
          </w:tcPr>
          <w:p w14:paraId="49136272"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3 (1.1)</w:t>
            </w:r>
          </w:p>
        </w:tc>
        <w:tc>
          <w:tcPr>
            <w:tcW w:w="993" w:type="pct"/>
            <w:tcBorders>
              <w:top w:val="single" w:sz="4" w:space="0" w:color="auto"/>
              <w:left w:val="single" w:sz="4" w:space="0" w:color="auto"/>
              <w:bottom w:val="single" w:sz="4" w:space="0" w:color="auto"/>
              <w:right w:val="single" w:sz="4" w:space="0" w:color="auto"/>
            </w:tcBorders>
            <w:hideMark/>
          </w:tcPr>
          <w:p w14:paraId="07B4807E"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6.16 (2.05, 18.73)</w:t>
            </w:r>
          </w:p>
        </w:tc>
      </w:tr>
      <w:tr w:rsidR="000C4977" w:rsidRPr="005A51AE" w14:paraId="6488D769"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7239E8B3"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Vascular disorders</w:t>
            </w:r>
          </w:p>
        </w:tc>
        <w:tc>
          <w:tcPr>
            <w:tcW w:w="865" w:type="pct"/>
            <w:tcBorders>
              <w:top w:val="single" w:sz="4" w:space="0" w:color="auto"/>
              <w:left w:val="single" w:sz="4" w:space="0" w:color="auto"/>
              <w:bottom w:val="single" w:sz="4" w:space="0" w:color="auto"/>
              <w:right w:val="single" w:sz="4" w:space="0" w:color="auto"/>
            </w:tcBorders>
            <w:hideMark/>
          </w:tcPr>
          <w:p w14:paraId="32A10A26"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108 (20.2)</w:t>
            </w:r>
          </w:p>
        </w:tc>
        <w:tc>
          <w:tcPr>
            <w:tcW w:w="865" w:type="pct"/>
            <w:tcBorders>
              <w:top w:val="single" w:sz="4" w:space="0" w:color="auto"/>
              <w:left w:val="single" w:sz="4" w:space="0" w:color="auto"/>
              <w:bottom w:val="single" w:sz="4" w:space="0" w:color="auto"/>
              <w:right w:val="single" w:sz="4" w:space="0" w:color="auto"/>
            </w:tcBorders>
            <w:hideMark/>
          </w:tcPr>
          <w:p w14:paraId="670F15AA"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82 (30.7)</w:t>
            </w:r>
          </w:p>
        </w:tc>
        <w:tc>
          <w:tcPr>
            <w:tcW w:w="993" w:type="pct"/>
            <w:tcBorders>
              <w:top w:val="single" w:sz="4" w:space="0" w:color="auto"/>
              <w:left w:val="single" w:sz="4" w:space="0" w:color="auto"/>
              <w:bottom w:val="single" w:sz="4" w:space="0" w:color="auto"/>
              <w:right w:val="single" w:sz="4" w:space="0" w:color="auto"/>
            </w:tcBorders>
            <w:hideMark/>
          </w:tcPr>
          <w:p w14:paraId="48BF0DFF"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0.66 (0.51, 0.84)</w:t>
            </w:r>
          </w:p>
        </w:tc>
      </w:tr>
      <w:tr w:rsidR="000C4977" w:rsidRPr="005A51AE" w14:paraId="57731970"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70BCC6EF"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 xml:space="preserve">  Hypertension</w:t>
            </w:r>
          </w:p>
        </w:tc>
        <w:tc>
          <w:tcPr>
            <w:tcW w:w="865" w:type="pct"/>
            <w:tcBorders>
              <w:top w:val="single" w:sz="4" w:space="0" w:color="auto"/>
              <w:left w:val="single" w:sz="4" w:space="0" w:color="auto"/>
              <w:bottom w:val="single" w:sz="4" w:space="0" w:color="auto"/>
              <w:right w:val="single" w:sz="4" w:space="0" w:color="auto"/>
            </w:tcBorders>
            <w:hideMark/>
          </w:tcPr>
          <w:p w14:paraId="1528BF54"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100 (18.7)</w:t>
            </w:r>
          </w:p>
        </w:tc>
        <w:tc>
          <w:tcPr>
            <w:tcW w:w="865" w:type="pct"/>
            <w:tcBorders>
              <w:top w:val="single" w:sz="4" w:space="0" w:color="auto"/>
              <w:left w:val="single" w:sz="4" w:space="0" w:color="auto"/>
              <w:bottom w:val="single" w:sz="4" w:space="0" w:color="auto"/>
              <w:right w:val="single" w:sz="4" w:space="0" w:color="auto"/>
            </w:tcBorders>
            <w:hideMark/>
          </w:tcPr>
          <w:p w14:paraId="5740C0C5"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82 (30.7)</w:t>
            </w:r>
          </w:p>
        </w:tc>
        <w:tc>
          <w:tcPr>
            <w:tcW w:w="993" w:type="pct"/>
            <w:tcBorders>
              <w:top w:val="single" w:sz="4" w:space="0" w:color="auto"/>
              <w:left w:val="single" w:sz="4" w:space="0" w:color="auto"/>
              <w:bottom w:val="single" w:sz="4" w:space="0" w:color="auto"/>
              <w:right w:val="single" w:sz="4" w:space="0" w:color="auto"/>
            </w:tcBorders>
            <w:hideMark/>
          </w:tcPr>
          <w:p w14:paraId="6A303BCD"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0.61 (0.47, 0.78)</w:t>
            </w:r>
          </w:p>
        </w:tc>
      </w:tr>
      <w:tr w:rsidR="000C4977" w:rsidRPr="005A51AE" w14:paraId="7B117DD4"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75A3C217"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General disorders and administration site conditions</w:t>
            </w:r>
          </w:p>
        </w:tc>
        <w:tc>
          <w:tcPr>
            <w:tcW w:w="865" w:type="pct"/>
            <w:tcBorders>
              <w:top w:val="single" w:sz="4" w:space="0" w:color="auto"/>
              <w:left w:val="single" w:sz="4" w:space="0" w:color="auto"/>
              <w:bottom w:val="single" w:sz="4" w:space="0" w:color="auto"/>
              <w:right w:val="single" w:sz="4" w:space="0" w:color="auto"/>
            </w:tcBorders>
            <w:hideMark/>
          </w:tcPr>
          <w:p w14:paraId="2659D57B"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34 (6.4)</w:t>
            </w:r>
          </w:p>
        </w:tc>
        <w:tc>
          <w:tcPr>
            <w:tcW w:w="865" w:type="pct"/>
            <w:tcBorders>
              <w:top w:val="single" w:sz="4" w:space="0" w:color="auto"/>
              <w:left w:val="single" w:sz="4" w:space="0" w:color="auto"/>
              <w:bottom w:val="single" w:sz="4" w:space="0" w:color="auto"/>
              <w:right w:val="single" w:sz="4" w:space="0" w:color="auto"/>
            </w:tcBorders>
            <w:hideMark/>
          </w:tcPr>
          <w:p w14:paraId="5F5FA387"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8 (3.0)</w:t>
            </w:r>
          </w:p>
        </w:tc>
        <w:tc>
          <w:tcPr>
            <w:tcW w:w="993" w:type="pct"/>
            <w:tcBorders>
              <w:top w:val="single" w:sz="4" w:space="0" w:color="auto"/>
              <w:left w:val="single" w:sz="4" w:space="0" w:color="auto"/>
              <w:bottom w:val="single" w:sz="4" w:space="0" w:color="auto"/>
              <w:right w:val="single" w:sz="4" w:space="0" w:color="auto"/>
            </w:tcBorders>
            <w:hideMark/>
          </w:tcPr>
          <w:p w14:paraId="731155B2"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2.12 (1.02, 4.46)</w:t>
            </w:r>
          </w:p>
        </w:tc>
      </w:tr>
      <w:tr w:rsidR="000C4977" w:rsidRPr="005A51AE" w14:paraId="00208D33" w14:textId="77777777" w:rsidTr="00A91280">
        <w:tc>
          <w:tcPr>
            <w:cnfStyle w:val="001000000000" w:firstRow="0" w:lastRow="0" w:firstColumn="1" w:lastColumn="0" w:oddVBand="0" w:evenVBand="0" w:oddHBand="0" w:evenHBand="0" w:firstRowFirstColumn="0" w:firstRowLastColumn="0" w:lastRowFirstColumn="0" w:lastRowLastColumn="0"/>
            <w:tcW w:w="2277" w:type="pct"/>
            <w:tcBorders>
              <w:top w:val="single" w:sz="4" w:space="0" w:color="auto"/>
              <w:left w:val="single" w:sz="4" w:space="0" w:color="auto"/>
              <w:bottom w:val="single" w:sz="4" w:space="0" w:color="auto"/>
              <w:right w:val="single" w:sz="4" w:space="0" w:color="auto"/>
            </w:tcBorders>
            <w:hideMark/>
          </w:tcPr>
          <w:p w14:paraId="69152B12"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lang w:eastAsia="zh-CN"/>
              </w:rPr>
            </w:pPr>
            <w:r w:rsidRPr="005A51AE">
              <w:rPr>
                <w:rFonts w:ascii="Arial Narrow" w:eastAsia="Times New Roman" w:hAnsi="Arial Narrow" w:cs="Times New Roman"/>
                <w:color w:val="000000" w:themeColor="text1"/>
                <w:szCs w:val="20"/>
                <w:lang w:eastAsia="zh-CN"/>
              </w:rPr>
              <w:t xml:space="preserve">  Fatigue</w:t>
            </w:r>
          </w:p>
        </w:tc>
        <w:tc>
          <w:tcPr>
            <w:tcW w:w="865" w:type="pct"/>
            <w:tcBorders>
              <w:top w:val="single" w:sz="4" w:space="0" w:color="auto"/>
              <w:left w:val="single" w:sz="4" w:space="0" w:color="auto"/>
              <w:bottom w:val="single" w:sz="4" w:space="0" w:color="auto"/>
              <w:right w:val="single" w:sz="4" w:space="0" w:color="auto"/>
            </w:tcBorders>
            <w:hideMark/>
          </w:tcPr>
          <w:p w14:paraId="6C223185"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28 (5.2)</w:t>
            </w:r>
          </w:p>
        </w:tc>
        <w:tc>
          <w:tcPr>
            <w:tcW w:w="865" w:type="pct"/>
            <w:tcBorders>
              <w:top w:val="single" w:sz="4" w:space="0" w:color="auto"/>
              <w:left w:val="single" w:sz="4" w:space="0" w:color="auto"/>
              <w:bottom w:val="single" w:sz="4" w:space="0" w:color="auto"/>
              <w:right w:val="single" w:sz="4" w:space="0" w:color="auto"/>
            </w:tcBorders>
            <w:hideMark/>
          </w:tcPr>
          <w:p w14:paraId="76D2AF4D"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color w:val="000000" w:themeColor="text1"/>
                <w:sz w:val="20"/>
                <w:szCs w:val="20"/>
                <w:lang w:eastAsia="zh-CN"/>
              </w:rPr>
              <w:t>4 (1.5)</w:t>
            </w:r>
          </w:p>
        </w:tc>
        <w:tc>
          <w:tcPr>
            <w:tcW w:w="993" w:type="pct"/>
            <w:tcBorders>
              <w:top w:val="single" w:sz="4" w:space="0" w:color="auto"/>
              <w:left w:val="single" w:sz="4" w:space="0" w:color="auto"/>
              <w:bottom w:val="single" w:sz="4" w:space="0" w:color="auto"/>
              <w:right w:val="single" w:sz="4" w:space="0" w:color="auto"/>
            </w:tcBorders>
            <w:hideMark/>
          </w:tcPr>
          <w:p w14:paraId="0B9C2412" w14:textId="77777777" w:rsidR="000C4977" w:rsidRPr="00315695"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315695">
              <w:rPr>
                <w:rFonts w:ascii="Arial Narrow" w:eastAsia="Times New Roman" w:hAnsi="Arial Narrow" w:cs="Times New Roman"/>
                <w:b/>
                <w:bCs/>
                <w:color w:val="000000" w:themeColor="text1"/>
                <w:sz w:val="20"/>
                <w:szCs w:val="20"/>
                <w:lang w:eastAsia="zh-CN"/>
              </w:rPr>
              <w:t>3.49 (1.30, 9.49)</w:t>
            </w:r>
          </w:p>
        </w:tc>
      </w:tr>
    </w:tbl>
    <w:p w14:paraId="7BD59C04" w14:textId="77777777" w:rsidR="000C4977" w:rsidRPr="000C4977" w:rsidRDefault="000C4977" w:rsidP="004E67C5">
      <w:pPr>
        <w:keepNext/>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 xml:space="preserve">AE = adverse event; </w:t>
      </w:r>
      <w:proofErr w:type="spellStart"/>
      <w:r w:rsidRPr="000C4977">
        <w:rPr>
          <w:rFonts w:ascii="Arial Narrow" w:eastAsia="Times New Roman" w:hAnsi="Arial Narrow" w:cs="Arial"/>
          <w:snapToGrid w:val="0"/>
          <w:sz w:val="18"/>
          <w:szCs w:val="20"/>
          <w:lang w:eastAsia="zh-CN"/>
        </w:rPr>
        <w:t>Beva</w:t>
      </w:r>
      <w:proofErr w:type="spellEnd"/>
      <w:r w:rsidRPr="000C4977">
        <w:rPr>
          <w:rFonts w:ascii="Arial Narrow" w:eastAsia="Times New Roman" w:hAnsi="Arial Narrow" w:cs="Arial"/>
          <w:snapToGrid w:val="0"/>
          <w:sz w:val="18"/>
          <w:szCs w:val="20"/>
          <w:lang w:eastAsia="zh-CN"/>
        </w:rPr>
        <w:t xml:space="preserve"> = bevacizumab; CI = confidence interval; CTCAE = Common Terminology Criteria for Adverse Events; Ola = </w:t>
      </w:r>
      <w:proofErr w:type="spellStart"/>
      <w:r w:rsidRPr="000C4977">
        <w:rPr>
          <w:rFonts w:ascii="Arial Narrow" w:eastAsia="Times New Roman" w:hAnsi="Arial Narrow" w:cs="Arial"/>
          <w:snapToGrid w:val="0"/>
          <w:sz w:val="18"/>
          <w:szCs w:val="20"/>
          <w:lang w:eastAsia="zh-CN"/>
        </w:rPr>
        <w:t>olaparib</w:t>
      </w:r>
      <w:proofErr w:type="spellEnd"/>
      <w:r w:rsidRPr="000C4977">
        <w:rPr>
          <w:rFonts w:ascii="Arial Narrow" w:eastAsia="Times New Roman" w:hAnsi="Arial Narrow" w:cs="Arial"/>
          <w:snapToGrid w:val="0"/>
          <w:sz w:val="18"/>
          <w:szCs w:val="20"/>
          <w:lang w:eastAsia="zh-CN"/>
        </w:rPr>
        <w:t xml:space="preserve">; </w:t>
      </w:r>
      <w:proofErr w:type="spellStart"/>
      <w:r w:rsidRPr="000C4977">
        <w:rPr>
          <w:rFonts w:ascii="Arial Narrow" w:eastAsia="Times New Roman" w:hAnsi="Arial Narrow" w:cs="Arial"/>
          <w:snapToGrid w:val="0"/>
          <w:sz w:val="18"/>
          <w:szCs w:val="20"/>
          <w:lang w:eastAsia="zh-CN"/>
        </w:rPr>
        <w:t>Pbo</w:t>
      </w:r>
      <w:proofErr w:type="spellEnd"/>
      <w:r w:rsidRPr="000C4977">
        <w:rPr>
          <w:rFonts w:ascii="Arial Narrow" w:eastAsia="Times New Roman" w:hAnsi="Arial Narrow" w:cs="Arial"/>
          <w:snapToGrid w:val="0"/>
          <w:sz w:val="18"/>
          <w:szCs w:val="20"/>
          <w:lang w:eastAsia="zh-CN"/>
        </w:rPr>
        <w:t xml:space="preserve"> = placebo; RR = relative risk; SAS = safety analysis set</w:t>
      </w:r>
    </w:p>
    <w:p w14:paraId="4CCF3206" w14:textId="3BCDED91" w:rsidR="000C4977" w:rsidRPr="000C4977" w:rsidRDefault="00315695" w:rsidP="004E67C5">
      <w:pPr>
        <w:keepNext/>
        <w:widowControl w:val="0"/>
        <w:spacing w:before="0" w:after="0"/>
        <w:contextualSpacing/>
        <w:rPr>
          <w:rFonts w:ascii="Arial Narrow" w:eastAsia="Times New Roman" w:hAnsi="Arial Narrow" w:cs="Arial"/>
          <w:snapToGrid w:val="0"/>
          <w:sz w:val="18"/>
          <w:szCs w:val="20"/>
          <w:lang w:eastAsia="zh-CN"/>
        </w:rPr>
      </w:pPr>
      <w:r>
        <w:rPr>
          <w:rFonts w:ascii="Arial Narrow" w:eastAsia="Times New Roman" w:hAnsi="Arial Narrow" w:cs="Arial"/>
          <w:snapToGrid w:val="0"/>
          <w:sz w:val="18"/>
          <w:szCs w:val="20"/>
          <w:lang w:eastAsia="zh-CN"/>
        </w:rPr>
        <w:t>Results</w:t>
      </w:r>
      <w:r w:rsidR="000C4977" w:rsidRPr="000C4977">
        <w:rPr>
          <w:rFonts w:ascii="Arial Narrow" w:eastAsia="Times New Roman" w:hAnsi="Arial Narrow" w:cs="Arial"/>
          <w:snapToGrid w:val="0"/>
          <w:sz w:val="18"/>
          <w:szCs w:val="20"/>
          <w:lang w:eastAsia="zh-CN"/>
        </w:rPr>
        <w:t xml:space="preserve"> in bold indicate statistically significant differences</w:t>
      </w:r>
    </w:p>
    <w:p w14:paraId="43BF000C"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 xml:space="preserve">Source: Table 24 p65-66 PAOLA-1 CSR DCO2 and, calculated during evaluation using </w:t>
      </w:r>
      <w:proofErr w:type="spellStart"/>
      <w:r w:rsidRPr="000C4977">
        <w:rPr>
          <w:rFonts w:ascii="Arial Narrow" w:eastAsia="Times New Roman" w:hAnsi="Arial Narrow" w:cs="Arial"/>
          <w:snapToGrid w:val="0"/>
          <w:sz w:val="18"/>
          <w:szCs w:val="20"/>
          <w:lang w:eastAsia="zh-CN"/>
        </w:rPr>
        <w:t>StatsDirect</w:t>
      </w:r>
      <w:proofErr w:type="spellEnd"/>
      <w:r w:rsidRPr="000C4977">
        <w:rPr>
          <w:rFonts w:ascii="Arial Narrow" w:eastAsia="Times New Roman" w:hAnsi="Arial Narrow" w:cs="Arial"/>
          <w:snapToGrid w:val="0"/>
          <w:sz w:val="18"/>
          <w:szCs w:val="20"/>
          <w:lang w:eastAsia="zh-CN"/>
        </w:rPr>
        <w:t xml:space="preserve"> v3</w:t>
      </w:r>
    </w:p>
    <w:p w14:paraId="1171AD78" w14:textId="21B73B9F" w:rsidR="000C4977" w:rsidRPr="000C4977" w:rsidRDefault="000C4977" w:rsidP="000C4977">
      <w:pPr>
        <w:spacing w:line="259" w:lineRule="auto"/>
        <w:jc w:val="left"/>
      </w:pPr>
      <w:r w:rsidRPr="000C4977">
        <w:t xml:space="preserve">Due to patients requiring testing for both HRD and </w:t>
      </w:r>
      <w:r w:rsidRPr="000C4977">
        <w:rPr>
          <w:i/>
          <w:iCs/>
        </w:rPr>
        <w:t>BRCA</w:t>
      </w:r>
      <w:r w:rsidRPr="000C4977">
        <w:t xml:space="preserve"> status in order to be eligible for </w:t>
      </w:r>
      <w:proofErr w:type="spellStart"/>
      <w:r w:rsidRPr="000C4977">
        <w:t>olaparib</w:t>
      </w:r>
      <w:proofErr w:type="spellEnd"/>
      <w:r w:rsidRPr="000C4977">
        <w:t xml:space="preserve"> plus bevacizumab, there may be false positive or false negative in either </w:t>
      </w:r>
      <w:r w:rsidRPr="000C4977">
        <w:rPr>
          <w:i/>
          <w:iCs/>
        </w:rPr>
        <w:t>BRCA</w:t>
      </w:r>
      <w:r w:rsidRPr="000C4977">
        <w:t xml:space="preserve"> and/or HRD results which would lead to numerous different potential scenarios with implications for patients as shown i</w:t>
      </w:r>
      <w:r w:rsidRPr="00546B21">
        <w:t xml:space="preserve">n </w:t>
      </w:r>
      <w:r w:rsidR="00546B21" w:rsidRPr="00546B21">
        <w:fldChar w:fldCharType="begin"/>
      </w:r>
      <w:r w:rsidR="00546B21" w:rsidRPr="00546B21">
        <w:instrText xml:space="preserve"> REF _Ref111813037 \h  \* MERGEFORMAT </w:instrText>
      </w:r>
      <w:r w:rsidR="00546B21" w:rsidRPr="00546B21">
        <w:fldChar w:fldCharType="separate"/>
      </w:r>
      <w:r w:rsidR="00D8603B">
        <w:t xml:space="preserve">Table </w:t>
      </w:r>
      <w:r w:rsidR="00D8603B">
        <w:rPr>
          <w:noProof/>
        </w:rPr>
        <w:t>6</w:t>
      </w:r>
      <w:r w:rsidR="00546B21" w:rsidRPr="00546B21">
        <w:fldChar w:fldCharType="end"/>
      </w:r>
      <w:r w:rsidRPr="00546B21">
        <w:t>.</w:t>
      </w:r>
    </w:p>
    <w:p w14:paraId="4CD3246F" w14:textId="1E5BC568" w:rsidR="00546B21" w:rsidRDefault="00546B21" w:rsidP="00546B21">
      <w:pPr>
        <w:pStyle w:val="Caption"/>
      </w:pPr>
      <w:bookmarkStart w:id="26" w:name="_Ref111813037"/>
      <w:r>
        <w:t xml:space="preserve">Table </w:t>
      </w:r>
      <w:fldSimple w:instr=" SEQ Table \* ARABIC ">
        <w:r w:rsidR="00D8603B">
          <w:rPr>
            <w:noProof/>
          </w:rPr>
          <w:t>6</w:t>
        </w:r>
      </w:fldSimple>
      <w:bookmarkEnd w:id="26"/>
      <w:r w:rsidRPr="000C4977">
        <w:rPr>
          <w:b w:val="0"/>
          <w:iCs w:val="0"/>
        </w:rPr>
        <w:tab/>
      </w:r>
      <w:r w:rsidRPr="00546B21">
        <w:rPr>
          <w:bCs/>
          <w:iCs w:val="0"/>
        </w:rPr>
        <w:t>Scenarios of treatment received for actual status by test result</w:t>
      </w:r>
    </w:p>
    <w:tbl>
      <w:tblPr>
        <w:tblStyle w:val="PBAC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127"/>
        <w:gridCol w:w="2126"/>
        <w:gridCol w:w="1933"/>
      </w:tblGrid>
      <w:tr w:rsidR="000C4977" w:rsidRPr="00546B21" w14:paraId="42CD1E21"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77ED150"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rPr>
            </w:pPr>
          </w:p>
        </w:tc>
        <w:tc>
          <w:tcPr>
            <w:tcW w:w="78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30B644" w14:textId="77777777" w:rsidR="000C4977" w:rsidRPr="005A51AE" w:rsidRDefault="000C4977" w:rsidP="000C4977">
            <w:pPr>
              <w:keepNext/>
              <w:widowControl w:val="0"/>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rPr>
            </w:pPr>
            <w:r w:rsidRPr="005A51AE">
              <w:rPr>
                <w:rFonts w:ascii="Arial Narrow" w:eastAsia="Times New Roman" w:hAnsi="Arial Narrow" w:cs="Times New Roman"/>
                <w:color w:val="000000" w:themeColor="text1"/>
                <w:szCs w:val="20"/>
              </w:rPr>
              <w:t>Actual status</w:t>
            </w:r>
          </w:p>
        </w:tc>
      </w:tr>
      <w:tr w:rsidR="000C4977" w:rsidRPr="00546B21" w14:paraId="62BF986C" w14:textId="77777777" w:rsidTr="00A91280">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5209A025" w14:textId="77777777" w:rsidR="000C4977" w:rsidRPr="005A51AE" w:rsidRDefault="000C4977" w:rsidP="000C4977">
            <w:pPr>
              <w:keepNext/>
              <w:widowControl w:val="0"/>
              <w:spacing w:before="0" w:line="259" w:lineRule="auto"/>
              <w:jc w:val="left"/>
              <w:rPr>
                <w:rFonts w:ascii="Arial Narrow" w:eastAsia="Times New Roman" w:hAnsi="Arial Narrow" w:cs="Times New Roman"/>
                <w:b/>
                <w:bCs/>
                <w:color w:val="000000" w:themeColor="text1"/>
                <w:szCs w:val="20"/>
              </w:rPr>
            </w:pPr>
            <w:r w:rsidRPr="005A51AE">
              <w:rPr>
                <w:rFonts w:ascii="Arial Narrow" w:eastAsia="Times New Roman" w:hAnsi="Arial Narrow" w:cs="Times New Roman"/>
                <w:b/>
                <w:bCs/>
                <w:color w:val="000000" w:themeColor="text1"/>
                <w:szCs w:val="20"/>
              </w:rPr>
              <w:t>Test result</w:t>
            </w:r>
          </w:p>
        </w:tc>
        <w:tc>
          <w:tcPr>
            <w:tcW w:w="1701" w:type="dxa"/>
            <w:tcBorders>
              <w:top w:val="single" w:sz="4" w:space="0" w:color="auto"/>
              <w:left w:val="single" w:sz="4" w:space="0" w:color="auto"/>
              <w:bottom w:val="single" w:sz="4" w:space="0" w:color="auto"/>
              <w:right w:val="single" w:sz="4" w:space="0" w:color="auto"/>
            </w:tcBorders>
            <w:hideMark/>
          </w:tcPr>
          <w:p w14:paraId="56518235" w14:textId="7CF18314"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rPr>
            </w:pPr>
            <w:r w:rsidRPr="005A51AE">
              <w:rPr>
                <w:rFonts w:ascii="Arial Narrow" w:eastAsia="Times New Roman" w:hAnsi="Arial Narrow" w:cs="Times New Roman"/>
                <w:b/>
                <w:bCs/>
                <w:color w:val="000000" w:themeColor="text1"/>
                <w:sz w:val="20"/>
                <w:szCs w:val="20"/>
              </w:rPr>
              <w:t>HRD-</w:t>
            </w:r>
            <w:r w:rsidR="004E394A" w:rsidRPr="005A51AE">
              <w:rPr>
                <w:rFonts w:ascii="Arial Narrow" w:eastAsia="Times New Roman" w:hAnsi="Arial Narrow" w:cs="Times New Roman"/>
                <w:b/>
                <w:bCs/>
                <w:color w:val="000000" w:themeColor="text1"/>
                <w:sz w:val="20"/>
                <w:szCs w:val="20"/>
              </w:rPr>
              <w:t xml:space="preserve"> </w:t>
            </w:r>
            <w:proofErr w:type="spellStart"/>
            <w:r w:rsidRPr="005A51AE">
              <w:rPr>
                <w:rFonts w:ascii="Arial Narrow" w:eastAsia="Times New Roman" w:hAnsi="Arial Narrow" w:cs="Times New Roman"/>
                <w:b/>
                <w:bCs/>
                <w:i/>
                <w:iCs/>
                <w:color w:val="000000" w:themeColor="text1"/>
                <w:sz w:val="20"/>
                <w:szCs w:val="20"/>
              </w:rPr>
              <w:t>BRCA</w:t>
            </w:r>
            <w:r w:rsidRPr="005A51AE">
              <w:rPr>
                <w:rFonts w:ascii="Arial Narrow" w:eastAsia="Times New Roman" w:hAnsi="Arial Narrow" w:cs="Times New Roman"/>
                <w:b/>
                <w:bCs/>
                <w:color w:val="000000" w:themeColor="text1"/>
                <w:sz w:val="20"/>
                <w:szCs w:val="20"/>
              </w:rPr>
              <w:t>wt</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0FFD1222" w14:textId="583E9DF6"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rPr>
            </w:pPr>
            <w:r w:rsidRPr="005A51AE">
              <w:rPr>
                <w:rFonts w:ascii="Arial Narrow" w:eastAsia="Times New Roman" w:hAnsi="Arial Narrow" w:cs="Times New Roman"/>
                <w:b/>
                <w:bCs/>
                <w:color w:val="000000" w:themeColor="text1"/>
                <w:sz w:val="20"/>
                <w:szCs w:val="20"/>
              </w:rPr>
              <w:t>HRD-</w:t>
            </w:r>
            <w:r w:rsidR="004E394A" w:rsidRPr="005A51AE">
              <w:rPr>
                <w:rFonts w:ascii="Arial Narrow" w:eastAsia="Times New Roman" w:hAnsi="Arial Narrow" w:cs="Times New Roman"/>
                <w:b/>
                <w:bCs/>
                <w:color w:val="000000" w:themeColor="text1"/>
                <w:sz w:val="20"/>
                <w:szCs w:val="20"/>
              </w:rPr>
              <w:t xml:space="preserve"> </w:t>
            </w:r>
            <w:proofErr w:type="spellStart"/>
            <w:r w:rsidRPr="005A51AE">
              <w:rPr>
                <w:rFonts w:ascii="Arial Narrow" w:eastAsia="Times New Roman" w:hAnsi="Arial Narrow" w:cs="Times New Roman"/>
                <w:b/>
                <w:bCs/>
                <w:i/>
                <w:iCs/>
                <w:color w:val="000000" w:themeColor="text1"/>
                <w:sz w:val="20"/>
                <w:szCs w:val="20"/>
              </w:rPr>
              <w:t>BRCA</w:t>
            </w:r>
            <w:r w:rsidRPr="005A51AE">
              <w:rPr>
                <w:rFonts w:ascii="Arial Narrow" w:eastAsia="Times New Roman" w:hAnsi="Arial Narrow" w:cs="Times New Roman"/>
                <w:b/>
                <w:bCs/>
                <w:color w:val="000000" w:themeColor="text1"/>
                <w:sz w:val="20"/>
                <w:szCs w:val="20"/>
              </w:rPr>
              <w:t>m</w:t>
            </w:r>
            <w:proofErr w:type="spellEnd"/>
            <w:r w:rsidRPr="005A51AE">
              <w:rPr>
                <w:rFonts w:ascii="Arial Narrow" w:eastAsia="Times New Roman" w:hAnsi="Arial Narrow" w:cs="Times New Roman"/>
                <w:b/>
                <w:bCs/>
                <w:color w:val="000000" w:themeColor="text1"/>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14:paraId="7AAD64E2"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rPr>
            </w:pPr>
            <w:r w:rsidRPr="005A51AE">
              <w:rPr>
                <w:rFonts w:ascii="Arial Narrow" w:eastAsia="Times New Roman" w:hAnsi="Arial Narrow" w:cs="Times New Roman"/>
                <w:b/>
                <w:bCs/>
                <w:color w:val="000000" w:themeColor="text1"/>
                <w:sz w:val="20"/>
                <w:szCs w:val="20"/>
              </w:rPr>
              <w:t xml:space="preserve">HRD+ </w:t>
            </w:r>
            <w:proofErr w:type="spellStart"/>
            <w:r w:rsidRPr="005A51AE">
              <w:rPr>
                <w:rFonts w:ascii="Arial Narrow" w:eastAsia="Times New Roman" w:hAnsi="Arial Narrow" w:cs="Times New Roman"/>
                <w:b/>
                <w:bCs/>
                <w:i/>
                <w:iCs/>
                <w:color w:val="000000" w:themeColor="text1"/>
                <w:sz w:val="20"/>
                <w:szCs w:val="20"/>
              </w:rPr>
              <w:t>BRCA</w:t>
            </w:r>
            <w:r w:rsidRPr="005A51AE">
              <w:rPr>
                <w:rFonts w:ascii="Arial Narrow" w:eastAsia="Times New Roman" w:hAnsi="Arial Narrow" w:cs="Times New Roman"/>
                <w:b/>
                <w:bCs/>
                <w:color w:val="000000" w:themeColor="text1"/>
                <w:sz w:val="20"/>
                <w:szCs w:val="20"/>
              </w:rPr>
              <w:t>wt</w:t>
            </w:r>
            <w:proofErr w:type="spellEnd"/>
          </w:p>
        </w:tc>
        <w:tc>
          <w:tcPr>
            <w:tcW w:w="1933" w:type="dxa"/>
            <w:tcBorders>
              <w:top w:val="single" w:sz="4" w:space="0" w:color="auto"/>
              <w:left w:val="single" w:sz="4" w:space="0" w:color="auto"/>
              <w:bottom w:val="single" w:sz="4" w:space="0" w:color="auto"/>
              <w:right w:val="single" w:sz="4" w:space="0" w:color="auto"/>
            </w:tcBorders>
            <w:hideMark/>
          </w:tcPr>
          <w:p w14:paraId="69043DB1"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rPr>
            </w:pPr>
            <w:r w:rsidRPr="005A51AE">
              <w:rPr>
                <w:rFonts w:ascii="Arial Narrow" w:eastAsia="Times New Roman" w:hAnsi="Arial Narrow" w:cs="Times New Roman"/>
                <w:b/>
                <w:bCs/>
                <w:color w:val="000000" w:themeColor="text1"/>
                <w:sz w:val="20"/>
                <w:szCs w:val="20"/>
              </w:rPr>
              <w:t xml:space="preserve">HRD+ </w:t>
            </w:r>
            <w:proofErr w:type="spellStart"/>
            <w:r w:rsidRPr="005A51AE">
              <w:rPr>
                <w:rFonts w:ascii="Arial Narrow" w:eastAsia="Times New Roman" w:hAnsi="Arial Narrow" w:cs="Times New Roman"/>
                <w:b/>
                <w:bCs/>
                <w:i/>
                <w:iCs/>
                <w:color w:val="000000" w:themeColor="text1"/>
                <w:sz w:val="20"/>
                <w:szCs w:val="20"/>
              </w:rPr>
              <w:t>BRCA</w:t>
            </w:r>
            <w:r w:rsidRPr="005A51AE">
              <w:rPr>
                <w:rFonts w:ascii="Arial Narrow" w:eastAsia="Times New Roman" w:hAnsi="Arial Narrow" w:cs="Times New Roman"/>
                <w:b/>
                <w:bCs/>
                <w:color w:val="000000" w:themeColor="text1"/>
                <w:sz w:val="20"/>
                <w:szCs w:val="20"/>
              </w:rPr>
              <w:t>m</w:t>
            </w:r>
            <w:proofErr w:type="spellEnd"/>
          </w:p>
        </w:tc>
      </w:tr>
      <w:tr w:rsidR="000C4977" w:rsidRPr="00546B21" w14:paraId="602D858B" w14:textId="77777777" w:rsidTr="00A91280">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6B47615D" w14:textId="77777777" w:rsidR="000C4977" w:rsidRPr="005A51AE" w:rsidRDefault="000C4977" w:rsidP="000C4977">
            <w:pPr>
              <w:keepNext/>
              <w:widowControl w:val="0"/>
              <w:spacing w:before="0" w:line="259" w:lineRule="auto"/>
              <w:jc w:val="left"/>
              <w:rPr>
                <w:rFonts w:ascii="Arial Narrow" w:eastAsia="Times New Roman" w:hAnsi="Arial Narrow" w:cs="Times New Roman"/>
                <w:color w:val="000000" w:themeColor="text1"/>
                <w:szCs w:val="20"/>
              </w:rPr>
            </w:pPr>
            <w:r w:rsidRPr="005A51AE">
              <w:rPr>
                <w:rFonts w:ascii="Arial Narrow" w:eastAsia="Times New Roman" w:hAnsi="Arial Narrow" w:cs="Times New Roman"/>
                <w:b/>
                <w:bCs/>
                <w:color w:val="000000" w:themeColor="text1"/>
                <w:szCs w:val="20"/>
              </w:rPr>
              <w:t>False</w:t>
            </w:r>
            <w:r w:rsidRPr="005A51AE">
              <w:rPr>
                <w:rFonts w:ascii="Arial Narrow" w:eastAsia="Times New Roman" w:hAnsi="Arial Narrow" w:cs="Times New Roman"/>
                <w:b/>
                <w:color w:val="000000" w:themeColor="text1"/>
                <w:szCs w:val="20"/>
              </w:rPr>
              <w:t xml:space="preserve"> + HRD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6F2FD6"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4. Should receive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p w14:paraId="408AF2BE"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Receives ola +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8F403C"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5. Should receive ola mono.</w:t>
            </w:r>
          </w:p>
          <w:p w14:paraId="6BA01623"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If </w:t>
            </w:r>
            <w:r w:rsidRPr="005A51AE">
              <w:rPr>
                <w:rFonts w:ascii="Arial Narrow" w:eastAsia="Times New Roman" w:hAnsi="Arial Narrow" w:cs="Times New Roman"/>
                <w:i/>
                <w:iCs/>
                <w:color w:val="000000" w:themeColor="text1"/>
                <w:sz w:val="20"/>
                <w:szCs w:val="20"/>
              </w:rPr>
              <w:t>BRCA</w:t>
            </w:r>
            <w:r w:rsidRPr="005A51AE">
              <w:rPr>
                <w:rFonts w:ascii="Arial Narrow" w:eastAsia="Times New Roman" w:hAnsi="Arial Narrow" w:cs="Times New Roman"/>
                <w:color w:val="000000" w:themeColor="text1"/>
                <w:sz w:val="20"/>
                <w:szCs w:val="20"/>
              </w:rPr>
              <w:t xml:space="preserve"> true + receives ola mono, if </w:t>
            </w:r>
            <w:r w:rsidRPr="005A51AE">
              <w:rPr>
                <w:rFonts w:ascii="Arial Narrow" w:eastAsia="Times New Roman" w:hAnsi="Arial Narrow" w:cs="Times New Roman"/>
                <w:i/>
                <w:iCs/>
                <w:color w:val="000000" w:themeColor="text1"/>
                <w:sz w:val="20"/>
                <w:szCs w:val="20"/>
              </w:rPr>
              <w:t>BRCA</w:t>
            </w:r>
            <w:r w:rsidRPr="005A51AE">
              <w:rPr>
                <w:rFonts w:ascii="Arial Narrow" w:eastAsia="Times New Roman" w:hAnsi="Arial Narrow" w:cs="Times New Roman"/>
                <w:color w:val="000000" w:themeColor="text1"/>
                <w:sz w:val="20"/>
                <w:szCs w:val="20"/>
              </w:rPr>
              <w:t xml:space="preserve"> false – receives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7E1C78"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C172D31"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r>
      <w:tr w:rsidR="000C4977" w:rsidRPr="00546B21" w14:paraId="6E032B2E" w14:textId="77777777" w:rsidTr="00A91280">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4D69100B" w14:textId="77777777" w:rsidR="000C4977" w:rsidRPr="005A51AE" w:rsidRDefault="000C4977" w:rsidP="000C4977">
            <w:pPr>
              <w:keepNext/>
              <w:widowControl w:val="0"/>
              <w:spacing w:before="0" w:line="259" w:lineRule="auto"/>
              <w:jc w:val="left"/>
              <w:rPr>
                <w:rFonts w:ascii="Arial Narrow" w:eastAsia="Times New Roman" w:hAnsi="Arial Narrow" w:cs="Times New Roman"/>
                <w:b/>
                <w:color w:val="000000" w:themeColor="text1"/>
                <w:szCs w:val="20"/>
              </w:rPr>
            </w:pPr>
            <w:r w:rsidRPr="005A51AE">
              <w:rPr>
                <w:rFonts w:ascii="Arial Narrow" w:eastAsia="Times New Roman" w:hAnsi="Arial Narrow" w:cs="Times New Roman"/>
                <w:b/>
                <w:bCs/>
                <w:color w:val="000000" w:themeColor="text1"/>
                <w:szCs w:val="20"/>
              </w:rPr>
              <w:t>False</w:t>
            </w:r>
            <w:r w:rsidRPr="005A51AE">
              <w:rPr>
                <w:rFonts w:ascii="Arial Narrow" w:eastAsia="Times New Roman" w:hAnsi="Arial Narrow" w:cs="Times New Roman"/>
                <w:b/>
                <w:color w:val="000000" w:themeColor="text1"/>
                <w:szCs w:val="20"/>
              </w:rPr>
              <w:t xml:space="preserve"> - HRD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995B13"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47C303"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11457F"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6. Should receive ola +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w:t>
            </w:r>
          </w:p>
          <w:p w14:paraId="7DA3F931"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Receives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69BC7C3"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5. Should receive ola mono.</w:t>
            </w:r>
          </w:p>
          <w:p w14:paraId="714B3A29"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Receives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tc>
      </w:tr>
      <w:tr w:rsidR="000C4977" w:rsidRPr="00546B21" w14:paraId="155E4598" w14:textId="77777777" w:rsidTr="00A91280">
        <w:trPr>
          <w:trHeight w:val="60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0A9C8052" w14:textId="77777777" w:rsidR="000C4977" w:rsidRPr="005A51AE" w:rsidRDefault="000C4977" w:rsidP="000C4977">
            <w:pPr>
              <w:keepNext/>
              <w:widowControl w:val="0"/>
              <w:spacing w:before="0" w:line="259" w:lineRule="auto"/>
              <w:jc w:val="left"/>
              <w:rPr>
                <w:rFonts w:ascii="Arial Narrow" w:eastAsia="Times New Roman" w:hAnsi="Arial Narrow" w:cs="Times New Roman"/>
                <w:b/>
                <w:color w:val="000000" w:themeColor="text1"/>
                <w:szCs w:val="20"/>
              </w:rPr>
            </w:pPr>
            <w:r w:rsidRPr="005A51AE">
              <w:rPr>
                <w:rFonts w:ascii="Arial Narrow" w:eastAsia="Times New Roman" w:hAnsi="Arial Narrow" w:cs="Times New Roman"/>
                <w:b/>
                <w:bCs/>
                <w:color w:val="000000" w:themeColor="text1"/>
                <w:szCs w:val="20"/>
              </w:rPr>
              <w:t xml:space="preserve">False-+ </w:t>
            </w:r>
            <w:r w:rsidRPr="005A51AE">
              <w:rPr>
                <w:rFonts w:ascii="Arial Narrow" w:eastAsia="Times New Roman" w:hAnsi="Arial Narrow" w:cs="Times New Roman"/>
                <w:b/>
                <w:bCs/>
                <w:i/>
                <w:iCs/>
                <w:color w:val="000000" w:themeColor="text1"/>
                <w:szCs w:val="20"/>
              </w:rPr>
              <w:t>BRCA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F37FF7"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2. Should receive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p w14:paraId="0880E6B9"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Receives ola mono.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1FFF54"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3153A"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1. Should receive ola +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Receives ola mono.</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7A23880"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r>
      <w:tr w:rsidR="000C4977" w:rsidRPr="00546B21" w14:paraId="280CC7FF" w14:textId="77777777" w:rsidTr="00A91280">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hideMark/>
          </w:tcPr>
          <w:p w14:paraId="5CA08972" w14:textId="77777777" w:rsidR="000C4977" w:rsidRPr="005A51AE" w:rsidRDefault="000C4977" w:rsidP="000C4977">
            <w:pPr>
              <w:keepNext/>
              <w:widowControl w:val="0"/>
              <w:spacing w:before="0" w:line="259" w:lineRule="auto"/>
              <w:jc w:val="left"/>
              <w:rPr>
                <w:rFonts w:ascii="Arial Narrow" w:eastAsia="Times New Roman" w:hAnsi="Arial Narrow" w:cs="Times New Roman"/>
                <w:b/>
                <w:bCs/>
                <w:color w:val="000000" w:themeColor="text1"/>
                <w:szCs w:val="20"/>
              </w:rPr>
            </w:pPr>
            <w:r w:rsidRPr="005A51AE">
              <w:rPr>
                <w:rFonts w:ascii="Arial Narrow" w:eastAsia="Times New Roman" w:hAnsi="Arial Narrow" w:cs="Times New Roman"/>
                <w:b/>
                <w:bCs/>
                <w:color w:val="000000" w:themeColor="text1"/>
                <w:szCs w:val="20"/>
              </w:rPr>
              <w:t xml:space="preserve">False - </w:t>
            </w:r>
            <w:r w:rsidRPr="005A51AE">
              <w:rPr>
                <w:rFonts w:ascii="Arial Narrow" w:eastAsia="Times New Roman" w:hAnsi="Arial Narrow" w:cs="Times New Roman"/>
                <w:b/>
                <w:bCs/>
                <w:i/>
                <w:iCs/>
                <w:color w:val="000000" w:themeColor="text1"/>
                <w:szCs w:val="20"/>
              </w:rPr>
              <w:t>BRCA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C5C138"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923CE9"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5. Should receive ola mono. Receives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 xml:space="preserve"> mono.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379FFF"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NA</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001BBF4"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3. Should receive ola mono.</w:t>
            </w:r>
          </w:p>
          <w:p w14:paraId="2D94299A" w14:textId="77777777" w:rsidR="000C4977" w:rsidRPr="005A51AE" w:rsidRDefault="000C4977" w:rsidP="000C4977">
            <w:pPr>
              <w:keepNext/>
              <w:widowControl w:val="0"/>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A51AE">
              <w:rPr>
                <w:rFonts w:ascii="Arial Narrow" w:eastAsia="Times New Roman" w:hAnsi="Arial Narrow" w:cs="Times New Roman"/>
                <w:color w:val="000000" w:themeColor="text1"/>
                <w:sz w:val="20"/>
                <w:szCs w:val="20"/>
              </w:rPr>
              <w:t xml:space="preserve">Receives ola + </w:t>
            </w:r>
            <w:proofErr w:type="spellStart"/>
            <w:r w:rsidRPr="005A51AE">
              <w:rPr>
                <w:rFonts w:ascii="Arial Narrow" w:eastAsia="Times New Roman" w:hAnsi="Arial Narrow" w:cs="Times New Roman"/>
                <w:color w:val="000000" w:themeColor="text1"/>
                <w:sz w:val="20"/>
                <w:szCs w:val="20"/>
              </w:rPr>
              <w:t>beva</w:t>
            </w:r>
            <w:proofErr w:type="spellEnd"/>
            <w:r w:rsidRPr="005A51AE">
              <w:rPr>
                <w:rFonts w:ascii="Arial Narrow" w:eastAsia="Times New Roman" w:hAnsi="Arial Narrow" w:cs="Times New Roman"/>
                <w:color w:val="000000" w:themeColor="text1"/>
                <w:sz w:val="20"/>
                <w:szCs w:val="20"/>
              </w:rPr>
              <w:t>.</w:t>
            </w:r>
          </w:p>
        </w:tc>
      </w:tr>
    </w:tbl>
    <w:p w14:paraId="0D614D51" w14:textId="77777777" w:rsidR="000C4977" w:rsidRPr="000C4977" w:rsidRDefault="000C4977" w:rsidP="004E67C5">
      <w:pPr>
        <w:keepNext/>
        <w:widowControl w:val="0"/>
        <w:spacing w:before="0" w:after="0"/>
        <w:contextualSpacing/>
        <w:rPr>
          <w:rFonts w:ascii="Arial Narrow" w:eastAsia="Times New Roman" w:hAnsi="Arial Narrow" w:cs="Arial"/>
          <w:snapToGrid w:val="0"/>
          <w:sz w:val="18"/>
          <w:szCs w:val="20"/>
        </w:rPr>
      </w:pPr>
      <w:proofErr w:type="spellStart"/>
      <w:r w:rsidRPr="000C4977">
        <w:rPr>
          <w:rFonts w:ascii="Arial Narrow" w:eastAsia="Times New Roman" w:hAnsi="Arial Narrow" w:cs="Arial"/>
          <w:snapToGrid w:val="0"/>
          <w:sz w:val="18"/>
          <w:szCs w:val="20"/>
        </w:rPr>
        <w:t>beva</w:t>
      </w:r>
      <w:proofErr w:type="spellEnd"/>
      <w:r w:rsidRPr="000C4977">
        <w:rPr>
          <w:rFonts w:ascii="Arial Narrow" w:eastAsia="Times New Roman" w:hAnsi="Arial Narrow" w:cs="Arial"/>
          <w:snapToGrid w:val="0"/>
          <w:sz w:val="18"/>
          <w:szCs w:val="20"/>
        </w:rPr>
        <w:t xml:space="preserve"> = bevacizumab; </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 breast cancer gene; HRD = homologous recombination deficiency; m = mutation; mono = monotherapy; ola = </w:t>
      </w:r>
      <w:proofErr w:type="spellStart"/>
      <w:r w:rsidRPr="000C4977">
        <w:rPr>
          <w:rFonts w:ascii="Arial Narrow" w:eastAsia="Times New Roman" w:hAnsi="Arial Narrow" w:cs="Arial"/>
          <w:snapToGrid w:val="0"/>
          <w:sz w:val="18"/>
          <w:szCs w:val="20"/>
        </w:rPr>
        <w:t>olaparib</w:t>
      </w:r>
      <w:proofErr w:type="spellEnd"/>
      <w:r w:rsidRPr="000C4977">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 xml:space="preserve"> = wild type</w:t>
      </w:r>
    </w:p>
    <w:p w14:paraId="68DFE16F" w14:textId="77777777" w:rsidR="000C4977" w:rsidRPr="000C4977" w:rsidRDefault="000C4977" w:rsidP="004E67C5">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 The submission defined any patients who were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as automatically being HRD positive. However, </w:t>
      </w:r>
      <w:proofErr w:type="spellStart"/>
      <w:r w:rsidRPr="000C4977">
        <w:rPr>
          <w:rFonts w:ascii="Arial Narrow" w:eastAsia="Times New Roman" w:hAnsi="Arial Narrow" w:cs="Arial"/>
          <w:snapToGrid w:val="0"/>
          <w:sz w:val="18"/>
          <w:szCs w:val="20"/>
        </w:rPr>
        <w:t>Telli</w:t>
      </w:r>
      <w:proofErr w:type="spellEnd"/>
      <w:r w:rsidRPr="000C4977">
        <w:rPr>
          <w:rFonts w:ascii="Arial Narrow" w:eastAsia="Times New Roman" w:hAnsi="Arial Narrow" w:cs="Arial"/>
          <w:snapToGrid w:val="0"/>
          <w:sz w:val="18"/>
          <w:szCs w:val="20"/>
        </w:rPr>
        <w:t xml:space="preserve"> 2016 defined the GIS threshold of 42 so that 5% of these patients would be HRD negative.</w:t>
      </w:r>
    </w:p>
    <w:p w14:paraId="6FD84453"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 evaluation</w:t>
      </w:r>
    </w:p>
    <w:p w14:paraId="56C21EA9" w14:textId="168842A7" w:rsidR="000C4977" w:rsidRPr="000C4977" w:rsidRDefault="000C4977" w:rsidP="000C4977">
      <w:pPr>
        <w:spacing w:line="259" w:lineRule="auto"/>
        <w:jc w:val="left"/>
      </w:pPr>
      <w:r w:rsidRPr="000C4977">
        <w:t xml:space="preserve">The commentary highlighted that false positive or false negative </w:t>
      </w:r>
      <w:r w:rsidRPr="000C4977">
        <w:rPr>
          <w:i/>
        </w:rPr>
        <w:t>BRCA</w:t>
      </w:r>
      <w:r w:rsidRPr="000C4977">
        <w:t xml:space="preserve"> and HRD results that occur in clinical practice will have the following consequences for patients:</w:t>
      </w:r>
    </w:p>
    <w:p w14:paraId="701F12A2" w14:textId="77777777" w:rsidR="000C4977" w:rsidRPr="000C4977" w:rsidRDefault="000C4977" w:rsidP="000C4977">
      <w:pPr>
        <w:numPr>
          <w:ilvl w:val="0"/>
          <w:numId w:val="45"/>
        </w:numPr>
        <w:spacing w:line="259" w:lineRule="auto"/>
        <w:contextualSpacing/>
        <w:jc w:val="left"/>
        <w:rPr>
          <w:color w:val="000000" w:themeColor="text1"/>
        </w:rPr>
      </w:pPr>
      <w:r w:rsidRPr="000C4977">
        <w:rPr>
          <w:color w:val="000000" w:themeColor="text1"/>
        </w:rPr>
        <w:t xml:space="preserve">HRD positive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patients who incorrectly receive </w:t>
      </w:r>
      <w:proofErr w:type="spellStart"/>
      <w:r w:rsidRPr="000C4977">
        <w:rPr>
          <w:color w:val="000000" w:themeColor="text1"/>
        </w:rPr>
        <w:t>olaparib</w:t>
      </w:r>
      <w:proofErr w:type="spellEnd"/>
      <w:r w:rsidRPr="000C4977">
        <w:rPr>
          <w:color w:val="000000" w:themeColor="text1"/>
        </w:rPr>
        <w:t xml:space="preserve"> monotherapy instead of </w:t>
      </w:r>
      <w:proofErr w:type="spellStart"/>
      <w:r w:rsidRPr="000C4977">
        <w:rPr>
          <w:color w:val="000000" w:themeColor="text1"/>
        </w:rPr>
        <w:t>olaparib</w:t>
      </w:r>
      <w:proofErr w:type="spellEnd"/>
      <w:r w:rsidRPr="000C4977">
        <w:rPr>
          <w:color w:val="000000" w:themeColor="text1"/>
        </w:rPr>
        <w:t xml:space="preserve"> + bevacizumab </w:t>
      </w:r>
      <w:proofErr w:type="gramStart"/>
      <w:r w:rsidRPr="000C4977">
        <w:rPr>
          <w:color w:val="000000" w:themeColor="text1"/>
        </w:rPr>
        <w:t>do</w:t>
      </w:r>
      <w:proofErr w:type="gramEnd"/>
      <w:r w:rsidRPr="000C4977">
        <w:rPr>
          <w:color w:val="000000" w:themeColor="text1"/>
        </w:rPr>
        <w:t xml:space="preserve"> not receive the additive/synergistic benefits of bevacizumab, potentially leading to additional health benefits foregone. The efficacy of </w:t>
      </w:r>
      <w:proofErr w:type="spellStart"/>
      <w:r w:rsidRPr="000C4977">
        <w:rPr>
          <w:color w:val="000000" w:themeColor="text1"/>
        </w:rPr>
        <w:t>olaparib</w:t>
      </w:r>
      <w:proofErr w:type="spellEnd"/>
      <w:r w:rsidRPr="000C4977">
        <w:rPr>
          <w:color w:val="000000" w:themeColor="text1"/>
        </w:rPr>
        <w:t xml:space="preserve"> monotherapy in HRD positive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has also not been established, potentially making them clinically worse off.</w:t>
      </w:r>
    </w:p>
    <w:p w14:paraId="731AB780" w14:textId="2580CD0F" w:rsidR="000C4977" w:rsidRPr="000C4977" w:rsidRDefault="000C4977" w:rsidP="000C4977">
      <w:pPr>
        <w:numPr>
          <w:ilvl w:val="0"/>
          <w:numId w:val="45"/>
        </w:numPr>
        <w:spacing w:line="259" w:lineRule="auto"/>
        <w:contextualSpacing/>
        <w:jc w:val="left"/>
        <w:rPr>
          <w:color w:val="000000" w:themeColor="text1"/>
        </w:rPr>
      </w:pPr>
      <w:r w:rsidRPr="000C4977">
        <w:rPr>
          <w:color w:val="000000" w:themeColor="text1"/>
        </w:rPr>
        <w:t xml:space="preserve">HRD negative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patients who incorrectly receive </w:t>
      </w:r>
      <w:proofErr w:type="spellStart"/>
      <w:r w:rsidRPr="000C4977">
        <w:rPr>
          <w:color w:val="000000" w:themeColor="text1"/>
        </w:rPr>
        <w:t>olaparib</w:t>
      </w:r>
      <w:proofErr w:type="spellEnd"/>
      <w:r w:rsidRPr="000C4977">
        <w:rPr>
          <w:color w:val="000000" w:themeColor="text1"/>
        </w:rPr>
        <w:t xml:space="preserve"> monotherapy instead of bevacizumab monotherapy are unnecessarily exposed to </w:t>
      </w:r>
      <w:proofErr w:type="spellStart"/>
      <w:r w:rsidRPr="000C4977">
        <w:rPr>
          <w:color w:val="000000" w:themeColor="text1"/>
        </w:rPr>
        <w:t>olaparib</w:t>
      </w:r>
      <w:proofErr w:type="spellEnd"/>
      <w:r w:rsidRPr="000C4977">
        <w:rPr>
          <w:color w:val="000000" w:themeColor="text1"/>
        </w:rPr>
        <w:t xml:space="preserve">, resulting in additional cost (due to the higher proposed cost of </w:t>
      </w:r>
      <w:proofErr w:type="spellStart"/>
      <w:r w:rsidRPr="000C4977">
        <w:rPr>
          <w:color w:val="000000" w:themeColor="text1"/>
        </w:rPr>
        <w:t>olaparib</w:t>
      </w:r>
      <w:proofErr w:type="spellEnd"/>
      <w:r w:rsidRPr="000C4977">
        <w:rPr>
          <w:color w:val="000000" w:themeColor="text1"/>
        </w:rPr>
        <w:t xml:space="preserve">) and potentially leading to a higher rate of AEs. The efficacy of </w:t>
      </w:r>
      <w:proofErr w:type="spellStart"/>
      <w:r w:rsidRPr="000C4977">
        <w:rPr>
          <w:color w:val="000000" w:themeColor="text1"/>
        </w:rPr>
        <w:t>olaparib</w:t>
      </w:r>
      <w:proofErr w:type="spellEnd"/>
      <w:r w:rsidRPr="000C4977">
        <w:rPr>
          <w:color w:val="000000" w:themeColor="text1"/>
        </w:rPr>
        <w:t xml:space="preserve"> monotherapy in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has not been established, potentially making them clinically worse off.</w:t>
      </w:r>
    </w:p>
    <w:p w14:paraId="62FEA402" w14:textId="775590C1" w:rsidR="000C4977" w:rsidRPr="000C4977" w:rsidRDefault="000C4977" w:rsidP="000C4977">
      <w:pPr>
        <w:numPr>
          <w:ilvl w:val="0"/>
          <w:numId w:val="45"/>
        </w:numPr>
        <w:spacing w:line="259" w:lineRule="auto"/>
        <w:contextualSpacing/>
        <w:jc w:val="left"/>
        <w:rPr>
          <w:color w:val="000000" w:themeColor="text1"/>
        </w:rPr>
      </w:pPr>
      <w:r w:rsidRPr="000C4977">
        <w:rPr>
          <w:color w:val="000000" w:themeColor="text1"/>
        </w:rPr>
        <w:lastRenderedPageBreak/>
        <w:t xml:space="preserve">Patients who incorrectly receive </w:t>
      </w:r>
      <w:proofErr w:type="spellStart"/>
      <w:r w:rsidRPr="000C4977">
        <w:rPr>
          <w:color w:val="000000" w:themeColor="text1"/>
        </w:rPr>
        <w:t>olaparib</w:t>
      </w:r>
      <w:proofErr w:type="spellEnd"/>
      <w:r w:rsidRPr="000C4977">
        <w:rPr>
          <w:color w:val="000000" w:themeColor="text1"/>
        </w:rPr>
        <w:t xml:space="preserve"> + bevacizumab instead of </w:t>
      </w:r>
      <w:proofErr w:type="spellStart"/>
      <w:r w:rsidRPr="000C4977">
        <w:rPr>
          <w:color w:val="000000" w:themeColor="text1"/>
        </w:rPr>
        <w:t>olaparib</w:t>
      </w:r>
      <w:proofErr w:type="spellEnd"/>
      <w:r w:rsidRPr="000C4977">
        <w:rPr>
          <w:color w:val="000000" w:themeColor="text1"/>
        </w:rPr>
        <w:t xml:space="preserve"> monotherapy are unnecessarily exposed to bevacizumab, incurring the additional cost of </w:t>
      </w:r>
      <w:proofErr w:type="gramStart"/>
      <w:r w:rsidRPr="000C4977">
        <w:rPr>
          <w:color w:val="000000" w:themeColor="text1"/>
        </w:rPr>
        <w:t>bevacizumab</w:t>
      </w:r>
      <w:proofErr w:type="gramEnd"/>
      <w:r w:rsidRPr="000C4977">
        <w:rPr>
          <w:color w:val="000000" w:themeColor="text1"/>
        </w:rPr>
        <w:t xml:space="preserve"> and potentially resulting in additional AEs due to bevacizumab.</w:t>
      </w:r>
    </w:p>
    <w:p w14:paraId="5DE6B9F7" w14:textId="2D7EDF9F" w:rsidR="000C4977" w:rsidRPr="000C4977" w:rsidRDefault="000C4977" w:rsidP="000C4977">
      <w:pPr>
        <w:numPr>
          <w:ilvl w:val="0"/>
          <w:numId w:val="45"/>
        </w:numPr>
        <w:spacing w:line="259" w:lineRule="auto"/>
        <w:contextualSpacing/>
        <w:jc w:val="left"/>
        <w:rPr>
          <w:color w:val="000000" w:themeColor="text1"/>
        </w:rPr>
      </w:pPr>
      <w:r w:rsidRPr="000C4977">
        <w:rPr>
          <w:color w:val="000000" w:themeColor="text1"/>
        </w:rPr>
        <w:t xml:space="preserve">Patients who incorrectly receive </w:t>
      </w:r>
      <w:proofErr w:type="spellStart"/>
      <w:r w:rsidRPr="000C4977">
        <w:rPr>
          <w:color w:val="000000" w:themeColor="text1"/>
        </w:rPr>
        <w:t>olaparib</w:t>
      </w:r>
      <w:proofErr w:type="spellEnd"/>
      <w:r w:rsidRPr="000C4977">
        <w:rPr>
          <w:color w:val="000000" w:themeColor="text1"/>
        </w:rPr>
        <w:t xml:space="preserve"> + bevacizumab instead of bevacizumab are unnecessarily exposed to </w:t>
      </w:r>
      <w:proofErr w:type="spellStart"/>
      <w:r w:rsidRPr="000C4977">
        <w:rPr>
          <w:color w:val="000000" w:themeColor="text1"/>
        </w:rPr>
        <w:t>olaparib</w:t>
      </w:r>
      <w:proofErr w:type="spellEnd"/>
      <w:r w:rsidRPr="000C4977">
        <w:rPr>
          <w:color w:val="000000" w:themeColor="text1"/>
        </w:rPr>
        <w:t xml:space="preserve">, resulting in additional cost of </w:t>
      </w:r>
      <w:proofErr w:type="spellStart"/>
      <w:r w:rsidRPr="000C4977">
        <w:rPr>
          <w:color w:val="000000" w:themeColor="text1"/>
        </w:rPr>
        <w:t>olaparib</w:t>
      </w:r>
      <w:proofErr w:type="spellEnd"/>
      <w:r w:rsidRPr="000C4977">
        <w:rPr>
          <w:color w:val="000000" w:themeColor="text1"/>
        </w:rPr>
        <w:t xml:space="preserve"> and likely leading to a higher rate of AEs.</w:t>
      </w:r>
    </w:p>
    <w:p w14:paraId="77791F61" w14:textId="7326B82D" w:rsidR="000C4977" w:rsidRPr="000C4977" w:rsidRDefault="000C4977" w:rsidP="000C4977">
      <w:pPr>
        <w:numPr>
          <w:ilvl w:val="0"/>
          <w:numId w:val="45"/>
        </w:numPr>
        <w:spacing w:line="259" w:lineRule="auto"/>
        <w:contextualSpacing/>
        <w:jc w:val="left"/>
        <w:rPr>
          <w:color w:val="000000" w:themeColor="text1"/>
        </w:rPr>
      </w:pPr>
      <w:r w:rsidRPr="000C4977">
        <w:rPr>
          <w:color w:val="000000" w:themeColor="text1"/>
        </w:rPr>
        <w:t xml:space="preserve">Patients who incorrectly receive bevacizumab monotherapy instead of </w:t>
      </w:r>
      <w:proofErr w:type="spellStart"/>
      <w:r w:rsidRPr="000C4977">
        <w:rPr>
          <w:color w:val="000000" w:themeColor="text1"/>
        </w:rPr>
        <w:t>olaparib</w:t>
      </w:r>
      <w:proofErr w:type="spellEnd"/>
      <w:r w:rsidRPr="000C4977">
        <w:rPr>
          <w:color w:val="000000" w:themeColor="text1"/>
        </w:rPr>
        <w:t xml:space="preserve"> monotherapy would have the benefit of </w:t>
      </w:r>
      <w:proofErr w:type="spellStart"/>
      <w:r w:rsidRPr="000C4977">
        <w:rPr>
          <w:color w:val="000000" w:themeColor="text1"/>
        </w:rPr>
        <w:t>olaparib</w:t>
      </w:r>
      <w:proofErr w:type="spellEnd"/>
      <w:r w:rsidRPr="000C4977">
        <w:rPr>
          <w:color w:val="000000" w:themeColor="text1"/>
        </w:rPr>
        <w:t xml:space="preserve"> treatment foregone, while being exposed to bevacizumab unnecessarily. The ESCs considered that this may be of greater clinically consequence than other outcomes as patients may forego an effective treatment.</w:t>
      </w:r>
    </w:p>
    <w:p w14:paraId="7CB5C698" w14:textId="77777777" w:rsidR="000C4977" w:rsidRPr="000C4977" w:rsidRDefault="000C4977" w:rsidP="00474E58">
      <w:pPr>
        <w:numPr>
          <w:ilvl w:val="0"/>
          <w:numId w:val="45"/>
        </w:numPr>
        <w:spacing w:line="259" w:lineRule="auto"/>
        <w:ind w:left="714" w:hanging="357"/>
        <w:jc w:val="left"/>
        <w:rPr>
          <w:color w:val="000000" w:themeColor="text1"/>
        </w:rPr>
      </w:pPr>
      <w:r w:rsidRPr="000C4977">
        <w:rPr>
          <w:color w:val="000000" w:themeColor="text1"/>
        </w:rPr>
        <w:t xml:space="preserve">Patients who incorrectly receive bevacizumab monotherapy instead of </w:t>
      </w:r>
      <w:proofErr w:type="spellStart"/>
      <w:r w:rsidRPr="000C4977">
        <w:rPr>
          <w:color w:val="000000" w:themeColor="text1"/>
        </w:rPr>
        <w:t>olaparib</w:t>
      </w:r>
      <w:proofErr w:type="spellEnd"/>
      <w:r w:rsidRPr="000C4977">
        <w:rPr>
          <w:color w:val="000000" w:themeColor="text1"/>
        </w:rPr>
        <w:t xml:space="preserve"> + bevacizumab would have the benefit of </w:t>
      </w:r>
      <w:proofErr w:type="spellStart"/>
      <w:r w:rsidRPr="000C4977">
        <w:rPr>
          <w:color w:val="000000" w:themeColor="text1"/>
        </w:rPr>
        <w:t>olaparib</w:t>
      </w:r>
      <w:proofErr w:type="spellEnd"/>
      <w:r w:rsidRPr="000C4977">
        <w:rPr>
          <w:color w:val="000000" w:themeColor="text1"/>
        </w:rPr>
        <w:t xml:space="preserve"> foregone.</w:t>
      </w:r>
    </w:p>
    <w:p w14:paraId="6490A6E2" w14:textId="23C9931D" w:rsidR="000C4977" w:rsidRPr="000C4977" w:rsidRDefault="000C4977" w:rsidP="000C4977">
      <w:pPr>
        <w:spacing w:line="259" w:lineRule="auto"/>
        <w:jc w:val="left"/>
      </w:pPr>
      <w:r w:rsidRPr="000C4977">
        <w:t xml:space="preserve">In </w:t>
      </w:r>
      <w:r w:rsidRPr="000256F8">
        <w:t xml:space="preserve">the above matrix, patients who have been designated as receiving bevacizumab monotherapy could alternatively adopt a ‘watch and wait’ approach (as proposed by the submission would occur for 10% of patients). In which case, there could be additional benefits foregone with treatment. It was noted that ‘watch and wait’ was a nominated comparator in </w:t>
      </w:r>
      <w:proofErr w:type="spellStart"/>
      <w:r w:rsidRPr="000256F8">
        <w:rPr>
          <w:i/>
        </w:rPr>
        <w:t>BRCA</w:t>
      </w:r>
      <w:r w:rsidRPr="000256F8">
        <w:t>wt</w:t>
      </w:r>
      <w:proofErr w:type="spellEnd"/>
      <w:r w:rsidRPr="000256F8">
        <w:t xml:space="preserve"> patients in the consideration of niraparib for HGEOC, and that up to 72.6% of all </w:t>
      </w:r>
      <w:proofErr w:type="spellStart"/>
      <w:r w:rsidRPr="000256F8">
        <w:rPr>
          <w:i/>
        </w:rPr>
        <w:t>BRCA</w:t>
      </w:r>
      <w:r w:rsidRPr="000256F8">
        <w:t>wt</w:t>
      </w:r>
      <w:proofErr w:type="spellEnd"/>
      <w:r w:rsidRPr="000256F8">
        <w:t xml:space="preserve"> were assumed to be treated with ‘watch and wait’ in the financial estimates (Table 22, niraparib PBAC minutes March 2022). However, as patients who are unsuitable for bevacizumab maintenance therapy alone would likely also be unsuitable for </w:t>
      </w:r>
      <w:proofErr w:type="spellStart"/>
      <w:r w:rsidRPr="000256F8">
        <w:t>olaparib</w:t>
      </w:r>
      <w:proofErr w:type="spellEnd"/>
      <w:r w:rsidRPr="000256F8">
        <w:t xml:space="preserve"> plus bevacizumab maintenance therapy, it was unclear what proportion of patients who are able to use bevacizumab would choose to ‘watch and wait’ instead.</w:t>
      </w:r>
    </w:p>
    <w:p w14:paraId="1C5F1B13" w14:textId="12DD08B8" w:rsidR="000C4977" w:rsidRPr="000C4977" w:rsidRDefault="000C4977" w:rsidP="000C4977">
      <w:pPr>
        <w:spacing w:line="259" w:lineRule="auto"/>
        <w:jc w:val="left"/>
      </w:pPr>
      <w:r w:rsidRPr="000C4977">
        <w:t xml:space="preserve">Additionally, it was unknown what treatment patients with failed, </w:t>
      </w:r>
      <w:proofErr w:type="gramStart"/>
      <w:r w:rsidRPr="000C4977">
        <w:t>cancelled</w:t>
      </w:r>
      <w:proofErr w:type="gramEnd"/>
      <w:r w:rsidRPr="000C4977">
        <w:t xml:space="preserve"> or inconclusive tests would receive in clinical practice and the implications of this treatment.</w:t>
      </w:r>
    </w:p>
    <w:p w14:paraId="079E5BC2" w14:textId="7A777EA9" w:rsidR="000C4977" w:rsidRPr="000C4977" w:rsidRDefault="000C4977"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27" w:name="_Toc69491424"/>
      <w:r w:rsidRPr="000C4977">
        <w:rPr>
          <w:rFonts w:ascii="Franklin Gothic Medium" w:eastAsiaTheme="majorEastAsia" w:hAnsi="Franklin Gothic Medium" w:cstheme="majorBidi"/>
          <w:color w:val="000000" w:themeColor="text1"/>
          <w:sz w:val="32"/>
          <w:szCs w:val="26"/>
        </w:rPr>
        <w:t>1</w:t>
      </w:r>
      <w:r w:rsidR="004C0EB2">
        <w:rPr>
          <w:rFonts w:ascii="Franklin Gothic Medium" w:eastAsiaTheme="majorEastAsia" w:hAnsi="Franklin Gothic Medium" w:cstheme="majorBidi"/>
          <w:color w:val="000000" w:themeColor="text1"/>
          <w:sz w:val="32"/>
          <w:szCs w:val="26"/>
        </w:rPr>
        <w:t>2</w:t>
      </w:r>
      <w:r w:rsidRPr="000C4977">
        <w:rPr>
          <w:rFonts w:ascii="Franklin Gothic Medium" w:eastAsiaTheme="majorEastAsia" w:hAnsi="Franklin Gothic Medium" w:cstheme="majorBidi"/>
          <w:color w:val="000000" w:themeColor="text1"/>
          <w:sz w:val="32"/>
          <w:szCs w:val="26"/>
        </w:rPr>
        <w:t>.</w:t>
      </w:r>
      <w:r w:rsidRPr="000C4977">
        <w:rPr>
          <w:rFonts w:ascii="Franklin Gothic Medium" w:eastAsiaTheme="majorEastAsia" w:hAnsi="Franklin Gothic Medium" w:cstheme="majorBidi"/>
          <w:color w:val="000000" w:themeColor="text1"/>
          <w:sz w:val="32"/>
          <w:szCs w:val="26"/>
        </w:rPr>
        <w:tab/>
        <w:t>Comparative effectiveness</w:t>
      </w:r>
      <w:bookmarkEnd w:id="27"/>
    </w:p>
    <w:p w14:paraId="6132C943" w14:textId="77777777" w:rsidR="000C4977" w:rsidRPr="000C4977" w:rsidRDefault="000C4977" w:rsidP="000C4977">
      <w:pPr>
        <w:keepNext/>
        <w:keepLines/>
        <w:tabs>
          <w:tab w:val="left" w:pos="851"/>
        </w:tabs>
        <w:spacing w:before="360" w:after="200" w:line="259" w:lineRule="auto"/>
        <w:jc w:val="left"/>
        <w:outlineLvl w:val="2"/>
        <w:rPr>
          <w:rFonts w:ascii="Franklin Gothic Medium" w:eastAsiaTheme="majorEastAsia" w:hAnsi="Franklin Gothic Medium" w:cstheme="majorBidi"/>
          <w:szCs w:val="24"/>
        </w:rPr>
      </w:pPr>
      <w:r w:rsidRPr="000C4977">
        <w:rPr>
          <w:rFonts w:ascii="Franklin Gothic Medium" w:eastAsiaTheme="majorEastAsia" w:hAnsi="Franklin Gothic Medium" w:cstheme="majorBidi"/>
          <w:szCs w:val="24"/>
        </w:rPr>
        <w:t>Effectiveness (based on linked evidence)</w:t>
      </w:r>
    </w:p>
    <w:p w14:paraId="745FFA7C" w14:textId="37C6D83A" w:rsidR="000C4977" w:rsidRPr="000C4977" w:rsidRDefault="00546B21" w:rsidP="000C4977">
      <w:pPr>
        <w:spacing w:line="259" w:lineRule="auto"/>
        <w:jc w:val="left"/>
      </w:pPr>
      <w:r w:rsidRPr="00546B21">
        <w:fldChar w:fldCharType="begin"/>
      </w:r>
      <w:r w:rsidRPr="00546B21">
        <w:instrText xml:space="preserve"> REF _Ref111813072 \h  \* MERGEFORMAT </w:instrText>
      </w:r>
      <w:r w:rsidRPr="00546B21">
        <w:fldChar w:fldCharType="separate"/>
      </w:r>
      <w:r w:rsidR="00D8603B">
        <w:t xml:space="preserve">Table </w:t>
      </w:r>
      <w:r w:rsidR="00D8603B">
        <w:rPr>
          <w:noProof/>
        </w:rPr>
        <w:t>7</w:t>
      </w:r>
      <w:r w:rsidRPr="00546B21">
        <w:fldChar w:fldCharType="end"/>
      </w:r>
      <w:r>
        <w:t xml:space="preserve"> </w:t>
      </w:r>
      <w:r w:rsidR="000C4977" w:rsidRPr="000C4977">
        <w:t>below provides a summary of the data available to inform the comparisons of PARP inhibitor efficacy in biomarker positive and negative patients.</w:t>
      </w:r>
    </w:p>
    <w:p w14:paraId="57959714" w14:textId="41B0F4EF" w:rsidR="00546B21" w:rsidRPr="00546B21" w:rsidRDefault="00546B21" w:rsidP="00546B21">
      <w:pPr>
        <w:pStyle w:val="Caption"/>
        <w:rPr>
          <w:bCs/>
        </w:rPr>
      </w:pPr>
      <w:bookmarkStart w:id="28" w:name="_Ref111813072"/>
      <w:r>
        <w:t xml:space="preserve">Table </w:t>
      </w:r>
      <w:fldSimple w:instr=" SEQ Table \* ARABIC ">
        <w:r w:rsidR="00D8603B">
          <w:rPr>
            <w:noProof/>
          </w:rPr>
          <w:t>7</w:t>
        </w:r>
      </w:fldSimple>
      <w:bookmarkEnd w:id="28"/>
      <w:r w:rsidRPr="000C4977">
        <w:rPr>
          <w:b w:val="0"/>
          <w:iCs w:val="0"/>
        </w:rPr>
        <w:tab/>
      </w:r>
      <w:r w:rsidRPr="00546B21">
        <w:rPr>
          <w:bCs/>
          <w:iCs w:val="0"/>
        </w:rPr>
        <w:t>Data availability to inform comparisons</w:t>
      </w:r>
    </w:p>
    <w:tbl>
      <w:tblPr>
        <w:tblStyle w:val="ASDTable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347"/>
        <w:gridCol w:w="3689"/>
      </w:tblGrid>
      <w:tr w:rsidR="000C4977" w:rsidRPr="000C4977" w14:paraId="2F9BEF62" w14:textId="77777777" w:rsidTr="1CD16233">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524CF"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Proposed test vs no test</w:t>
            </w:r>
          </w:p>
        </w:tc>
        <w:tc>
          <w:tcPr>
            <w:tcW w:w="390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1F835" w14:textId="77777777" w:rsidR="000C4977" w:rsidRPr="000C4977" w:rsidRDefault="000C4977" w:rsidP="000C4977">
            <w:pPr>
              <w:keepNext/>
              <w:keepLines/>
              <w:widowControl w:val="0"/>
              <w:spacing w:before="0" w:line="256" w:lineRule="auto"/>
              <w:jc w:val="center"/>
              <w:rPr>
                <w:rFonts w:ascii="Arial Narrow" w:hAnsi="Arial Narrow"/>
                <w:b/>
              </w:rPr>
            </w:pPr>
            <w:r w:rsidRPr="000C4977">
              <w:rPr>
                <w:rFonts w:ascii="Arial Narrow" w:hAnsi="Arial Narrow"/>
              </w:rPr>
              <w:t>Subgroup analysis of PAOLA-1.</w:t>
            </w:r>
          </w:p>
        </w:tc>
      </w:tr>
      <w:tr w:rsidR="000C4977" w:rsidRPr="000C4977" w14:paraId="774ECC52" w14:textId="77777777" w:rsidTr="1CD16233">
        <w:tc>
          <w:tcPr>
            <w:tcW w:w="10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B4C2F"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Proposed test vs alternative test</w:t>
            </w:r>
          </w:p>
        </w:tc>
        <w:tc>
          <w:tcPr>
            <w:tcW w:w="390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668C9" w14:textId="2639931C" w:rsidR="000C4977" w:rsidRPr="000C4977" w:rsidRDefault="00474E58" w:rsidP="000C4977">
            <w:pPr>
              <w:keepNext/>
              <w:keepLines/>
              <w:widowControl w:val="0"/>
              <w:spacing w:before="0" w:line="256" w:lineRule="auto"/>
              <w:jc w:val="center"/>
              <w:rPr>
                <w:rFonts w:ascii="Arial Narrow" w:hAnsi="Arial Narrow"/>
                <w:b/>
              </w:rPr>
            </w:pPr>
            <w:r w:rsidRPr="000C4977">
              <w:rPr>
                <w:rFonts w:ascii="Arial Narrow" w:hAnsi="Arial Narrow"/>
              </w:rPr>
              <w:t xml:space="preserve">Preliminary results </w:t>
            </w:r>
            <w:r>
              <w:rPr>
                <w:rFonts w:ascii="Arial Narrow" w:hAnsi="Arial Narrow"/>
              </w:rPr>
              <w:t>of the v</w:t>
            </w:r>
            <w:r w:rsidR="000C4977" w:rsidRPr="000C4977">
              <w:rPr>
                <w:rFonts w:ascii="Arial Narrow" w:hAnsi="Arial Narrow"/>
              </w:rPr>
              <w:t xml:space="preserve">alidation of the proposed HRD test carried out at the </w:t>
            </w:r>
            <w:r w:rsidR="00A8205F" w:rsidRPr="00A8205F">
              <w:rPr>
                <w:rFonts w:ascii="Arial Narrow" w:hAnsi="Arial Narrow"/>
                <w:color w:val="000000"/>
                <w:spacing w:val="82"/>
                <w:shd w:val="solid" w:color="000000" w:fill="000000"/>
                <w:fitText w:val="168" w:id="-1450960633"/>
                <w14:textFill>
                  <w14:solidFill>
                    <w14:srgbClr w14:val="000000">
                      <w14:alpha w14:val="100000"/>
                    </w14:srgbClr>
                  </w14:solidFill>
                </w14:textFill>
              </w:rPr>
              <w:t>|</w:t>
            </w:r>
            <w:r w:rsidR="00A8205F" w:rsidRPr="00A8205F">
              <w:rPr>
                <w:rFonts w:ascii="Arial Narrow" w:hAnsi="Arial Narrow"/>
                <w:color w:val="000000"/>
                <w:spacing w:val="1"/>
                <w:shd w:val="solid" w:color="000000" w:fill="000000"/>
                <w:fitText w:val="168" w:id="-1450960633"/>
                <w14:textFill>
                  <w14:solidFill>
                    <w14:srgbClr w14:val="000000">
                      <w14:alpha w14:val="100000"/>
                    </w14:srgbClr>
                  </w14:solidFill>
                </w14:textFill>
              </w:rPr>
              <w:t>|</w:t>
            </w:r>
            <w:r w:rsidR="00A8205F" w:rsidRPr="00A8205F">
              <w:rPr>
                <w:rFonts w:ascii="Arial Narrow" w:hAnsi="Arial Narrow"/>
              </w:rPr>
              <w:t xml:space="preserve"> </w:t>
            </w:r>
            <w:r w:rsidR="000C4977" w:rsidRPr="000C4977">
              <w:rPr>
                <w:rFonts w:ascii="Arial Narrow" w:hAnsi="Arial Narrow"/>
              </w:rPr>
              <w:t xml:space="preserve">based on the </w:t>
            </w:r>
            <w:proofErr w:type="spellStart"/>
            <w:r w:rsidR="000C4977" w:rsidRPr="000C4977">
              <w:rPr>
                <w:rFonts w:ascii="Arial Narrow" w:hAnsi="Arial Narrow"/>
              </w:rPr>
              <w:t>SOPHiA</w:t>
            </w:r>
            <w:proofErr w:type="spellEnd"/>
            <w:r w:rsidR="000C4977" w:rsidRPr="000C4977">
              <w:rPr>
                <w:rFonts w:ascii="Arial Narrow" w:hAnsi="Arial Narrow"/>
              </w:rPr>
              <w:t xml:space="preserve"> Genetics assay vs the Myriad </w:t>
            </w:r>
            <w:proofErr w:type="spellStart"/>
            <w:r w:rsidR="000C4977" w:rsidRPr="000C4977">
              <w:rPr>
                <w:rFonts w:ascii="Arial Narrow" w:hAnsi="Arial Narrow"/>
              </w:rPr>
              <w:t>myChoice</w:t>
            </w:r>
            <w:proofErr w:type="spellEnd"/>
            <w:r w:rsidR="000C4977" w:rsidRPr="000C4977">
              <w:rPr>
                <w:rFonts w:ascii="Arial Narrow" w:hAnsi="Arial Narrow"/>
              </w:rPr>
              <w:t xml:space="preserve">® </w:t>
            </w:r>
            <w:proofErr w:type="spellStart"/>
            <w:r w:rsidR="000C4977" w:rsidRPr="000C4977">
              <w:rPr>
                <w:rFonts w:ascii="Arial Narrow" w:hAnsi="Arial Narrow"/>
              </w:rPr>
              <w:t>CDx</w:t>
            </w:r>
            <w:proofErr w:type="spellEnd"/>
            <w:r w:rsidR="000C4977" w:rsidRPr="000C4977">
              <w:rPr>
                <w:rFonts w:ascii="Arial Narrow" w:hAnsi="Arial Narrow"/>
              </w:rPr>
              <w:t xml:space="preserve"> assay.</w:t>
            </w:r>
          </w:p>
        </w:tc>
      </w:tr>
      <w:tr w:rsidR="000C4977" w:rsidRPr="000C4977" w14:paraId="6F55AECA" w14:textId="77777777" w:rsidTr="1CD16233">
        <w:tc>
          <w:tcPr>
            <w:tcW w:w="1098" w:type="pct"/>
            <w:vMerge/>
            <w:vAlign w:val="center"/>
            <w:hideMark/>
          </w:tcPr>
          <w:p w14:paraId="250155CF" w14:textId="77777777" w:rsidR="000C4977" w:rsidRPr="000C4977" w:rsidRDefault="000C4977" w:rsidP="000C4977">
            <w:pPr>
              <w:keepNext/>
              <w:keepLines/>
              <w:spacing w:before="0" w:line="256" w:lineRule="auto"/>
              <w:jc w:val="left"/>
              <w:rPr>
                <w:rFonts w:ascii="Arial Narrow" w:hAnsi="Arial Narrow"/>
              </w:rPr>
            </w:pPr>
          </w:p>
        </w:tc>
        <w:tc>
          <w:tcPr>
            <w:tcW w:w="390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5AEF4"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No studies comparing the proposed HRD test (that also incorporates </w:t>
            </w:r>
            <w:r w:rsidRPr="000C4977">
              <w:rPr>
                <w:rFonts w:ascii="Arial Narrow" w:hAnsi="Arial Narrow"/>
                <w:i/>
                <w:iCs/>
              </w:rPr>
              <w:t>BRCA</w:t>
            </w:r>
            <w:r w:rsidRPr="000C4977">
              <w:rPr>
                <w:rFonts w:ascii="Arial Narrow" w:hAnsi="Arial Narrow"/>
              </w:rPr>
              <w:t xml:space="preserve"> testing) vs the NGS </w:t>
            </w:r>
            <w:r w:rsidRPr="000C4977">
              <w:rPr>
                <w:rFonts w:ascii="Arial Narrow" w:hAnsi="Arial Narrow"/>
                <w:i/>
                <w:iCs/>
              </w:rPr>
              <w:t>BRCA</w:t>
            </w:r>
            <w:r w:rsidRPr="000C4977">
              <w:rPr>
                <w:rFonts w:ascii="Arial Narrow" w:hAnsi="Arial Narrow"/>
              </w:rPr>
              <w:t xml:space="preserve"> test currently used in Australia are available.</w:t>
            </w:r>
          </w:p>
        </w:tc>
      </w:tr>
      <w:tr w:rsidR="000C4977" w:rsidRPr="000C4977" w14:paraId="2DF4E97C" w14:textId="77777777" w:rsidTr="1CD16233">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F67A7" w14:textId="77777777" w:rsidR="000C4977" w:rsidRPr="000C4977" w:rsidRDefault="000C4977" w:rsidP="000C4977">
            <w:pPr>
              <w:keepNext/>
              <w:keepLines/>
              <w:widowControl w:val="0"/>
              <w:spacing w:before="0" w:line="256" w:lineRule="auto"/>
              <w:jc w:val="left"/>
              <w:rPr>
                <w:rFonts w:ascii="Arial Narrow" w:hAnsi="Arial Narrow"/>
              </w:rPr>
            </w:pPr>
          </w:p>
        </w:tc>
        <w:tc>
          <w:tcPr>
            <w:tcW w:w="18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5DA3" w14:textId="1177BA75" w:rsidR="000C4977" w:rsidRPr="000C4977" w:rsidRDefault="000C4977" w:rsidP="000C4977">
            <w:pPr>
              <w:keepNext/>
              <w:keepLines/>
              <w:widowControl w:val="0"/>
              <w:spacing w:before="0" w:line="256" w:lineRule="auto"/>
              <w:jc w:val="center"/>
              <w:rPr>
                <w:rFonts w:ascii="Arial Narrow" w:hAnsi="Arial Narrow"/>
                <w:b/>
              </w:rPr>
            </w:pPr>
            <w:r w:rsidRPr="000C4977">
              <w:rPr>
                <w:rFonts w:ascii="Arial Narrow" w:hAnsi="Arial Narrow"/>
                <w:b/>
              </w:rPr>
              <w:t xml:space="preserve">Proposed </w:t>
            </w:r>
            <w:r w:rsidR="0059147A">
              <w:rPr>
                <w:rFonts w:ascii="Arial Narrow" w:hAnsi="Arial Narrow"/>
                <w:b/>
              </w:rPr>
              <w:t>medicine</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D2C99" w14:textId="046D8DFB" w:rsidR="000C4977" w:rsidRPr="000C4977" w:rsidRDefault="000C4977" w:rsidP="000C4977">
            <w:pPr>
              <w:keepNext/>
              <w:keepLines/>
              <w:widowControl w:val="0"/>
              <w:spacing w:before="0" w:line="256" w:lineRule="auto"/>
              <w:jc w:val="center"/>
              <w:rPr>
                <w:rFonts w:ascii="Arial Narrow" w:hAnsi="Arial Narrow"/>
                <w:b/>
              </w:rPr>
            </w:pPr>
            <w:r w:rsidRPr="000C4977">
              <w:rPr>
                <w:rFonts w:ascii="Arial Narrow" w:hAnsi="Arial Narrow"/>
                <w:b/>
              </w:rPr>
              <w:t xml:space="preserve">Comparator </w:t>
            </w:r>
            <w:r w:rsidR="0059147A">
              <w:rPr>
                <w:rFonts w:ascii="Arial Narrow" w:hAnsi="Arial Narrow"/>
                <w:b/>
              </w:rPr>
              <w:t>medicine</w:t>
            </w:r>
          </w:p>
        </w:tc>
      </w:tr>
      <w:tr w:rsidR="000C4977" w:rsidRPr="000C4977" w14:paraId="0A73AD53" w14:textId="77777777" w:rsidTr="1CD16233">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E1636"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Biomarker test positive</w:t>
            </w:r>
          </w:p>
        </w:tc>
        <w:tc>
          <w:tcPr>
            <w:tcW w:w="18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6D920"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PAOLA-1</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493B8"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PAOLA-1</w:t>
            </w:r>
          </w:p>
        </w:tc>
      </w:tr>
      <w:tr w:rsidR="000C4977" w:rsidRPr="000C4977" w14:paraId="36C0CCA5" w14:textId="77777777" w:rsidTr="1CD16233">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CF477" w14:textId="34370198"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Biomarker test negative</w:t>
            </w:r>
          </w:p>
        </w:tc>
        <w:tc>
          <w:tcPr>
            <w:tcW w:w="18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B2C41"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PAOLA-1</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DAE34"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PAOLA-1</w:t>
            </w:r>
          </w:p>
        </w:tc>
      </w:tr>
    </w:tbl>
    <w:p w14:paraId="1D77A1EC" w14:textId="34B4EBF2"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18"/>
        </w:rPr>
      </w:pPr>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 xml:space="preserve"> = breast cancer gene; HRD = homologous recombination deficiency; NGS = next</w:t>
      </w:r>
      <w:r w:rsidR="002F0BC8">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generation sequencing; </w:t>
      </w:r>
      <w:r w:rsidR="00A8205F" w:rsidRPr="00A8205F">
        <w:rPr>
          <w:rFonts w:ascii="Arial Narrow" w:eastAsia="Times New Roman" w:hAnsi="Arial Narrow" w:cs="Arial"/>
          <w:snapToGrid w:val="0"/>
          <w:color w:val="000000"/>
          <w:spacing w:val="8"/>
          <w:w w:val="44"/>
          <w:sz w:val="18"/>
          <w:szCs w:val="18"/>
          <w:shd w:val="solid" w:color="000000" w:fill="000000"/>
          <w:fitText w:val="148" w:id="-1450960632"/>
          <w14:textFill>
            <w14:solidFill>
              <w14:srgbClr w14:val="000000">
                <w14:alpha w14:val="100000"/>
              </w14:srgbClr>
            </w14:solidFill>
          </w14:textFill>
        </w:rPr>
        <w:t>|</w:t>
      </w:r>
      <w:proofErr w:type="gramStart"/>
      <w:r w:rsidR="00A8205F" w:rsidRPr="00A8205F">
        <w:rPr>
          <w:rFonts w:ascii="Arial Narrow" w:eastAsia="Times New Roman" w:hAnsi="Arial Narrow" w:cs="Arial"/>
          <w:snapToGrid w:val="0"/>
          <w:color w:val="000000"/>
          <w:spacing w:val="8"/>
          <w:w w:val="44"/>
          <w:sz w:val="18"/>
          <w:szCs w:val="18"/>
          <w:shd w:val="solid" w:color="000000" w:fill="000000"/>
          <w:fitText w:val="148" w:id="-1450960632"/>
          <w14:textFill>
            <w14:solidFill>
              <w14:srgbClr w14:val="000000">
                <w14:alpha w14:val="100000"/>
              </w14:srgbClr>
            </w14:solidFill>
          </w14:textFill>
        </w:rPr>
        <w:t>|  |</w:t>
      </w:r>
      <w:proofErr w:type="gramEnd"/>
      <w:r w:rsidR="00A8205F" w:rsidRPr="00A8205F">
        <w:rPr>
          <w:rFonts w:ascii="Arial Narrow" w:eastAsia="Times New Roman" w:hAnsi="Arial Narrow" w:cs="Arial"/>
          <w:snapToGrid w:val="0"/>
          <w:color w:val="000000"/>
          <w:spacing w:val="5"/>
          <w:w w:val="44"/>
          <w:sz w:val="18"/>
          <w:szCs w:val="18"/>
          <w:shd w:val="solid" w:color="000000" w:fill="000000"/>
          <w:fitText w:val="148" w:id="-1450960632"/>
          <w14:textFill>
            <w14:solidFill>
              <w14:srgbClr w14:val="000000">
                <w14:alpha w14:val="100000"/>
              </w14:srgbClr>
            </w14:solidFill>
          </w14:textFill>
        </w:rPr>
        <w:t>|</w:t>
      </w:r>
      <w:r w:rsidR="00A8205F" w:rsidRPr="00A8205F">
        <w:rPr>
          <w:rFonts w:ascii="Arial Narrow" w:eastAsia="Times New Roman" w:hAnsi="Arial Narrow" w:cs="Arial"/>
          <w:snapToGrid w:val="0"/>
          <w:sz w:val="18"/>
          <w:szCs w:val="18"/>
        </w:rPr>
        <w:t xml:space="preserve"> </w:t>
      </w:r>
      <w:r w:rsidRPr="000C4977">
        <w:rPr>
          <w:rFonts w:ascii="Arial Narrow" w:eastAsia="Times New Roman" w:hAnsi="Arial Narrow" w:cs="Arial"/>
          <w:snapToGrid w:val="0"/>
          <w:sz w:val="18"/>
          <w:szCs w:val="18"/>
        </w:rPr>
        <w:t xml:space="preserve">= </w:t>
      </w:r>
      <w:r w:rsidR="00A8205F" w:rsidRPr="00A8205F">
        <w:rPr>
          <w:rFonts w:ascii="Arial Narrow" w:eastAsia="Times New Roman" w:hAnsi="Arial Narrow" w:cs="Arial"/>
          <w:snapToGrid w:val="0"/>
          <w:color w:val="000000"/>
          <w:spacing w:val="8"/>
          <w:w w:val="40"/>
          <w:sz w:val="18"/>
          <w:szCs w:val="18"/>
          <w:shd w:val="solid" w:color="000000" w:fill="000000"/>
          <w:fitText w:val="136" w:id="-1450960631"/>
          <w14:textFill>
            <w14:solidFill>
              <w14:srgbClr w14:val="000000">
                <w14:alpha w14:val="100000"/>
              </w14:srgbClr>
            </w14:solidFill>
          </w14:textFill>
        </w:rPr>
        <w:t>||  |</w:t>
      </w:r>
      <w:r w:rsidR="00A8205F" w:rsidRPr="00A8205F">
        <w:rPr>
          <w:rFonts w:ascii="Arial Narrow" w:eastAsia="Times New Roman" w:hAnsi="Arial Narrow" w:cs="Arial"/>
          <w:snapToGrid w:val="0"/>
          <w:color w:val="000000"/>
          <w:spacing w:val="2"/>
          <w:w w:val="40"/>
          <w:sz w:val="18"/>
          <w:szCs w:val="18"/>
          <w:shd w:val="solid" w:color="000000" w:fill="000000"/>
          <w:fitText w:val="136" w:id="-1450960631"/>
          <w14:textFill>
            <w14:solidFill>
              <w14:srgbClr w14:val="000000">
                <w14:alpha w14:val="100000"/>
              </w14:srgbClr>
            </w14:solidFill>
          </w14:textFill>
        </w:rPr>
        <w:t>|</w:t>
      </w:r>
    </w:p>
    <w:p w14:paraId="118B9542" w14:textId="77777777" w:rsidR="000C4977" w:rsidRPr="000C4977" w:rsidRDefault="000C4977"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 evaluation</w:t>
      </w:r>
    </w:p>
    <w:p w14:paraId="32E9B322" w14:textId="77777777" w:rsidR="000C4977" w:rsidRPr="000C4977" w:rsidRDefault="000C4977" w:rsidP="000C4977">
      <w:pPr>
        <w:spacing w:line="259" w:lineRule="auto"/>
        <w:jc w:val="left"/>
      </w:pPr>
      <w:r w:rsidRPr="000C4977">
        <w:t xml:space="preserve">The NGS-based Myriad </w:t>
      </w:r>
      <w:proofErr w:type="spellStart"/>
      <w:r w:rsidRPr="000C4977">
        <w:t>myChoice</w:t>
      </w:r>
      <w:proofErr w:type="spellEnd"/>
      <w:r w:rsidRPr="000C4977">
        <w:t xml:space="preserve"> HRD plus</w:t>
      </w:r>
      <w:r w:rsidRPr="000C4977">
        <w:rPr>
          <w:rFonts w:cstheme="minorHAnsi"/>
          <w:bCs/>
          <w:i/>
          <w:color w:val="3366FF"/>
          <w:szCs w:val="24"/>
        </w:rPr>
        <w:t xml:space="preserve"> </w:t>
      </w:r>
      <w:r w:rsidRPr="000C4977">
        <w:t xml:space="preserve">assay was used to determine HRD status (including pathogenic </w:t>
      </w:r>
      <w:r w:rsidRPr="000C4977">
        <w:rPr>
          <w:i/>
          <w:iCs/>
        </w:rPr>
        <w:t>BRCA</w:t>
      </w:r>
      <w:r w:rsidRPr="000C4977">
        <w:t xml:space="preserve"> variants) in patients enrolled in the PAOLA-1 study and is the clinical utility standard.</w:t>
      </w:r>
    </w:p>
    <w:p w14:paraId="4A89F4FF" w14:textId="77777777" w:rsidR="000C4977" w:rsidRPr="000C4977" w:rsidRDefault="000C4977" w:rsidP="000C4977">
      <w:pPr>
        <w:spacing w:line="259" w:lineRule="auto"/>
        <w:jc w:val="left"/>
      </w:pPr>
      <w:r w:rsidRPr="000C4977">
        <w:t>Tumours can be tested for HRD in several ways:</w:t>
      </w:r>
    </w:p>
    <w:p w14:paraId="2988A5B7" w14:textId="77777777" w:rsidR="000C4977" w:rsidRPr="000C4977" w:rsidRDefault="000C4977" w:rsidP="000C4977">
      <w:pPr>
        <w:numPr>
          <w:ilvl w:val="0"/>
          <w:numId w:val="46"/>
        </w:numPr>
        <w:spacing w:line="259" w:lineRule="auto"/>
        <w:jc w:val="left"/>
        <w:rPr>
          <w:color w:val="000000" w:themeColor="text1"/>
          <w:szCs w:val="20"/>
        </w:rPr>
      </w:pPr>
      <w:r w:rsidRPr="000C4977">
        <w:rPr>
          <w:color w:val="000000" w:themeColor="text1"/>
          <w:szCs w:val="20"/>
        </w:rPr>
        <w:t>Tests which look for the cause of HRD</w:t>
      </w:r>
    </w:p>
    <w:p w14:paraId="7A4A3777" w14:textId="77777777" w:rsidR="000C4977" w:rsidRPr="000C4977" w:rsidRDefault="000C4977" w:rsidP="000C4977">
      <w:pPr>
        <w:numPr>
          <w:ilvl w:val="0"/>
          <w:numId w:val="12"/>
        </w:numPr>
        <w:spacing w:after="120" w:line="259" w:lineRule="auto"/>
        <w:jc w:val="left"/>
      </w:pPr>
      <w:r w:rsidRPr="000C4977">
        <w:rPr>
          <w:i/>
          <w:iCs/>
        </w:rPr>
        <w:lastRenderedPageBreak/>
        <w:t>BRCA</w:t>
      </w:r>
      <w:r w:rsidRPr="000C4977">
        <w:t xml:space="preserve"> tests use NGS to identify </w:t>
      </w:r>
      <w:r w:rsidRPr="000C4977">
        <w:rPr>
          <w:i/>
          <w:iCs/>
        </w:rPr>
        <w:t>BRCA1</w:t>
      </w:r>
      <w:r w:rsidRPr="000C4977">
        <w:t xml:space="preserve"> and </w:t>
      </w:r>
      <w:r w:rsidRPr="000C4977">
        <w:rPr>
          <w:i/>
          <w:iCs/>
        </w:rPr>
        <w:t>BRCA2</w:t>
      </w:r>
      <w:r w:rsidRPr="000C4977">
        <w:t xml:space="preserve"> likely pathogenic or pathogenic gene variants.</w:t>
      </w:r>
    </w:p>
    <w:p w14:paraId="0C3ED635" w14:textId="4A4F9A8F" w:rsidR="000C4977" w:rsidRPr="000C4977" w:rsidRDefault="000C4977" w:rsidP="000C4977">
      <w:pPr>
        <w:numPr>
          <w:ilvl w:val="0"/>
          <w:numId w:val="12"/>
        </w:numPr>
        <w:spacing w:after="120" w:line="259" w:lineRule="auto"/>
        <w:jc w:val="left"/>
      </w:pPr>
      <w:r w:rsidRPr="000C4977">
        <w:t>Tests that assess specific homologous recombination repair (HRR) genes (</w:t>
      </w:r>
      <w:proofErr w:type="spellStart"/>
      <w:r w:rsidRPr="000C4977">
        <w:t>HRRm</w:t>
      </w:r>
      <w:proofErr w:type="spellEnd"/>
      <w:r w:rsidRPr="000C4977">
        <w:t xml:space="preserve">) use multigene panels to identify likely pathogenic or pathogenic variants. </w:t>
      </w:r>
      <w:r w:rsidRPr="000C4977">
        <w:rPr>
          <w:i/>
          <w:iCs/>
        </w:rPr>
        <w:t>BRCA</w:t>
      </w:r>
      <w:r w:rsidRPr="000C4977">
        <w:t xml:space="preserve"> is an HRR gene and HRR panels are routinely used in ovarian cancer. </w:t>
      </w:r>
      <w:proofErr w:type="spellStart"/>
      <w:r w:rsidRPr="000C4977">
        <w:t>HRRm</w:t>
      </w:r>
      <w:proofErr w:type="spellEnd"/>
      <w:r w:rsidRPr="000C4977">
        <w:t xml:space="preserve"> tests are not used in ovarian cancer but are more common in prostate cancer.</w:t>
      </w:r>
    </w:p>
    <w:p w14:paraId="61AC5A09" w14:textId="77777777" w:rsidR="000C4977" w:rsidRPr="000C4977" w:rsidRDefault="000C4977" w:rsidP="000C4977">
      <w:pPr>
        <w:numPr>
          <w:ilvl w:val="0"/>
          <w:numId w:val="46"/>
        </w:numPr>
        <w:spacing w:line="259" w:lineRule="auto"/>
        <w:jc w:val="left"/>
        <w:rPr>
          <w:color w:val="000000" w:themeColor="text1"/>
          <w:szCs w:val="20"/>
        </w:rPr>
      </w:pPr>
      <w:r w:rsidRPr="000C4977">
        <w:rPr>
          <w:color w:val="000000" w:themeColor="text1"/>
          <w:szCs w:val="20"/>
        </w:rPr>
        <w:t>Tests which aim to find the effect of HRD</w:t>
      </w:r>
    </w:p>
    <w:p w14:paraId="2C07009C" w14:textId="77777777" w:rsidR="000C4977" w:rsidRPr="000C4977" w:rsidRDefault="000C4977" w:rsidP="000C4977">
      <w:pPr>
        <w:numPr>
          <w:ilvl w:val="0"/>
          <w:numId w:val="12"/>
        </w:numPr>
        <w:spacing w:after="120" w:line="259" w:lineRule="auto"/>
        <w:jc w:val="left"/>
      </w:pPr>
      <w:r w:rsidRPr="000C4977">
        <w:t>GI tests look for genomic aberrations that are thought to be characteristic of HRR disruption. These tests are sometimes referred to as genomic scar or genomic instability tests.</w:t>
      </w:r>
    </w:p>
    <w:p w14:paraId="23AF2562" w14:textId="77777777" w:rsidR="000C4977" w:rsidRPr="000C4977" w:rsidRDefault="000C4977" w:rsidP="000C4977">
      <w:pPr>
        <w:numPr>
          <w:ilvl w:val="0"/>
          <w:numId w:val="12"/>
        </w:numPr>
        <w:spacing w:after="120" w:line="259" w:lineRule="auto"/>
        <w:jc w:val="left"/>
      </w:pPr>
      <w:r w:rsidRPr="000C4977">
        <w:t>The genomic damage/scar can also be assessed by identifying biomarkers such as loss of heterozygosity (LOH), telomeric allelic imbalance (TAI), and/or large-scale state transitions (LST) (Pellegrino 2019).</w:t>
      </w:r>
    </w:p>
    <w:p w14:paraId="1139E9BC" w14:textId="77777777" w:rsidR="000C4977" w:rsidRPr="000C4977" w:rsidRDefault="000C4977" w:rsidP="000C4977">
      <w:pPr>
        <w:spacing w:line="259" w:lineRule="auto"/>
        <w:jc w:val="left"/>
      </w:pPr>
      <w:r w:rsidRPr="000C4977">
        <w:t xml:space="preserve">The Myriad </w:t>
      </w:r>
      <w:proofErr w:type="spellStart"/>
      <w:r w:rsidRPr="000C4977">
        <w:t>myChoice</w:t>
      </w:r>
      <w:proofErr w:type="spellEnd"/>
      <w:r w:rsidRPr="000C4977">
        <w:t xml:space="preserve"> </w:t>
      </w:r>
      <w:proofErr w:type="spellStart"/>
      <w:r w:rsidRPr="000C4977">
        <w:t>CDx</w:t>
      </w:r>
      <w:proofErr w:type="spellEnd"/>
      <w:r w:rsidRPr="000C4977">
        <w:t xml:space="preserve"> and Myriad </w:t>
      </w:r>
      <w:proofErr w:type="spellStart"/>
      <w:r w:rsidRPr="000C4977">
        <w:t>myChoice</w:t>
      </w:r>
      <w:proofErr w:type="spellEnd"/>
      <w:r w:rsidRPr="000C4977">
        <w:t xml:space="preserve"> HRD plus assays uses formalin-fixed paraffin embedded (FFPE) tumour tissue to quantitate the GIS of the tumour and, in parallel, detect and classify pathogenic variants in </w:t>
      </w:r>
      <w:r w:rsidRPr="000C4977">
        <w:rPr>
          <w:i/>
          <w:iCs/>
        </w:rPr>
        <w:t>BRCA1</w:t>
      </w:r>
      <w:r w:rsidRPr="000C4977">
        <w:t xml:space="preserve"> and 2. The GIS is based on three biomarkers (LOH, TAI and LST) and is presented as a score between zero (low) and 100 (high). In PAOLA-1 HRD positivity was defined as the presence of a pathogenic </w:t>
      </w:r>
      <w:proofErr w:type="spellStart"/>
      <w:r w:rsidRPr="000C4977">
        <w:rPr>
          <w:i/>
          <w:iCs/>
        </w:rPr>
        <w:t>BRCA</w:t>
      </w:r>
      <w:r w:rsidRPr="000C4977">
        <w:t>m</w:t>
      </w:r>
      <w:proofErr w:type="spellEnd"/>
      <w:r w:rsidRPr="000C4977">
        <w:t xml:space="preserve"> and/or a GIS ≥42, with this threshold specific to the Myriad </w:t>
      </w:r>
      <w:proofErr w:type="spellStart"/>
      <w:r w:rsidRPr="000C4977">
        <w:t>myChoice</w:t>
      </w:r>
      <w:proofErr w:type="spellEnd"/>
      <w:r w:rsidRPr="000C4977">
        <w:t xml:space="preserve"> </w:t>
      </w:r>
      <w:proofErr w:type="spellStart"/>
      <w:r w:rsidRPr="000C4977">
        <w:t>CDx</w:t>
      </w:r>
      <w:proofErr w:type="spellEnd"/>
      <w:r w:rsidRPr="000C4977">
        <w:t xml:space="preserve"> and Myriad </w:t>
      </w:r>
      <w:proofErr w:type="spellStart"/>
      <w:r w:rsidRPr="000C4977">
        <w:t>myChoice</w:t>
      </w:r>
      <w:proofErr w:type="spellEnd"/>
      <w:r w:rsidRPr="000C4977">
        <w:t xml:space="preserve"> HRD plus assay. The GIS threshold was derived by analysing GIS scores in a training cohort of breast and ovarian chemotherapy-naive tumours with known </w:t>
      </w:r>
      <w:r w:rsidRPr="00E656BC">
        <w:rPr>
          <w:i/>
          <w:iCs/>
        </w:rPr>
        <w:t>BRCA1/2</w:t>
      </w:r>
      <w:r w:rsidRPr="000C4977">
        <w:t xml:space="preserve"> status and identifying a cut</w:t>
      </w:r>
      <w:r w:rsidRPr="000C4977">
        <w:noBreakHyphen/>
        <w:t xml:space="preserve">off with 95% sensitivity to detect those tumours with </w:t>
      </w:r>
      <w:r w:rsidRPr="00E656BC">
        <w:rPr>
          <w:i/>
          <w:iCs/>
        </w:rPr>
        <w:t>BRCA1/2</w:t>
      </w:r>
      <w:r w:rsidRPr="000C4977">
        <w:t xml:space="preserve"> mutations or </w:t>
      </w:r>
      <w:r w:rsidRPr="00E656BC">
        <w:rPr>
          <w:i/>
          <w:iCs/>
        </w:rPr>
        <w:t>BRCA1</w:t>
      </w:r>
      <w:r w:rsidRPr="000C4977">
        <w:t xml:space="preserve"> promoter methylation (</w:t>
      </w:r>
      <w:proofErr w:type="spellStart"/>
      <w:r w:rsidRPr="000C4977">
        <w:t>Telli</w:t>
      </w:r>
      <w:proofErr w:type="spellEnd"/>
      <w:r w:rsidRPr="000C4977">
        <w:t xml:space="preserve"> 2016). The issues around the GIS threshold are discussed further below.</w:t>
      </w:r>
    </w:p>
    <w:p w14:paraId="75C88F8F" w14:textId="27D9F74A" w:rsidR="000C4977" w:rsidRPr="00F15B21" w:rsidRDefault="000C4977" w:rsidP="000C4977">
      <w:pPr>
        <w:spacing w:line="259" w:lineRule="auto"/>
        <w:jc w:val="left"/>
      </w:pPr>
      <w:r w:rsidRPr="00F15B21">
        <w:t xml:space="preserve">The proposed HRD test being </w:t>
      </w:r>
      <w:r w:rsidR="00474E58" w:rsidRPr="00F15B21">
        <w:t>validated</w:t>
      </w:r>
      <w:r w:rsidRPr="00F15B21">
        <w:t xml:space="preserve"> by the </w:t>
      </w:r>
      <w:r w:rsidR="00A8205F" w:rsidRPr="00A8205F">
        <w:rPr>
          <w:color w:val="000000"/>
          <w:spacing w:val="73"/>
          <w:w w:val="81"/>
          <w:shd w:val="solid" w:color="000000" w:fill="000000"/>
          <w:fitText w:val="252" w:id="-1450960630"/>
          <w14:textFill>
            <w14:solidFill>
              <w14:srgbClr w14:val="000000">
                <w14:alpha w14:val="100000"/>
              </w14:srgbClr>
            </w14:solidFill>
          </w14:textFill>
        </w:rPr>
        <w:t>|</w:t>
      </w:r>
      <w:r w:rsidR="00A8205F" w:rsidRPr="00A8205F">
        <w:rPr>
          <w:color w:val="000000"/>
          <w:spacing w:val="1"/>
          <w:w w:val="81"/>
          <w:shd w:val="solid" w:color="000000" w:fill="000000"/>
          <w:fitText w:val="252" w:id="-1450960630"/>
          <w14:textFill>
            <w14:solidFill>
              <w14:srgbClr w14:val="000000">
                <w14:alpha w14:val="100000"/>
              </w14:srgbClr>
            </w14:solidFill>
          </w14:textFill>
        </w:rPr>
        <w:t>|</w:t>
      </w:r>
      <w:r w:rsidR="00A8205F" w:rsidRPr="00A8205F">
        <w:t xml:space="preserve"> </w:t>
      </w:r>
      <w:r w:rsidRPr="00F15B21">
        <w:t xml:space="preserve">is an NGS-based in-vitro diagnostic test developed by </w:t>
      </w:r>
      <w:proofErr w:type="spellStart"/>
      <w:r w:rsidRPr="00F15B21">
        <w:t>SOPHiA</w:t>
      </w:r>
      <w:proofErr w:type="spellEnd"/>
      <w:r w:rsidRPr="00F15B21">
        <w:t xml:space="preserve"> Genetics. The submission (p27) reported that the </w:t>
      </w:r>
      <w:proofErr w:type="spellStart"/>
      <w:r w:rsidRPr="00F15B21">
        <w:t>SOPHiA</w:t>
      </w:r>
      <w:proofErr w:type="spellEnd"/>
      <w:r w:rsidRPr="00F15B21">
        <w:t xml:space="preserve"> assay relies on a Convolutional Neural Network, which is a </w:t>
      </w:r>
      <w:r w:rsidR="000A47D2" w:rsidRPr="00F15B21">
        <w:t xml:space="preserve">deep </w:t>
      </w:r>
      <w:r w:rsidRPr="00F15B21">
        <w:t xml:space="preserve">learning algorithm that can take in an input image, assign importance (learnable weights and biases) to various aspects/objects in the image and be able to differentiate one from the other. The </w:t>
      </w:r>
      <w:r w:rsidR="000A47D2" w:rsidRPr="00F15B21">
        <w:t xml:space="preserve">deep </w:t>
      </w:r>
      <w:r w:rsidRPr="00F15B21">
        <w:t xml:space="preserve">learning tool identifies mutational signatures and morphological patterns which indicate the presence of HRD. The output is a genomic instability </w:t>
      </w:r>
      <w:r w:rsidR="00EE062D" w:rsidRPr="00F15B21">
        <w:t>result</w:t>
      </w:r>
      <w:r w:rsidRPr="00F15B21">
        <w:t xml:space="preserve"> known as a Genomic Integrity Index (GII).</w:t>
      </w:r>
    </w:p>
    <w:p w14:paraId="2A385EFB" w14:textId="7314B977" w:rsidR="000C4977" w:rsidRPr="00474E58" w:rsidRDefault="000C4977" w:rsidP="000C4977">
      <w:pPr>
        <w:spacing w:line="259" w:lineRule="auto"/>
        <w:jc w:val="left"/>
      </w:pPr>
      <w:r w:rsidRPr="00F15B21">
        <w:t xml:space="preserve">The genomic instability component of the </w:t>
      </w:r>
      <w:proofErr w:type="spellStart"/>
      <w:r w:rsidRPr="00F15B21">
        <w:t>SOPHiA</w:t>
      </w:r>
      <w:proofErr w:type="spellEnd"/>
      <w:r w:rsidRPr="00F15B21">
        <w:t xml:space="preserve"> assay could be considered a multifactorial algorithm. The MSAC Guidelines (p144-145</w:t>
      </w:r>
      <w:r w:rsidRPr="000C4977">
        <w:t xml:space="preserve">) request a discussion of the biological plausibility of the algorithm, the process for developing the algorithm, and generalisability of the algorithm. This was not provided for the </w:t>
      </w:r>
      <w:proofErr w:type="spellStart"/>
      <w:r w:rsidRPr="000C4977">
        <w:t>SOPHiA</w:t>
      </w:r>
      <w:proofErr w:type="spellEnd"/>
      <w:r w:rsidRPr="000C4977">
        <w:t xml:space="preserve"> assay.</w:t>
      </w:r>
      <w:r w:rsidRPr="000C4977">
        <w:rPr>
          <w:i/>
          <w:iCs/>
        </w:rPr>
        <w:t xml:space="preserve"> </w:t>
      </w:r>
      <w:r w:rsidRPr="000C4977">
        <w:t xml:space="preserve">The submission referred to a dataset used to train the deep learning algorithm (Nik-Zainal et al 2016), a study that assessed somatic variants in 560 breast cancers and non-neoplastic tissue from </w:t>
      </w:r>
      <w:proofErr w:type="gramStart"/>
      <w:r w:rsidRPr="000C4977">
        <w:t>each individual</w:t>
      </w:r>
      <w:proofErr w:type="gramEnd"/>
      <w:r w:rsidRPr="000C4977">
        <w:t xml:space="preserve"> using whole genome sequencing. The submission stated that the threshold for genomic instability was determined from a training set of approximately 150 samples with known Myriad </w:t>
      </w:r>
      <w:proofErr w:type="spellStart"/>
      <w:r w:rsidRPr="000C4977">
        <w:t>myChoice</w:t>
      </w:r>
      <w:proofErr w:type="spellEnd"/>
      <w:r w:rsidRPr="000C4977">
        <w:t xml:space="preserve"> status.</w:t>
      </w:r>
    </w:p>
    <w:p w14:paraId="4FA08ABD" w14:textId="298A90FC" w:rsidR="000C4977" w:rsidRPr="000C4977" w:rsidRDefault="000C4977" w:rsidP="000C4977">
      <w:pPr>
        <w:spacing w:line="259" w:lineRule="auto"/>
        <w:jc w:val="left"/>
      </w:pPr>
      <w:r w:rsidRPr="000C4977">
        <w:t xml:space="preserve">The </w:t>
      </w:r>
      <w:proofErr w:type="spellStart"/>
      <w:r w:rsidRPr="000C4977">
        <w:t>SOPHiA</w:t>
      </w:r>
      <w:proofErr w:type="spellEnd"/>
      <w:r w:rsidRPr="000C4977">
        <w:t xml:space="preserve"> assay reports the mutation status in 28 HRR-associated genes (as shown in the </w:t>
      </w:r>
      <w:r w:rsidR="005E03B5">
        <w:t xml:space="preserve">following </w:t>
      </w:r>
      <w:r w:rsidRPr="000C4977">
        <w:t xml:space="preserve">table) including </w:t>
      </w:r>
      <w:r w:rsidRPr="000C4977">
        <w:rPr>
          <w:i/>
          <w:iCs/>
        </w:rPr>
        <w:t>BRCA1/2</w:t>
      </w:r>
      <w:r w:rsidRPr="000C4977">
        <w:t xml:space="preserve"> and the GII as a quantitative measure of the amount of</w:t>
      </w:r>
      <w:r w:rsidR="009339A5">
        <w:t xml:space="preserve"> genomic instability </w:t>
      </w:r>
      <w:r w:rsidRPr="000C4977">
        <w:t xml:space="preserve">and damage resulting from the inability of cells to perform HRR in a tumour. For this test anything above a threshold of “0” is considered GIS positive and anything below “0” is considered GIS negative. Validation of the </w:t>
      </w:r>
      <w:proofErr w:type="spellStart"/>
      <w:r w:rsidRPr="000C4977">
        <w:t>SOPHiA</w:t>
      </w:r>
      <w:proofErr w:type="spellEnd"/>
      <w:r w:rsidRPr="000C4977">
        <w:t xml:space="preserve"> assay with the Myriad </w:t>
      </w:r>
      <w:proofErr w:type="spellStart"/>
      <w:r w:rsidRPr="000C4977">
        <w:t>myChoice</w:t>
      </w:r>
      <w:proofErr w:type="spellEnd"/>
      <w:r w:rsidRPr="000C4977">
        <w:t xml:space="preserve"> </w:t>
      </w:r>
      <w:proofErr w:type="spellStart"/>
      <w:r w:rsidRPr="000C4977">
        <w:t>CDx</w:t>
      </w:r>
      <w:proofErr w:type="spellEnd"/>
      <w:r w:rsidRPr="000C4977">
        <w:t xml:space="preserve"> assay is ongoing at the </w:t>
      </w:r>
      <w:r w:rsidR="00A8205F" w:rsidRPr="00B97B49">
        <w:rPr>
          <w:color w:val="000000"/>
          <w:spacing w:val="43"/>
          <w:shd w:val="solid" w:color="000000" w:fill="000000"/>
          <w:fitText w:val="264" w:id="-1450960629"/>
          <w14:textFill>
            <w14:solidFill>
              <w14:srgbClr w14:val="000000">
                <w14:alpha w14:val="100000"/>
              </w14:srgbClr>
            </w14:solidFill>
          </w14:textFill>
        </w:rPr>
        <w:t>|</w:t>
      </w:r>
      <w:r w:rsidR="00A8205F" w:rsidRPr="00B97B49">
        <w:rPr>
          <w:color w:val="000000"/>
          <w:spacing w:val="2"/>
          <w:shd w:val="solid" w:color="000000" w:fill="000000"/>
          <w:fitText w:val="264" w:id="-1450960629"/>
          <w14:textFill>
            <w14:solidFill>
              <w14:srgbClr w14:val="000000">
                <w14:alpha w14:val="100000"/>
              </w14:srgbClr>
            </w14:solidFill>
          </w14:textFill>
        </w:rPr>
        <w:t>|</w:t>
      </w:r>
      <w:r w:rsidR="00A8205F" w:rsidRPr="00A8205F">
        <w:t xml:space="preserve"> </w:t>
      </w:r>
      <w:r w:rsidRPr="000C4977">
        <w:t>as discussed further below in cross-sectional accuracy.</w:t>
      </w:r>
    </w:p>
    <w:p w14:paraId="143E0AFD" w14:textId="77777777" w:rsidR="00B97B49" w:rsidRDefault="00B97B49">
      <w:pPr>
        <w:spacing w:before="0" w:line="259" w:lineRule="auto"/>
        <w:jc w:val="left"/>
        <w:rPr>
          <w:rFonts w:ascii="Arial Narrow" w:hAnsi="Arial Narrow"/>
          <w:b/>
          <w:iCs/>
          <w:sz w:val="20"/>
          <w:szCs w:val="18"/>
        </w:rPr>
      </w:pPr>
      <w:r>
        <w:br w:type="page"/>
      </w:r>
    </w:p>
    <w:p w14:paraId="4ED9AE0E" w14:textId="6E24C8F3" w:rsidR="005A51AE" w:rsidRDefault="005A51AE" w:rsidP="005A51AE">
      <w:pPr>
        <w:pStyle w:val="Caption"/>
      </w:pPr>
      <w:r>
        <w:lastRenderedPageBreak/>
        <w:t xml:space="preserve">Table </w:t>
      </w:r>
      <w:fldSimple w:instr=" SEQ Table \* ARABIC ">
        <w:r w:rsidR="00D8603B">
          <w:rPr>
            <w:noProof/>
          </w:rPr>
          <w:t>8</w:t>
        </w:r>
      </w:fldSimple>
      <w:r w:rsidRPr="000C4977">
        <w:rPr>
          <w:b w:val="0"/>
          <w:iCs w:val="0"/>
        </w:rPr>
        <w:tab/>
      </w:r>
      <w:r w:rsidRPr="005A51AE">
        <w:rPr>
          <w:bCs/>
          <w:iCs w:val="0"/>
        </w:rPr>
        <w:t xml:space="preserve">HRR genes analysed in </w:t>
      </w:r>
      <w:proofErr w:type="spellStart"/>
      <w:r w:rsidRPr="005A51AE">
        <w:rPr>
          <w:bCs/>
          <w:iCs w:val="0"/>
        </w:rPr>
        <w:t>SOPHiA</w:t>
      </w:r>
      <w:proofErr w:type="spellEnd"/>
      <w:r w:rsidRPr="005A51AE">
        <w:rPr>
          <w:bCs/>
          <w:iCs w:val="0"/>
        </w:rPr>
        <w:t xml:space="preserve"> HRD assay</w:t>
      </w:r>
    </w:p>
    <w:tbl>
      <w:tblPr>
        <w:tblStyle w:val="ASDTable1"/>
        <w:tblW w:w="7000" w:type="dxa"/>
        <w:tblCellMar>
          <w:left w:w="0" w:type="dxa"/>
          <w:right w:w="0" w:type="dxa"/>
        </w:tblCellMar>
        <w:tblLook w:val="0420" w:firstRow="1" w:lastRow="0" w:firstColumn="0" w:lastColumn="0" w:noHBand="0" w:noVBand="1"/>
      </w:tblPr>
      <w:tblGrid>
        <w:gridCol w:w="1749"/>
        <w:gridCol w:w="1750"/>
        <w:gridCol w:w="1750"/>
        <w:gridCol w:w="1751"/>
      </w:tblGrid>
      <w:tr w:rsidR="000C4977" w:rsidRPr="000C4977" w14:paraId="7E70F803" w14:textId="77777777" w:rsidTr="005A51AE">
        <w:trPr>
          <w:trHeight w:val="227"/>
        </w:trPr>
        <w:tc>
          <w:tcPr>
            <w:tcW w:w="1749" w:type="dxa"/>
            <w:shd w:val="clear" w:color="auto" w:fill="auto"/>
            <w:tcMar>
              <w:top w:w="15" w:type="dxa"/>
              <w:left w:w="15" w:type="dxa"/>
              <w:bottom w:w="0" w:type="dxa"/>
              <w:right w:w="15" w:type="dxa"/>
            </w:tcMar>
            <w:vAlign w:val="center"/>
            <w:hideMark/>
          </w:tcPr>
          <w:p w14:paraId="193A5744"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AKT1</w:t>
            </w:r>
          </w:p>
        </w:tc>
        <w:tc>
          <w:tcPr>
            <w:tcW w:w="1750" w:type="dxa"/>
            <w:shd w:val="clear" w:color="auto" w:fill="auto"/>
            <w:tcMar>
              <w:top w:w="15" w:type="dxa"/>
              <w:left w:w="15" w:type="dxa"/>
              <w:bottom w:w="0" w:type="dxa"/>
              <w:right w:w="15" w:type="dxa"/>
            </w:tcMar>
            <w:vAlign w:val="center"/>
            <w:hideMark/>
          </w:tcPr>
          <w:p w14:paraId="6E328B3D"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CDK12</w:t>
            </w:r>
          </w:p>
        </w:tc>
        <w:tc>
          <w:tcPr>
            <w:tcW w:w="1750" w:type="dxa"/>
            <w:shd w:val="clear" w:color="auto" w:fill="auto"/>
            <w:tcMar>
              <w:top w:w="15" w:type="dxa"/>
              <w:left w:w="15" w:type="dxa"/>
              <w:bottom w:w="0" w:type="dxa"/>
              <w:right w:w="15" w:type="dxa"/>
            </w:tcMar>
            <w:vAlign w:val="center"/>
            <w:hideMark/>
          </w:tcPr>
          <w:p w14:paraId="2414A490"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FGFR1</w:t>
            </w:r>
          </w:p>
        </w:tc>
        <w:tc>
          <w:tcPr>
            <w:tcW w:w="1751" w:type="dxa"/>
            <w:shd w:val="clear" w:color="auto" w:fill="auto"/>
            <w:tcMar>
              <w:top w:w="15" w:type="dxa"/>
              <w:left w:w="15" w:type="dxa"/>
              <w:bottom w:w="0" w:type="dxa"/>
              <w:right w:w="15" w:type="dxa"/>
            </w:tcMar>
            <w:vAlign w:val="center"/>
            <w:hideMark/>
          </w:tcPr>
          <w:p w14:paraId="46F9F676"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PPP2R2A</w:t>
            </w:r>
          </w:p>
        </w:tc>
      </w:tr>
      <w:tr w:rsidR="000C4977" w:rsidRPr="000C4977" w14:paraId="70E72629" w14:textId="77777777" w:rsidTr="005A51AE">
        <w:trPr>
          <w:trHeight w:val="227"/>
        </w:trPr>
        <w:tc>
          <w:tcPr>
            <w:tcW w:w="1749" w:type="dxa"/>
            <w:shd w:val="clear" w:color="auto" w:fill="auto"/>
            <w:tcMar>
              <w:top w:w="15" w:type="dxa"/>
              <w:left w:w="15" w:type="dxa"/>
              <w:bottom w:w="0" w:type="dxa"/>
              <w:right w:w="15" w:type="dxa"/>
            </w:tcMar>
            <w:vAlign w:val="center"/>
            <w:hideMark/>
          </w:tcPr>
          <w:p w14:paraId="4EE7818D"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ATM</w:t>
            </w:r>
          </w:p>
        </w:tc>
        <w:tc>
          <w:tcPr>
            <w:tcW w:w="1750" w:type="dxa"/>
            <w:shd w:val="clear" w:color="auto" w:fill="auto"/>
            <w:tcMar>
              <w:top w:w="15" w:type="dxa"/>
              <w:left w:w="15" w:type="dxa"/>
              <w:bottom w:w="0" w:type="dxa"/>
              <w:right w:w="15" w:type="dxa"/>
            </w:tcMar>
            <w:vAlign w:val="center"/>
            <w:hideMark/>
          </w:tcPr>
          <w:p w14:paraId="2261DECF"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CHEK1</w:t>
            </w:r>
          </w:p>
        </w:tc>
        <w:tc>
          <w:tcPr>
            <w:tcW w:w="1750" w:type="dxa"/>
            <w:shd w:val="clear" w:color="auto" w:fill="auto"/>
            <w:tcMar>
              <w:top w:w="15" w:type="dxa"/>
              <w:left w:w="15" w:type="dxa"/>
              <w:bottom w:w="0" w:type="dxa"/>
              <w:right w:w="15" w:type="dxa"/>
            </w:tcMar>
            <w:vAlign w:val="center"/>
            <w:hideMark/>
          </w:tcPr>
          <w:p w14:paraId="1FAD63D9"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FGFR2</w:t>
            </w:r>
          </w:p>
        </w:tc>
        <w:tc>
          <w:tcPr>
            <w:tcW w:w="1751" w:type="dxa"/>
            <w:shd w:val="clear" w:color="auto" w:fill="auto"/>
            <w:tcMar>
              <w:top w:w="15" w:type="dxa"/>
              <w:left w:w="15" w:type="dxa"/>
              <w:bottom w:w="0" w:type="dxa"/>
              <w:right w:w="15" w:type="dxa"/>
            </w:tcMar>
            <w:vAlign w:val="center"/>
            <w:hideMark/>
          </w:tcPr>
          <w:p w14:paraId="59DC3B98"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RAD51B</w:t>
            </w:r>
          </w:p>
        </w:tc>
      </w:tr>
      <w:tr w:rsidR="000C4977" w:rsidRPr="000C4977" w14:paraId="2BAF8A42" w14:textId="77777777" w:rsidTr="005A51AE">
        <w:trPr>
          <w:trHeight w:val="227"/>
        </w:trPr>
        <w:tc>
          <w:tcPr>
            <w:tcW w:w="1749" w:type="dxa"/>
            <w:shd w:val="clear" w:color="auto" w:fill="auto"/>
            <w:tcMar>
              <w:top w:w="15" w:type="dxa"/>
              <w:left w:w="15" w:type="dxa"/>
              <w:bottom w:w="0" w:type="dxa"/>
              <w:right w:w="15" w:type="dxa"/>
            </w:tcMar>
            <w:vAlign w:val="center"/>
            <w:hideMark/>
          </w:tcPr>
          <w:p w14:paraId="6EAFDAF8"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BARD1</w:t>
            </w:r>
          </w:p>
        </w:tc>
        <w:tc>
          <w:tcPr>
            <w:tcW w:w="1750" w:type="dxa"/>
            <w:shd w:val="clear" w:color="auto" w:fill="auto"/>
            <w:tcMar>
              <w:top w:w="15" w:type="dxa"/>
              <w:left w:w="15" w:type="dxa"/>
              <w:bottom w:w="0" w:type="dxa"/>
              <w:right w:w="15" w:type="dxa"/>
            </w:tcMar>
            <w:vAlign w:val="center"/>
            <w:hideMark/>
          </w:tcPr>
          <w:p w14:paraId="6B704178"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CHEK2</w:t>
            </w:r>
          </w:p>
        </w:tc>
        <w:tc>
          <w:tcPr>
            <w:tcW w:w="1750" w:type="dxa"/>
            <w:shd w:val="clear" w:color="auto" w:fill="auto"/>
            <w:tcMar>
              <w:top w:w="15" w:type="dxa"/>
              <w:left w:w="15" w:type="dxa"/>
              <w:bottom w:w="0" w:type="dxa"/>
              <w:right w:w="15" w:type="dxa"/>
            </w:tcMar>
            <w:vAlign w:val="center"/>
            <w:hideMark/>
          </w:tcPr>
          <w:p w14:paraId="4C8C8FA8"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FGFR3</w:t>
            </w:r>
          </w:p>
        </w:tc>
        <w:tc>
          <w:tcPr>
            <w:tcW w:w="1751" w:type="dxa"/>
            <w:shd w:val="clear" w:color="auto" w:fill="auto"/>
            <w:tcMar>
              <w:top w:w="15" w:type="dxa"/>
              <w:left w:w="15" w:type="dxa"/>
              <w:bottom w:w="0" w:type="dxa"/>
              <w:right w:w="15" w:type="dxa"/>
            </w:tcMar>
            <w:vAlign w:val="center"/>
            <w:hideMark/>
          </w:tcPr>
          <w:p w14:paraId="476FEBA2"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RAD51C</w:t>
            </w:r>
          </w:p>
        </w:tc>
      </w:tr>
      <w:tr w:rsidR="000C4977" w:rsidRPr="000C4977" w14:paraId="4C3C01AD" w14:textId="77777777" w:rsidTr="005A51AE">
        <w:trPr>
          <w:trHeight w:val="227"/>
        </w:trPr>
        <w:tc>
          <w:tcPr>
            <w:tcW w:w="1749" w:type="dxa"/>
            <w:shd w:val="clear" w:color="auto" w:fill="auto"/>
            <w:tcMar>
              <w:top w:w="15" w:type="dxa"/>
              <w:left w:w="15" w:type="dxa"/>
              <w:bottom w:w="0" w:type="dxa"/>
              <w:right w:w="15" w:type="dxa"/>
            </w:tcMar>
            <w:vAlign w:val="center"/>
            <w:hideMark/>
          </w:tcPr>
          <w:p w14:paraId="0857C8BE"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BRCA1</w:t>
            </w:r>
          </w:p>
        </w:tc>
        <w:tc>
          <w:tcPr>
            <w:tcW w:w="1750" w:type="dxa"/>
            <w:shd w:val="clear" w:color="auto" w:fill="auto"/>
            <w:tcMar>
              <w:top w:w="15" w:type="dxa"/>
              <w:left w:w="15" w:type="dxa"/>
              <w:bottom w:w="0" w:type="dxa"/>
              <w:right w:w="15" w:type="dxa"/>
            </w:tcMar>
            <w:vAlign w:val="center"/>
            <w:hideMark/>
          </w:tcPr>
          <w:p w14:paraId="2ABCCE6E"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ESR1</w:t>
            </w:r>
          </w:p>
        </w:tc>
        <w:tc>
          <w:tcPr>
            <w:tcW w:w="1750" w:type="dxa"/>
            <w:shd w:val="clear" w:color="auto" w:fill="auto"/>
            <w:tcMar>
              <w:top w:w="15" w:type="dxa"/>
              <w:left w:w="15" w:type="dxa"/>
              <w:bottom w:w="0" w:type="dxa"/>
              <w:right w:w="15" w:type="dxa"/>
            </w:tcMar>
            <w:vAlign w:val="center"/>
            <w:hideMark/>
          </w:tcPr>
          <w:p w14:paraId="28482EA6"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MRE11</w:t>
            </w:r>
          </w:p>
        </w:tc>
        <w:tc>
          <w:tcPr>
            <w:tcW w:w="1751" w:type="dxa"/>
            <w:shd w:val="clear" w:color="auto" w:fill="auto"/>
            <w:tcMar>
              <w:top w:w="15" w:type="dxa"/>
              <w:left w:w="15" w:type="dxa"/>
              <w:bottom w:w="0" w:type="dxa"/>
              <w:right w:w="15" w:type="dxa"/>
            </w:tcMar>
            <w:vAlign w:val="center"/>
            <w:hideMark/>
          </w:tcPr>
          <w:p w14:paraId="7432643A"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RAD51D</w:t>
            </w:r>
          </w:p>
        </w:tc>
      </w:tr>
      <w:tr w:rsidR="000C4977" w:rsidRPr="000C4977" w14:paraId="53D48AAB" w14:textId="77777777" w:rsidTr="005A51AE">
        <w:trPr>
          <w:trHeight w:val="227"/>
        </w:trPr>
        <w:tc>
          <w:tcPr>
            <w:tcW w:w="1749" w:type="dxa"/>
            <w:shd w:val="clear" w:color="auto" w:fill="auto"/>
            <w:tcMar>
              <w:top w:w="15" w:type="dxa"/>
              <w:left w:w="15" w:type="dxa"/>
              <w:bottom w:w="0" w:type="dxa"/>
              <w:right w:w="15" w:type="dxa"/>
            </w:tcMar>
            <w:vAlign w:val="center"/>
            <w:hideMark/>
          </w:tcPr>
          <w:p w14:paraId="35192663"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BRCA2</w:t>
            </w:r>
          </w:p>
        </w:tc>
        <w:tc>
          <w:tcPr>
            <w:tcW w:w="1750" w:type="dxa"/>
            <w:shd w:val="clear" w:color="auto" w:fill="auto"/>
            <w:tcMar>
              <w:top w:w="15" w:type="dxa"/>
              <w:left w:w="15" w:type="dxa"/>
              <w:bottom w:w="0" w:type="dxa"/>
              <w:right w:w="15" w:type="dxa"/>
            </w:tcMar>
            <w:vAlign w:val="center"/>
            <w:hideMark/>
          </w:tcPr>
          <w:p w14:paraId="20E263F5"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FANCA</w:t>
            </w:r>
          </w:p>
        </w:tc>
        <w:tc>
          <w:tcPr>
            <w:tcW w:w="1750" w:type="dxa"/>
            <w:shd w:val="clear" w:color="auto" w:fill="auto"/>
            <w:tcMar>
              <w:top w:w="15" w:type="dxa"/>
              <w:left w:w="15" w:type="dxa"/>
              <w:bottom w:w="0" w:type="dxa"/>
              <w:right w:w="15" w:type="dxa"/>
            </w:tcMar>
            <w:vAlign w:val="center"/>
            <w:hideMark/>
          </w:tcPr>
          <w:p w14:paraId="28216621"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NBN</w:t>
            </w:r>
          </w:p>
        </w:tc>
        <w:tc>
          <w:tcPr>
            <w:tcW w:w="1751" w:type="dxa"/>
            <w:shd w:val="clear" w:color="auto" w:fill="auto"/>
            <w:tcMar>
              <w:top w:w="15" w:type="dxa"/>
              <w:left w:w="15" w:type="dxa"/>
              <w:bottom w:w="0" w:type="dxa"/>
              <w:right w:w="15" w:type="dxa"/>
            </w:tcMar>
            <w:vAlign w:val="center"/>
            <w:hideMark/>
          </w:tcPr>
          <w:p w14:paraId="2457B557"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RAD54L</w:t>
            </w:r>
          </w:p>
        </w:tc>
      </w:tr>
      <w:tr w:rsidR="000C4977" w:rsidRPr="000C4977" w14:paraId="100E02BB" w14:textId="77777777" w:rsidTr="005A51AE">
        <w:trPr>
          <w:trHeight w:val="227"/>
        </w:trPr>
        <w:tc>
          <w:tcPr>
            <w:tcW w:w="1749" w:type="dxa"/>
            <w:shd w:val="clear" w:color="auto" w:fill="auto"/>
            <w:tcMar>
              <w:top w:w="15" w:type="dxa"/>
              <w:left w:w="15" w:type="dxa"/>
              <w:bottom w:w="0" w:type="dxa"/>
              <w:right w:w="15" w:type="dxa"/>
            </w:tcMar>
            <w:vAlign w:val="center"/>
            <w:hideMark/>
          </w:tcPr>
          <w:p w14:paraId="1BD8A794"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BRIP1</w:t>
            </w:r>
          </w:p>
        </w:tc>
        <w:tc>
          <w:tcPr>
            <w:tcW w:w="1750" w:type="dxa"/>
            <w:shd w:val="clear" w:color="auto" w:fill="auto"/>
            <w:tcMar>
              <w:top w:w="15" w:type="dxa"/>
              <w:left w:w="15" w:type="dxa"/>
              <w:bottom w:w="0" w:type="dxa"/>
              <w:right w:w="15" w:type="dxa"/>
            </w:tcMar>
            <w:vAlign w:val="center"/>
            <w:hideMark/>
          </w:tcPr>
          <w:p w14:paraId="61A189FE"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FANCD2</w:t>
            </w:r>
          </w:p>
        </w:tc>
        <w:tc>
          <w:tcPr>
            <w:tcW w:w="1750" w:type="dxa"/>
            <w:shd w:val="clear" w:color="auto" w:fill="auto"/>
            <w:tcMar>
              <w:top w:w="15" w:type="dxa"/>
              <w:left w:w="15" w:type="dxa"/>
              <w:bottom w:w="0" w:type="dxa"/>
              <w:right w:w="15" w:type="dxa"/>
            </w:tcMar>
            <w:vAlign w:val="center"/>
            <w:hideMark/>
          </w:tcPr>
          <w:p w14:paraId="0D37BC14"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PALB2</w:t>
            </w:r>
          </w:p>
        </w:tc>
        <w:tc>
          <w:tcPr>
            <w:tcW w:w="1751" w:type="dxa"/>
            <w:shd w:val="clear" w:color="auto" w:fill="auto"/>
            <w:tcMar>
              <w:top w:w="15" w:type="dxa"/>
              <w:left w:w="15" w:type="dxa"/>
              <w:bottom w:w="0" w:type="dxa"/>
              <w:right w:w="15" w:type="dxa"/>
            </w:tcMar>
            <w:vAlign w:val="center"/>
            <w:hideMark/>
          </w:tcPr>
          <w:p w14:paraId="2E3706D6"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TP53</w:t>
            </w:r>
          </w:p>
        </w:tc>
      </w:tr>
      <w:tr w:rsidR="000C4977" w:rsidRPr="000C4977" w14:paraId="0BA6395B" w14:textId="77777777" w:rsidTr="005A51AE">
        <w:trPr>
          <w:trHeight w:val="227"/>
        </w:trPr>
        <w:tc>
          <w:tcPr>
            <w:tcW w:w="1749" w:type="dxa"/>
            <w:shd w:val="clear" w:color="auto" w:fill="auto"/>
            <w:tcMar>
              <w:top w:w="15" w:type="dxa"/>
              <w:left w:w="15" w:type="dxa"/>
              <w:bottom w:w="0" w:type="dxa"/>
              <w:right w:w="15" w:type="dxa"/>
            </w:tcMar>
            <w:vAlign w:val="center"/>
            <w:hideMark/>
          </w:tcPr>
          <w:p w14:paraId="048B8240"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CCNE1</w:t>
            </w:r>
          </w:p>
        </w:tc>
        <w:tc>
          <w:tcPr>
            <w:tcW w:w="1750" w:type="dxa"/>
            <w:shd w:val="clear" w:color="auto" w:fill="auto"/>
            <w:tcMar>
              <w:top w:w="15" w:type="dxa"/>
              <w:left w:w="15" w:type="dxa"/>
              <w:bottom w:w="0" w:type="dxa"/>
              <w:right w:w="15" w:type="dxa"/>
            </w:tcMar>
            <w:vAlign w:val="center"/>
            <w:hideMark/>
          </w:tcPr>
          <w:p w14:paraId="77107B35"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FANCL</w:t>
            </w:r>
          </w:p>
        </w:tc>
        <w:tc>
          <w:tcPr>
            <w:tcW w:w="1750" w:type="dxa"/>
            <w:shd w:val="clear" w:color="auto" w:fill="auto"/>
            <w:tcMar>
              <w:top w:w="15" w:type="dxa"/>
              <w:left w:w="15" w:type="dxa"/>
              <w:bottom w:w="0" w:type="dxa"/>
              <w:right w:w="15" w:type="dxa"/>
            </w:tcMar>
            <w:vAlign w:val="center"/>
            <w:hideMark/>
          </w:tcPr>
          <w:p w14:paraId="4E5395AA"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PIK3CA</w:t>
            </w:r>
          </w:p>
        </w:tc>
        <w:tc>
          <w:tcPr>
            <w:tcW w:w="1751" w:type="dxa"/>
            <w:shd w:val="clear" w:color="auto" w:fill="auto"/>
            <w:tcMar>
              <w:top w:w="15" w:type="dxa"/>
              <w:left w:w="15" w:type="dxa"/>
              <w:bottom w:w="0" w:type="dxa"/>
              <w:right w:w="15" w:type="dxa"/>
            </w:tcMar>
            <w:vAlign w:val="center"/>
            <w:hideMark/>
          </w:tcPr>
          <w:p w14:paraId="77A18CDF" w14:textId="77777777" w:rsidR="000C4977" w:rsidRPr="000C4977" w:rsidRDefault="000C4977" w:rsidP="000C4977">
            <w:pPr>
              <w:widowControl w:val="0"/>
              <w:spacing w:before="0"/>
              <w:jc w:val="center"/>
              <w:rPr>
                <w:rFonts w:ascii="Arial Narrow" w:hAnsi="Arial Narrow"/>
                <w:i/>
                <w:iCs/>
              </w:rPr>
            </w:pPr>
            <w:r w:rsidRPr="000C4977">
              <w:rPr>
                <w:rFonts w:ascii="Arial Narrow" w:hAnsi="Arial Narrow"/>
                <w:i/>
                <w:iCs/>
              </w:rPr>
              <w:t>PTEN</w:t>
            </w:r>
          </w:p>
        </w:tc>
      </w:tr>
    </w:tbl>
    <w:p w14:paraId="02F312BB" w14:textId="77777777" w:rsidR="000C4977" w:rsidRPr="000C4977" w:rsidRDefault="000C4977" w:rsidP="000C4977">
      <w:pPr>
        <w:tabs>
          <w:tab w:val="left" w:pos="284"/>
        </w:tabs>
        <w:spacing w:before="0" w:after="0"/>
        <w:jc w:val="left"/>
        <w:rPr>
          <w:rFonts w:ascii="Arial Narrow" w:eastAsia="Times New Roman" w:hAnsi="Arial Narrow" w:cs="Arial"/>
          <w:snapToGrid w:val="0"/>
          <w:sz w:val="18"/>
          <w:lang w:eastAsia="en-AU"/>
        </w:rPr>
      </w:pPr>
      <w:r w:rsidRPr="000C4977">
        <w:rPr>
          <w:rFonts w:ascii="Arial Narrow" w:eastAsia="Times New Roman" w:hAnsi="Arial Narrow" w:cs="Arial"/>
          <w:snapToGrid w:val="0"/>
          <w:sz w:val="18"/>
          <w:lang w:eastAsia="en-AU"/>
        </w:rPr>
        <w:t>Source: Table 1.3, p25 of the submission</w:t>
      </w:r>
    </w:p>
    <w:p w14:paraId="42224C07" w14:textId="2B0BA394" w:rsidR="000C4977" w:rsidRPr="000C4977" w:rsidRDefault="005A51AE" w:rsidP="000C4977">
      <w:pPr>
        <w:spacing w:line="259" w:lineRule="auto"/>
        <w:jc w:val="left"/>
      </w:pPr>
      <w:r>
        <w:fldChar w:fldCharType="begin"/>
      </w:r>
      <w:r>
        <w:instrText xml:space="preserve"> REF _Ref111813286 \h </w:instrText>
      </w:r>
      <w:r>
        <w:fldChar w:fldCharType="separate"/>
      </w:r>
      <w:r w:rsidR="00D8603B">
        <w:t xml:space="preserve">Table </w:t>
      </w:r>
      <w:r w:rsidR="00D8603B">
        <w:rPr>
          <w:noProof/>
        </w:rPr>
        <w:t>9</w:t>
      </w:r>
      <w:r>
        <w:fldChar w:fldCharType="end"/>
      </w:r>
      <w:r>
        <w:t xml:space="preserve"> </w:t>
      </w:r>
      <w:r w:rsidR="000C4977" w:rsidRPr="000C4977">
        <w:t>provides a summary of the reference standards for accuracy of biomarker detection and validity of the biomarkers.</w:t>
      </w:r>
    </w:p>
    <w:p w14:paraId="115D1574" w14:textId="75FBE5C4" w:rsidR="005A51AE" w:rsidRDefault="005A51AE" w:rsidP="005A51AE">
      <w:pPr>
        <w:pStyle w:val="Caption"/>
      </w:pPr>
      <w:bookmarkStart w:id="29" w:name="_Ref111813286"/>
      <w:r>
        <w:t xml:space="preserve">Table </w:t>
      </w:r>
      <w:fldSimple w:instr=" SEQ Table \* ARABIC ">
        <w:r w:rsidR="00D8603B">
          <w:rPr>
            <w:noProof/>
          </w:rPr>
          <w:t>9</w:t>
        </w:r>
      </w:fldSimple>
      <w:bookmarkEnd w:id="29"/>
      <w:r w:rsidRPr="000C4977">
        <w:rPr>
          <w:b w:val="0"/>
          <w:iCs w:val="0"/>
        </w:rPr>
        <w:tab/>
      </w:r>
      <w:r w:rsidRPr="005A51AE">
        <w:rPr>
          <w:bCs/>
          <w:iCs w:val="0"/>
        </w:rPr>
        <w:t>R</w:t>
      </w:r>
      <w:r w:rsidRPr="005A51AE">
        <w:rPr>
          <w:bCs/>
          <w:iCs w:val="0"/>
          <w:snapToGrid w:val="0"/>
        </w:rPr>
        <w:t>eference standards to determine the accuracy and prognostic validity of genetic testing</w:t>
      </w:r>
    </w:p>
    <w:tbl>
      <w:tblPr>
        <w:tblStyle w:val="ASDTable1"/>
        <w:tblW w:w="5000" w:type="pct"/>
        <w:tblCellMar>
          <w:left w:w="28" w:type="dxa"/>
          <w:right w:w="28" w:type="dxa"/>
        </w:tblCellMar>
        <w:tblLook w:val="04A0" w:firstRow="1" w:lastRow="0" w:firstColumn="1" w:lastColumn="0" w:noHBand="0" w:noVBand="1"/>
      </w:tblPr>
      <w:tblGrid>
        <w:gridCol w:w="2761"/>
        <w:gridCol w:w="6255"/>
      </w:tblGrid>
      <w:tr w:rsidR="000C4977" w:rsidRPr="000C4977" w14:paraId="19BE5271" w14:textId="77777777" w:rsidTr="00A91280">
        <w:trPr>
          <w:tblHeader/>
        </w:trPr>
        <w:tc>
          <w:tcPr>
            <w:tcW w:w="1531" w:type="pct"/>
            <w:tcBorders>
              <w:top w:val="single" w:sz="4" w:space="0" w:color="auto"/>
              <w:left w:val="single" w:sz="4" w:space="0" w:color="auto"/>
              <w:bottom w:val="single" w:sz="4" w:space="0" w:color="auto"/>
              <w:right w:val="single" w:sz="4" w:space="0" w:color="auto"/>
            </w:tcBorders>
            <w:vAlign w:val="center"/>
            <w:hideMark/>
          </w:tcPr>
          <w:p w14:paraId="7078A7BE" w14:textId="77777777" w:rsidR="000C4977" w:rsidRPr="000C4977" w:rsidRDefault="000C4977" w:rsidP="000C4977">
            <w:pPr>
              <w:keepNext/>
              <w:spacing w:before="0" w:line="256" w:lineRule="auto"/>
              <w:jc w:val="left"/>
              <w:rPr>
                <w:rFonts w:ascii="Arial Narrow" w:eastAsiaTheme="majorEastAsia" w:hAnsi="Arial Narrow"/>
                <w:b/>
                <w:szCs w:val="24"/>
              </w:rPr>
            </w:pPr>
            <w:r w:rsidRPr="000C4977">
              <w:rPr>
                <w:rFonts w:ascii="Arial Narrow" w:eastAsiaTheme="majorEastAsia" w:hAnsi="Arial Narrow"/>
                <w:b/>
                <w:szCs w:val="24"/>
              </w:rPr>
              <w:t>Type of test information</w:t>
            </w:r>
          </w:p>
        </w:tc>
        <w:tc>
          <w:tcPr>
            <w:tcW w:w="3469" w:type="pct"/>
            <w:tcBorders>
              <w:top w:val="single" w:sz="4" w:space="0" w:color="auto"/>
              <w:left w:val="single" w:sz="4" w:space="0" w:color="auto"/>
              <w:bottom w:val="single" w:sz="4" w:space="0" w:color="auto"/>
              <w:right w:val="single" w:sz="4" w:space="0" w:color="auto"/>
            </w:tcBorders>
            <w:vAlign w:val="center"/>
            <w:hideMark/>
          </w:tcPr>
          <w:p w14:paraId="5FC81444" w14:textId="77777777" w:rsidR="000C4977" w:rsidRPr="000C4977" w:rsidRDefault="000C4977" w:rsidP="000C4977">
            <w:pPr>
              <w:keepNext/>
              <w:spacing w:before="0" w:line="256" w:lineRule="auto"/>
              <w:jc w:val="left"/>
              <w:rPr>
                <w:rFonts w:ascii="Arial Narrow" w:eastAsiaTheme="majorEastAsia" w:hAnsi="Arial Narrow"/>
                <w:b/>
                <w:szCs w:val="24"/>
              </w:rPr>
            </w:pPr>
            <w:r w:rsidRPr="000C4977">
              <w:rPr>
                <w:rFonts w:ascii="Arial Narrow" w:eastAsiaTheme="majorEastAsia" w:hAnsi="Arial Narrow"/>
                <w:b/>
                <w:szCs w:val="24"/>
              </w:rPr>
              <w:t>Reference standard</w:t>
            </w:r>
          </w:p>
        </w:tc>
      </w:tr>
      <w:tr w:rsidR="000C4977" w:rsidRPr="000C4977" w14:paraId="7052A6DB" w14:textId="77777777" w:rsidTr="00A91280">
        <w:trPr>
          <w:trHeight w:val="520"/>
        </w:trPr>
        <w:tc>
          <w:tcPr>
            <w:tcW w:w="1531" w:type="pct"/>
            <w:tcBorders>
              <w:top w:val="single" w:sz="4" w:space="0" w:color="auto"/>
              <w:left w:val="single" w:sz="4" w:space="0" w:color="auto"/>
              <w:bottom w:val="single" w:sz="4" w:space="0" w:color="auto"/>
              <w:right w:val="single" w:sz="4" w:space="0" w:color="auto"/>
            </w:tcBorders>
            <w:vAlign w:val="center"/>
            <w:hideMark/>
          </w:tcPr>
          <w:p w14:paraId="356D7572" w14:textId="77777777" w:rsidR="000C4977" w:rsidRPr="000C4977" w:rsidRDefault="000C4977" w:rsidP="000C4977">
            <w:pPr>
              <w:widowControl w:val="0"/>
              <w:spacing w:before="0" w:line="256" w:lineRule="auto"/>
              <w:jc w:val="left"/>
              <w:rPr>
                <w:rFonts w:ascii="Arial Narrow" w:hAnsi="Arial Narrow"/>
              </w:rPr>
            </w:pPr>
            <w:r w:rsidRPr="000C4977">
              <w:rPr>
                <w:rFonts w:ascii="Arial Narrow" w:hAnsi="Arial Narrow"/>
              </w:rPr>
              <w:t>Accuracy of biomarker detection (cross-sectional accuracy)</w:t>
            </w:r>
          </w:p>
        </w:tc>
        <w:tc>
          <w:tcPr>
            <w:tcW w:w="3469" w:type="pct"/>
            <w:tcBorders>
              <w:top w:val="single" w:sz="4" w:space="0" w:color="auto"/>
              <w:left w:val="single" w:sz="4" w:space="0" w:color="auto"/>
              <w:bottom w:val="single" w:sz="4" w:space="0" w:color="auto"/>
              <w:right w:val="single" w:sz="4" w:space="0" w:color="auto"/>
            </w:tcBorders>
            <w:vAlign w:val="center"/>
            <w:hideMark/>
          </w:tcPr>
          <w:p w14:paraId="433F5953" w14:textId="77777777" w:rsidR="000C4977" w:rsidRPr="000C4977" w:rsidRDefault="000C4977" w:rsidP="000C4977">
            <w:pPr>
              <w:widowControl w:val="0"/>
              <w:spacing w:before="0" w:line="256" w:lineRule="auto"/>
              <w:jc w:val="left"/>
              <w:rPr>
                <w:rFonts w:ascii="Arial Narrow" w:hAnsi="Arial Narrow"/>
              </w:rPr>
            </w:pPr>
            <w:r w:rsidRPr="000C4977">
              <w:rPr>
                <w:rFonts w:ascii="Arial Narrow" w:hAnsi="Arial Narrow"/>
                <w:i/>
                <w:iCs/>
              </w:rPr>
              <w:t>BRCA</w:t>
            </w:r>
            <w:r w:rsidRPr="000C4977">
              <w:rPr>
                <w:rFonts w:ascii="Arial Narrow" w:hAnsi="Arial Narrow"/>
              </w:rPr>
              <w:t xml:space="preserve"> testing using DNA from fresh tissue using NGS technology</w:t>
            </w:r>
          </w:p>
        </w:tc>
      </w:tr>
      <w:tr w:rsidR="000C4977" w:rsidRPr="000C4977" w14:paraId="61AA8BB8" w14:textId="77777777" w:rsidTr="00A91280">
        <w:trPr>
          <w:trHeight w:val="345"/>
        </w:trPr>
        <w:tc>
          <w:tcPr>
            <w:tcW w:w="1531" w:type="pct"/>
            <w:tcBorders>
              <w:top w:val="single" w:sz="4" w:space="0" w:color="auto"/>
              <w:left w:val="single" w:sz="4" w:space="0" w:color="auto"/>
              <w:bottom w:val="single" w:sz="4" w:space="0" w:color="auto"/>
              <w:right w:val="single" w:sz="4" w:space="0" w:color="auto"/>
            </w:tcBorders>
            <w:vAlign w:val="center"/>
            <w:hideMark/>
          </w:tcPr>
          <w:p w14:paraId="2DD81A5E" w14:textId="77777777" w:rsidR="000C4977" w:rsidRPr="000C4977" w:rsidRDefault="000C4977" w:rsidP="000C4977">
            <w:pPr>
              <w:widowControl w:val="0"/>
              <w:spacing w:before="0" w:line="256" w:lineRule="auto"/>
              <w:jc w:val="left"/>
              <w:rPr>
                <w:rFonts w:ascii="Arial Narrow" w:hAnsi="Arial Narrow"/>
              </w:rPr>
            </w:pPr>
            <w:r w:rsidRPr="000C4977">
              <w:rPr>
                <w:rFonts w:ascii="Arial Narrow" w:hAnsi="Arial Narrow"/>
              </w:rPr>
              <w:t>Prognostic validity of biomarker (longitudinal accuracy)</w:t>
            </w:r>
          </w:p>
        </w:tc>
        <w:tc>
          <w:tcPr>
            <w:tcW w:w="3469" w:type="pct"/>
            <w:vMerge w:val="restart"/>
            <w:tcBorders>
              <w:top w:val="single" w:sz="4" w:space="0" w:color="auto"/>
              <w:left w:val="single" w:sz="4" w:space="0" w:color="auto"/>
              <w:bottom w:val="single" w:sz="4" w:space="0" w:color="auto"/>
              <w:right w:val="single" w:sz="4" w:space="0" w:color="auto"/>
            </w:tcBorders>
            <w:vAlign w:val="center"/>
            <w:hideMark/>
          </w:tcPr>
          <w:p w14:paraId="567856E6" w14:textId="77777777" w:rsidR="000C4977" w:rsidRPr="000C4977" w:rsidRDefault="000C4977" w:rsidP="000C4977">
            <w:pPr>
              <w:widowControl w:val="0"/>
              <w:spacing w:before="0" w:line="256" w:lineRule="auto"/>
              <w:jc w:val="left"/>
              <w:rPr>
                <w:rFonts w:ascii="Arial Narrow" w:hAnsi="Arial Narrow"/>
              </w:rPr>
            </w:pPr>
            <w:r w:rsidRPr="000C4977">
              <w:rPr>
                <w:rFonts w:ascii="Arial Narrow" w:hAnsi="Arial Narrow"/>
              </w:rPr>
              <w:t xml:space="preserve">Response to a PARP inhibitor in terms of PFS and OS in patients who are HRD positive </w:t>
            </w:r>
            <w:proofErr w:type="spellStart"/>
            <w:r w:rsidRPr="000C4977">
              <w:rPr>
                <w:rFonts w:ascii="Arial Narrow" w:hAnsi="Arial Narrow"/>
                <w:i/>
                <w:iCs/>
              </w:rPr>
              <w:t>BRCA</w:t>
            </w:r>
            <w:r w:rsidRPr="000C4977">
              <w:rPr>
                <w:rFonts w:ascii="Arial Narrow" w:hAnsi="Arial Narrow"/>
              </w:rPr>
              <w:t>wt</w:t>
            </w:r>
            <w:proofErr w:type="spellEnd"/>
            <w:r w:rsidRPr="000C4977">
              <w:rPr>
                <w:rFonts w:ascii="Arial Narrow" w:hAnsi="Arial Narrow"/>
              </w:rPr>
              <w:t xml:space="preserve"> compared with patients who are HRD negative. It was unclear if this was a valid comparison, or if any patient who is not HRD positive </w:t>
            </w:r>
            <w:proofErr w:type="spellStart"/>
            <w:r w:rsidRPr="00474E58">
              <w:rPr>
                <w:rFonts w:ascii="Arial Narrow" w:hAnsi="Arial Narrow"/>
                <w:i/>
                <w:iCs/>
              </w:rPr>
              <w:t>BRCA</w:t>
            </w:r>
            <w:r w:rsidRPr="000C4977">
              <w:rPr>
                <w:rFonts w:ascii="Arial Narrow" w:hAnsi="Arial Narrow"/>
              </w:rPr>
              <w:t>wt</w:t>
            </w:r>
            <w:proofErr w:type="spellEnd"/>
            <w:r w:rsidRPr="000C4977">
              <w:rPr>
                <w:rFonts w:ascii="Arial Narrow" w:hAnsi="Arial Narrow"/>
              </w:rPr>
              <w:t xml:space="preserve">, </w:t>
            </w:r>
            <w:bookmarkStart w:id="30" w:name="_Int_V3RitJLP"/>
            <w:proofErr w:type="gramStart"/>
            <w:r w:rsidRPr="000C4977">
              <w:rPr>
                <w:rFonts w:ascii="Arial Narrow" w:hAnsi="Arial Narrow"/>
              </w:rPr>
              <w:t>i.e.</w:t>
            </w:r>
            <w:bookmarkEnd w:id="30"/>
            <w:proofErr w:type="gramEnd"/>
            <w:r w:rsidRPr="000C4977">
              <w:rPr>
                <w:rFonts w:ascii="Arial Narrow" w:hAnsi="Arial Narrow"/>
              </w:rPr>
              <w:t xml:space="preserve"> </w:t>
            </w:r>
            <w:proofErr w:type="spellStart"/>
            <w:r w:rsidRPr="00474E58">
              <w:rPr>
                <w:rFonts w:ascii="Arial Narrow" w:hAnsi="Arial Narrow"/>
                <w:i/>
                <w:iCs/>
              </w:rPr>
              <w:t>BRCA</w:t>
            </w:r>
            <w:r w:rsidRPr="000C4977">
              <w:rPr>
                <w:rFonts w:ascii="Arial Narrow" w:hAnsi="Arial Narrow"/>
              </w:rPr>
              <w:t>m</w:t>
            </w:r>
            <w:proofErr w:type="spellEnd"/>
            <w:r w:rsidRPr="000C4977">
              <w:rPr>
                <w:rFonts w:ascii="Arial Narrow" w:hAnsi="Arial Narrow"/>
              </w:rPr>
              <w:t xml:space="preserve"> plus HRD negative </w:t>
            </w:r>
            <w:proofErr w:type="spellStart"/>
            <w:r w:rsidRPr="00474E58">
              <w:rPr>
                <w:rFonts w:ascii="Arial Narrow" w:hAnsi="Arial Narrow"/>
                <w:i/>
                <w:iCs/>
              </w:rPr>
              <w:t>BRCA</w:t>
            </w:r>
            <w:r w:rsidRPr="000C4977">
              <w:rPr>
                <w:rFonts w:ascii="Arial Narrow" w:hAnsi="Arial Narrow"/>
              </w:rPr>
              <w:t>wt</w:t>
            </w:r>
            <w:proofErr w:type="spellEnd"/>
            <w:r w:rsidRPr="000C4977">
              <w:rPr>
                <w:rFonts w:ascii="Arial Narrow" w:hAnsi="Arial Narrow"/>
              </w:rPr>
              <w:t>, should be included as the complement subgroup for comparison.</w:t>
            </w:r>
          </w:p>
        </w:tc>
      </w:tr>
      <w:tr w:rsidR="000C4977" w:rsidRPr="000C4977" w14:paraId="492C96A3" w14:textId="77777777" w:rsidTr="65106A7D">
        <w:tc>
          <w:tcPr>
            <w:tcW w:w="1531" w:type="pct"/>
            <w:tcBorders>
              <w:top w:val="single" w:sz="4" w:space="0" w:color="auto"/>
              <w:left w:val="single" w:sz="4" w:space="0" w:color="auto"/>
              <w:bottom w:val="single" w:sz="4" w:space="0" w:color="auto"/>
              <w:right w:val="single" w:sz="4" w:space="0" w:color="auto"/>
            </w:tcBorders>
            <w:vAlign w:val="center"/>
            <w:hideMark/>
          </w:tcPr>
          <w:p w14:paraId="66BF0DB3" w14:textId="77777777" w:rsidR="000C4977" w:rsidRPr="000C4977" w:rsidRDefault="000C4977" w:rsidP="000C4977">
            <w:pPr>
              <w:widowControl w:val="0"/>
              <w:spacing w:before="0" w:line="256" w:lineRule="auto"/>
              <w:jc w:val="left"/>
              <w:rPr>
                <w:rFonts w:ascii="Arial Narrow" w:hAnsi="Arial Narrow"/>
              </w:rPr>
            </w:pPr>
            <w:r w:rsidRPr="000C4977">
              <w:rPr>
                <w:rFonts w:ascii="Arial Narrow" w:hAnsi="Arial Narrow"/>
              </w:rPr>
              <w:t>Predictive validity of biomarker (longitudinal accuracy)</w:t>
            </w:r>
          </w:p>
        </w:tc>
        <w:tc>
          <w:tcPr>
            <w:tcW w:w="0" w:type="auto"/>
            <w:vMerge/>
            <w:vAlign w:val="center"/>
            <w:hideMark/>
          </w:tcPr>
          <w:p w14:paraId="4A7D6F88" w14:textId="77777777" w:rsidR="000C4977" w:rsidRPr="000C4977" w:rsidRDefault="000C4977" w:rsidP="000C4977">
            <w:pPr>
              <w:spacing w:before="0" w:line="256" w:lineRule="auto"/>
              <w:jc w:val="left"/>
              <w:rPr>
                <w:rFonts w:ascii="Arial Narrow" w:hAnsi="Arial Narrow"/>
              </w:rPr>
            </w:pPr>
          </w:p>
        </w:tc>
      </w:tr>
    </w:tbl>
    <w:p w14:paraId="4E9BCA13" w14:textId="699EEA5D"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 </w:t>
      </w:r>
      <w:r w:rsidR="004E7388">
        <w:rPr>
          <w:rFonts w:ascii="Arial Narrow" w:eastAsia="Times New Roman" w:hAnsi="Arial Narrow" w:cs="Arial"/>
          <w:snapToGrid w:val="0"/>
          <w:sz w:val="18"/>
          <w:szCs w:val="20"/>
        </w:rPr>
        <w:t>b</w:t>
      </w:r>
      <w:r w:rsidRPr="000C4977">
        <w:rPr>
          <w:rFonts w:ascii="Arial Narrow" w:eastAsia="Times New Roman" w:hAnsi="Arial Narrow" w:cs="Arial"/>
          <w:snapToGrid w:val="0"/>
          <w:sz w:val="18"/>
          <w:szCs w:val="20"/>
        </w:rPr>
        <w:t xml:space="preserve">reast cancer gene; HRD = </w:t>
      </w:r>
      <w:r w:rsidR="004E7388">
        <w:rPr>
          <w:rFonts w:ascii="Arial Narrow" w:eastAsia="Times New Roman" w:hAnsi="Arial Narrow" w:cs="Arial"/>
          <w:snapToGrid w:val="0"/>
          <w:sz w:val="18"/>
          <w:szCs w:val="20"/>
        </w:rPr>
        <w:t>h</w:t>
      </w:r>
      <w:r w:rsidRPr="000C4977">
        <w:rPr>
          <w:rFonts w:ascii="Arial Narrow" w:eastAsia="Times New Roman" w:hAnsi="Arial Narrow" w:cs="Arial"/>
          <w:snapToGrid w:val="0"/>
          <w:sz w:val="18"/>
          <w:szCs w:val="20"/>
        </w:rPr>
        <w:t xml:space="preserve">omologous recombination deficiency; </w:t>
      </w:r>
      <w:r w:rsidR="00000F3B" w:rsidRPr="000C4977">
        <w:rPr>
          <w:rFonts w:ascii="Arial Narrow" w:eastAsia="Times New Roman" w:hAnsi="Arial Narrow" w:cs="Arial"/>
          <w:snapToGrid w:val="0"/>
          <w:sz w:val="18"/>
          <w:szCs w:val="20"/>
        </w:rPr>
        <w:t xml:space="preserve">m = mutation; </w:t>
      </w:r>
      <w:r w:rsidRPr="000C4977">
        <w:rPr>
          <w:rFonts w:ascii="Arial Narrow" w:eastAsia="Times New Roman" w:hAnsi="Arial Narrow" w:cs="Arial"/>
          <w:snapToGrid w:val="0"/>
          <w:sz w:val="18"/>
          <w:szCs w:val="20"/>
        </w:rPr>
        <w:t xml:space="preserve">NGS = </w:t>
      </w:r>
      <w:r w:rsidR="004E7388">
        <w:rPr>
          <w:rFonts w:ascii="Arial Narrow" w:eastAsia="Times New Roman" w:hAnsi="Arial Narrow" w:cs="Arial"/>
          <w:snapToGrid w:val="0"/>
          <w:sz w:val="18"/>
          <w:szCs w:val="20"/>
        </w:rPr>
        <w:t>n</w:t>
      </w:r>
      <w:r w:rsidRPr="000C4977">
        <w:rPr>
          <w:rFonts w:ascii="Arial Narrow" w:eastAsia="Times New Roman" w:hAnsi="Arial Narrow" w:cs="Arial"/>
          <w:snapToGrid w:val="0"/>
          <w:sz w:val="18"/>
          <w:szCs w:val="20"/>
        </w:rPr>
        <w:t>ext</w:t>
      </w:r>
      <w:r w:rsidR="002F0BC8">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 xml:space="preserve">generation sequencing; </w:t>
      </w:r>
      <w:r w:rsidR="00000F3B">
        <w:rPr>
          <w:rFonts w:ascii="Arial Narrow" w:eastAsia="Times New Roman" w:hAnsi="Arial Narrow" w:cs="Arial"/>
          <w:snapToGrid w:val="0"/>
          <w:sz w:val="18"/>
          <w:szCs w:val="20"/>
        </w:rPr>
        <w:t xml:space="preserve">OS = overall survival; </w:t>
      </w:r>
      <w:r w:rsidR="00A20519">
        <w:rPr>
          <w:rFonts w:ascii="Arial Narrow" w:eastAsia="Times New Roman" w:hAnsi="Arial Narrow" w:cs="Arial"/>
          <w:snapToGrid w:val="0"/>
          <w:sz w:val="18"/>
          <w:szCs w:val="20"/>
        </w:rPr>
        <w:t xml:space="preserve">PARP = </w:t>
      </w:r>
      <w:r w:rsidR="00A20519" w:rsidRPr="00576A21">
        <w:rPr>
          <w:rFonts w:ascii="Arial Narrow" w:eastAsia="Times New Roman" w:hAnsi="Arial Narrow" w:cs="Arial"/>
          <w:snapToGrid w:val="0"/>
          <w:sz w:val="18"/>
          <w:szCs w:val="20"/>
        </w:rPr>
        <w:t>poly adenosine diphosphate-ribose polymerase</w:t>
      </w:r>
      <w:r w:rsidR="00A20519">
        <w:rPr>
          <w:rFonts w:ascii="Arial Narrow" w:eastAsia="Times New Roman" w:hAnsi="Arial Narrow" w:cs="Arial"/>
          <w:snapToGrid w:val="0"/>
          <w:sz w:val="18"/>
          <w:szCs w:val="20"/>
        </w:rPr>
        <w:t xml:space="preserve">; </w:t>
      </w:r>
      <w:r w:rsidR="00000F3B">
        <w:rPr>
          <w:rFonts w:ascii="Arial Narrow" w:eastAsia="Times New Roman" w:hAnsi="Arial Narrow" w:cs="Arial"/>
          <w:snapToGrid w:val="0"/>
          <w:sz w:val="18"/>
          <w:szCs w:val="20"/>
        </w:rPr>
        <w:t>PFS = progression-free survival</w:t>
      </w:r>
      <w:r w:rsidR="00A20519">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 xml:space="preserve"> = wild type</w:t>
      </w:r>
    </w:p>
    <w:p w14:paraId="49A41318"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 evaluation</w:t>
      </w:r>
    </w:p>
    <w:p w14:paraId="367D518B" w14:textId="77777777" w:rsidR="000C4977" w:rsidRPr="000C4977" w:rsidRDefault="000C4977" w:rsidP="000C4977">
      <w:pPr>
        <w:spacing w:line="259" w:lineRule="auto"/>
        <w:jc w:val="left"/>
      </w:pPr>
      <w:r w:rsidRPr="000C4977">
        <w:t xml:space="preserve">All commercial molecular pathology service providers for </w:t>
      </w:r>
      <w:proofErr w:type="spellStart"/>
      <w:r w:rsidRPr="000C4977">
        <w:rPr>
          <w:i/>
          <w:iCs/>
        </w:rPr>
        <w:t>BRCA</w:t>
      </w:r>
      <w:r w:rsidRPr="000C4977">
        <w:t>m</w:t>
      </w:r>
      <w:proofErr w:type="spellEnd"/>
      <w:r w:rsidRPr="000C4977">
        <w:t xml:space="preserve"> testing in Australia currently conduct </w:t>
      </w:r>
      <w:r w:rsidRPr="000C4977">
        <w:rPr>
          <w:i/>
          <w:iCs/>
        </w:rPr>
        <w:t>BRCA</w:t>
      </w:r>
      <w:r w:rsidRPr="000C4977">
        <w:t xml:space="preserve"> testing using DNA from fresh tissue using NGS technology. This was the reference standard for </w:t>
      </w:r>
      <w:r w:rsidRPr="000C4977">
        <w:rPr>
          <w:i/>
          <w:iCs/>
        </w:rPr>
        <w:t>BRCA</w:t>
      </w:r>
      <w:r w:rsidRPr="000C4977">
        <w:t xml:space="preserve"> testing that was proposed in the submission. The submission (p83) noted that current literature and recommendations indicate that NGS platforms are widely accepted and utilised for detecting pathogenic </w:t>
      </w:r>
      <w:proofErr w:type="spellStart"/>
      <w:r w:rsidRPr="000C4977">
        <w:rPr>
          <w:i/>
          <w:iCs/>
        </w:rPr>
        <w:t>BRCA</w:t>
      </w:r>
      <w:r w:rsidRPr="005B2AFE">
        <w:t>m</w:t>
      </w:r>
      <w:proofErr w:type="spellEnd"/>
      <w:r w:rsidRPr="000C4977">
        <w:t xml:space="preserve"> </w:t>
      </w:r>
      <w:r w:rsidRPr="000C4977">
        <w:fldChar w:fldCharType="begin"/>
      </w:r>
      <w:r w:rsidRPr="000C4977">
        <w:instrText xml:space="preserve"> ADDIN EN.CITE &lt;EndNote&gt;&lt;Cite&gt;&lt;Author&gt;Wu&lt;/Author&gt;&lt;Year&gt;2017&lt;/Year&gt;&lt;RecNum&gt;8&lt;/RecNum&gt;&lt;DisplayText&gt;(Wu et al., 2017)&lt;/DisplayText&gt;&lt;record&gt;&lt;rec-number&gt;8&lt;/rec-number&gt;&lt;foreign-keys&gt;&lt;key app="EN" db-id="t5asrzpzow0t2ne2af85aetwee0xvzzt2e2x" timestamp="1620172750"&gt;8&lt;/key&gt;&lt;/foreign-keys&gt;&lt;ref-type name="Journal Article"&gt;17&lt;/ref-type&gt;&lt;contributors&gt;&lt;authors&gt;&lt;author&gt;Wu, H.&lt;/author&gt;&lt;author&gt;Wu, X.&lt;/author&gt;&lt;author&gt;Liang, Z.&lt;/author&gt;&lt;/authors&gt;&lt;/contributors&gt;&lt;titles&gt;&lt;title&gt;Impact of germline and somatic BRCA1/2 mutations: tumor spectrum and detection platforms&lt;/title&gt;&lt;secondary-title&gt;Gene Therapy&lt;/secondary-title&gt;&lt;/titles&gt;&lt;periodical&gt;&lt;full-title&gt;Gene Therapy&lt;/full-title&gt;&lt;/periodical&gt;&lt;pages&gt;601-609&lt;/pages&gt;&lt;volume&gt;24&lt;/volume&gt;&lt;number&gt;10&lt;/number&gt;&lt;dates&gt;&lt;year&gt;2017&lt;/year&gt;&lt;pub-dates&gt;&lt;date&gt;2017/10/01&lt;/date&gt;&lt;/pub-dates&gt;&lt;/dates&gt;&lt;isbn&gt;1476-5462&lt;/isbn&gt;&lt;urls&gt;&lt;related-urls&gt;&lt;url&gt;https://doi.org/10.1038/gt.2017.73&lt;/url&gt;&lt;/related-urls&gt;&lt;/urls&gt;&lt;electronic-resource-num&gt;10.1038/gt.2017.73&lt;/electronic-resource-num&gt;&lt;/record&gt;&lt;/Cite&gt;&lt;/EndNote&gt;</w:instrText>
      </w:r>
      <w:r w:rsidRPr="000C4977">
        <w:fldChar w:fldCharType="separate"/>
      </w:r>
      <w:r w:rsidRPr="000C4977">
        <w:t>(Wu 2017)</w:t>
      </w:r>
      <w:r w:rsidRPr="000C4977">
        <w:fldChar w:fldCharType="end"/>
      </w:r>
      <w:r w:rsidRPr="000C4977">
        <w:t xml:space="preserve"> and is therefore considered the gold standard in this submission</w:t>
      </w:r>
      <w:r w:rsidRPr="000C4977">
        <w:rPr>
          <w:i/>
          <w:iCs/>
        </w:rPr>
        <w:t>.</w:t>
      </w:r>
    </w:p>
    <w:p w14:paraId="00AE0277" w14:textId="1C041F7E" w:rsidR="000C4977" w:rsidRPr="00D635A1" w:rsidRDefault="000C4977" w:rsidP="000C4977">
      <w:pPr>
        <w:spacing w:line="259" w:lineRule="auto"/>
        <w:jc w:val="left"/>
      </w:pPr>
      <w:r w:rsidRPr="000C4977">
        <w:t>The submission defined the reference standard for the GIS component of HRD as how well it predicts response to treatment (</w:t>
      </w:r>
      <w:bookmarkStart w:id="31" w:name="_Int_LXwzKteX"/>
      <w:proofErr w:type="gramStart"/>
      <w:r w:rsidRPr="000C4977">
        <w:t>i.e.</w:t>
      </w:r>
      <w:bookmarkEnd w:id="31"/>
      <w:proofErr w:type="gramEnd"/>
      <w:r w:rsidRPr="000C4977">
        <w:t xml:space="preserve"> longitudinal accuracy). Longitudinal accuracy is conducted for the purpose of determining a future health state, with the accuracy of this prediction measured against a “reference standard,” which is the health outcome of interest </w:t>
      </w:r>
      <w:proofErr w:type="gramStart"/>
      <w:r w:rsidRPr="000C4977">
        <w:t>at a later time</w:t>
      </w:r>
      <w:proofErr w:type="gramEnd"/>
      <w:r w:rsidRPr="000C4977">
        <w:t xml:space="preserve"> point (e.g., length of survival, response to treatment). In this case the clinical outcome of interest is the response to a PARP inhibitor in </w:t>
      </w:r>
      <w:r w:rsidRPr="00D635A1">
        <w:t xml:space="preserve">terms of PFS and OS in patients who are HRD positive </w:t>
      </w:r>
      <w:proofErr w:type="spellStart"/>
      <w:r w:rsidRPr="00D635A1">
        <w:rPr>
          <w:i/>
          <w:iCs/>
        </w:rPr>
        <w:t>BRCA</w:t>
      </w:r>
      <w:r w:rsidRPr="00D635A1">
        <w:t>wt</w:t>
      </w:r>
      <w:proofErr w:type="spellEnd"/>
      <w:r w:rsidRPr="00D635A1">
        <w:t xml:space="preserve"> compared with patients who are HRD negative. It was unclear if this was a valid comparison, or if any patient who is not HRD positive </w:t>
      </w:r>
      <w:proofErr w:type="spellStart"/>
      <w:r w:rsidRPr="00D635A1">
        <w:rPr>
          <w:i/>
          <w:iCs/>
        </w:rPr>
        <w:t>BRCA</w:t>
      </w:r>
      <w:r w:rsidRPr="00D635A1">
        <w:t>wt</w:t>
      </w:r>
      <w:proofErr w:type="spellEnd"/>
      <w:r w:rsidRPr="00D635A1">
        <w:t xml:space="preserve">, </w:t>
      </w:r>
      <w:bookmarkStart w:id="32" w:name="_Int_rhqo7hC5"/>
      <w:proofErr w:type="gramStart"/>
      <w:r w:rsidRPr="00D635A1">
        <w:t>i.e.</w:t>
      </w:r>
      <w:bookmarkEnd w:id="32"/>
      <w:proofErr w:type="gramEnd"/>
      <w:r w:rsidRPr="00D635A1">
        <w:t xml:space="preserve"> </w:t>
      </w:r>
      <w:proofErr w:type="spellStart"/>
      <w:r w:rsidRPr="00D635A1">
        <w:rPr>
          <w:i/>
          <w:iCs/>
        </w:rPr>
        <w:t>BRCA</w:t>
      </w:r>
      <w:r w:rsidRPr="00D635A1">
        <w:t>m</w:t>
      </w:r>
      <w:proofErr w:type="spellEnd"/>
      <w:r w:rsidRPr="00D635A1">
        <w:t xml:space="preserve"> plus HRD negative </w:t>
      </w:r>
      <w:proofErr w:type="spellStart"/>
      <w:r w:rsidRPr="00D635A1">
        <w:rPr>
          <w:i/>
          <w:iCs/>
        </w:rPr>
        <w:t>BRCA</w:t>
      </w:r>
      <w:r w:rsidRPr="00D635A1">
        <w:t>wt</w:t>
      </w:r>
      <w:proofErr w:type="spellEnd"/>
      <w:r w:rsidRPr="00D635A1">
        <w:t>, should be included as the complement subgroup for comparison.</w:t>
      </w:r>
    </w:p>
    <w:p w14:paraId="2EA12EDA" w14:textId="6538DA7F" w:rsidR="000C4977" w:rsidRPr="000C4977" w:rsidRDefault="000C4977" w:rsidP="000C4977">
      <w:pPr>
        <w:spacing w:line="259" w:lineRule="auto"/>
        <w:jc w:val="left"/>
      </w:pPr>
      <w:r w:rsidRPr="00D635A1">
        <w:t>As acknowledged by the submission, the literature review did not identify any head-to-head studies comparing the proposed test (</w:t>
      </w:r>
      <w:proofErr w:type="spellStart"/>
      <w:r w:rsidRPr="00D635A1">
        <w:t>SOPHiA</w:t>
      </w:r>
      <w:proofErr w:type="spellEnd"/>
      <w:r w:rsidRPr="00D635A1">
        <w:t xml:space="preserve"> assay and other NGS-based tests) or clinical utility standard</w:t>
      </w:r>
      <w:r w:rsidRPr="00D635A1" w:rsidDel="00073D18">
        <w:t xml:space="preserve"> </w:t>
      </w:r>
      <w:r w:rsidRPr="00D635A1">
        <w:t xml:space="preserve">(Myriad </w:t>
      </w:r>
      <w:proofErr w:type="spellStart"/>
      <w:r w:rsidRPr="00D635A1">
        <w:t>myChoice</w:t>
      </w:r>
      <w:proofErr w:type="spellEnd"/>
      <w:r w:rsidRPr="00D635A1">
        <w:t xml:space="preserve"> HRD plus assay) versus the reference</w:t>
      </w:r>
      <w:r w:rsidRPr="000C4977">
        <w:t xml:space="preserve"> standard (HRD testing using fresh tumour tissue) in detecting either the pathogenic </w:t>
      </w:r>
      <w:proofErr w:type="spellStart"/>
      <w:r w:rsidRPr="000C4977">
        <w:rPr>
          <w:i/>
          <w:iCs/>
        </w:rPr>
        <w:t>BRCA</w:t>
      </w:r>
      <w:r w:rsidRPr="000C4977">
        <w:t>m</w:t>
      </w:r>
      <w:proofErr w:type="spellEnd"/>
      <w:r w:rsidRPr="000C4977">
        <w:t xml:space="preserve"> or GIS components of HRD in tumour tissue. FFPE archival samples rather than fresh tissue samples were used in all included studies. Therefore, the submission claimed that the diagnostic value of HRD testing was assessed using the following comparisons.</w:t>
      </w:r>
    </w:p>
    <w:p w14:paraId="788F2DB2" w14:textId="77777777" w:rsidR="000C4977" w:rsidRPr="00D635A1" w:rsidRDefault="000C4977" w:rsidP="000C4977">
      <w:pPr>
        <w:numPr>
          <w:ilvl w:val="0"/>
          <w:numId w:val="47"/>
        </w:numPr>
        <w:spacing w:line="259" w:lineRule="auto"/>
        <w:jc w:val="left"/>
        <w:rPr>
          <w:color w:val="000000" w:themeColor="text1"/>
          <w:szCs w:val="20"/>
        </w:rPr>
      </w:pPr>
      <w:r w:rsidRPr="00D635A1">
        <w:rPr>
          <w:color w:val="000000" w:themeColor="text1"/>
          <w:szCs w:val="20"/>
        </w:rPr>
        <w:t xml:space="preserve">Cross-sectional accuracy of tumour HRD testing in detecting pathogenic </w:t>
      </w:r>
      <w:proofErr w:type="spellStart"/>
      <w:r w:rsidRPr="00D635A1">
        <w:rPr>
          <w:i/>
          <w:iCs/>
          <w:color w:val="000000" w:themeColor="text1"/>
          <w:szCs w:val="20"/>
        </w:rPr>
        <w:t>BRCA</w:t>
      </w:r>
      <w:r w:rsidRPr="00D635A1">
        <w:rPr>
          <w:color w:val="000000" w:themeColor="text1"/>
          <w:szCs w:val="20"/>
        </w:rPr>
        <w:t>m</w:t>
      </w:r>
      <w:proofErr w:type="spellEnd"/>
      <w:r w:rsidRPr="00D635A1">
        <w:rPr>
          <w:color w:val="000000" w:themeColor="text1"/>
          <w:szCs w:val="20"/>
        </w:rPr>
        <w:t xml:space="preserve"> and GIS components using FFPE archival samples:</w:t>
      </w:r>
    </w:p>
    <w:p w14:paraId="27D8FC77" w14:textId="41252B18" w:rsidR="000C4977" w:rsidRPr="00D635A1" w:rsidRDefault="000C4977" w:rsidP="000C4977">
      <w:pPr>
        <w:numPr>
          <w:ilvl w:val="0"/>
          <w:numId w:val="48"/>
        </w:numPr>
        <w:spacing w:line="259" w:lineRule="auto"/>
        <w:jc w:val="left"/>
        <w:rPr>
          <w:color w:val="000000" w:themeColor="text1"/>
          <w:szCs w:val="20"/>
        </w:rPr>
      </w:pPr>
      <w:r w:rsidRPr="00D635A1">
        <w:rPr>
          <w:color w:val="000000" w:themeColor="text1"/>
          <w:szCs w:val="20"/>
        </w:rPr>
        <w:t xml:space="preserve">Comparison of the proposed test (including the </w:t>
      </w:r>
      <w:proofErr w:type="spellStart"/>
      <w:r w:rsidRPr="00D635A1">
        <w:rPr>
          <w:color w:val="000000" w:themeColor="text1"/>
          <w:szCs w:val="20"/>
        </w:rPr>
        <w:t>SOPHiA</w:t>
      </w:r>
      <w:proofErr w:type="spellEnd"/>
      <w:r w:rsidRPr="00D635A1">
        <w:rPr>
          <w:color w:val="000000" w:themeColor="text1"/>
          <w:szCs w:val="20"/>
        </w:rPr>
        <w:t xml:space="preserve"> assay and other NGS-based tests) vs the clinical utility standard</w:t>
      </w:r>
      <w:r w:rsidRPr="00D635A1" w:rsidDel="00073D18">
        <w:rPr>
          <w:color w:val="000000" w:themeColor="text1"/>
          <w:szCs w:val="20"/>
        </w:rPr>
        <w:t xml:space="preserve"> </w:t>
      </w:r>
      <w:r w:rsidRPr="00D635A1">
        <w:rPr>
          <w:color w:val="000000" w:themeColor="text1"/>
          <w:szCs w:val="20"/>
        </w:rPr>
        <w:t xml:space="preserve">to detect pathogenic </w:t>
      </w:r>
      <w:proofErr w:type="spellStart"/>
      <w:r w:rsidRPr="00D635A1">
        <w:rPr>
          <w:i/>
          <w:iCs/>
          <w:color w:val="000000" w:themeColor="text1"/>
          <w:szCs w:val="20"/>
        </w:rPr>
        <w:t>BRCA</w:t>
      </w:r>
      <w:r w:rsidRPr="00D635A1">
        <w:rPr>
          <w:color w:val="000000" w:themeColor="text1"/>
          <w:szCs w:val="20"/>
        </w:rPr>
        <w:t>m</w:t>
      </w:r>
      <w:proofErr w:type="spellEnd"/>
      <w:r w:rsidRPr="00D635A1">
        <w:rPr>
          <w:color w:val="000000" w:themeColor="text1"/>
          <w:szCs w:val="20"/>
        </w:rPr>
        <w:t xml:space="preserve">. This was </w:t>
      </w:r>
      <w:r w:rsidRPr="00D635A1">
        <w:rPr>
          <w:color w:val="000000" w:themeColor="text1"/>
          <w:szCs w:val="20"/>
        </w:rPr>
        <w:lastRenderedPageBreak/>
        <w:t xml:space="preserve">inaccurate, as no comparison of the proposed test with NGS tests for </w:t>
      </w:r>
      <w:proofErr w:type="spellStart"/>
      <w:r w:rsidRPr="00D635A1">
        <w:rPr>
          <w:i/>
          <w:iCs/>
          <w:color w:val="000000" w:themeColor="text1"/>
          <w:szCs w:val="20"/>
        </w:rPr>
        <w:t>BRCA</w:t>
      </w:r>
      <w:r w:rsidRPr="00D635A1">
        <w:rPr>
          <w:color w:val="000000" w:themeColor="text1"/>
          <w:szCs w:val="20"/>
        </w:rPr>
        <w:t>m</w:t>
      </w:r>
      <w:proofErr w:type="spellEnd"/>
      <w:r w:rsidRPr="00D635A1">
        <w:rPr>
          <w:color w:val="000000" w:themeColor="text1"/>
          <w:szCs w:val="20"/>
        </w:rPr>
        <w:t xml:space="preserve"> was provided.</w:t>
      </w:r>
    </w:p>
    <w:p w14:paraId="4A5A2796" w14:textId="58ECDAEF" w:rsidR="000C4977" w:rsidRPr="00D635A1" w:rsidRDefault="000C4977" w:rsidP="000C4977">
      <w:pPr>
        <w:numPr>
          <w:ilvl w:val="0"/>
          <w:numId w:val="48"/>
        </w:numPr>
        <w:spacing w:line="259" w:lineRule="auto"/>
        <w:jc w:val="left"/>
        <w:rPr>
          <w:color w:val="000000" w:themeColor="text1"/>
          <w:szCs w:val="20"/>
        </w:rPr>
      </w:pPr>
      <w:r w:rsidRPr="000C4977">
        <w:rPr>
          <w:color w:val="000000" w:themeColor="text1"/>
          <w:szCs w:val="20"/>
        </w:rPr>
        <w:t xml:space="preserve">Comparison of the proposed test (including the </w:t>
      </w:r>
      <w:proofErr w:type="spellStart"/>
      <w:r w:rsidRPr="000C4977">
        <w:rPr>
          <w:color w:val="000000" w:themeColor="text1"/>
          <w:szCs w:val="20"/>
        </w:rPr>
        <w:t>SOPHiA</w:t>
      </w:r>
      <w:proofErr w:type="spellEnd"/>
      <w:r w:rsidRPr="000C4977">
        <w:rPr>
          <w:color w:val="000000" w:themeColor="text1"/>
          <w:szCs w:val="20"/>
        </w:rPr>
        <w:t xml:space="preserve"> assay and other NGS-based tests) vs </w:t>
      </w:r>
      <w:r w:rsidRPr="00D635A1">
        <w:rPr>
          <w:color w:val="000000" w:themeColor="text1"/>
          <w:szCs w:val="20"/>
        </w:rPr>
        <w:t xml:space="preserve">the Myriad </w:t>
      </w:r>
      <w:proofErr w:type="spellStart"/>
      <w:r w:rsidRPr="00D635A1">
        <w:rPr>
          <w:color w:val="000000" w:themeColor="text1"/>
          <w:szCs w:val="20"/>
        </w:rPr>
        <w:t>myChoice</w:t>
      </w:r>
      <w:proofErr w:type="spellEnd"/>
      <w:r w:rsidRPr="00D635A1">
        <w:rPr>
          <w:color w:val="000000" w:themeColor="text1"/>
          <w:szCs w:val="20"/>
        </w:rPr>
        <w:t xml:space="preserve"> </w:t>
      </w:r>
      <w:proofErr w:type="spellStart"/>
      <w:r w:rsidRPr="00D635A1">
        <w:rPr>
          <w:color w:val="000000" w:themeColor="text1"/>
          <w:szCs w:val="20"/>
        </w:rPr>
        <w:t>CDx</w:t>
      </w:r>
      <w:proofErr w:type="spellEnd"/>
      <w:r w:rsidRPr="00D635A1">
        <w:rPr>
          <w:color w:val="000000" w:themeColor="text1"/>
          <w:szCs w:val="20"/>
        </w:rPr>
        <w:t>) to detect GIS component and overall HRD positivity. This was informed by the ongoing unpublished validation study.</w:t>
      </w:r>
    </w:p>
    <w:p w14:paraId="7FAD94D5" w14:textId="77777777" w:rsidR="000C4977" w:rsidRPr="00D635A1" w:rsidRDefault="000C4977" w:rsidP="000C4977">
      <w:pPr>
        <w:numPr>
          <w:ilvl w:val="0"/>
          <w:numId w:val="47"/>
        </w:numPr>
        <w:spacing w:line="259" w:lineRule="auto"/>
        <w:jc w:val="left"/>
        <w:rPr>
          <w:color w:val="000000" w:themeColor="text1"/>
          <w:szCs w:val="20"/>
        </w:rPr>
      </w:pPr>
      <w:r w:rsidRPr="00D635A1">
        <w:rPr>
          <w:color w:val="000000" w:themeColor="text1"/>
          <w:szCs w:val="20"/>
        </w:rPr>
        <w:t xml:space="preserve">Longitudinal accuracy of tumour HRD tests to predict treatment effect. Comparison of the clinical utility standard, and other tumour HRD tests to predict treatment effect response to a PARP inhibitor in terms of PFS and OS in patients who are HRD positive </w:t>
      </w:r>
      <w:proofErr w:type="spellStart"/>
      <w:r w:rsidRPr="00D635A1">
        <w:rPr>
          <w:i/>
          <w:iCs/>
          <w:color w:val="000000" w:themeColor="text1"/>
          <w:szCs w:val="20"/>
        </w:rPr>
        <w:t>BRCA</w:t>
      </w:r>
      <w:r w:rsidRPr="00D635A1">
        <w:rPr>
          <w:color w:val="000000" w:themeColor="text1"/>
          <w:szCs w:val="20"/>
        </w:rPr>
        <w:t>wt</w:t>
      </w:r>
      <w:proofErr w:type="spellEnd"/>
      <w:r w:rsidRPr="00D635A1">
        <w:rPr>
          <w:color w:val="000000" w:themeColor="text1"/>
          <w:szCs w:val="20"/>
        </w:rPr>
        <w:t xml:space="preserve"> compared with patients who are HRD negative or </w:t>
      </w:r>
      <w:proofErr w:type="spellStart"/>
      <w:r w:rsidRPr="00D635A1">
        <w:rPr>
          <w:i/>
          <w:iCs/>
          <w:color w:val="000000" w:themeColor="text1"/>
          <w:szCs w:val="20"/>
        </w:rPr>
        <w:t>BRCA</w:t>
      </w:r>
      <w:r w:rsidRPr="00D635A1">
        <w:rPr>
          <w:color w:val="000000" w:themeColor="text1"/>
          <w:szCs w:val="20"/>
        </w:rPr>
        <w:t>m</w:t>
      </w:r>
      <w:proofErr w:type="spellEnd"/>
      <w:r w:rsidRPr="00D635A1">
        <w:rPr>
          <w:color w:val="000000" w:themeColor="text1"/>
          <w:szCs w:val="20"/>
        </w:rPr>
        <w:t xml:space="preserve">. Given that the value of </w:t>
      </w:r>
      <w:r w:rsidRPr="00D635A1">
        <w:rPr>
          <w:i/>
          <w:iCs/>
          <w:color w:val="000000" w:themeColor="text1"/>
          <w:szCs w:val="20"/>
        </w:rPr>
        <w:t>BRCA1</w:t>
      </w:r>
      <w:r w:rsidRPr="00D635A1">
        <w:rPr>
          <w:color w:val="000000" w:themeColor="text1"/>
          <w:szCs w:val="20"/>
        </w:rPr>
        <w:t xml:space="preserve"> and </w:t>
      </w:r>
      <w:r w:rsidRPr="00D635A1">
        <w:rPr>
          <w:i/>
          <w:iCs/>
          <w:color w:val="000000" w:themeColor="text1"/>
          <w:szCs w:val="20"/>
        </w:rPr>
        <w:t>BRCA2</w:t>
      </w:r>
      <w:r w:rsidRPr="00D635A1">
        <w:rPr>
          <w:color w:val="000000" w:themeColor="text1"/>
          <w:szCs w:val="20"/>
        </w:rPr>
        <w:t xml:space="preserve"> testing in predicting treatment response to </w:t>
      </w:r>
      <w:proofErr w:type="spellStart"/>
      <w:r w:rsidRPr="00D635A1">
        <w:rPr>
          <w:color w:val="000000" w:themeColor="text1"/>
          <w:szCs w:val="20"/>
        </w:rPr>
        <w:t>olaparib</w:t>
      </w:r>
      <w:proofErr w:type="spellEnd"/>
      <w:r w:rsidRPr="00D635A1">
        <w:rPr>
          <w:color w:val="000000" w:themeColor="text1"/>
          <w:szCs w:val="20"/>
        </w:rPr>
        <w:t xml:space="preserve"> is already established, the submission focused on the longitudinal accuracy of the GIS component of HRD (i.e., HRD positive </w:t>
      </w:r>
      <w:proofErr w:type="spellStart"/>
      <w:r w:rsidRPr="00D635A1">
        <w:rPr>
          <w:i/>
          <w:iCs/>
          <w:color w:val="000000" w:themeColor="text1"/>
          <w:szCs w:val="20"/>
        </w:rPr>
        <w:t>BRCA</w:t>
      </w:r>
      <w:r w:rsidRPr="00D635A1">
        <w:rPr>
          <w:color w:val="000000" w:themeColor="text1"/>
          <w:szCs w:val="20"/>
        </w:rPr>
        <w:t>wt</w:t>
      </w:r>
      <w:proofErr w:type="spellEnd"/>
      <w:r w:rsidRPr="00D635A1">
        <w:rPr>
          <w:color w:val="000000" w:themeColor="text1"/>
          <w:szCs w:val="20"/>
        </w:rPr>
        <w:t xml:space="preserve">). As there were no head-to-head studies of Myriad </w:t>
      </w:r>
      <w:proofErr w:type="spellStart"/>
      <w:r w:rsidRPr="00D635A1">
        <w:rPr>
          <w:color w:val="000000" w:themeColor="text1"/>
          <w:szCs w:val="20"/>
        </w:rPr>
        <w:t>myChoice</w:t>
      </w:r>
      <w:proofErr w:type="spellEnd"/>
      <w:r w:rsidRPr="00D635A1">
        <w:rPr>
          <w:color w:val="000000" w:themeColor="text1"/>
          <w:szCs w:val="20"/>
        </w:rPr>
        <w:t xml:space="preserve"> HRD plus or Myriad </w:t>
      </w:r>
      <w:proofErr w:type="spellStart"/>
      <w:r w:rsidRPr="00D635A1">
        <w:rPr>
          <w:color w:val="000000" w:themeColor="text1"/>
          <w:szCs w:val="20"/>
        </w:rPr>
        <w:t>myChoice</w:t>
      </w:r>
      <w:proofErr w:type="spellEnd"/>
      <w:r w:rsidRPr="00D635A1">
        <w:rPr>
          <w:color w:val="000000" w:themeColor="text1"/>
          <w:szCs w:val="20"/>
        </w:rPr>
        <w:t xml:space="preserve"> </w:t>
      </w:r>
      <w:proofErr w:type="spellStart"/>
      <w:r w:rsidRPr="00D635A1">
        <w:rPr>
          <w:color w:val="000000" w:themeColor="text1"/>
          <w:szCs w:val="20"/>
        </w:rPr>
        <w:t>CDx</w:t>
      </w:r>
      <w:proofErr w:type="spellEnd"/>
      <w:r w:rsidRPr="00D635A1">
        <w:rPr>
          <w:color w:val="000000" w:themeColor="text1"/>
          <w:szCs w:val="20"/>
        </w:rPr>
        <w:t xml:space="preserve"> and other tumour HRD tests to predict treatment response, the longitudinal accuracy of different tumour HRD tests were compared informally.</w:t>
      </w:r>
    </w:p>
    <w:p w14:paraId="4133AC6F" w14:textId="24A9F270" w:rsidR="000C4977" w:rsidRPr="000C4977" w:rsidRDefault="000C4977" w:rsidP="000C4977">
      <w:pPr>
        <w:rPr>
          <w:szCs w:val="20"/>
        </w:rPr>
      </w:pPr>
      <w:r w:rsidRPr="00D635A1">
        <w:rPr>
          <w:szCs w:val="20"/>
        </w:rPr>
        <w:t xml:space="preserve">As no studies comparing the proposed </w:t>
      </w:r>
      <w:proofErr w:type="spellStart"/>
      <w:r w:rsidRPr="00D635A1">
        <w:rPr>
          <w:szCs w:val="20"/>
        </w:rPr>
        <w:t>SOPHiA</w:t>
      </w:r>
      <w:proofErr w:type="spellEnd"/>
      <w:r w:rsidRPr="00D635A1">
        <w:rPr>
          <w:szCs w:val="20"/>
        </w:rPr>
        <w:t xml:space="preserve"> assay with the NGS </w:t>
      </w:r>
      <w:r w:rsidRPr="00D635A1">
        <w:rPr>
          <w:i/>
          <w:iCs/>
          <w:szCs w:val="20"/>
        </w:rPr>
        <w:t>BRCA</w:t>
      </w:r>
      <w:r w:rsidRPr="00D635A1">
        <w:rPr>
          <w:szCs w:val="20"/>
        </w:rPr>
        <w:t xml:space="preserve"> test currently used in Australia (using either FFPE or fresh tissue samples) and only limited evidence of concordance between the clinical utility standard of Myriad </w:t>
      </w:r>
      <w:proofErr w:type="spellStart"/>
      <w:r w:rsidRPr="00D635A1">
        <w:rPr>
          <w:szCs w:val="20"/>
        </w:rPr>
        <w:t>myChoice</w:t>
      </w:r>
      <w:proofErr w:type="spellEnd"/>
      <w:r w:rsidRPr="00D635A1">
        <w:rPr>
          <w:szCs w:val="20"/>
        </w:rPr>
        <w:t xml:space="preserve"> HRD plus and the Myriad </w:t>
      </w:r>
      <w:proofErr w:type="spellStart"/>
      <w:r w:rsidRPr="00D635A1">
        <w:rPr>
          <w:szCs w:val="20"/>
        </w:rPr>
        <w:t>myChoice</w:t>
      </w:r>
      <w:proofErr w:type="spellEnd"/>
      <w:r w:rsidRPr="00D635A1">
        <w:rPr>
          <w:szCs w:val="20"/>
        </w:rPr>
        <w:t xml:space="preserve"> </w:t>
      </w:r>
      <w:proofErr w:type="spellStart"/>
      <w:r w:rsidRPr="00D635A1">
        <w:rPr>
          <w:szCs w:val="20"/>
        </w:rPr>
        <w:t>CDx</w:t>
      </w:r>
      <w:proofErr w:type="spellEnd"/>
      <w:r w:rsidRPr="00D635A1">
        <w:rPr>
          <w:szCs w:val="20"/>
        </w:rPr>
        <w:t xml:space="preserve"> being compared to in the validation study were presented in the submission, the commentary considered that there were gaps in the available data for the linked evidence approach adopted by the submission. The evidence approach presented instead relied on a chain of assumed equivalence between the </w:t>
      </w:r>
      <w:proofErr w:type="spellStart"/>
      <w:r w:rsidRPr="00D635A1">
        <w:rPr>
          <w:szCs w:val="20"/>
        </w:rPr>
        <w:t>SOPHiA</w:t>
      </w:r>
      <w:proofErr w:type="spellEnd"/>
      <w:r w:rsidRPr="00D635A1">
        <w:rPr>
          <w:szCs w:val="20"/>
        </w:rPr>
        <w:t xml:space="preserve"> assay, the Myriad </w:t>
      </w:r>
      <w:proofErr w:type="spellStart"/>
      <w:r w:rsidRPr="00D635A1">
        <w:rPr>
          <w:szCs w:val="20"/>
        </w:rPr>
        <w:t>myChoice</w:t>
      </w:r>
      <w:proofErr w:type="spellEnd"/>
      <w:r w:rsidRPr="00D635A1">
        <w:rPr>
          <w:szCs w:val="20"/>
        </w:rPr>
        <w:t xml:space="preserve"> assays and NGS testing and application to PAOLA-1. A pictorial representation of the evidentiary chain presented by the submission is illustrated in </w:t>
      </w:r>
      <w:r w:rsidR="006A0E7A" w:rsidRPr="00D635A1">
        <w:rPr>
          <w:szCs w:val="20"/>
        </w:rPr>
        <w:fldChar w:fldCharType="begin"/>
      </w:r>
      <w:r w:rsidR="006A0E7A" w:rsidRPr="00D635A1">
        <w:rPr>
          <w:szCs w:val="20"/>
        </w:rPr>
        <w:instrText xml:space="preserve"> REF _Ref112672614 \h </w:instrText>
      </w:r>
      <w:r w:rsidR="00D635A1">
        <w:rPr>
          <w:szCs w:val="20"/>
        </w:rPr>
        <w:instrText xml:space="preserve"> \* MERGEFORMAT </w:instrText>
      </w:r>
      <w:r w:rsidR="006A0E7A" w:rsidRPr="00D635A1">
        <w:rPr>
          <w:szCs w:val="20"/>
        </w:rPr>
      </w:r>
      <w:r w:rsidR="006A0E7A" w:rsidRPr="00D635A1">
        <w:rPr>
          <w:szCs w:val="20"/>
        </w:rPr>
        <w:fldChar w:fldCharType="separate"/>
      </w:r>
      <w:r w:rsidR="006A0E7A" w:rsidRPr="00D635A1">
        <w:t xml:space="preserve">Figure </w:t>
      </w:r>
      <w:r w:rsidR="006A0E7A" w:rsidRPr="00D635A1">
        <w:rPr>
          <w:noProof/>
        </w:rPr>
        <w:t>2</w:t>
      </w:r>
      <w:r w:rsidR="006A0E7A" w:rsidRPr="00D635A1">
        <w:rPr>
          <w:szCs w:val="20"/>
        </w:rPr>
        <w:fldChar w:fldCharType="end"/>
      </w:r>
      <w:r w:rsidRPr="00D635A1">
        <w:rPr>
          <w:szCs w:val="20"/>
        </w:rPr>
        <w:t>.</w:t>
      </w:r>
    </w:p>
    <w:p w14:paraId="1CB49C07" w14:textId="6C06F97D" w:rsidR="005A51AE" w:rsidRDefault="005A51AE" w:rsidP="005A51AE">
      <w:pPr>
        <w:pStyle w:val="Caption"/>
        <w:jc w:val="both"/>
      </w:pPr>
      <w:bookmarkStart w:id="33" w:name="_Ref112672614"/>
      <w:r>
        <w:lastRenderedPageBreak/>
        <w:t xml:space="preserve">Figure </w:t>
      </w:r>
      <w:fldSimple w:instr=" SEQ Figure \* ARABIC ">
        <w:r w:rsidR="00D8603B">
          <w:rPr>
            <w:noProof/>
          </w:rPr>
          <w:t>2</w:t>
        </w:r>
      </w:fldSimple>
      <w:bookmarkEnd w:id="33"/>
      <w:r w:rsidRPr="000C4977">
        <w:rPr>
          <w:b w:val="0"/>
          <w:iCs w:val="0"/>
        </w:rPr>
        <w:tab/>
      </w:r>
      <w:r w:rsidRPr="005A51AE">
        <w:rPr>
          <w:bCs/>
          <w:iCs w:val="0"/>
        </w:rPr>
        <w:t>Illustration of the evidentiary chain of the current codependent submission</w:t>
      </w:r>
    </w:p>
    <w:p w14:paraId="01AAEA54" w14:textId="6DC7F892" w:rsidR="000C4977" w:rsidRPr="000C4977" w:rsidRDefault="00C71298" w:rsidP="000C4977">
      <w:pPr>
        <w:keepNext/>
        <w:keepLines/>
      </w:pPr>
      <w:r w:rsidRPr="000C4977">
        <w:rPr>
          <w:noProof/>
        </w:rPr>
        <w:object w:dxaOrig="11425" w:dyaOrig="8629" w14:anchorId="1FC27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2 Illustration of the evidentiary chain of the current codependent submission" style="width:453.5pt;height:339.45pt" o:ole="">
            <v:imagedata r:id="rId12" o:title=""/>
          </v:shape>
          <o:OLEObject Type="Embed" ProgID="Visio.Drawing.15" ShapeID="_x0000_i1025" DrawAspect="Content" ObjectID="_1728111305" r:id="rId13"/>
        </w:object>
      </w:r>
    </w:p>
    <w:p w14:paraId="14EC52E3" w14:textId="2A65EBA0" w:rsidR="000C4977" w:rsidRPr="000C4977" w:rsidRDefault="000C4977" w:rsidP="000C4977">
      <w:pPr>
        <w:keepNext/>
        <w:keepLines/>
        <w:widowControl w:val="0"/>
        <w:spacing w:before="0" w:after="0"/>
        <w:contextualSpacing/>
        <w:rPr>
          <w:rFonts w:ascii="Arial Narrow" w:eastAsia="Times New Roman" w:hAnsi="Arial Narrow" w:cs="Arial"/>
          <w:i/>
          <w:snapToGrid w:val="0"/>
          <w:sz w:val="18"/>
          <w:szCs w:val="18"/>
        </w:rPr>
      </w:pPr>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 xml:space="preserve"> = </w:t>
      </w:r>
      <w:r w:rsidR="004E7388" w:rsidRPr="000C4977">
        <w:rPr>
          <w:rFonts w:ascii="Arial Narrow" w:eastAsia="Times New Roman" w:hAnsi="Arial Narrow" w:cs="Arial"/>
          <w:snapToGrid w:val="0"/>
          <w:sz w:val="18"/>
          <w:szCs w:val="18"/>
        </w:rPr>
        <w:t>breast cancer ge</w:t>
      </w:r>
      <w:r w:rsidRPr="000C4977">
        <w:rPr>
          <w:rFonts w:ascii="Arial Narrow" w:eastAsia="Times New Roman" w:hAnsi="Arial Narrow" w:cs="Arial"/>
          <w:snapToGrid w:val="0"/>
          <w:sz w:val="18"/>
          <w:szCs w:val="18"/>
        </w:rPr>
        <w:t xml:space="preserve">ne; </w:t>
      </w:r>
      <w:proofErr w:type="spellStart"/>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m</w:t>
      </w:r>
      <w:proofErr w:type="spellEnd"/>
      <w:r w:rsidRPr="000C4977">
        <w:rPr>
          <w:rFonts w:ascii="Arial Narrow" w:eastAsia="Times New Roman" w:hAnsi="Arial Narrow" w:cs="Arial"/>
          <w:snapToGrid w:val="0"/>
          <w:sz w:val="18"/>
          <w:szCs w:val="18"/>
        </w:rPr>
        <w:t xml:space="preserve"> = </w:t>
      </w:r>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 xml:space="preserve"> mutation; </w:t>
      </w:r>
      <w:proofErr w:type="spellStart"/>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wt</w:t>
      </w:r>
      <w:proofErr w:type="spellEnd"/>
      <w:r w:rsidRPr="000C4977">
        <w:rPr>
          <w:rFonts w:ascii="Arial Narrow" w:eastAsia="Times New Roman" w:hAnsi="Arial Narrow" w:cs="Arial"/>
          <w:snapToGrid w:val="0"/>
          <w:sz w:val="18"/>
          <w:szCs w:val="18"/>
        </w:rPr>
        <w:t xml:space="preserve"> = </w:t>
      </w:r>
      <w:r w:rsidRPr="1CD16233">
        <w:rPr>
          <w:rFonts w:ascii="Arial Narrow" w:eastAsia="Times New Roman" w:hAnsi="Arial Narrow" w:cs="Arial"/>
          <w:i/>
          <w:snapToGrid w:val="0"/>
          <w:sz w:val="18"/>
          <w:szCs w:val="18"/>
        </w:rPr>
        <w:t>BRCA</w:t>
      </w:r>
      <w:r w:rsidRPr="000C4977">
        <w:rPr>
          <w:rFonts w:ascii="Arial Narrow" w:eastAsia="Times New Roman" w:hAnsi="Arial Narrow" w:cs="Arial"/>
          <w:snapToGrid w:val="0"/>
          <w:sz w:val="18"/>
          <w:szCs w:val="18"/>
        </w:rPr>
        <w:t xml:space="preserve"> wild type; HRD = homologous repair deficiency; NGS = </w:t>
      </w:r>
      <w:r w:rsidR="00BE0DF9" w:rsidRPr="000C4977">
        <w:rPr>
          <w:rFonts w:ascii="Arial Narrow" w:eastAsia="Times New Roman" w:hAnsi="Arial Narrow" w:cs="Arial"/>
          <w:snapToGrid w:val="0"/>
          <w:sz w:val="18"/>
          <w:szCs w:val="18"/>
        </w:rPr>
        <w:t>next generation se</w:t>
      </w:r>
      <w:r w:rsidRPr="000C4977">
        <w:rPr>
          <w:rFonts w:ascii="Arial Narrow" w:eastAsia="Times New Roman" w:hAnsi="Arial Narrow" w:cs="Arial"/>
          <w:snapToGrid w:val="0"/>
          <w:sz w:val="18"/>
          <w:szCs w:val="18"/>
        </w:rPr>
        <w:t xml:space="preserve">quencing; </w:t>
      </w:r>
      <w:r w:rsidR="00A8205F" w:rsidRPr="00A8205F">
        <w:rPr>
          <w:rFonts w:ascii="Arial Narrow" w:eastAsia="Times New Roman" w:hAnsi="Arial Narrow" w:cs="Arial"/>
          <w:snapToGrid w:val="0"/>
          <w:color w:val="000000"/>
          <w:spacing w:val="8"/>
          <w:w w:val="44"/>
          <w:sz w:val="18"/>
          <w:szCs w:val="18"/>
          <w:shd w:val="solid" w:color="000000" w:fill="000000"/>
          <w:fitText w:val="148" w:id="-1450960628"/>
          <w14:textFill>
            <w14:solidFill>
              <w14:srgbClr w14:val="000000">
                <w14:alpha w14:val="100000"/>
              </w14:srgbClr>
            </w14:solidFill>
          </w14:textFill>
        </w:rPr>
        <w:t>|</w:t>
      </w:r>
      <w:proofErr w:type="gramStart"/>
      <w:r w:rsidR="00A8205F" w:rsidRPr="00A8205F">
        <w:rPr>
          <w:rFonts w:ascii="Arial Narrow" w:eastAsia="Times New Roman" w:hAnsi="Arial Narrow" w:cs="Arial"/>
          <w:snapToGrid w:val="0"/>
          <w:color w:val="000000"/>
          <w:spacing w:val="8"/>
          <w:w w:val="44"/>
          <w:sz w:val="18"/>
          <w:szCs w:val="18"/>
          <w:shd w:val="solid" w:color="000000" w:fill="000000"/>
          <w:fitText w:val="148" w:id="-1450960628"/>
          <w14:textFill>
            <w14:solidFill>
              <w14:srgbClr w14:val="000000">
                <w14:alpha w14:val="100000"/>
              </w14:srgbClr>
            </w14:solidFill>
          </w14:textFill>
        </w:rPr>
        <w:t>|  |</w:t>
      </w:r>
      <w:proofErr w:type="gramEnd"/>
      <w:r w:rsidR="00A8205F" w:rsidRPr="00A8205F">
        <w:rPr>
          <w:rFonts w:ascii="Arial Narrow" w:eastAsia="Times New Roman" w:hAnsi="Arial Narrow" w:cs="Arial"/>
          <w:snapToGrid w:val="0"/>
          <w:color w:val="000000"/>
          <w:spacing w:val="5"/>
          <w:w w:val="44"/>
          <w:sz w:val="18"/>
          <w:szCs w:val="18"/>
          <w:shd w:val="solid" w:color="000000" w:fill="000000"/>
          <w:fitText w:val="148" w:id="-1450960628"/>
          <w14:textFill>
            <w14:solidFill>
              <w14:srgbClr w14:val="000000">
                <w14:alpha w14:val="100000"/>
              </w14:srgbClr>
            </w14:solidFill>
          </w14:textFill>
        </w:rPr>
        <w:t>|</w:t>
      </w:r>
    </w:p>
    <w:p w14:paraId="4934950D" w14:textId="77777777" w:rsidR="000C4977" w:rsidRPr="000C4977" w:rsidRDefault="000C4977"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 evaluation</w:t>
      </w:r>
    </w:p>
    <w:p w14:paraId="0146E240" w14:textId="77777777" w:rsidR="000C4977" w:rsidRPr="000C4977" w:rsidRDefault="000C4977" w:rsidP="000C4977">
      <w:pPr>
        <w:keepNext/>
        <w:keepLines/>
        <w:tabs>
          <w:tab w:val="left" w:pos="851"/>
        </w:tabs>
        <w:spacing w:before="360" w:after="200" w:line="259" w:lineRule="auto"/>
        <w:jc w:val="left"/>
        <w:outlineLvl w:val="2"/>
        <w:rPr>
          <w:rFonts w:ascii="Franklin Gothic Medium" w:eastAsiaTheme="majorEastAsia" w:hAnsi="Franklin Gothic Medium" w:cstheme="majorBidi"/>
          <w:szCs w:val="24"/>
        </w:rPr>
      </w:pPr>
      <w:bookmarkStart w:id="34" w:name="_Ref103673248"/>
      <w:r w:rsidRPr="000C4977">
        <w:rPr>
          <w:rFonts w:ascii="Franklin Gothic Medium" w:eastAsiaTheme="majorEastAsia" w:hAnsi="Franklin Gothic Medium" w:cstheme="majorBidi"/>
          <w:szCs w:val="24"/>
        </w:rPr>
        <w:t>Comparative accuracy/test performance</w:t>
      </w:r>
      <w:bookmarkEnd w:id="34"/>
    </w:p>
    <w:p w14:paraId="17627284" w14:textId="77777777" w:rsidR="000C4977" w:rsidRPr="000C4977" w:rsidRDefault="000C4977" w:rsidP="000C4977">
      <w:pPr>
        <w:keepNext/>
        <w:keepLines/>
        <w:tabs>
          <w:tab w:val="left" w:pos="851"/>
        </w:tabs>
        <w:spacing w:before="360" w:after="200" w:line="259" w:lineRule="auto"/>
        <w:jc w:val="left"/>
        <w:outlineLvl w:val="3"/>
        <w:rPr>
          <w:rFonts w:ascii="Franklin Gothic Medium" w:eastAsiaTheme="majorEastAsia" w:hAnsi="Franklin Gothic Medium" w:cstheme="majorBidi"/>
          <w:i/>
          <w:szCs w:val="24"/>
        </w:rPr>
      </w:pPr>
      <w:r w:rsidRPr="000C4977">
        <w:rPr>
          <w:rFonts w:ascii="Franklin Gothic Medium" w:eastAsiaTheme="majorEastAsia" w:hAnsi="Franklin Gothic Medium" w:cstheme="majorBidi"/>
          <w:i/>
          <w:szCs w:val="24"/>
        </w:rPr>
        <w:t>GIS threshold</w:t>
      </w:r>
    </w:p>
    <w:p w14:paraId="36CFED73" w14:textId="63B302E1" w:rsidR="000C4977" w:rsidRPr="00CD3001" w:rsidRDefault="000C4977" w:rsidP="000C4977">
      <w:pPr>
        <w:spacing w:line="259" w:lineRule="auto"/>
        <w:jc w:val="left"/>
      </w:pPr>
      <w:r w:rsidRPr="000C4977">
        <w:t xml:space="preserve">The GIS threshold used in PAOLA-1 to define whether a tumour sample was HRD positive was specific to the Myriad </w:t>
      </w:r>
      <w:proofErr w:type="spellStart"/>
      <w:r w:rsidRPr="000C4977">
        <w:t>myChoice</w:t>
      </w:r>
      <w:proofErr w:type="spellEnd"/>
      <w:r w:rsidRPr="000C4977">
        <w:t xml:space="preserve"> HRD plus and Myriad </w:t>
      </w:r>
      <w:proofErr w:type="spellStart"/>
      <w:r w:rsidRPr="000C4977">
        <w:t>myChoice</w:t>
      </w:r>
      <w:proofErr w:type="spellEnd"/>
      <w:r w:rsidRPr="000C4977">
        <w:t xml:space="preserve"> </w:t>
      </w:r>
      <w:proofErr w:type="spellStart"/>
      <w:r w:rsidRPr="000C4977">
        <w:t>CDx</w:t>
      </w:r>
      <w:proofErr w:type="spellEnd"/>
      <w:r w:rsidRPr="000C4977">
        <w:t xml:space="preserve"> assays. The methods of determining this threshold were reported by </w:t>
      </w:r>
      <w:proofErr w:type="spellStart"/>
      <w:r w:rsidRPr="000C4977">
        <w:t>Telli</w:t>
      </w:r>
      <w:proofErr w:type="spellEnd"/>
      <w:r w:rsidRPr="000C4977">
        <w:t xml:space="preserve"> 2016. Both </w:t>
      </w:r>
      <w:proofErr w:type="spellStart"/>
      <w:r w:rsidRPr="000C4977">
        <w:t>Telli</w:t>
      </w:r>
      <w:proofErr w:type="spellEnd"/>
      <w:r w:rsidRPr="000C4977">
        <w:t xml:space="preserve"> 2016 and Takaya 2020 used the phrase “HRD score” to represent GIS.</w:t>
      </w:r>
    </w:p>
    <w:p w14:paraId="61D51C4B" w14:textId="65825B16" w:rsidR="000C4977" w:rsidRPr="000C4977" w:rsidRDefault="000C4977" w:rsidP="000C4977">
      <w:pPr>
        <w:spacing w:line="259" w:lineRule="auto"/>
        <w:jc w:val="left"/>
        <w:rPr>
          <w:lang w:eastAsia="en-AU"/>
        </w:rPr>
      </w:pPr>
      <w:proofErr w:type="spellStart"/>
      <w:r w:rsidRPr="000C4977">
        <w:t>Telli</w:t>
      </w:r>
      <w:proofErr w:type="spellEnd"/>
      <w:r w:rsidRPr="000C4977">
        <w:t xml:space="preserve"> 2016 reported a GIS threshold based on the unweighted average of three independent DNA-based measures of genomic instability (LOH, TAI and LST) that reflect underlying tumour homologous recombination DNA repair deficiency. </w:t>
      </w:r>
      <w:proofErr w:type="spellStart"/>
      <w:r w:rsidRPr="000C4977">
        <w:rPr>
          <w:lang w:eastAsia="en-AU"/>
        </w:rPr>
        <w:t>Telli</w:t>
      </w:r>
      <w:proofErr w:type="spellEnd"/>
      <w:r w:rsidRPr="000C4977">
        <w:rPr>
          <w:lang w:eastAsia="en-AU"/>
        </w:rPr>
        <w:t xml:space="preserve"> 2016 used a training set assembled from four publicly available or previously published cohorts (497 breast and 561 ovarian cases) that included 78 breast and 190 ovarian cancers lacking a functional copy of either </w:t>
      </w:r>
      <w:r w:rsidRPr="000C4977">
        <w:rPr>
          <w:i/>
          <w:iCs/>
          <w:lang w:eastAsia="en-AU"/>
        </w:rPr>
        <w:t>BRCA1</w:t>
      </w:r>
      <w:r w:rsidRPr="000C4977">
        <w:rPr>
          <w:lang w:eastAsia="en-AU"/>
        </w:rPr>
        <w:t xml:space="preserve"> or </w:t>
      </w:r>
      <w:r w:rsidRPr="000C4977">
        <w:rPr>
          <w:i/>
          <w:iCs/>
          <w:lang w:eastAsia="en-AU"/>
        </w:rPr>
        <w:t>BRCA2</w:t>
      </w:r>
      <w:r w:rsidRPr="000C4977">
        <w:rPr>
          <w:lang w:eastAsia="en-AU"/>
        </w:rPr>
        <w:t xml:space="preserve"> (</w:t>
      </w:r>
      <w:bookmarkStart w:id="35" w:name="_Int_BltGxoN6"/>
      <w:proofErr w:type="gramStart"/>
      <w:r w:rsidRPr="000C4977">
        <w:rPr>
          <w:lang w:eastAsia="en-AU"/>
        </w:rPr>
        <w:t>i.e.</w:t>
      </w:r>
      <w:bookmarkEnd w:id="35"/>
      <w:proofErr w:type="gramEnd"/>
      <w:r w:rsidRPr="000C4977">
        <w:rPr>
          <w:lang w:eastAsia="en-AU"/>
        </w:rPr>
        <w:t xml:space="preserve"> </w:t>
      </w:r>
      <w:r w:rsidRPr="000C4977">
        <w:rPr>
          <w:i/>
          <w:iCs/>
          <w:lang w:eastAsia="en-AU"/>
        </w:rPr>
        <w:t>BRCA1/2</w:t>
      </w:r>
      <w:r w:rsidRPr="000C4977">
        <w:rPr>
          <w:lang w:eastAsia="en-AU"/>
        </w:rPr>
        <w:t xml:space="preserve"> deficient, </w:t>
      </w:r>
      <w:proofErr w:type="spellStart"/>
      <w:r w:rsidRPr="000C4977">
        <w:rPr>
          <w:i/>
          <w:iCs/>
          <w:lang w:eastAsia="en-AU"/>
        </w:rPr>
        <w:t>BRCA</w:t>
      </w:r>
      <w:r w:rsidRPr="000C4977">
        <w:rPr>
          <w:lang w:eastAsia="en-AU"/>
        </w:rPr>
        <w:t>m</w:t>
      </w:r>
      <w:proofErr w:type="spellEnd"/>
      <w:r w:rsidRPr="000C4977">
        <w:rPr>
          <w:lang w:eastAsia="en-AU"/>
        </w:rPr>
        <w:t>).</w:t>
      </w:r>
    </w:p>
    <w:p w14:paraId="47AB64BA" w14:textId="77777777" w:rsidR="000C4977" w:rsidRPr="000C4977" w:rsidRDefault="000C4977" w:rsidP="000C4977">
      <w:pPr>
        <w:spacing w:line="259" w:lineRule="auto"/>
        <w:jc w:val="left"/>
        <w:rPr>
          <w:lang w:eastAsia="en-AU"/>
        </w:rPr>
      </w:pPr>
      <w:r w:rsidRPr="000C4977">
        <w:rPr>
          <w:lang w:eastAsia="en-AU"/>
        </w:rPr>
        <w:t>The GIS threshold of 42 was selected to demonstrate a high sensitivity (</w:t>
      </w:r>
      <w:r w:rsidRPr="000C4977">
        <w:rPr>
          <w:rFonts w:cstheme="minorHAnsi"/>
          <w:lang w:eastAsia="en-AU"/>
        </w:rPr>
        <w:t>≥</w:t>
      </w:r>
      <w:r w:rsidRPr="000C4977">
        <w:rPr>
          <w:lang w:eastAsia="en-AU"/>
        </w:rPr>
        <w:t xml:space="preserve">95%) for detecting </w:t>
      </w:r>
      <w:r w:rsidRPr="000C4977">
        <w:rPr>
          <w:i/>
          <w:iCs/>
          <w:lang w:eastAsia="en-AU"/>
        </w:rPr>
        <w:t xml:space="preserve">BRCA </w:t>
      </w:r>
      <w:r w:rsidRPr="000C4977">
        <w:rPr>
          <w:lang w:eastAsia="en-AU"/>
        </w:rPr>
        <w:t xml:space="preserve">positivity. To obtain a sensitivity of at least 95%, the threshold was set at the fifth percentile of the GIS in this training set of known </w:t>
      </w:r>
      <w:r w:rsidRPr="000C4977">
        <w:rPr>
          <w:i/>
          <w:iCs/>
          <w:lang w:eastAsia="en-AU"/>
        </w:rPr>
        <w:t>BRCA1/2</w:t>
      </w:r>
      <w:r w:rsidRPr="000C4977">
        <w:rPr>
          <w:lang w:eastAsia="en-AU"/>
        </w:rPr>
        <w:t xml:space="preserve">-deficient tumours. (The fifth percentile was 41.9 for </w:t>
      </w:r>
      <w:r w:rsidRPr="000C4977">
        <w:rPr>
          <w:i/>
          <w:iCs/>
          <w:lang w:eastAsia="en-AU"/>
        </w:rPr>
        <w:t>BRCA1/2</w:t>
      </w:r>
      <w:r w:rsidRPr="000C4977">
        <w:rPr>
          <w:lang w:eastAsia="en-AU"/>
        </w:rPr>
        <w:t xml:space="preserve">-deficient breast tumours and 42.9 for </w:t>
      </w:r>
      <w:r w:rsidRPr="000C4977">
        <w:rPr>
          <w:i/>
          <w:iCs/>
          <w:lang w:eastAsia="en-AU"/>
        </w:rPr>
        <w:t>BRCA1/2</w:t>
      </w:r>
      <w:r w:rsidRPr="000C4977">
        <w:rPr>
          <w:lang w:eastAsia="en-AU"/>
        </w:rPr>
        <w:t xml:space="preserve">-deficient </w:t>
      </w:r>
      <w:r w:rsidRPr="000C4977">
        <w:rPr>
          <w:lang w:eastAsia="en-AU"/>
        </w:rPr>
        <w:lastRenderedPageBreak/>
        <w:t xml:space="preserve">ovarian tumours). That is, 95% of patients with </w:t>
      </w:r>
      <w:proofErr w:type="spellStart"/>
      <w:r w:rsidRPr="000C4977">
        <w:rPr>
          <w:i/>
          <w:iCs/>
          <w:lang w:eastAsia="en-AU"/>
        </w:rPr>
        <w:t>BRCA</w:t>
      </w:r>
      <w:r w:rsidRPr="000C4977">
        <w:rPr>
          <w:lang w:eastAsia="en-AU"/>
        </w:rPr>
        <w:t>m</w:t>
      </w:r>
      <w:proofErr w:type="spellEnd"/>
      <w:r w:rsidRPr="000C4977">
        <w:rPr>
          <w:lang w:eastAsia="en-AU"/>
        </w:rPr>
        <w:t xml:space="preserve"> had a GIS score of </w:t>
      </w:r>
      <w:r w:rsidRPr="000C4977">
        <w:rPr>
          <w:rFonts w:cstheme="minorHAnsi"/>
          <w:lang w:eastAsia="en-AU"/>
        </w:rPr>
        <w:t>≥</w:t>
      </w:r>
      <w:r w:rsidRPr="000C4977">
        <w:rPr>
          <w:lang w:eastAsia="en-AU"/>
        </w:rPr>
        <w:t xml:space="preserve">42 in the sample tested in </w:t>
      </w:r>
      <w:proofErr w:type="spellStart"/>
      <w:r w:rsidRPr="000C4977">
        <w:rPr>
          <w:lang w:eastAsia="en-AU"/>
        </w:rPr>
        <w:t>Telli</w:t>
      </w:r>
      <w:proofErr w:type="spellEnd"/>
      <w:r w:rsidRPr="000C4977">
        <w:rPr>
          <w:lang w:eastAsia="en-AU"/>
        </w:rPr>
        <w:t xml:space="preserve"> 2016.</w:t>
      </w:r>
    </w:p>
    <w:p w14:paraId="15441A9A" w14:textId="3D17392A" w:rsidR="000C4977" w:rsidRPr="00CD3001" w:rsidRDefault="005A51AE" w:rsidP="000C4977">
      <w:pPr>
        <w:spacing w:line="259" w:lineRule="auto"/>
        <w:jc w:val="left"/>
        <w:rPr>
          <w:rFonts w:eastAsia="Times New Roman"/>
          <w:color w:val="212121"/>
          <w:lang w:eastAsia="en-AU"/>
        </w:rPr>
      </w:pPr>
      <w:r w:rsidRPr="65106A7D">
        <w:rPr>
          <w:rFonts w:eastAsia="Times New Roman"/>
          <w:color w:val="212121"/>
          <w:lang w:eastAsia="en-AU"/>
        </w:rPr>
        <w:fldChar w:fldCharType="begin"/>
      </w:r>
      <w:r w:rsidRPr="65106A7D">
        <w:rPr>
          <w:rFonts w:eastAsia="Times New Roman"/>
          <w:color w:val="212121"/>
          <w:lang w:eastAsia="en-AU"/>
        </w:rPr>
        <w:instrText xml:space="preserve"> REF _Ref111813365 \h </w:instrText>
      </w:r>
      <w:r w:rsidRPr="65106A7D">
        <w:rPr>
          <w:rFonts w:eastAsia="Times New Roman"/>
          <w:color w:val="212121"/>
          <w:lang w:eastAsia="en-AU"/>
        </w:rPr>
      </w:r>
      <w:r w:rsidRPr="65106A7D">
        <w:rPr>
          <w:rFonts w:eastAsia="Times New Roman"/>
          <w:color w:val="212121"/>
          <w:lang w:eastAsia="en-AU"/>
        </w:rPr>
        <w:fldChar w:fldCharType="separate"/>
      </w:r>
      <w:r w:rsidR="00D8603B">
        <w:t xml:space="preserve">Figure </w:t>
      </w:r>
      <w:r w:rsidR="00D8603B">
        <w:rPr>
          <w:noProof/>
        </w:rPr>
        <w:t>3</w:t>
      </w:r>
      <w:r w:rsidRPr="65106A7D">
        <w:rPr>
          <w:rFonts w:eastAsia="Times New Roman"/>
          <w:color w:val="212121"/>
          <w:lang w:eastAsia="en-AU"/>
        </w:rPr>
        <w:fldChar w:fldCharType="end"/>
      </w:r>
      <w:r w:rsidRPr="65106A7D">
        <w:rPr>
          <w:rFonts w:eastAsia="Times New Roman"/>
          <w:color w:val="212121"/>
          <w:lang w:eastAsia="en-AU"/>
        </w:rPr>
        <w:t xml:space="preserve"> </w:t>
      </w:r>
      <w:r w:rsidR="000C4977" w:rsidRPr="65106A7D">
        <w:rPr>
          <w:rFonts w:eastAsia="Times New Roman"/>
          <w:color w:val="212121"/>
          <w:lang w:eastAsia="en-AU"/>
        </w:rPr>
        <w:t xml:space="preserve">presents the GIS score distribution in the combined breast and ovarian training set from </w:t>
      </w:r>
      <w:proofErr w:type="spellStart"/>
      <w:r w:rsidR="000C4977" w:rsidRPr="65106A7D">
        <w:rPr>
          <w:rFonts w:eastAsia="Times New Roman"/>
          <w:color w:val="212121"/>
          <w:lang w:eastAsia="en-AU"/>
        </w:rPr>
        <w:t>Telli</w:t>
      </w:r>
      <w:proofErr w:type="spellEnd"/>
      <w:r w:rsidR="000C4977" w:rsidRPr="65106A7D">
        <w:rPr>
          <w:rFonts w:eastAsia="Times New Roman"/>
          <w:color w:val="212121"/>
          <w:lang w:eastAsia="en-AU"/>
        </w:rPr>
        <w:t xml:space="preserve"> 2016. While both the distribution for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m</w:t>
      </w:r>
      <w:proofErr w:type="spellEnd"/>
      <w:r w:rsidR="000C4977" w:rsidRPr="65106A7D">
        <w:rPr>
          <w:rFonts w:eastAsia="Times New Roman"/>
          <w:color w:val="212121"/>
          <w:lang w:eastAsia="en-AU"/>
        </w:rPr>
        <w:t xml:space="preserve"> and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wt</w:t>
      </w:r>
      <w:proofErr w:type="spellEnd"/>
      <w:r w:rsidR="000C4977" w:rsidRPr="65106A7D">
        <w:rPr>
          <w:rFonts w:eastAsia="Times New Roman"/>
          <w:color w:val="212121"/>
          <w:lang w:eastAsia="en-AU"/>
        </w:rPr>
        <w:t xml:space="preserve"> samples was presented, only the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m</w:t>
      </w:r>
      <w:proofErr w:type="spellEnd"/>
      <w:r w:rsidR="000C4977" w:rsidRPr="65106A7D">
        <w:rPr>
          <w:rFonts w:eastAsia="Times New Roman"/>
          <w:color w:val="212121"/>
          <w:lang w:eastAsia="en-AU"/>
        </w:rPr>
        <w:t xml:space="preserve"> sample distribution was used to determine the threshold of 42. As shown below the distribution for </w:t>
      </w:r>
      <w:r w:rsidR="000C4977" w:rsidRPr="65106A7D">
        <w:rPr>
          <w:rFonts w:eastAsia="Times New Roman"/>
          <w:i/>
          <w:color w:val="212121"/>
          <w:lang w:eastAsia="en-AU"/>
        </w:rPr>
        <w:t>BRCA</w:t>
      </w:r>
      <w:r w:rsidR="000C4977" w:rsidRPr="65106A7D">
        <w:rPr>
          <w:rFonts w:eastAsia="Times New Roman"/>
          <w:color w:val="212121"/>
          <w:lang w:eastAsia="en-AU"/>
        </w:rPr>
        <w:t xml:space="preserve"> intact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wt</w:t>
      </w:r>
      <w:proofErr w:type="spellEnd"/>
      <w:r w:rsidR="000C4977" w:rsidRPr="65106A7D">
        <w:rPr>
          <w:rFonts w:eastAsia="Times New Roman"/>
          <w:color w:val="212121"/>
          <w:lang w:eastAsia="en-AU"/>
        </w:rPr>
        <w:t xml:space="preserve">) samples (shown in red) varied considerably to the distribution for </w:t>
      </w:r>
      <w:r w:rsidR="000C4977" w:rsidRPr="65106A7D">
        <w:rPr>
          <w:rFonts w:eastAsia="Times New Roman"/>
          <w:i/>
          <w:color w:val="212121"/>
          <w:lang w:eastAsia="en-AU"/>
        </w:rPr>
        <w:t>BRCA</w:t>
      </w:r>
      <w:r w:rsidR="000C4977" w:rsidRPr="65106A7D">
        <w:rPr>
          <w:rFonts w:eastAsia="Times New Roman"/>
          <w:color w:val="212121"/>
          <w:lang w:eastAsia="en-AU"/>
        </w:rPr>
        <w:t xml:space="preserve"> deficient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m</w:t>
      </w:r>
      <w:proofErr w:type="spellEnd"/>
      <w:r w:rsidR="000C4977" w:rsidRPr="65106A7D">
        <w:rPr>
          <w:rFonts w:eastAsia="Times New Roman"/>
          <w:color w:val="212121"/>
          <w:lang w:eastAsia="en-AU"/>
        </w:rPr>
        <w:t>) samples (shown in blue). P</w:t>
      </w:r>
      <w:r w:rsidR="000C4977" w:rsidRPr="00F831A3">
        <w:rPr>
          <w:lang w:eastAsia="en-AU"/>
        </w:rPr>
        <w:t xml:space="preserve">atients who are </w:t>
      </w:r>
      <w:proofErr w:type="spellStart"/>
      <w:r w:rsidR="000C4977" w:rsidRPr="00F831A3">
        <w:rPr>
          <w:i/>
          <w:iCs/>
          <w:lang w:eastAsia="en-AU"/>
        </w:rPr>
        <w:t>BRCA</w:t>
      </w:r>
      <w:r w:rsidR="000C4977" w:rsidRPr="00F831A3">
        <w:rPr>
          <w:lang w:eastAsia="en-AU"/>
        </w:rPr>
        <w:t>wt</w:t>
      </w:r>
      <w:proofErr w:type="spellEnd"/>
      <w:r w:rsidR="000C4977" w:rsidRPr="00F831A3">
        <w:rPr>
          <w:lang w:eastAsia="en-AU"/>
        </w:rPr>
        <w:t xml:space="preserve"> (n=790) reported a 5th percentile score of 2 and a median score of 22. </w:t>
      </w:r>
      <w:r w:rsidR="000C4977" w:rsidRPr="65106A7D">
        <w:rPr>
          <w:rFonts w:eastAsia="Times New Roman"/>
          <w:color w:val="212121"/>
          <w:lang w:eastAsia="en-AU"/>
        </w:rPr>
        <w:t xml:space="preserve">The commentary considered the GIS threshold of 42 does not appear to be particularly meaningful to patients with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wt</w:t>
      </w:r>
      <w:proofErr w:type="spellEnd"/>
      <w:r w:rsidR="000C4977" w:rsidRPr="65106A7D">
        <w:rPr>
          <w:rFonts w:eastAsia="Times New Roman"/>
          <w:color w:val="212121"/>
          <w:lang w:eastAsia="en-AU"/>
        </w:rPr>
        <w:t xml:space="preserve"> tumours, </w:t>
      </w:r>
      <w:bookmarkStart w:id="36" w:name="_Int_HNpbnSzx"/>
      <w:proofErr w:type="gramStart"/>
      <w:r w:rsidR="000C4977" w:rsidRPr="65106A7D">
        <w:rPr>
          <w:rFonts w:eastAsia="Times New Roman"/>
          <w:color w:val="212121"/>
          <w:lang w:eastAsia="en-AU"/>
        </w:rPr>
        <w:t>i.e.</w:t>
      </w:r>
      <w:bookmarkEnd w:id="36"/>
      <w:proofErr w:type="gramEnd"/>
      <w:r w:rsidR="000C4977" w:rsidRPr="65106A7D">
        <w:rPr>
          <w:rFonts w:eastAsia="Times New Roman"/>
          <w:color w:val="212121"/>
          <w:lang w:eastAsia="en-AU"/>
        </w:rPr>
        <w:t xml:space="preserve"> the requested patient population. It appears to represent around the 85</w:t>
      </w:r>
      <w:r w:rsidR="000C4977" w:rsidRPr="65106A7D">
        <w:rPr>
          <w:rFonts w:eastAsia="Times New Roman"/>
          <w:color w:val="212121"/>
          <w:vertAlign w:val="superscript"/>
          <w:lang w:eastAsia="en-AU"/>
        </w:rPr>
        <w:t>th</w:t>
      </w:r>
      <w:r w:rsidR="000C4977" w:rsidRPr="65106A7D">
        <w:rPr>
          <w:rFonts w:eastAsia="Times New Roman"/>
          <w:color w:val="212121"/>
          <w:lang w:eastAsia="en-AU"/>
        </w:rPr>
        <w:t xml:space="preserve"> percentile for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wt</w:t>
      </w:r>
      <w:proofErr w:type="spellEnd"/>
      <w:r w:rsidR="000C4977" w:rsidRPr="65106A7D">
        <w:rPr>
          <w:rFonts w:eastAsia="Times New Roman"/>
          <w:color w:val="212121"/>
          <w:lang w:eastAsia="en-AU"/>
        </w:rPr>
        <w:t xml:space="preserve"> samples in </w:t>
      </w:r>
      <w:proofErr w:type="spellStart"/>
      <w:r w:rsidR="000C4977" w:rsidRPr="65106A7D">
        <w:rPr>
          <w:rFonts w:eastAsia="Times New Roman"/>
          <w:color w:val="212121"/>
          <w:lang w:eastAsia="en-AU"/>
        </w:rPr>
        <w:t>Telli</w:t>
      </w:r>
      <w:proofErr w:type="spellEnd"/>
      <w:r w:rsidR="000C4977" w:rsidRPr="65106A7D">
        <w:rPr>
          <w:rFonts w:eastAsia="Times New Roman"/>
          <w:color w:val="212121"/>
          <w:lang w:eastAsia="en-AU"/>
        </w:rPr>
        <w:t xml:space="preserve"> 2016. The submission (p85) stated that it was assumed that the loss of </w:t>
      </w:r>
      <w:r w:rsidR="000C4977" w:rsidRPr="65106A7D">
        <w:rPr>
          <w:rFonts w:eastAsia="Times New Roman"/>
          <w:i/>
          <w:color w:val="212121"/>
          <w:lang w:eastAsia="en-AU"/>
        </w:rPr>
        <w:t>BRCA</w:t>
      </w:r>
      <w:r w:rsidR="000C4977" w:rsidRPr="65106A7D">
        <w:rPr>
          <w:rFonts w:eastAsia="Times New Roman"/>
          <w:color w:val="212121"/>
          <w:lang w:eastAsia="en-AU"/>
        </w:rPr>
        <w:t xml:space="preserve"> function results in HRD, and that the distribution of HRD scores in </w:t>
      </w:r>
      <w:proofErr w:type="spellStart"/>
      <w:r w:rsidR="000C4977" w:rsidRPr="65106A7D">
        <w:rPr>
          <w:rFonts w:eastAsia="Times New Roman"/>
          <w:i/>
          <w:color w:val="212121"/>
          <w:lang w:eastAsia="en-AU"/>
        </w:rPr>
        <w:t>BRCA</w:t>
      </w:r>
      <w:r w:rsidR="000C4977" w:rsidRPr="65106A7D">
        <w:rPr>
          <w:rFonts w:eastAsia="Times New Roman"/>
          <w:color w:val="212121"/>
          <w:lang w:eastAsia="en-AU"/>
        </w:rPr>
        <w:t>m</w:t>
      </w:r>
      <w:proofErr w:type="spellEnd"/>
      <w:r w:rsidR="000C4977" w:rsidRPr="65106A7D">
        <w:rPr>
          <w:rFonts w:eastAsia="Times New Roman"/>
          <w:color w:val="212121"/>
          <w:lang w:eastAsia="en-AU"/>
        </w:rPr>
        <w:t xml:space="preserve"> samples would represent the distribution of scores in HRD samples due to any underlying pathogenic mechanism.</w:t>
      </w:r>
    </w:p>
    <w:p w14:paraId="77847DED" w14:textId="59C7DB2C" w:rsidR="005A51AE" w:rsidRPr="005A51AE" w:rsidRDefault="005A51AE" w:rsidP="005A51AE">
      <w:pPr>
        <w:pStyle w:val="Caption"/>
        <w:jc w:val="both"/>
        <w:rPr>
          <w:bCs/>
        </w:rPr>
      </w:pPr>
      <w:bookmarkStart w:id="37" w:name="_Ref111813365"/>
      <w:r>
        <w:t xml:space="preserve">Figure </w:t>
      </w:r>
      <w:fldSimple w:instr=" SEQ Figure \* ARABIC ">
        <w:r w:rsidR="00D8603B">
          <w:rPr>
            <w:noProof/>
          </w:rPr>
          <w:t>3</w:t>
        </w:r>
      </w:fldSimple>
      <w:bookmarkEnd w:id="37"/>
      <w:r w:rsidRPr="000C4977">
        <w:rPr>
          <w:b w:val="0"/>
          <w:iCs w:val="0"/>
        </w:rPr>
        <w:tab/>
      </w:r>
      <w:r w:rsidRPr="005A51AE">
        <w:rPr>
          <w:bCs/>
          <w:iCs w:val="0"/>
        </w:rPr>
        <w:t xml:space="preserve">HRD score distribution in the combined breast and ovarian training set. </w:t>
      </w:r>
      <w:r w:rsidRPr="005A51AE">
        <w:rPr>
          <w:bCs/>
          <w:i/>
          <w:iCs w:val="0"/>
        </w:rPr>
        <w:t>BRCA</w:t>
      </w:r>
      <w:r w:rsidRPr="005A51AE">
        <w:rPr>
          <w:bCs/>
          <w:iCs w:val="0"/>
        </w:rPr>
        <w:t xml:space="preserve">-deficient tumours include those with a </w:t>
      </w:r>
      <w:r w:rsidRPr="005A51AE">
        <w:rPr>
          <w:bCs/>
          <w:i/>
          <w:iCs w:val="0"/>
        </w:rPr>
        <w:t>BRCA1/2</w:t>
      </w:r>
      <w:r w:rsidRPr="005A51AE">
        <w:rPr>
          <w:bCs/>
          <w:iCs w:val="0"/>
        </w:rPr>
        <w:t xml:space="preserve"> mutation and/or </w:t>
      </w:r>
      <w:r w:rsidRPr="005A51AE">
        <w:rPr>
          <w:bCs/>
          <w:i/>
          <w:iCs w:val="0"/>
        </w:rPr>
        <w:t>BRCA1</w:t>
      </w:r>
      <w:r w:rsidRPr="005A51AE">
        <w:rPr>
          <w:bCs/>
          <w:iCs w:val="0"/>
        </w:rPr>
        <w:t xml:space="preserve"> methylation</w:t>
      </w:r>
    </w:p>
    <w:p w14:paraId="28FDAA6A" w14:textId="77777777" w:rsidR="000C4977" w:rsidRPr="000C4977" w:rsidRDefault="000C4977" w:rsidP="000C4977">
      <w:r w:rsidRPr="000C4977">
        <w:rPr>
          <w:noProof/>
          <w:lang w:eastAsia="en-AU"/>
        </w:rPr>
        <w:drawing>
          <wp:inline distT="0" distB="0" distL="0" distR="0" wp14:anchorId="38975C28" wp14:editId="21B73610">
            <wp:extent cx="4649470" cy="3002280"/>
            <wp:effectExtent l="0" t="0" r="0" b="7620"/>
            <wp:docPr id="63" name="Picture 63" descr="Figure 3: HRD score distribution in the combined breast and ovarian training set. BRCA-deficient tumours include those with a BRCA1/2 mutation and/or BRCA1 methy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gure 3: HRD score distribution in the combined breast and ovarian training set. BRCA-deficient tumours include those with a BRCA1/2 mutation and/or BRCA1 methyl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9470" cy="3002280"/>
                    </a:xfrm>
                    <a:prstGeom prst="rect">
                      <a:avLst/>
                    </a:prstGeom>
                    <a:noFill/>
                    <a:ln>
                      <a:noFill/>
                    </a:ln>
                  </pic:spPr>
                </pic:pic>
              </a:graphicData>
            </a:graphic>
          </wp:inline>
        </w:drawing>
      </w:r>
    </w:p>
    <w:p w14:paraId="267F713C"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 breast cancer gene; HRD = homologous recombination deficiency</w:t>
      </w:r>
    </w:p>
    <w:p w14:paraId="0227E4A4"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Notes: </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-deficient tumours include those with a </w:t>
      </w:r>
      <w:r w:rsidRPr="000C4977">
        <w:rPr>
          <w:rFonts w:ascii="Arial Narrow" w:eastAsia="Times New Roman" w:hAnsi="Arial Narrow" w:cs="Arial"/>
          <w:i/>
          <w:iCs/>
          <w:snapToGrid w:val="0"/>
          <w:sz w:val="18"/>
          <w:szCs w:val="20"/>
        </w:rPr>
        <w:t>BRCA1/2</w:t>
      </w:r>
      <w:r w:rsidRPr="000C4977">
        <w:rPr>
          <w:rFonts w:ascii="Arial Narrow" w:eastAsia="Times New Roman" w:hAnsi="Arial Narrow" w:cs="Arial"/>
          <w:snapToGrid w:val="0"/>
          <w:sz w:val="18"/>
          <w:szCs w:val="20"/>
        </w:rPr>
        <w:t xml:space="preserve"> mutation and/or </w:t>
      </w:r>
      <w:r w:rsidRPr="000C4977">
        <w:rPr>
          <w:rFonts w:ascii="Arial Narrow" w:eastAsia="Times New Roman" w:hAnsi="Arial Narrow" w:cs="Arial"/>
          <w:i/>
          <w:iCs/>
          <w:snapToGrid w:val="0"/>
          <w:sz w:val="18"/>
          <w:szCs w:val="20"/>
        </w:rPr>
        <w:t>BRCA1</w:t>
      </w:r>
      <w:r w:rsidRPr="000C4977">
        <w:rPr>
          <w:rFonts w:ascii="Arial Narrow" w:eastAsia="Times New Roman" w:hAnsi="Arial Narrow" w:cs="Arial"/>
          <w:snapToGrid w:val="0"/>
          <w:sz w:val="18"/>
          <w:szCs w:val="20"/>
        </w:rPr>
        <w:t xml:space="preserve"> methylation</w:t>
      </w:r>
    </w:p>
    <w:p w14:paraId="4F7B12E3"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Figure 2.7, p85 of the submission</w:t>
      </w:r>
    </w:p>
    <w:p w14:paraId="3F9067DB" w14:textId="02BBB92D" w:rsidR="000C4977" w:rsidRPr="000C4977" w:rsidRDefault="000C4977" w:rsidP="000C4977">
      <w:pPr>
        <w:spacing w:line="259" w:lineRule="auto"/>
        <w:jc w:val="left"/>
      </w:pPr>
      <w:r w:rsidRPr="000C4977">
        <w:rPr>
          <w:lang w:eastAsia="en-AU"/>
        </w:rPr>
        <w:t xml:space="preserve">Consistent with the definition of the HRD score threshold defined by </w:t>
      </w:r>
      <w:proofErr w:type="spellStart"/>
      <w:r w:rsidRPr="000C4977">
        <w:rPr>
          <w:lang w:eastAsia="en-AU"/>
        </w:rPr>
        <w:t>Telli</w:t>
      </w:r>
      <w:proofErr w:type="spellEnd"/>
      <w:r w:rsidRPr="000C4977">
        <w:rPr>
          <w:lang w:eastAsia="en-AU"/>
        </w:rPr>
        <w:t xml:space="preserve"> 2016 and as is evident from the PAOLA-1 data shown in </w:t>
      </w:r>
      <w:r w:rsidR="00595284">
        <w:rPr>
          <w:lang w:eastAsia="en-AU"/>
        </w:rPr>
        <w:fldChar w:fldCharType="begin"/>
      </w:r>
      <w:r w:rsidR="00595284">
        <w:rPr>
          <w:lang w:eastAsia="en-AU"/>
        </w:rPr>
        <w:instrText xml:space="preserve"> REF _Ref111813433 \h </w:instrText>
      </w:r>
      <w:r w:rsidR="00595284">
        <w:rPr>
          <w:lang w:eastAsia="en-AU"/>
        </w:rPr>
      </w:r>
      <w:r w:rsidR="00595284">
        <w:rPr>
          <w:lang w:eastAsia="en-AU"/>
        </w:rPr>
        <w:fldChar w:fldCharType="separate"/>
      </w:r>
      <w:r w:rsidR="00D8603B">
        <w:t xml:space="preserve">Table </w:t>
      </w:r>
      <w:r w:rsidR="00D8603B">
        <w:rPr>
          <w:noProof/>
        </w:rPr>
        <w:t>10</w:t>
      </w:r>
      <w:r w:rsidR="00595284">
        <w:rPr>
          <w:lang w:eastAsia="en-AU"/>
        </w:rPr>
        <w:fldChar w:fldCharType="end"/>
      </w:r>
      <w:r w:rsidRPr="000C4977">
        <w:rPr>
          <w:lang w:eastAsia="en-AU"/>
        </w:rPr>
        <w:t xml:space="preserve">, most but not all patients with a </w:t>
      </w:r>
      <w:r w:rsidRPr="000C4977">
        <w:rPr>
          <w:i/>
          <w:iCs/>
          <w:lang w:eastAsia="en-AU"/>
        </w:rPr>
        <w:t>BRCA</w:t>
      </w:r>
      <w:r w:rsidRPr="000C4977">
        <w:rPr>
          <w:lang w:eastAsia="en-AU"/>
        </w:rPr>
        <w:t xml:space="preserve"> pathogenic variant had an GIS of </w:t>
      </w:r>
      <w:r w:rsidRPr="000C4977">
        <w:rPr>
          <w:rFonts w:cs="Calibri"/>
          <w:lang w:eastAsia="en-AU"/>
        </w:rPr>
        <w:t>≥</w:t>
      </w:r>
      <w:r w:rsidRPr="000C4977">
        <w:rPr>
          <w:lang w:eastAsia="en-AU"/>
        </w:rPr>
        <w:t xml:space="preserve">42. Similarly, not all patients with a </w:t>
      </w:r>
      <w:r w:rsidRPr="000C4977">
        <w:rPr>
          <w:i/>
          <w:iCs/>
          <w:lang w:eastAsia="en-AU"/>
        </w:rPr>
        <w:t xml:space="preserve">BRCA </w:t>
      </w:r>
      <w:r w:rsidRPr="000C4977">
        <w:rPr>
          <w:lang w:eastAsia="en-AU"/>
        </w:rPr>
        <w:t xml:space="preserve">pathogenic variant in the PAOLA-1 trial had a GIS of </w:t>
      </w:r>
      <w:r w:rsidRPr="000C4977">
        <w:rPr>
          <w:rFonts w:cs="Calibri"/>
          <w:lang w:eastAsia="en-AU"/>
        </w:rPr>
        <w:t>≥</w:t>
      </w:r>
      <w:r w:rsidRPr="000C4977">
        <w:rPr>
          <w:lang w:eastAsia="en-AU"/>
        </w:rPr>
        <w:t>42.</w:t>
      </w:r>
    </w:p>
    <w:p w14:paraId="02315C34" w14:textId="5480E90D" w:rsidR="005A51AE" w:rsidRDefault="005A51AE" w:rsidP="005A51AE">
      <w:pPr>
        <w:pStyle w:val="Caption"/>
      </w:pPr>
      <w:bookmarkStart w:id="38" w:name="_Ref111813433"/>
      <w:r>
        <w:lastRenderedPageBreak/>
        <w:t xml:space="preserve">Table </w:t>
      </w:r>
      <w:fldSimple w:instr=" SEQ Table \* ARABIC ">
        <w:r w:rsidR="00D8603B">
          <w:rPr>
            <w:noProof/>
          </w:rPr>
          <w:t>10</w:t>
        </w:r>
      </w:fldSimple>
      <w:bookmarkEnd w:id="38"/>
      <w:r w:rsidR="00FD7777">
        <w:rPr>
          <w:noProof/>
        </w:rPr>
        <w:tab/>
      </w:r>
      <w:r w:rsidRPr="005A51AE">
        <w:rPr>
          <w:bCs/>
          <w:iCs w:val="0"/>
        </w:rPr>
        <w:t xml:space="preserve">Number of patients who were HRD positive (score ≥42) compared with HRD negative (score &lt;42) with respect to </w:t>
      </w:r>
      <w:r w:rsidRPr="005A51AE">
        <w:rPr>
          <w:bCs/>
          <w:i/>
          <w:iCs w:val="0"/>
        </w:rPr>
        <w:t>BRCA</w:t>
      </w:r>
      <w:r w:rsidRPr="005A51AE">
        <w:rPr>
          <w:bCs/>
          <w:iCs w:val="0"/>
        </w:rPr>
        <w:t xml:space="preserve"> pathogenic variant in the treatment arms of PAOLA-1</w:t>
      </w:r>
    </w:p>
    <w:tbl>
      <w:tblPr>
        <w:tblStyle w:val="PBAC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5812"/>
        <w:gridCol w:w="1276"/>
        <w:gridCol w:w="1366"/>
      </w:tblGrid>
      <w:tr w:rsidR="000C4977" w:rsidRPr="000C4977" w14:paraId="54E19420" w14:textId="77777777" w:rsidTr="00A9128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360512" w14:textId="77777777" w:rsidR="000C4977" w:rsidRPr="000C4977" w:rsidRDefault="000C4977" w:rsidP="00CD3001">
            <w:pPr>
              <w:pStyle w:val="Tabletext0"/>
              <w:keepNext/>
              <w:rPr>
                <w:rFonts w:eastAsiaTheme="minorHAnsi"/>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06D5058" w14:textId="77777777" w:rsidR="000C4977" w:rsidRPr="000C4977" w:rsidRDefault="000C4977" w:rsidP="00CD3001">
            <w:pPr>
              <w:pStyle w:val="Tabletext0"/>
              <w:keepNext/>
              <w:cnfStyle w:val="100000000000" w:firstRow="1" w:lastRow="0" w:firstColumn="0" w:lastColumn="0" w:oddVBand="0" w:evenVBand="0" w:oddHBand="0" w:evenHBand="0" w:firstRowFirstColumn="0" w:firstRowLastColumn="0" w:lastRowFirstColumn="0" w:lastRowLastColumn="0"/>
              <w:rPr>
                <w:rFonts w:eastAsiaTheme="minorHAnsi"/>
                <w:bCs/>
              </w:rPr>
            </w:pPr>
            <w:r w:rsidRPr="000C4977">
              <w:rPr>
                <w:rFonts w:eastAsiaTheme="minorHAnsi"/>
                <w:bCs/>
              </w:rPr>
              <w:t>Patient subgroup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FFA69" w14:textId="0276F29A" w:rsidR="000C4977" w:rsidRPr="000C4977" w:rsidRDefault="000C4977" w:rsidP="00D9058D">
            <w:pPr>
              <w:pStyle w:val="Tabletext0"/>
              <w:keepNext/>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lang w:eastAsia="en-US"/>
              </w:rPr>
            </w:pPr>
            <w:r w:rsidRPr="000C4977">
              <w:rPr>
                <w:rFonts w:eastAsiaTheme="majorEastAsia" w:cstheme="majorBidi"/>
                <w:bCs/>
                <w:lang w:eastAsia="en-US"/>
              </w:rPr>
              <w:t>Ola + Bev</w:t>
            </w:r>
          </w:p>
          <w:p w14:paraId="3626820F" w14:textId="77777777" w:rsidR="000C4977" w:rsidRPr="000C4977" w:rsidRDefault="000C4977" w:rsidP="00D9058D">
            <w:pPr>
              <w:pStyle w:val="Tabletext0"/>
              <w:keepNex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0C4977">
              <w:rPr>
                <w:rFonts w:eastAsiaTheme="majorEastAsia" w:cstheme="majorBidi"/>
                <w:bCs/>
                <w:lang w:eastAsia="en-US"/>
              </w:rPr>
              <w:t>N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5349" w14:textId="2845B997" w:rsidR="000C4977" w:rsidRPr="000C4977" w:rsidRDefault="000C4977" w:rsidP="00D9058D">
            <w:pPr>
              <w:pStyle w:val="Tabletext0"/>
              <w:keepNext/>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lang w:eastAsia="en-US"/>
              </w:rPr>
            </w:pPr>
            <w:r w:rsidRPr="000C4977">
              <w:rPr>
                <w:rFonts w:eastAsiaTheme="majorEastAsia" w:cstheme="majorBidi"/>
                <w:bCs/>
                <w:lang w:eastAsia="en-US"/>
              </w:rPr>
              <w:t xml:space="preserve">Bev + </w:t>
            </w:r>
            <w:proofErr w:type="spellStart"/>
            <w:r w:rsidRPr="000C4977">
              <w:rPr>
                <w:rFonts w:eastAsiaTheme="majorEastAsia" w:cstheme="majorBidi"/>
                <w:bCs/>
                <w:lang w:eastAsia="en-US"/>
              </w:rPr>
              <w:t>P</w:t>
            </w:r>
            <w:r w:rsidR="00D9058D">
              <w:rPr>
                <w:rFonts w:eastAsiaTheme="majorEastAsia" w:cstheme="majorBidi"/>
                <w:bCs/>
                <w:lang w:eastAsia="en-US"/>
              </w:rPr>
              <w:t>bo</w:t>
            </w:r>
            <w:proofErr w:type="spellEnd"/>
          </w:p>
          <w:p w14:paraId="1D800F8F" w14:textId="77777777" w:rsidR="000C4977" w:rsidRPr="000C4977" w:rsidRDefault="000C4977" w:rsidP="00D9058D">
            <w:pPr>
              <w:pStyle w:val="Tabletext0"/>
              <w:keepNext/>
              <w:jc w:val="center"/>
              <w:cnfStyle w:val="100000000000" w:firstRow="1" w:lastRow="0" w:firstColumn="0" w:lastColumn="0" w:oddVBand="0" w:evenVBand="0" w:oddHBand="0" w:evenHBand="0" w:firstRowFirstColumn="0" w:firstRowLastColumn="0" w:lastRowFirstColumn="0" w:lastRowLastColumn="0"/>
              <w:rPr>
                <w:rFonts w:eastAsiaTheme="minorHAnsi"/>
              </w:rPr>
            </w:pPr>
            <w:r w:rsidRPr="000C4977">
              <w:rPr>
                <w:rFonts w:eastAsiaTheme="majorEastAsia" w:cstheme="majorBidi"/>
                <w:bCs/>
                <w:lang w:eastAsia="en-US"/>
              </w:rPr>
              <w:t>N (%)</w:t>
            </w:r>
          </w:p>
        </w:tc>
      </w:tr>
      <w:tr w:rsidR="000C4977" w:rsidRPr="000C4977" w14:paraId="76F5C82D"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14:paraId="6CFC6BC9" w14:textId="77777777" w:rsidR="000C4977" w:rsidRPr="000C4977" w:rsidRDefault="000C4977" w:rsidP="00CD3001">
            <w:pPr>
              <w:pStyle w:val="Tabletext0"/>
              <w:keepNext/>
              <w:rPr>
                <w:rFonts w:eastAsiaTheme="minorHAnsi"/>
              </w:rPr>
            </w:pPr>
            <w:r w:rsidRPr="000C4977">
              <w:rPr>
                <w:rFonts w:eastAsiaTheme="minorHAnsi"/>
              </w:rPr>
              <w:t>1</w:t>
            </w:r>
          </w:p>
        </w:tc>
        <w:tc>
          <w:tcPr>
            <w:tcW w:w="5812" w:type="dxa"/>
            <w:tcBorders>
              <w:top w:val="single" w:sz="4" w:space="0" w:color="auto"/>
              <w:left w:val="single" w:sz="4" w:space="0" w:color="auto"/>
              <w:bottom w:val="single" w:sz="4" w:space="0" w:color="auto"/>
              <w:right w:val="single" w:sz="4" w:space="0" w:color="auto"/>
            </w:tcBorders>
            <w:hideMark/>
          </w:tcPr>
          <w:p w14:paraId="2ABFE7E5"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 xml:space="preserve">HRD positive including </w:t>
            </w:r>
            <w:r w:rsidRPr="000C4977">
              <w:rPr>
                <w:rFonts w:eastAsiaTheme="minorHAnsi"/>
                <w:i/>
                <w:iCs/>
              </w:rPr>
              <w:t xml:space="preserve">BRCA </w:t>
            </w:r>
            <w:r w:rsidRPr="000C4977">
              <w:rPr>
                <w:rFonts w:eastAsiaTheme="minorHAnsi"/>
              </w:rPr>
              <w:t>pathogenic variant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3008FF"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255 (47%)</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0D5D916"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132 (49%)</w:t>
            </w:r>
          </w:p>
        </w:tc>
      </w:tr>
      <w:tr w:rsidR="000C4977" w:rsidRPr="000C4977" w14:paraId="0DA54B98"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14:paraId="4E0D6679" w14:textId="77777777" w:rsidR="000C4977" w:rsidRPr="000C4977" w:rsidRDefault="000C4977" w:rsidP="00CD3001">
            <w:pPr>
              <w:pStyle w:val="Tabletext0"/>
              <w:keepNext/>
              <w:rPr>
                <w:rFonts w:eastAsiaTheme="minorHAnsi"/>
              </w:rPr>
            </w:pPr>
            <w:r w:rsidRPr="000C4977">
              <w:rPr>
                <w:rFonts w:eastAsiaTheme="minorHAnsi"/>
              </w:rPr>
              <w:t>2</w:t>
            </w:r>
          </w:p>
        </w:tc>
        <w:tc>
          <w:tcPr>
            <w:tcW w:w="5812" w:type="dxa"/>
            <w:tcBorders>
              <w:top w:val="single" w:sz="4" w:space="0" w:color="auto"/>
              <w:left w:val="single" w:sz="4" w:space="0" w:color="auto"/>
              <w:bottom w:val="single" w:sz="4" w:space="0" w:color="auto"/>
              <w:right w:val="single" w:sz="4" w:space="0" w:color="auto"/>
            </w:tcBorders>
            <w:hideMark/>
          </w:tcPr>
          <w:p w14:paraId="7321212C"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 xml:space="preserve">HRD positive, no </w:t>
            </w:r>
            <w:r w:rsidRPr="000C4977">
              <w:rPr>
                <w:rFonts w:eastAsiaTheme="minorHAnsi"/>
                <w:i/>
                <w:iCs/>
              </w:rPr>
              <w:t xml:space="preserve">BRCA </w:t>
            </w:r>
            <w:r w:rsidRPr="000C4977">
              <w:rPr>
                <w:rFonts w:eastAsiaTheme="minorHAnsi"/>
              </w:rPr>
              <w:t>pathogenic variant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02806E"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97 (34%)</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05E815"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55 (39%)</w:t>
            </w:r>
          </w:p>
        </w:tc>
      </w:tr>
      <w:tr w:rsidR="000C4977" w:rsidRPr="000C4977" w14:paraId="79667EE5"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14:paraId="1951B128" w14:textId="77777777" w:rsidR="000C4977" w:rsidRPr="000C4977" w:rsidRDefault="000C4977" w:rsidP="00CD3001">
            <w:pPr>
              <w:pStyle w:val="Tabletext0"/>
              <w:keepNext/>
              <w:rPr>
                <w:rFonts w:eastAsiaTheme="minorHAnsi"/>
              </w:rPr>
            </w:pPr>
            <w:r w:rsidRPr="000C4977">
              <w:rPr>
                <w:rFonts w:eastAsiaTheme="minorHAnsi"/>
              </w:rPr>
              <w:t>3</w:t>
            </w:r>
          </w:p>
        </w:tc>
        <w:tc>
          <w:tcPr>
            <w:tcW w:w="5812" w:type="dxa"/>
            <w:tcBorders>
              <w:top w:val="single" w:sz="4" w:space="0" w:color="auto"/>
              <w:left w:val="single" w:sz="4" w:space="0" w:color="auto"/>
              <w:bottom w:val="single" w:sz="4" w:space="0" w:color="auto"/>
              <w:right w:val="single" w:sz="4" w:space="0" w:color="auto"/>
            </w:tcBorders>
            <w:hideMark/>
          </w:tcPr>
          <w:p w14:paraId="6E060214"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i/>
                <w:iCs/>
              </w:rPr>
              <w:t xml:space="preserve">BRCA </w:t>
            </w:r>
            <w:r w:rsidRPr="000C4977">
              <w:rPr>
                <w:rFonts w:eastAsiaTheme="minorHAnsi"/>
              </w:rPr>
              <w:t>pathogenic variant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8A9C18"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161 (30%)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B93350A"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80 (30%)</w:t>
            </w:r>
          </w:p>
        </w:tc>
      </w:tr>
      <w:tr w:rsidR="000C4977" w:rsidRPr="000C4977" w14:paraId="33E98F9F"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14:paraId="6C1F1538" w14:textId="77777777" w:rsidR="000C4977" w:rsidRPr="000C4977" w:rsidRDefault="000C4977" w:rsidP="00CD3001">
            <w:pPr>
              <w:pStyle w:val="Tabletext0"/>
              <w:keepNext/>
              <w:rPr>
                <w:rFonts w:eastAsiaTheme="minorHAnsi"/>
              </w:rPr>
            </w:pPr>
            <w:r w:rsidRPr="000C4977">
              <w:rPr>
                <w:rFonts w:eastAsiaTheme="minorHAnsi"/>
              </w:rPr>
              <w:t>4</w:t>
            </w:r>
          </w:p>
        </w:tc>
        <w:tc>
          <w:tcPr>
            <w:tcW w:w="5812" w:type="dxa"/>
            <w:tcBorders>
              <w:top w:val="single" w:sz="4" w:space="0" w:color="auto"/>
              <w:left w:val="single" w:sz="4" w:space="0" w:color="auto"/>
              <w:bottom w:val="single" w:sz="4" w:space="0" w:color="auto"/>
              <w:right w:val="single" w:sz="4" w:space="0" w:color="auto"/>
            </w:tcBorders>
            <w:hideMark/>
          </w:tcPr>
          <w:p w14:paraId="7F7DF343"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 xml:space="preserve">HRD positive, no </w:t>
            </w:r>
            <w:r w:rsidRPr="000C4977">
              <w:rPr>
                <w:rFonts w:eastAsiaTheme="minorHAnsi"/>
                <w:i/>
                <w:iCs/>
              </w:rPr>
              <w:t xml:space="preserve">BRCA </w:t>
            </w:r>
            <w:r w:rsidRPr="000C4977">
              <w:rPr>
                <w:rFonts w:eastAsiaTheme="minorHAnsi"/>
              </w:rPr>
              <w:t xml:space="preserve">pathogenic variant (2) + </w:t>
            </w:r>
            <w:r w:rsidRPr="000C4977">
              <w:rPr>
                <w:rFonts w:eastAsiaTheme="minorHAnsi"/>
                <w:i/>
                <w:iCs/>
              </w:rPr>
              <w:t xml:space="preserve">BRCA </w:t>
            </w:r>
            <w:r w:rsidRPr="000C4977">
              <w:rPr>
                <w:rFonts w:eastAsiaTheme="minorHAnsi"/>
              </w:rPr>
              <w:t>pathogenic variant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EA3D2A"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258 (48%)</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E39366C"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135 (50%)</w:t>
            </w:r>
          </w:p>
        </w:tc>
      </w:tr>
      <w:tr w:rsidR="000C4977" w:rsidRPr="000C4977" w14:paraId="603FC807"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14:paraId="22379E0E" w14:textId="77777777" w:rsidR="000C4977" w:rsidRPr="000C4977" w:rsidRDefault="000C4977" w:rsidP="00CD3001">
            <w:pPr>
              <w:pStyle w:val="Tabletext0"/>
              <w:keepNext/>
              <w:rPr>
                <w:rFonts w:eastAsiaTheme="minorHAnsi"/>
              </w:rPr>
            </w:pPr>
            <w:r w:rsidRPr="000C4977">
              <w:rPr>
                <w:rFonts w:eastAsiaTheme="minorHAnsi"/>
              </w:rPr>
              <w:t>5</w:t>
            </w:r>
          </w:p>
        </w:tc>
        <w:tc>
          <w:tcPr>
            <w:tcW w:w="5812" w:type="dxa"/>
            <w:tcBorders>
              <w:top w:val="single" w:sz="4" w:space="0" w:color="auto"/>
              <w:left w:val="single" w:sz="4" w:space="0" w:color="auto"/>
              <w:bottom w:val="single" w:sz="4" w:space="0" w:color="auto"/>
              <w:right w:val="single" w:sz="4" w:space="0" w:color="auto"/>
            </w:tcBorders>
            <w:hideMark/>
          </w:tcPr>
          <w:p w14:paraId="4AB74A04"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 xml:space="preserve">Patients who are HRD negative with a </w:t>
            </w:r>
            <w:r w:rsidRPr="000C4977">
              <w:rPr>
                <w:rFonts w:eastAsiaTheme="minorHAnsi"/>
                <w:i/>
                <w:iCs/>
              </w:rPr>
              <w:t xml:space="preserve">BRCA </w:t>
            </w:r>
            <w:r w:rsidRPr="000C4977">
              <w:rPr>
                <w:rFonts w:eastAsiaTheme="minorHAnsi"/>
              </w:rPr>
              <w:t>pathogenic variant (4) minus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9F4781"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3 (1%)</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D8707B7"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3 (1%)</w:t>
            </w:r>
          </w:p>
        </w:tc>
      </w:tr>
      <w:tr w:rsidR="000C4977" w:rsidRPr="000C4977" w14:paraId="5C5C8D85"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14:paraId="09E99880" w14:textId="77777777" w:rsidR="000C4977" w:rsidRPr="000C4977" w:rsidRDefault="000C4977" w:rsidP="00CD3001">
            <w:pPr>
              <w:pStyle w:val="Tabletext0"/>
              <w:keepNext/>
              <w:rPr>
                <w:rFonts w:eastAsiaTheme="minorHAnsi"/>
              </w:rPr>
            </w:pPr>
          </w:p>
        </w:tc>
        <w:tc>
          <w:tcPr>
            <w:tcW w:w="5812" w:type="dxa"/>
            <w:tcBorders>
              <w:top w:val="single" w:sz="4" w:space="0" w:color="auto"/>
              <w:left w:val="single" w:sz="4" w:space="0" w:color="auto"/>
              <w:bottom w:val="single" w:sz="4" w:space="0" w:color="auto"/>
              <w:right w:val="single" w:sz="4" w:space="0" w:color="auto"/>
            </w:tcBorders>
          </w:tcPr>
          <w:p w14:paraId="618C25D0" w14:textId="77777777" w:rsidR="000C4977" w:rsidRPr="000C4977" w:rsidRDefault="000C4977" w:rsidP="00CD3001">
            <w:pPr>
              <w:pStyle w:val="Tabletext0"/>
              <w:keepNext/>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 xml:space="preserve">Total </w:t>
            </w:r>
            <w:proofErr w:type="spellStart"/>
            <w:r w:rsidRPr="000C4977">
              <w:rPr>
                <w:rFonts w:eastAsiaTheme="minorHAnsi"/>
              </w:rPr>
              <w:t>randomised</w:t>
            </w:r>
            <w:proofErr w:type="spellEnd"/>
            <w:r w:rsidRPr="000C4977">
              <w:rPr>
                <w:rFonts w:eastAsiaTheme="minorHAnsi"/>
              </w:rPr>
              <w:t xml:space="preserve"> patients</w:t>
            </w:r>
          </w:p>
        </w:tc>
        <w:tc>
          <w:tcPr>
            <w:tcW w:w="1276" w:type="dxa"/>
            <w:tcBorders>
              <w:top w:val="single" w:sz="4" w:space="0" w:color="auto"/>
              <w:left w:val="single" w:sz="4" w:space="0" w:color="auto"/>
              <w:bottom w:val="single" w:sz="4" w:space="0" w:color="auto"/>
              <w:right w:val="single" w:sz="4" w:space="0" w:color="auto"/>
            </w:tcBorders>
            <w:vAlign w:val="center"/>
          </w:tcPr>
          <w:p w14:paraId="5893890F"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537 (100%)</w:t>
            </w:r>
          </w:p>
        </w:tc>
        <w:tc>
          <w:tcPr>
            <w:tcW w:w="1366" w:type="dxa"/>
            <w:tcBorders>
              <w:top w:val="single" w:sz="4" w:space="0" w:color="auto"/>
              <w:left w:val="single" w:sz="4" w:space="0" w:color="auto"/>
              <w:bottom w:val="single" w:sz="4" w:space="0" w:color="auto"/>
              <w:right w:val="single" w:sz="4" w:space="0" w:color="auto"/>
            </w:tcBorders>
            <w:vAlign w:val="center"/>
          </w:tcPr>
          <w:p w14:paraId="2EFDDEE4" w14:textId="77777777" w:rsidR="000C4977" w:rsidRPr="000C4977" w:rsidRDefault="000C4977" w:rsidP="00D9058D">
            <w:pPr>
              <w:pStyle w:val="Tabletext0"/>
              <w:keepNext/>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0C4977">
              <w:rPr>
                <w:rFonts w:eastAsiaTheme="minorHAnsi"/>
              </w:rPr>
              <w:t>269 (100%)</w:t>
            </w:r>
          </w:p>
        </w:tc>
      </w:tr>
    </w:tbl>
    <w:p w14:paraId="65AE0619" w14:textId="1ED7018B" w:rsidR="000C4977" w:rsidRPr="000C4977" w:rsidRDefault="000C4977" w:rsidP="00CD3001">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Bev = bevacizumab; </w:t>
      </w:r>
      <w:r w:rsidR="00A20519" w:rsidRPr="000C4977">
        <w:rPr>
          <w:rFonts w:ascii="Arial Narrow" w:eastAsia="Times New Roman" w:hAnsi="Arial Narrow" w:cs="Arial"/>
          <w:i/>
          <w:iCs/>
          <w:snapToGrid w:val="0"/>
          <w:sz w:val="18"/>
          <w:szCs w:val="20"/>
        </w:rPr>
        <w:t>BRCA</w:t>
      </w:r>
      <w:r w:rsidR="00A20519" w:rsidRPr="000C4977">
        <w:rPr>
          <w:rFonts w:ascii="Arial Narrow" w:eastAsia="Times New Roman" w:hAnsi="Arial Narrow" w:cs="Arial"/>
          <w:snapToGrid w:val="0"/>
          <w:sz w:val="18"/>
          <w:szCs w:val="20"/>
        </w:rPr>
        <w:t xml:space="preserve"> = breast cancer gene; HRD = homologous recombination deficiency</w:t>
      </w:r>
      <w:r w:rsidR="00A20519">
        <w:rPr>
          <w:rFonts w:ascii="Arial Narrow" w:eastAsia="Times New Roman" w:hAnsi="Arial Narrow" w:cs="Arial"/>
          <w:snapToGrid w:val="0"/>
          <w:sz w:val="18"/>
          <w:szCs w:val="20"/>
        </w:rPr>
        <w:t>;</w:t>
      </w:r>
      <w:r w:rsidR="00A20519" w:rsidRPr="000C4977">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 xml:space="preserve">N = number of patients; Ola = </w:t>
      </w:r>
      <w:proofErr w:type="spellStart"/>
      <w:r w:rsidRPr="000C4977">
        <w:rPr>
          <w:rFonts w:ascii="Arial Narrow" w:eastAsia="Times New Roman" w:hAnsi="Arial Narrow" w:cs="Arial"/>
          <w:snapToGrid w:val="0"/>
          <w:sz w:val="18"/>
          <w:szCs w:val="20"/>
        </w:rPr>
        <w:t>olaparib</w:t>
      </w:r>
      <w:proofErr w:type="spellEnd"/>
      <w:r w:rsidRPr="000C4977">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P</w:t>
      </w:r>
      <w:r w:rsidR="00D9058D">
        <w:rPr>
          <w:rFonts w:ascii="Arial Narrow" w:eastAsia="Times New Roman" w:hAnsi="Arial Narrow" w:cs="Arial"/>
          <w:snapToGrid w:val="0"/>
          <w:sz w:val="18"/>
          <w:szCs w:val="20"/>
        </w:rPr>
        <w:t>bo</w:t>
      </w:r>
      <w:proofErr w:type="spellEnd"/>
      <w:r w:rsidRPr="000C4977">
        <w:rPr>
          <w:rFonts w:ascii="Arial Narrow" w:eastAsia="Times New Roman" w:hAnsi="Arial Narrow" w:cs="Arial"/>
          <w:snapToGrid w:val="0"/>
          <w:sz w:val="18"/>
          <w:szCs w:val="20"/>
        </w:rPr>
        <w:t xml:space="preserve"> = placebo</w:t>
      </w:r>
    </w:p>
    <w:p w14:paraId="602CE4AA" w14:textId="77777777" w:rsidR="000C4977" w:rsidRPr="000C4977" w:rsidRDefault="000C4977" w:rsidP="000C4977">
      <w:pPr>
        <w:widowControl w:val="0"/>
        <w:spacing w:before="0" w:after="0"/>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PAOLA-1 [Ray-</w:t>
      </w:r>
      <w:proofErr w:type="spellStart"/>
      <w:r w:rsidRPr="000C4977">
        <w:rPr>
          <w:rFonts w:ascii="Arial Narrow" w:eastAsia="Times New Roman" w:hAnsi="Arial Narrow" w:cs="Arial"/>
          <w:snapToGrid w:val="0"/>
          <w:sz w:val="18"/>
          <w:szCs w:val="20"/>
        </w:rPr>
        <w:t>Coquard</w:t>
      </w:r>
      <w:proofErr w:type="spellEnd"/>
      <w:r w:rsidRPr="000C4977">
        <w:rPr>
          <w:rFonts w:ascii="Arial Narrow" w:eastAsia="Times New Roman" w:hAnsi="Arial Narrow" w:cs="Arial"/>
          <w:snapToGrid w:val="0"/>
          <w:sz w:val="18"/>
          <w:szCs w:val="20"/>
        </w:rPr>
        <w:t xml:space="preserve"> 2019 _supplementary appendix Table S2] #1 &amp; #2 based on Myriad </w:t>
      </w:r>
      <w:proofErr w:type="spellStart"/>
      <w:r w:rsidRPr="000C4977">
        <w:rPr>
          <w:rFonts w:ascii="Arial Narrow" w:eastAsia="Times New Roman" w:hAnsi="Arial Narrow" w:cs="Arial"/>
          <w:snapToGrid w:val="0"/>
          <w:sz w:val="18"/>
          <w:szCs w:val="20"/>
        </w:rPr>
        <w:t>myChoice</w:t>
      </w:r>
      <w:proofErr w:type="spellEnd"/>
      <w:r w:rsidRPr="000C4977">
        <w:rPr>
          <w:rFonts w:ascii="Arial Narrow" w:eastAsia="Times New Roman" w:hAnsi="Arial Narrow" w:cs="Arial"/>
          <w:snapToGrid w:val="0"/>
          <w:sz w:val="18"/>
          <w:szCs w:val="20"/>
        </w:rPr>
        <w:t xml:space="preserve"> HRD plus; #3 based on tumour </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mutation test as per randomisation</w:t>
      </w:r>
    </w:p>
    <w:p w14:paraId="711F2EC3" w14:textId="07A888DB" w:rsidR="000C4977" w:rsidRPr="00F700F9" w:rsidRDefault="000C4977" w:rsidP="000C4977">
      <w:pPr>
        <w:spacing w:line="259" w:lineRule="auto"/>
        <w:jc w:val="left"/>
        <w:rPr>
          <w:lang w:eastAsia="en-AU"/>
        </w:rPr>
      </w:pPr>
      <w:r w:rsidRPr="000C4977">
        <w:rPr>
          <w:lang w:eastAsia="en-AU"/>
        </w:rPr>
        <w:t xml:space="preserve">In PAOLA-1, </w:t>
      </w:r>
      <w:r w:rsidRPr="00F700F9">
        <w:rPr>
          <w:lang w:eastAsia="en-AU"/>
        </w:rPr>
        <w:t xml:space="preserve">while 277 patients were reported as HRD (GIS) negative, it was unclear how many of these patients were </w:t>
      </w:r>
      <w:proofErr w:type="spellStart"/>
      <w:r w:rsidRPr="00F700F9">
        <w:rPr>
          <w:i/>
          <w:lang w:eastAsia="en-AU"/>
        </w:rPr>
        <w:t>BRCA</w:t>
      </w:r>
      <w:r w:rsidRPr="00F700F9">
        <w:rPr>
          <w:lang w:eastAsia="en-AU"/>
        </w:rPr>
        <w:t>wt</w:t>
      </w:r>
      <w:proofErr w:type="spellEnd"/>
      <w:r w:rsidRPr="00F700F9">
        <w:rPr>
          <w:lang w:eastAsia="en-AU"/>
        </w:rPr>
        <w:t xml:space="preserve"> or </w:t>
      </w:r>
      <w:proofErr w:type="spellStart"/>
      <w:r w:rsidRPr="00F700F9">
        <w:rPr>
          <w:i/>
          <w:lang w:eastAsia="en-AU"/>
        </w:rPr>
        <w:t>BRCA</w:t>
      </w:r>
      <w:r w:rsidRPr="00F700F9">
        <w:rPr>
          <w:lang w:eastAsia="en-AU"/>
        </w:rPr>
        <w:t>m</w:t>
      </w:r>
      <w:proofErr w:type="spellEnd"/>
      <w:r w:rsidRPr="00F700F9">
        <w:rPr>
          <w:lang w:eastAsia="en-AU"/>
        </w:rPr>
        <w:t xml:space="preserve">. As such, a meaningful comparison between the proportion of GIS </w:t>
      </w:r>
      <w:r w:rsidRPr="00F700F9">
        <w:rPr>
          <w:rFonts w:cstheme="minorHAnsi"/>
          <w:lang w:eastAsia="en-AU"/>
        </w:rPr>
        <w:t>≥</w:t>
      </w:r>
      <w:r w:rsidRPr="00F700F9">
        <w:rPr>
          <w:lang w:eastAsia="en-AU"/>
        </w:rPr>
        <w:t xml:space="preserve">42 and &lt;42 in the </w:t>
      </w:r>
      <w:proofErr w:type="spellStart"/>
      <w:r w:rsidRPr="00F700F9">
        <w:rPr>
          <w:i/>
          <w:lang w:eastAsia="en-AU"/>
        </w:rPr>
        <w:t>BRCA</w:t>
      </w:r>
      <w:r w:rsidRPr="00F700F9">
        <w:rPr>
          <w:lang w:eastAsia="en-AU"/>
        </w:rPr>
        <w:t>m</w:t>
      </w:r>
      <w:proofErr w:type="spellEnd"/>
      <w:r w:rsidRPr="00F700F9">
        <w:rPr>
          <w:lang w:eastAsia="en-AU"/>
        </w:rPr>
        <w:t xml:space="preserve"> and </w:t>
      </w:r>
      <w:proofErr w:type="spellStart"/>
      <w:r w:rsidRPr="00F700F9">
        <w:rPr>
          <w:i/>
          <w:lang w:eastAsia="en-AU"/>
        </w:rPr>
        <w:t>BRCA</w:t>
      </w:r>
      <w:r w:rsidRPr="00F700F9">
        <w:rPr>
          <w:lang w:eastAsia="en-AU"/>
        </w:rPr>
        <w:t>wt</w:t>
      </w:r>
      <w:proofErr w:type="spellEnd"/>
      <w:r w:rsidRPr="00F700F9">
        <w:rPr>
          <w:lang w:eastAsia="en-AU"/>
        </w:rPr>
        <w:t xml:space="preserve"> cohorts in PAOLA-1 with </w:t>
      </w:r>
      <w:proofErr w:type="spellStart"/>
      <w:r w:rsidRPr="00F700F9">
        <w:rPr>
          <w:lang w:eastAsia="en-AU"/>
        </w:rPr>
        <w:t>Telli</w:t>
      </w:r>
      <w:proofErr w:type="spellEnd"/>
      <w:r w:rsidRPr="00F700F9">
        <w:rPr>
          <w:lang w:eastAsia="en-AU"/>
        </w:rPr>
        <w:t xml:space="preserve"> 2016 was not possible during the evaluation. The </w:t>
      </w:r>
      <w:r w:rsidR="00CD3001" w:rsidRPr="00F700F9">
        <w:rPr>
          <w:lang w:eastAsia="en-AU"/>
        </w:rPr>
        <w:t xml:space="preserve">applicant was </w:t>
      </w:r>
      <w:r w:rsidRPr="00F700F9">
        <w:rPr>
          <w:lang w:eastAsia="en-AU"/>
        </w:rPr>
        <w:t xml:space="preserve">requested to provide the proportion of patients with </w:t>
      </w:r>
      <w:proofErr w:type="spellStart"/>
      <w:r w:rsidRPr="00F700F9">
        <w:rPr>
          <w:i/>
          <w:lang w:eastAsia="en-AU"/>
        </w:rPr>
        <w:t>BRCA</w:t>
      </w:r>
      <w:r w:rsidRPr="00F700F9">
        <w:rPr>
          <w:lang w:eastAsia="en-AU"/>
        </w:rPr>
        <w:t>m</w:t>
      </w:r>
      <w:proofErr w:type="spellEnd"/>
      <w:r w:rsidRPr="00F700F9">
        <w:rPr>
          <w:lang w:eastAsia="en-AU"/>
        </w:rPr>
        <w:t xml:space="preserve"> and </w:t>
      </w:r>
      <w:proofErr w:type="spellStart"/>
      <w:r w:rsidRPr="00F700F9">
        <w:rPr>
          <w:i/>
          <w:lang w:eastAsia="en-AU"/>
        </w:rPr>
        <w:t>BRCA</w:t>
      </w:r>
      <w:r w:rsidRPr="00F700F9">
        <w:rPr>
          <w:lang w:eastAsia="en-AU"/>
        </w:rPr>
        <w:t>wt</w:t>
      </w:r>
      <w:proofErr w:type="spellEnd"/>
      <w:r w:rsidRPr="00F700F9">
        <w:rPr>
          <w:lang w:eastAsia="en-AU"/>
        </w:rPr>
        <w:t xml:space="preserve"> with GIS &lt;42 to allow comparison of distribution compared to </w:t>
      </w:r>
      <w:proofErr w:type="spellStart"/>
      <w:r w:rsidRPr="00F700F9">
        <w:rPr>
          <w:lang w:eastAsia="en-AU"/>
        </w:rPr>
        <w:t>Telli</w:t>
      </w:r>
      <w:proofErr w:type="spellEnd"/>
      <w:r w:rsidRPr="00F700F9">
        <w:rPr>
          <w:lang w:eastAsia="en-AU"/>
        </w:rPr>
        <w:t xml:space="preserve"> 2016. It should be expected that 95% of all </w:t>
      </w:r>
      <w:proofErr w:type="spellStart"/>
      <w:r w:rsidRPr="00F700F9">
        <w:rPr>
          <w:i/>
          <w:lang w:eastAsia="en-AU"/>
        </w:rPr>
        <w:t>BRCA</w:t>
      </w:r>
      <w:r w:rsidRPr="00F700F9">
        <w:rPr>
          <w:lang w:eastAsia="en-AU"/>
        </w:rPr>
        <w:t>m</w:t>
      </w:r>
      <w:proofErr w:type="spellEnd"/>
      <w:r w:rsidRPr="00F700F9">
        <w:rPr>
          <w:lang w:eastAsia="en-AU"/>
        </w:rPr>
        <w:t xml:space="preserve"> patients and around 15% of all </w:t>
      </w:r>
      <w:proofErr w:type="spellStart"/>
      <w:r w:rsidRPr="00F700F9">
        <w:rPr>
          <w:i/>
          <w:lang w:eastAsia="en-AU"/>
        </w:rPr>
        <w:t>BRCA</w:t>
      </w:r>
      <w:r w:rsidRPr="00F700F9">
        <w:rPr>
          <w:lang w:eastAsia="en-AU"/>
        </w:rPr>
        <w:t>wt</w:t>
      </w:r>
      <w:proofErr w:type="spellEnd"/>
      <w:r w:rsidRPr="00F700F9">
        <w:rPr>
          <w:lang w:eastAsia="en-AU"/>
        </w:rPr>
        <w:t xml:space="preserve"> patients in PAOLA-1 would have a GIS </w:t>
      </w:r>
      <w:r w:rsidRPr="00F700F9">
        <w:rPr>
          <w:rFonts w:cstheme="minorHAnsi"/>
          <w:lang w:eastAsia="en-AU"/>
        </w:rPr>
        <w:t>≥</w:t>
      </w:r>
      <w:r w:rsidRPr="00F700F9">
        <w:rPr>
          <w:lang w:eastAsia="en-AU"/>
        </w:rPr>
        <w:t xml:space="preserve">42 based on distributions reported by </w:t>
      </w:r>
      <w:proofErr w:type="spellStart"/>
      <w:r w:rsidRPr="00F700F9">
        <w:rPr>
          <w:lang w:eastAsia="en-AU"/>
        </w:rPr>
        <w:t>Telli</w:t>
      </w:r>
      <w:proofErr w:type="spellEnd"/>
      <w:r w:rsidRPr="00F700F9">
        <w:rPr>
          <w:lang w:eastAsia="en-AU"/>
        </w:rPr>
        <w:t xml:space="preserve"> 2016.</w:t>
      </w:r>
    </w:p>
    <w:p w14:paraId="70599E6B" w14:textId="53610379" w:rsidR="000C4977" w:rsidRPr="000C4977" w:rsidRDefault="000C4977" w:rsidP="000C4977">
      <w:pPr>
        <w:spacing w:line="259" w:lineRule="auto"/>
        <w:jc w:val="left"/>
        <w:rPr>
          <w:iCs/>
        </w:rPr>
      </w:pPr>
      <w:r w:rsidRPr="00F700F9">
        <w:rPr>
          <w:iCs/>
        </w:rPr>
        <w:t xml:space="preserve">By </w:t>
      </w:r>
      <w:r w:rsidR="00CD3001" w:rsidRPr="00F700F9">
        <w:rPr>
          <w:iCs/>
        </w:rPr>
        <w:t xml:space="preserve">requesting </w:t>
      </w:r>
      <w:r w:rsidRPr="00F700F9">
        <w:rPr>
          <w:iCs/>
        </w:rPr>
        <w:t>that</w:t>
      </w:r>
      <w:r w:rsidR="009339A5" w:rsidRPr="00F700F9">
        <w:rPr>
          <w:iCs/>
        </w:rPr>
        <w:t xml:space="preserve"> genomic instability </w:t>
      </w:r>
      <w:r w:rsidR="00CD3001" w:rsidRPr="00F700F9">
        <w:rPr>
          <w:iCs/>
        </w:rPr>
        <w:t xml:space="preserve">be assessed at a fixed </w:t>
      </w:r>
      <w:r w:rsidRPr="00F700F9">
        <w:rPr>
          <w:iCs/>
        </w:rPr>
        <w:t xml:space="preserve">threshold irrespective of </w:t>
      </w:r>
      <w:r w:rsidRPr="00F700F9">
        <w:rPr>
          <w:i/>
        </w:rPr>
        <w:t>BRCA</w:t>
      </w:r>
      <w:r w:rsidRPr="00F700F9">
        <w:rPr>
          <w:iCs/>
        </w:rPr>
        <w:t xml:space="preserve"> status, the submission is suggesting that HRD, being a measure of</w:t>
      </w:r>
      <w:r w:rsidR="009339A5" w:rsidRPr="00F700F9">
        <w:rPr>
          <w:iCs/>
        </w:rPr>
        <w:t xml:space="preserve"> genomic instability </w:t>
      </w:r>
      <w:r w:rsidRPr="00F700F9">
        <w:rPr>
          <w:iCs/>
        </w:rPr>
        <w:t xml:space="preserve">and effectively a level of DNA damage, was agnostic to </w:t>
      </w:r>
      <w:r w:rsidRPr="00F700F9">
        <w:rPr>
          <w:i/>
        </w:rPr>
        <w:t>BRCA</w:t>
      </w:r>
      <w:r w:rsidRPr="00F700F9">
        <w:rPr>
          <w:iCs/>
        </w:rPr>
        <w:t xml:space="preserve"> status. That is, while </w:t>
      </w:r>
      <w:proofErr w:type="spellStart"/>
      <w:r w:rsidRPr="00F700F9">
        <w:rPr>
          <w:i/>
        </w:rPr>
        <w:t>BRCA</w:t>
      </w:r>
      <w:r w:rsidRPr="00F700F9">
        <w:rPr>
          <w:iCs/>
        </w:rPr>
        <w:t>m</w:t>
      </w:r>
      <w:proofErr w:type="spellEnd"/>
      <w:r w:rsidRPr="00F700F9">
        <w:rPr>
          <w:iCs/>
        </w:rPr>
        <w:t xml:space="preserve"> patients were likely to have a higher GIS (and more DNA damage) than </w:t>
      </w:r>
      <w:proofErr w:type="spellStart"/>
      <w:r w:rsidRPr="00F700F9">
        <w:rPr>
          <w:i/>
        </w:rPr>
        <w:t>BRCA</w:t>
      </w:r>
      <w:r w:rsidRPr="00F700F9">
        <w:rPr>
          <w:iCs/>
        </w:rPr>
        <w:t>wt</w:t>
      </w:r>
      <w:proofErr w:type="spellEnd"/>
      <w:r w:rsidRPr="00F700F9">
        <w:rPr>
          <w:iCs/>
        </w:rPr>
        <w:t xml:space="preserve"> patients, patients</w:t>
      </w:r>
      <w:r w:rsidRPr="000C4977">
        <w:rPr>
          <w:iCs/>
        </w:rPr>
        <w:t xml:space="preserve"> with the same GIS will have the same level of damage irrespective of the genomic cause of damage, and </w:t>
      </w:r>
      <w:r w:rsidRPr="00EA68AA">
        <w:rPr>
          <w:iCs/>
        </w:rPr>
        <w:t xml:space="preserve">that </w:t>
      </w:r>
      <w:proofErr w:type="spellStart"/>
      <w:r w:rsidRPr="00EA68AA">
        <w:rPr>
          <w:i/>
        </w:rPr>
        <w:t>BRCA</w:t>
      </w:r>
      <w:r w:rsidRPr="00EA68AA">
        <w:rPr>
          <w:iCs/>
        </w:rPr>
        <w:t>wt</w:t>
      </w:r>
      <w:proofErr w:type="spellEnd"/>
      <w:r w:rsidRPr="00EA68AA">
        <w:rPr>
          <w:iCs/>
        </w:rPr>
        <w:t xml:space="preserve"> patients with a GIS of </w:t>
      </w:r>
      <w:r w:rsidRPr="00EA68AA">
        <w:rPr>
          <w:rFonts w:cstheme="minorHAnsi"/>
          <w:iCs/>
        </w:rPr>
        <w:t>≥</w:t>
      </w:r>
      <w:r w:rsidRPr="00EA68AA">
        <w:rPr>
          <w:iCs/>
        </w:rPr>
        <w:t xml:space="preserve">42 would have (at least) the same level of DNA damage as 95% of </w:t>
      </w:r>
      <w:proofErr w:type="spellStart"/>
      <w:r w:rsidRPr="00EA68AA">
        <w:rPr>
          <w:i/>
        </w:rPr>
        <w:t>BRCA</w:t>
      </w:r>
      <w:r w:rsidRPr="00EA68AA">
        <w:rPr>
          <w:iCs/>
        </w:rPr>
        <w:t>m</w:t>
      </w:r>
      <w:proofErr w:type="spellEnd"/>
      <w:r w:rsidRPr="00EA68AA">
        <w:rPr>
          <w:iCs/>
        </w:rPr>
        <w:t xml:space="preserve"> patients, which would be predictive of the same prognosis/level of response to </w:t>
      </w:r>
      <w:proofErr w:type="spellStart"/>
      <w:r w:rsidRPr="00EA68AA">
        <w:rPr>
          <w:iCs/>
        </w:rPr>
        <w:t>olaparib</w:t>
      </w:r>
      <w:proofErr w:type="spellEnd"/>
      <w:r w:rsidRPr="00EA68AA">
        <w:rPr>
          <w:iCs/>
        </w:rPr>
        <w:t xml:space="preserve"> plus bevacizumab treatment irrespective of the underlying cause of the DNA damage. However, Takaya 2020 reported that HRD cases caused by genetic alterations (genetic HRD including germline and somatic </w:t>
      </w:r>
      <w:r w:rsidRPr="00EA68AA">
        <w:rPr>
          <w:i/>
        </w:rPr>
        <w:t>BRCA1/2</w:t>
      </w:r>
      <w:r w:rsidRPr="00EA68AA">
        <w:rPr>
          <w:iCs/>
        </w:rPr>
        <w:t xml:space="preserve"> mutations) had better prognosis than those caused by epigenetic changes and those caused by undetermined reasons (p</w:t>
      </w:r>
      <w:r w:rsidRPr="00EA68AA">
        <w:rPr>
          <w:rFonts w:ascii="Arial" w:hAnsi="Arial" w:cs="Arial"/>
          <w:iCs/>
        </w:rPr>
        <w:t> </w:t>
      </w:r>
      <w:r w:rsidRPr="00EA68AA">
        <w:rPr>
          <w:iCs/>
        </w:rPr>
        <w:t>=</w:t>
      </w:r>
      <w:r w:rsidRPr="00EA68AA">
        <w:rPr>
          <w:rFonts w:ascii="Arial" w:hAnsi="Arial" w:cs="Arial"/>
          <w:iCs/>
        </w:rPr>
        <w:t> </w:t>
      </w:r>
      <w:r w:rsidRPr="00EA68AA">
        <w:rPr>
          <w:iCs/>
        </w:rPr>
        <w:t xml:space="preserve">0.0002) (see </w:t>
      </w:r>
      <w:r w:rsidR="00595284" w:rsidRPr="00EA68AA">
        <w:rPr>
          <w:iCs/>
        </w:rPr>
        <w:fldChar w:fldCharType="begin"/>
      </w:r>
      <w:r w:rsidR="00595284" w:rsidRPr="00EA68AA">
        <w:rPr>
          <w:iCs/>
        </w:rPr>
        <w:instrText xml:space="preserve"> REF _Ref111813506 \h </w:instrText>
      </w:r>
      <w:r w:rsidR="00A5634A" w:rsidRPr="00EA68AA">
        <w:rPr>
          <w:iCs/>
        </w:rPr>
        <w:instrText xml:space="preserve"> \* MERGEFORMAT </w:instrText>
      </w:r>
      <w:r w:rsidR="00595284" w:rsidRPr="00EA68AA">
        <w:rPr>
          <w:iCs/>
        </w:rPr>
      </w:r>
      <w:r w:rsidR="00595284" w:rsidRPr="00EA68AA">
        <w:rPr>
          <w:iCs/>
        </w:rPr>
        <w:fldChar w:fldCharType="separate"/>
      </w:r>
      <w:r w:rsidR="00D8603B" w:rsidRPr="00EA68AA">
        <w:t xml:space="preserve">Figure </w:t>
      </w:r>
      <w:r w:rsidR="00D8603B" w:rsidRPr="00EA68AA">
        <w:rPr>
          <w:noProof/>
        </w:rPr>
        <w:t>4</w:t>
      </w:r>
      <w:r w:rsidR="00595284" w:rsidRPr="00EA68AA">
        <w:rPr>
          <w:iCs/>
        </w:rPr>
        <w:fldChar w:fldCharType="end"/>
      </w:r>
      <w:r w:rsidRPr="00EA68AA">
        <w:rPr>
          <w:iCs/>
        </w:rPr>
        <w:t xml:space="preserve">), suggesting that the cause of HRD appears to have an impact on patient outcomes and possibly treatment response. This may suggest that despite the same GIS supposedly suggesting the same level of DNA damage, the cause of HRD plays a role in the determination of prognosis and possibly treatment response, and that the prognosis and outcome for a </w:t>
      </w:r>
      <w:proofErr w:type="spellStart"/>
      <w:r w:rsidRPr="00EA68AA">
        <w:rPr>
          <w:i/>
        </w:rPr>
        <w:t>BRCA</w:t>
      </w:r>
      <w:r w:rsidRPr="00EA68AA">
        <w:rPr>
          <w:iCs/>
        </w:rPr>
        <w:t>m</w:t>
      </w:r>
      <w:proofErr w:type="spellEnd"/>
      <w:r w:rsidRPr="00EA68AA">
        <w:rPr>
          <w:iCs/>
        </w:rPr>
        <w:t xml:space="preserve"> patient with a GIS of 63 would differ to that of a </w:t>
      </w:r>
      <w:proofErr w:type="spellStart"/>
      <w:r w:rsidRPr="00EA68AA">
        <w:rPr>
          <w:i/>
        </w:rPr>
        <w:t>BRCA</w:t>
      </w:r>
      <w:r w:rsidRPr="00EA68AA">
        <w:rPr>
          <w:iCs/>
        </w:rPr>
        <w:t>wt</w:t>
      </w:r>
      <w:proofErr w:type="spellEnd"/>
      <w:r w:rsidRPr="00EA68AA">
        <w:rPr>
          <w:iCs/>
        </w:rPr>
        <w:t xml:space="preserve"> patient with a GIS of 63 and that using the same threshold irrespective of </w:t>
      </w:r>
      <w:r w:rsidRPr="00EA68AA">
        <w:rPr>
          <w:i/>
        </w:rPr>
        <w:t>BRCA</w:t>
      </w:r>
      <w:r w:rsidRPr="00EA68AA">
        <w:rPr>
          <w:iCs/>
        </w:rPr>
        <w:t xml:space="preserve"> status may not be appropriate (Takaya 2020 did not present results at the threshold of 42).</w:t>
      </w:r>
    </w:p>
    <w:p w14:paraId="6FFF9B26" w14:textId="3962E4F9" w:rsidR="00595284" w:rsidRDefault="00595284" w:rsidP="00595284">
      <w:pPr>
        <w:pStyle w:val="Caption"/>
        <w:jc w:val="both"/>
      </w:pPr>
      <w:bookmarkStart w:id="39" w:name="_Ref111813506"/>
      <w:r>
        <w:t xml:space="preserve">Figure </w:t>
      </w:r>
      <w:fldSimple w:instr=" SEQ Figure \* ARABIC ">
        <w:r w:rsidR="00D8603B">
          <w:rPr>
            <w:noProof/>
          </w:rPr>
          <w:t>4</w:t>
        </w:r>
      </w:fldSimple>
      <w:bookmarkEnd w:id="39"/>
      <w:r w:rsidRPr="00595284">
        <w:rPr>
          <w:bCs/>
          <w:iCs w:val="0"/>
        </w:rPr>
        <w:tab/>
        <w:t>Relationship between the molecular mechanism of HRD and prognosis</w:t>
      </w:r>
    </w:p>
    <w:p w14:paraId="50BE704B" w14:textId="5814BD46" w:rsidR="000C4977" w:rsidRPr="000C4977" w:rsidRDefault="000C4977" w:rsidP="00A20519">
      <w:pPr>
        <w:spacing w:after="0"/>
        <w:rPr>
          <w:rFonts w:ascii="Arial Narrow" w:eastAsiaTheme="majorEastAsia" w:hAnsi="Arial Narrow" w:cstheme="majorBidi"/>
          <w:b/>
          <w:bCs/>
          <w:sz w:val="20"/>
          <w:szCs w:val="24"/>
          <w:lang w:eastAsia="en-AU"/>
        </w:rPr>
      </w:pPr>
      <w:r w:rsidRPr="000C4977">
        <w:rPr>
          <w:noProof/>
          <w:lang w:eastAsia="en-AU"/>
        </w:rPr>
        <w:drawing>
          <wp:inline distT="0" distB="0" distL="0" distR="0" wp14:anchorId="3D8219D3" wp14:editId="2075D3DF">
            <wp:extent cx="5123815" cy="1604645"/>
            <wp:effectExtent l="0" t="0" r="635" b="0"/>
            <wp:docPr id="24" name="Picture 24" descr="Figure 4 Relationship between the molecular mechanism of HRD and pro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4 Relationship between the molecular mechanism of HRD and progno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3815" cy="1604645"/>
                    </a:xfrm>
                    <a:prstGeom prst="rect">
                      <a:avLst/>
                    </a:prstGeom>
                    <a:noFill/>
                    <a:ln>
                      <a:noFill/>
                    </a:ln>
                  </pic:spPr>
                </pic:pic>
              </a:graphicData>
            </a:graphic>
          </wp:inline>
        </w:drawing>
      </w:r>
      <w:r w:rsidR="00FC3969">
        <w:rPr>
          <w:rFonts w:ascii="Arial Narrow" w:eastAsiaTheme="majorEastAsia" w:hAnsi="Arial Narrow" w:cstheme="majorBidi"/>
          <w:b/>
          <w:bCs/>
          <w:sz w:val="20"/>
          <w:szCs w:val="24"/>
          <w:lang w:eastAsia="en-AU"/>
        </w:rPr>
        <w:br/>
      </w:r>
      <w:r w:rsidRPr="000C4977">
        <w:rPr>
          <w:rFonts w:ascii="Arial Narrow" w:eastAsiaTheme="majorEastAsia" w:hAnsi="Arial Narrow" w:cstheme="majorBidi"/>
          <w:b/>
          <w:bCs/>
          <w:sz w:val="20"/>
          <w:szCs w:val="24"/>
          <w:lang w:eastAsia="en-AU"/>
        </w:rPr>
        <w:t>A) Classification of HRD cases. (B) Survival rate of HRD cases</w:t>
      </w:r>
      <w:r w:rsidR="00CD3001">
        <w:rPr>
          <w:rFonts w:ascii="Arial Narrow" w:eastAsiaTheme="majorEastAsia" w:hAnsi="Arial Narrow" w:cstheme="majorBidi"/>
          <w:b/>
          <w:bCs/>
          <w:sz w:val="20"/>
          <w:szCs w:val="24"/>
          <w:lang w:eastAsia="en-AU"/>
        </w:rPr>
        <w:t>.</w:t>
      </w:r>
    </w:p>
    <w:p w14:paraId="34E6BC73" w14:textId="77777777" w:rsidR="000C4977" w:rsidRPr="000C4977" w:rsidRDefault="000C4977" w:rsidP="00A20519">
      <w:pPr>
        <w:spacing w:before="0"/>
        <w:rPr>
          <w:rFonts w:ascii="Arial Narrow" w:hAnsi="Arial Narrow" w:cs="Arial"/>
          <w:snapToGrid w:val="0"/>
          <w:sz w:val="18"/>
          <w:szCs w:val="20"/>
        </w:rPr>
      </w:pPr>
      <w:r w:rsidRPr="000C4977">
        <w:rPr>
          <w:rFonts w:ascii="Arial Narrow" w:hAnsi="Arial Narrow" w:cs="Arial"/>
          <w:snapToGrid w:val="0"/>
          <w:sz w:val="18"/>
          <w:szCs w:val="20"/>
        </w:rPr>
        <w:t>Source: Figure 4A, Takaya 2019</w:t>
      </w:r>
    </w:p>
    <w:p w14:paraId="12D8467F" w14:textId="31B8194B" w:rsidR="000C4977" w:rsidRPr="000C4977" w:rsidRDefault="000C4977" w:rsidP="000C4977">
      <w:pPr>
        <w:spacing w:line="259" w:lineRule="auto"/>
        <w:jc w:val="left"/>
      </w:pPr>
      <w:r w:rsidRPr="000C4977">
        <w:lastRenderedPageBreak/>
        <w:t xml:space="preserve">The commentary considered that while PAOLA-1 used the Myriad </w:t>
      </w:r>
      <w:proofErr w:type="spellStart"/>
      <w:r w:rsidRPr="000C4977">
        <w:t>myChoice</w:t>
      </w:r>
      <w:proofErr w:type="spellEnd"/>
      <w:r w:rsidRPr="000C4977">
        <w:t xml:space="preserve"> HRD plus assay and a threshold score of ≥42 to define HRD positivity in patients who were </w:t>
      </w:r>
      <w:proofErr w:type="spellStart"/>
      <w:r w:rsidRPr="000C4977">
        <w:rPr>
          <w:i/>
          <w:iCs/>
        </w:rPr>
        <w:t>BRCA</w:t>
      </w:r>
      <w:r w:rsidRPr="000C4977">
        <w:t>wt</w:t>
      </w:r>
      <w:proofErr w:type="spellEnd"/>
      <w:r w:rsidRPr="000C4977">
        <w:t xml:space="preserve">, this threshold may not have been appropriate for the </w:t>
      </w:r>
      <w:proofErr w:type="spellStart"/>
      <w:r w:rsidRPr="000C4977">
        <w:rPr>
          <w:i/>
        </w:rPr>
        <w:t>BRCA</w:t>
      </w:r>
      <w:r w:rsidRPr="000C4977">
        <w:t>wt</w:t>
      </w:r>
      <w:proofErr w:type="spellEnd"/>
      <w:r w:rsidRPr="000C4977">
        <w:t xml:space="preserve"> population as:</w:t>
      </w:r>
    </w:p>
    <w:p w14:paraId="0E152AE4" w14:textId="09CD70FE" w:rsidR="000C4977" w:rsidRPr="00FA41B6" w:rsidRDefault="000C4977" w:rsidP="000C4977">
      <w:pPr>
        <w:numPr>
          <w:ilvl w:val="0"/>
          <w:numId w:val="49"/>
        </w:numPr>
        <w:spacing w:line="259" w:lineRule="auto"/>
        <w:contextualSpacing/>
        <w:jc w:val="left"/>
        <w:rPr>
          <w:color w:val="000000" w:themeColor="text1"/>
        </w:rPr>
      </w:pPr>
      <w:r w:rsidRPr="000C4977">
        <w:rPr>
          <w:color w:val="000000" w:themeColor="text1"/>
        </w:rPr>
        <w:t xml:space="preserve">The GIS threshold of 42 reported by </w:t>
      </w:r>
      <w:proofErr w:type="spellStart"/>
      <w:r w:rsidRPr="000C4977">
        <w:rPr>
          <w:color w:val="000000" w:themeColor="text1"/>
        </w:rPr>
        <w:t>Telli</w:t>
      </w:r>
      <w:proofErr w:type="spellEnd"/>
      <w:r w:rsidRPr="000C4977">
        <w:rPr>
          <w:color w:val="000000" w:themeColor="text1"/>
        </w:rPr>
        <w:t xml:space="preserve"> 2016 and used in PAOLA-1 was selected to obtain a sensitivity of at least 95% at detecting </w:t>
      </w:r>
      <w:proofErr w:type="spellStart"/>
      <w:r w:rsidRPr="000C4977">
        <w:rPr>
          <w:i/>
          <w:color w:val="000000" w:themeColor="text1"/>
        </w:rPr>
        <w:t>BRCA</w:t>
      </w:r>
      <w:r w:rsidRPr="000C4977">
        <w:rPr>
          <w:color w:val="000000" w:themeColor="text1"/>
        </w:rPr>
        <w:t>m</w:t>
      </w:r>
      <w:proofErr w:type="spellEnd"/>
      <w:r w:rsidRPr="000C4977">
        <w:rPr>
          <w:color w:val="000000" w:themeColor="text1"/>
        </w:rPr>
        <w:t xml:space="preserve">, with the threshold set at the fifth percentile of the </w:t>
      </w:r>
      <w:r w:rsidRPr="00FA41B6">
        <w:rPr>
          <w:color w:val="000000" w:themeColor="text1"/>
        </w:rPr>
        <w:t xml:space="preserve">HRD scores in the training set of known </w:t>
      </w:r>
      <w:r w:rsidRPr="00FA41B6">
        <w:rPr>
          <w:i/>
          <w:iCs/>
          <w:color w:val="000000" w:themeColor="text1"/>
        </w:rPr>
        <w:t>BRCA1/2</w:t>
      </w:r>
      <w:r w:rsidRPr="00FA41B6">
        <w:rPr>
          <w:color w:val="000000" w:themeColor="text1"/>
        </w:rPr>
        <w:t xml:space="preserve">-deficient breast or ovarian tumours. </w:t>
      </w:r>
      <w:bookmarkStart w:id="40" w:name="_Int_fWK4avW0"/>
      <w:r w:rsidRPr="00FA41B6">
        <w:rPr>
          <w:color w:val="000000" w:themeColor="text1"/>
        </w:rPr>
        <w:t>However</w:t>
      </w:r>
      <w:bookmarkEnd w:id="40"/>
      <w:r w:rsidR="00177633">
        <w:rPr>
          <w:color w:val="000000" w:themeColor="text1"/>
        </w:rPr>
        <w:t>,</w:t>
      </w:r>
      <w:r w:rsidRPr="00FA41B6">
        <w:rPr>
          <w:color w:val="000000" w:themeColor="text1"/>
        </w:rPr>
        <w:t xml:space="preserve"> the significance of the threshold in the </w:t>
      </w:r>
      <w:proofErr w:type="spellStart"/>
      <w:r w:rsidRPr="00FA41B6">
        <w:rPr>
          <w:i/>
          <w:iCs/>
          <w:color w:val="000000" w:themeColor="text1"/>
        </w:rPr>
        <w:t>BRCA</w:t>
      </w:r>
      <w:r w:rsidRPr="00FA41B6">
        <w:rPr>
          <w:color w:val="000000" w:themeColor="text1"/>
        </w:rPr>
        <w:t>wt</w:t>
      </w:r>
      <w:proofErr w:type="spellEnd"/>
      <w:r w:rsidRPr="00FA41B6">
        <w:rPr>
          <w:color w:val="000000" w:themeColor="text1"/>
        </w:rPr>
        <w:t xml:space="preserve"> ovarian cancer patients (which was the requested PBS population) was unclear, and the submission has not explained why a threshold of 42 should be used in the </w:t>
      </w:r>
      <w:proofErr w:type="spellStart"/>
      <w:r w:rsidRPr="00FA41B6">
        <w:rPr>
          <w:i/>
          <w:color w:val="000000" w:themeColor="text1"/>
        </w:rPr>
        <w:t>BRCA</w:t>
      </w:r>
      <w:r w:rsidRPr="00FA41B6">
        <w:rPr>
          <w:color w:val="000000" w:themeColor="text1"/>
        </w:rPr>
        <w:t>wt</w:t>
      </w:r>
      <w:proofErr w:type="spellEnd"/>
      <w:r w:rsidRPr="00FA41B6">
        <w:rPr>
          <w:color w:val="000000" w:themeColor="text1"/>
        </w:rPr>
        <w:t xml:space="preserve"> ovarian cancer population nor was it is apparent what threshold should be </w:t>
      </w:r>
      <w:proofErr w:type="gramStart"/>
      <w:r w:rsidRPr="00FA41B6">
        <w:rPr>
          <w:color w:val="000000" w:themeColor="text1"/>
        </w:rPr>
        <w:t>used;</w:t>
      </w:r>
      <w:proofErr w:type="gramEnd"/>
    </w:p>
    <w:p w14:paraId="5D1B1B82" w14:textId="77777777" w:rsidR="000C4977" w:rsidRPr="00FA41B6" w:rsidRDefault="000C4977" w:rsidP="000C4977">
      <w:pPr>
        <w:numPr>
          <w:ilvl w:val="0"/>
          <w:numId w:val="49"/>
        </w:numPr>
        <w:spacing w:line="259" w:lineRule="auto"/>
        <w:contextualSpacing/>
        <w:jc w:val="left"/>
        <w:rPr>
          <w:color w:val="000000" w:themeColor="text1"/>
        </w:rPr>
      </w:pPr>
      <w:r w:rsidRPr="00FA41B6">
        <w:rPr>
          <w:color w:val="000000" w:themeColor="text1"/>
        </w:rPr>
        <w:t xml:space="preserve">Results from Takaya 2020 and </w:t>
      </w:r>
      <w:proofErr w:type="spellStart"/>
      <w:r w:rsidRPr="00FA41B6">
        <w:rPr>
          <w:color w:val="000000" w:themeColor="text1"/>
        </w:rPr>
        <w:t>Marquard</w:t>
      </w:r>
      <w:proofErr w:type="spellEnd"/>
      <w:r w:rsidRPr="00FA41B6">
        <w:rPr>
          <w:color w:val="000000" w:themeColor="text1"/>
        </w:rPr>
        <w:t xml:space="preserve"> 2015 suggest that HRD scores in ovarian cancer tumours were higher than in breast cancer tumours, and as such using the threshold from a mixed sample as in </w:t>
      </w:r>
      <w:proofErr w:type="spellStart"/>
      <w:r w:rsidRPr="00FA41B6">
        <w:rPr>
          <w:color w:val="000000" w:themeColor="text1"/>
        </w:rPr>
        <w:t>Telli</w:t>
      </w:r>
      <w:proofErr w:type="spellEnd"/>
      <w:r w:rsidRPr="00FA41B6">
        <w:rPr>
          <w:color w:val="000000" w:themeColor="text1"/>
        </w:rPr>
        <w:t xml:space="preserve"> 2016 may not be appropriate; and</w:t>
      </w:r>
    </w:p>
    <w:p w14:paraId="73FB2A48" w14:textId="77777777" w:rsidR="000C4977" w:rsidRPr="00FA41B6" w:rsidRDefault="000C4977" w:rsidP="000C4977">
      <w:pPr>
        <w:numPr>
          <w:ilvl w:val="0"/>
          <w:numId w:val="49"/>
        </w:numPr>
        <w:spacing w:line="259" w:lineRule="auto"/>
        <w:contextualSpacing/>
        <w:jc w:val="left"/>
        <w:rPr>
          <w:color w:val="000000" w:themeColor="text1"/>
        </w:rPr>
      </w:pPr>
      <w:r w:rsidRPr="00FA41B6">
        <w:rPr>
          <w:color w:val="000000" w:themeColor="text1"/>
        </w:rPr>
        <w:t xml:space="preserve">Takaya 2020 also reported that HRD cases caused by genetic HRD such as germline and somatic </w:t>
      </w:r>
      <w:r w:rsidRPr="00FA41B6">
        <w:rPr>
          <w:i/>
          <w:iCs/>
          <w:color w:val="000000" w:themeColor="text1"/>
        </w:rPr>
        <w:t>BRCA1/2</w:t>
      </w:r>
      <w:r w:rsidRPr="00FA41B6">
        <w:rPr>
          <w:color w:val="000000" w:themeColor="text1"/>
        </w:rPr>
        <w:t xml:space="preserve"> mutations had better prognosis than those caused by epigenetic changes and those caused by undetermined reasons (p-0.0002), suggesting that the cause of HRD has a significant impact on prognosis and possibly treatment response, and that the prognosis and outcome for a </w:t>
      </w:r>
      <w:proofErr w:type="spellStart"/>
      <w:r w:rsidRPr="00FA41B6">
        <w:rPr>
          <w:i/>
          <w:iCs/>
          <w:color w:val="000000" w:themeColor="text1"/>
        </w:rPr>
        <w:t>BRCA</w:t>
      </w:r>
      <w:r w:rsidRPr="00FA41B6">
        <w:rPr>
          <w:color w:val="000000" w:themeColor="text1"/>
        </w:rPr>
        <w:t>m</w:t>
      </w:r>
      <w:proofErr w:type="spellEnd"/>
      <w:r w:rsidRPr="00FA41B6">
        <w:rPr>
          <w:color w:val="000000" w:themeColor="text1"/>
        </w:rPr>
        <w:t xml:space="preserve"> patient with a HRD score of 42 would differ to that of a </w:t>
      </w:r>
      <w:proofErr w:type="spellStart"/>
      <w:r w:rsidRPr="00FA41B6">
        <w:rPr>
          <w:i/>
          <w:iCs/>
          <w:color w:val="000000" w:themeColor="text1"/>
        </w:rPr>
        <w:t>BRCA</w:t>
      </w:r>
      <w:r w:rsidRPr="00FA41B6">
        <w:rPr>
          <w:color w:val="000000" w:themeColor="text1"/>
        </w:rPr>
        <w:t>wt</w:t>
      </w:r>
      <w:proofErr w:type="spellEnd"/>
      <w:r w:rsidRPr="00FA41B6">
        <w:rPr>
          <w:color w:val="000000" w:themeColor="text1"/>
        </w:rPr>
        <w:t xml:space="preserve"> patient with a HRD score of 42 and that using the same threshold irrespective of </w:t>
      </w:r>
      <w:r w:rsidRPr="00FA41B6">
        <w:rPr>
          <w:i/>
          <w:iCs/>
          <w:color w:val="000000" w:themeColor="text1"/>
        </w:rPr>
        <w:t>BRCA</w:t>
      </w:r>
      <w:r w:rsidRPr="00FA41B6">
        <w:rPr>
          <w:color w:val="000000" w:themeColor="text1"/>
        </w:rPr>
        <w:t xml:space="preserve"> status may not be appropriate.</w:t>
      </w:r>
    </w:p>
    <w:p w14:paraId="0592071E" w14:textId="77777777" w:rsidR="000C4977" w:rsidRPr="000C4977" w:rsidRDefault="000C4977" w:rsidP="000C4977">
      <w:pPr>
        <w:keepNext/>
        <w:keepLines/>
        <w:tabs>
          <w:tab w:val="left" w:pos="851"/>
        </w:tabs>
        <w:spacing w:before="360" w:after="200" w:line="259" w:lineRule="auto"/>
        <w:jc w:val="left"/>
        <w:outlineLvl w:val="3"/>
        <w:rPr>
          <w:rFonts w:ascii="Franklin Gothic Medium" w:eastAsiaTheme="majorEastAsia" w:hAnsi="Franklin Gothic Medium" w:cstheme="majorBidi"/>
          <w:i/>
          <w:szCs w:val="24"/>
        </w:rPr>
      </w:pPr>
      <w:r w:rsidRPr="000C4977">
        <w:rPr>
          <w:rFonts w:ascii="Franklin Gothic Medium" w:eastAsiaTheme="majorEastAsia" w:hAnsi="Franklin Gothic Medium" w:cstheme="majorBidi"/>
          <w:i/>
          <w:szCs w:val="24"/>
        </w:rPr>
        <w:t>Cross-sectional accuracy</w:t>
      </w:r>
    </w:p>
    <w:p w14:paraId="4E27C039" w14:textId="794867A4" w:rsidR="000C4977" w:rsidRPr="00870583" w:rsidRDefault="000C4977" w:rsidP="000C4977">
      <w:pPr>
        <w:spacing w:line="259" w:lineRule="auto"/>
        <w:jc w:val="left"/>
      </w:pPr>
      <w:r w:rsidRPr="000C4977">
        <w:t xml:space="preserve">Four cross-sectional accuracy studies of ovarian cancer samples were identified in the submission. Of these, one study (PAOLA-1) evaluated the Myriad </w:t>
      </w:r>
      <w:proofErr w:type="spellStart"/>
      <w:r w:rsidRPr="000C4977">
        <w:t>myChoice</w:t>
      </w:r>
      <w:proofErr w:type="spellEnd"/>
      <w:r w:rsidRPr="000C4977">
        <w:t xml:space="preserve"> HRD plus assay with other NGS-based assays in determining pathogenic</w:t>
      </w:r>
      <w:r w:rsidRPr="000C4977">
        <w:rPr>
          <w:i/>
          <w:iCs/>
        </w:rPr>
        <w:t xml:space="preserve"> </w:t>
      </w:r>
      <w:proofErr w:type="spellStart"/>
      <w:r w:rsidRPr="000C4977">
        <w:rPr>
          <w:i/>
          <w:iCs/>
        </w:rPr>
        <w:t>BRCA</w:t>
      </w:r>
      <w:r w:rsidRPr="000C4977">
        <w:t>m</w:t>
      </w:r>
      <w:proofErr w:type="spellEnd"/>
      <w:r w:rsidRPr="000C4977">
        <w:t xml:space="preserve">, one study evaluated the Myriad </w:t>
      </w:r>
      <w:proofErr w:type="spellStart"/>
      <w:r w:rsidRPr="000C4977">
        <w:t>myChoice</w:t>
      </w:r>
      <w:proofErr w:type="spellEnd"/>
      <w:r w:rsidRPr="000C4977">
        <w:t xml:space="preserve"> </w:t>
      </w:r>
      <w:proofErr w:type="spellStart"/>
      <w:r w:rsidRPr="000C4977">
        <w:t>CDx</w:t>
      </w:r>
      <w:proofErr w:type="spellEnd"/>
      <w:r w:rsidRPr="000C4977">
        <w:t xml:space="preserve"> assay with other NGS-based assays in determining pathogenic </w:t>
      </w:r>
      <w:proofErr w:type="spellStart"/>
      <w:r w:rsidRPr="000C4977">
        <w:rPr>
          <w:i/>
          <w:iCs/>
        </w:rPr>
        <w:t>BRCA</w:t>
      </w:r>
      <w:r w:rsidRPr="000C4977">
        <w:t>m</w:t>
      </w:r>
      <w:proofErr w:type="spellEnd"/>
      <w:r w:rsidRPr="000C4977">
        <w:t xml:space="preserve"> (FDA 2019) and one compared the Myriad </w:t>
      </w:r>
      <w:proofErr w:type="spellStart"/>
      <w:r w:rsidRPr="000C4977">
        <w:t>myChoice</w:t>
      </w:r>
      <w:proofErr w:type="spellEnd"/>
      <w:r w:rsidRPr="000C4977">
        <w:t xml:space="preserve"> assay (not commercially available) and an assay from Foundation Medicine to detect pathogenic </w:t>
      </w:r>
      <w:proofErr w:type="spellStart"/>
      <w:r w:rsidRPr="000C4977">
        <w:rPr>
          <w:i/>
          <w:iCs/>
        </w:rPr>
        <w:t>BRCA</w:t>
      </w:r>
      <w:r w:rsidRPr="000C4977">
        <w:t>m</w:t>
      </w:r>
      <w:proofErr w:type="spellEnd"/>
      <w:r w:rsidRPr="000C4977">
        <w:t xml:space="preserve"> in patients with HGEOC (Hodgson 2018). </w:t>
      </w:r>
      <w:bookmarkStart w:id="41" w:name="_Int_guXtRWmv"/>
      <w:proofErr w:type="gramStart"/>
      <w:r w:rsidRPr="00FA41B6">
        <w:t>Additionally</w:t>
      </w:r>
      <w:bookmarkEnd w:id="41"/>
      <w:proofErr w:type="gramEnd"/>
      <w:r w:rsidRPr="00FA41B6">
        <w:t xml:space="preserve"> one ongoing validation study from the </w:t>
      </w:r>
      <w:r w:rsidR="00A8205F" w:rsidRPr="00A8205F">
        <w:rPr>
          <w:color w:val="000000"/>
          <w:spacing w:val="73"/>
          <w:w w:val="81"/>
          <w:shd w:val="solid" w:color="000000" w:fill="000000"/>
          <w:fitText w:val="252" w:id="-1450960627"/>
          <w14:textFill>
            <w14:solidFill>
              <w14:srgbClr w14:val="000000">
                <w14:alpha w14:val="100000"/>
              </w14:srgbClr>
            </w14:solidFill>
          </w14:textFill>
        </w:rPr>
        <w:t>|</w:t>
      </w:r>
      <w:r w:rsidR="00A8205F" w:rsidRPr="00A8205F">
        <w:rPr>
          <w:color w:val="000000"/>
          <w:spacing w:val="1"/>
          <w:w w:val="81"/>
          <w:shd w:val="solid" w:color="000000" w:fill="000000"/>
          <w:fitText w:val="252" w:id="-1450960627"/>
          <w14:textFill>
            <w14:solidFill>
              <w14:srgbClr w14:val="000000">
                <w14:alpha w14:val="100000"/>
              </w14:srgbClr>
            </w14:solidFill>
          </w14:textFill>
        </w:rPr>
        <w:t>|</w:t>
      </w:r>
      <w:r w:rsidR="00A8205F" w:rsidRPr="00A8205F">
        <w:t xml:space="preserve"> </w:t>
      </w:r>
      <w:r w:rsidRPr="00FA41B6">
        <w:t xml:space="preserve">compared the proposed </w:t>
      </w:r>
      <w:proofErr w:type="spellStart"/>
      <w:r w:rsidRPr="00FA41B6">
        <w:t>SOPHiA</w:t>
      </w:r>
      <w:proofErr w:type="spellEnd"/>
      <w:r w:rsidRPr="00FA41B6">
        <w:t xml:space="preserve"> Genetics test with the Myriad </w:t>
      </w:r>
      <w:proofErr w:type="spellStart"/>
      <w:r w:rsidRPr="00FA41B6">
        <w:t>myChoice</w:t>
      </w:r>
      <w:proofErr w:type="spellEnd"/>
      <w:r w:rsidRPr="00FA41B6">
        <w:t xml:space="preserve"> </w:t>
      </w:r>
      <w:proofErr w:type="spellStart"/>
      <w:r w:rsidRPr="00FA41B6">
        <w:t>CDx</w:t>
      </w:r>
      <w:proofErr w:type="spellEnd"/>
      <w:r w:rsidRPr="00FA41B6">
        <w:t xml:space="preserve"> assay was provided. One additional study was identified during the evaluation. The Myriad </w:t>
      </w:r>
      <w:proofErr w:type="spellStart"/>
      <w:r w:rsidRPr="00FA41B6">
        <w:t>myChoice</w:t>
      </w:r>
      <w:proofErr w:type="spellEnd"/>
      <w:r w:rsidRPr="00FA41B6">
        <w:t xml:space="preserve"> </w:t>
      </w:r>
      <w:proofErr w:type="spellStart"/>
      <w:r w:rsidRPr="00FA41B6">
        <w:t>CDx</w:t>
      </w:r>
      <w:proofErr w:type="spellEnd"/>
      <w:r w:rsidRPr="00FA41B6">
        <w:t xml:space="preserve"> PLUS technical specification document reported some concordance outcomes between the Myriad </w:t>
      </w:r>
      <w:proofErr w:type="spellStart"/>
      <w:r w:rsidRPr="00FA41B6">
        <w:t>myChoice</w:t>
      </w:r>
      <w:proofErr w:type="spellEnd"/>
      <w:r w:rsidRPr="00FA41B6">
        <w:t xml:space="preserve"> HRD plus assay and the Myriad </w:t>
      </w:r>
      <w:proofErr w:type="spellStart"/>
      <w:r w:rsidRPr="00FA41B6">
        <w:t>myChoice</w:t>
      </w:r>
      <w:proofErr w:type="spellEnd"/>
      <w:r w:rsidRPr="00FA41B6">
        <w:t xml:space="preserve"> </w:t>
      </w:r>
      <w:proofErr w:type="spellStart"/>
      <w:r w:rsidRPr="00FA41B6">
        <w:t>CDx</w:t>
      </w:r>
      <w:proofErr w:type="spellEnd"/>
      <w:r w:rsidRPr="00FA41B6">
        <w:t xml:space="preserve"> assay as well as some comparative information of the Myriad </w:t>
      </w:r>
      <w:proofErr w:type="spellStart"/>
      <w:r w:rsidRPr="00FA41B6">
        <w:t>myChoice</w:t>
      </w:r>
      <w:proofErr w:type="spellEnd"/>
      <w:r w:rsidRPr="00FA41B6">
        <w:t xml:space="preserve"> </w:t>
      </w:r>
      <w:proofErr w:type="spellStart"/>
      <w:r w:rsidRPr="00FA41B6">
        <w:t>CDx</w:t>
      </w:r>
      <w:proofErr w:type="spellEnd"/>
      <w:r w:rsidRPr="00FA41B6">
        <w:t xml:space="preserve"> with NGS in determining </w:t>
      </w:r>
      <w:proofErr w:type="spellStart"/>
      <w:r w:rsidRPr="00FA41B6">
        <w:rPr>
          <w:i/>
          <w:iCs/>
        </w:rPr>
        <w:t>BRCA</w:t>
      </w:r>
      <w:r w:rsidRPr="00FA41B6">
        <w:t>m</w:t>
      </w:r>
      <w:proofErr w:type="spellEnd"/>
      <w:r w:rsidRPr="00FA41B6">
        <w:t xml:space="preserve"> status</w:t>
      </w:r>
      <w:r w:rsidR="00870583" w:rsidRPr="00FA41B6">
        <w:t>.</w:t>
      </w:r>
    </w:p>
    <w:p w14:paraId="660618A1" w14:textId="016B61A4" w:rsidR="000C4977" w:rsidRPr="000C4977" w:rsidRDefault="00595284" w:rsidP="000C4977">
      <w:pPr>
        <w:spacing w:line="259" w:lineRule="auto"/>
        <w:jc w:val="left"/>
      </w:pPr>
      <w:r>
        <w:fldChar w:fldCharType="begin"/>
      </w:r>
      <w:r>
        <w:instrText xml:space="preserve"> REF _Ref111813598 \h </w:instrText>
      </w:r>
      <w:r>
        <w:fldChar w:fldCharType="separate"/>
      </w:r>
      <w:r w:rsidR="00D8603B">
        <w:t xml:space="preserve">Table </w:t>
      </w:r>
      <w:r w:rsidR="00D8603B">
        <w:rPr>
          <w:noProof/>
        </w:rPr>
        <w:t>11</w:t>
      </w:r>
      <w:r>
        <w:fldChar w:fldCharType="end"/>
      </w:r>
      <w:r>
        <w:t xml:space="preserve"> </w:t>
      </w:r>
      <w:r w:rsidR="000C4977" w:rsidRPr="000C4977">
        <w:t>provides an overview of these studies.</w:t>
      </w:r>
    </w:p>
    <w:p w14:paraId="41D8B6F9" w14:textId="7D53A2CA" w:rsidR="00595284" w:rsidRPr="00595284" w:rsidRDefault="00595284" w:rsidP="00595284">
      <w:pPr>
        <w:pStyle w:val="Caption"/>
        <w:rPr>
          <w:bCs/>
        </w:rPr>
      </w:pPr>
      <w:bookmarkStart w:id="42" w:name="_Ref111813598"/>
      <w:r>
        <w:lastRenderedPageBreak/>
        <w:t xml:space="preserve">Table </w:t>
      </w:r>
      <w:fldSimple w:instr=" SEQ Table \* ARABIC ">
        <w:r w:rsidR="00D8603B">
          <w:rPr>
            <w:noProof/>
          </w:rPr>
          <w:t>11</w:t>
        </w:r>
      </w:fldSimple>
      <w:bookmarkEnd w:id="42"/>
      <w:r w:rsidR="00FD7777">
        <w:rPr>
          <w:noProof/>
        </w:rPr>
        <w:tab/>
      </w:r>
      <w:r w:rsidRPr="00595284">
        <w:rPr>
          <w:bCs/>
          <w:iCs w:val="0"/>
        </w:rPr>
        <w:t xml:space="preserve">Summary of cross-sectional accuracy studies for HRD test to identify </w:t>
      </w:r>
      <w:r w:rsidRPr="00595284">
        <w:rPr>
          <w:bCs/>
          <w:i/>
          <w:iCs w:val="0"/>
        </w:rPr>
        <w:t>BRCA</w:t>
      </w:r>
      <w:r w:rsidRPr="00595284">
        <w:rPr>
          <w:bCs/>
          <w:iCs w:val="0"/>
        </w:rPr>
        <w:t>, GIS and overall HRD status</w:t>
      </w:r>
    </w:p>
    <w:tbl>
      <w:tblPr>
        <w:tblStyle w:val="PBACtable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90"/>
        <w:gridCol w:w="1023"/>
        <w:gridCol w:w="949"/>
        <w:gridCol w:w="1149"/>
        <w:gridCol w:w="1149"/>
        <w:gridCol w:w="1378"/>
        <w:gridCol w:w="682"/>
        <w:gridCol w:w="682"/>
      </w:tblGrid>
      <w:tr w:rsidR="000C4977" w:rsidRPr="00595284" w14:paraId="1F962B11" w14:textId="77777777" w:rsidTr="37344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7C5AD62D"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Study</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78218" w14:textId="77777777"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6B566" w14:textId="67B2EC7F"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vertAlign w:val="superscript"/>
              </w:rPr>
            </w:pPr>
            <w:r w:rsidRPr="00595284">
              <w:rPr>
                <w:rFonts w:ascii="Arial Narrow" w:eastAsia="Times New Roman" w:hAnsi="Arial Narrow" w:cs="Times New Roman"/>
                <w:bCs/>
                <w:color w:val="000000" w:themeColor="text1"/>
                <w:szCs w:val="20"/>
              </w:rPr>
              <w:t>Level of evidence</w:t>
            </w:r>
            <w:r w:rsidR="00776599" w:rsidRPr="00595284">
              <w:rPr>
                <w:rFonts w:ascii="Arial Narrow" w:eastAsia="Times New Roman" w:hAnsi="Arial Narrow" w:cs="Times New Roman"/>
                <w:bCs/>
                <w:color w:val="000000" w:themeColor="text1"/>
                <w:szCs w:val="20"/>
              </w:rPr>
              <w:t> </w:t>
            </w:r>
            <w:r w:rsidRPr="00595284">
              <w:rPr>
                <w:rFonts w:ascii="Arial Narrow" w:eastAsia="Times New Roman" w:hAnsi="Arial Narrow" w:cs="Times New Roman"/>
                <w:bCs/>
                <w:color w:val="000000" w:themeColor="text1"/>
                <w:szCs w:val="20"/>
                <w:vertAlign w:val="superscript"/>
              </w:rPr>
              <w:t>a</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9EC5C" w14:textId="77777777"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Risk of bias</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D6B40" w14:textId="3ACC5FFB"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rPr>
            </w:pPr>
            <w:r w:rsidRPr="00595284">
              <w:rPr>
                <w:rFonts w:ascii="Arial Narrow" w:eastAsia="Times New Roman" w:hAnsi="Arial Narrow" w:cs="Times New Roman"/>
                <w:bCs/>
                <w:color w:val="000000" w:themeColor="text1"/>
                <w:szCs w:val="20"/>
              </w:rPr>
              <w:t>Sensitivity</w:t>
            </w:r>
            <w:r w:rsidR="00776599" w:rsidRPr="00595284">
              <w:rPr>
                <w:rFonts w:ascii="Arial Narrow" w:eastAsia="Times New Roman" w:hAnsi="Arial Narrow" w:cs="Times New Roman"/>
                <w:bCs/>
                <w:color w:val="000000" w:themeColor="text1"/>
                <w:szCs w:val="20"/>
              </w:rPr>
              <w:t> </w:t>
            </w:r>
            <w:r w:rsidRPr="00595284">
              <w:rPr>
                <w:rFonts w:ascii="Arial Narrow" w:eastAsia="Times New Roman" w:hAnsi="Arial Narrow" w:cs="Times New Roman"/>
                <w:color w:val="000000" w:themeColor="text1"/>
                <w:szCs w:val="20"/>
                <w:vertAlign w:val="superscript"/>
              </w:rPr>
              <w:t>b</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84A52" w14:textId="4D8AFF7E"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Specificity</w:t>
            </w:r>
            <w:r w:rsidR="00776599" w:rsidRPr="00595284">
              <w:rPr>
                <w:rFonts w:ascii="Arial Narrow" w:eastAsia="Times New Roman" w:hAnsi="Arial Narrow" w:cs="Times New Roman"/>
                <w:bCs/>
                <w:color w:val="000000" w:themeColor="text1"/>
                <w:szCs w:val="20"/>
              </w:rPr>
              <w:t> </w:t>
            </w:r>
            <w:r w:rsidRPr="00595284">
              <w:rPr>
                <w:rFonts w:ascii="Arial Narrow" w:eastAsia="Times New Roman" w:hAnsi="Arial Narrow" w:cs="Times New Roman"/>
                <w:color w:val="000000" w:themeColor="text1"/>
                <w:szCs w:val="20"/>
                <w:vertAlign w:val="superscript"/>
              </w:rPr>
              <w:t>b</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7FDFC" w14:textId="77777777"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Area under the ROC curve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7905A" w14:textId="77777777"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PPV</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9A46F" w14:textId="77777777" w:rsidR="000C4977" w:rsidRPr="00595284"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rPr>
            </w:pPr>
            <w:r w:rsidRPr="00595284">
              <w:rPr>
                <w:rFonts w:ascii="Arial Narrow" w:eastAsia="Times New Roman" w:hAnsi="Arial Narrow" w:cs="Times New Roman"/>
                <w:bCs/>
                <w:color w:val="000000" w:themeColor="text1"/>
                <w:szCs w:val="20"/>
              </w:rPr>
              <w:t>NPV</w:t>
            </w:r>
          </w:p>
        </w:tc>
      </w:tr>
      <w:tr w:rsidR="000C4977" w:rsidRPr="00595284" w14:paraId="72B07E56" w14:textId="77777777" w:rsidTr="373443CE">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hideMark/>
          </w:tcPr>
          <w:p w14:paraId="5EFEDEA6"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b/>
                <w:bCs/>
                <w:i/>
                <w:iCs/>
                <w:color w:val="000000" w:themeColor="text1"/>
                <w:szCs w:val="20"/>
              </w:rPr>
              <w:t>BRCA</w:t>
            </w:r>
            <w:r w:rsidRPr="00595284">
              <w:rPr>
                <w:rFonts w:ascii="Arial Narrow" w:eastAsia="Times New Roman" w:hAnsi="Arial Narrow" w:cs="Times New Roman"/>
                <w:b/>
                <w:bCs/>
                <w:color w:val="000000" w:themeColor="text1"/>
                <w:szCs w:val="20"/>
              </w:rPr>
              <w:t xml:space="preserve"> status</w:t>
            </w:r>
          </w:p>
        </w:tc>
      </w:tr>
      <w:tr w:rsidR="000C4977" w:rsidRPr="00595284" w14:paraId="28D79CD5"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77EBA8FE" w14:textId="0FECB35C" w:rsidR="000C4977" w:rsidRPr="00F84405" w:rsidRDefault="00A8205F" w:rsidP="000C4977">
            <w:pPr>
              <w:keepNext/>
              <w:keepLines/>
              <w:widowControl w:val="0"/>
              <w:spacing w:before="0"/>
              <w:jc w:val="left"/>
              <w:rPr>
                <w:rFonts w:ascii="Arial Narrow" w:eastAsia="Times New Roman" w:hAnsi="Arial Narrow" w:cs="Times New Roman"/>
                <w:color w:val="000000" w:themeColor="text1"/>
              </w:rPr>
            </w:pPr>
            <w:r w:rsidRPr="00A8205F">
              <w:rPr>
                <w:rFonts w:ascii="Arial Narrow" w:eastAsia="Times New Roman" w:hAnsi="Arial Narrow" w:cs="Times New Roman"/>
                <w:color w:val="000000" w:themeColor="text1"/>
                <w:spacing w:val="94"/>
                <w:shd w:val="solid" w:color="000000" w:fill="000000"/>
                <w:fitText w:val="180" w:id="-1450962176"/>
                <w14:textFill>
                  <w14:solidFill>
                    <w14:schemeClr w14:val="tx1">
                      <w14:alpha w14:val="100000"/>
                    </w14:schemeClr>
                  </w14:solidFill>
                </w14:textFill>
              </w:rPr>
              <w:t>|</w:t>
            </w:r>
            <w:r w:rsidRPr="00A8205F">
              <w:rPr>
                <w:rFonts w:ascii="Arial Narrow" w:eastAsia="Times New Roman" w:hAnsi="Arial Narrow" w:cs="Times New Roman"/>
                <w:color w:val="000000" w:themeColor="text1"/>
                <w:spacing w:val="1"/>
                <w:shd w:val="solid" w:color="000000" w:fill="000000"/>
                <w:fitText w:val="180" w:id="-1450962176"/>
                <w14:textFill>
                  <w14:solidFill>
                    <w14:schemeClr w14:val="tx1">
                      <w14:alpha w14:val="100000"/>
                    </w14:schemeClr>
                  </w14:solidFill>
                </w14:textFill>
              </w:rPr>
              <w:t>|</w:t>
            </w:r>
            <w:r w:rsidR="000C4977" w:rsidRPr="1CD16233">
              <w:rPr>
                <w:rFonts w:ascii="Arial Narrow" w:eastAsia="Times New Roman" w:hAnsi="Arial Narrow" w:cs="Times New Roman"/>
                <w:color w:val="000000" w:themeColor="text1"/>
              </w:rPr>
              <w:t xml:space="preserve"> validation</w:t>
            </w:r>
          </w:p>
          <w:p w14:paraId="26BF0CF0" w14:textId="77777777" w:rsidR="000C4977" w:rsidRPr="00F84405" w:rsidRDefault="000C4977" w:rsidP="000C4977">
            <w:pPr>
              <w:keepNext/>
              <w:keepLines/>
              <w:widowControl w:val="0"/>
              <w:spacing w:before="0"/>
              <w:jc w:val="left"/>
              <w:rPr>
                <w:rFonts w:ascii="Arial Narrow" w:eastAsia="Times New Roman" w:hAnsi="Arial Narrow" w:cs="Times New Roman"/>
                <w:b/>
                <w:color w:val="000000" w:themeColor="text1"/>
              </w:rPr>
            </w:pPr>
            <w:r w:rsidRPr="65106A7D">
              <w:rPr>
                <w:rFonts w:ascii="Arial Narrow" w:eastAsia="Times New Roman" w:hAnsi="Arial Narrow" w:cs="Times New Roman"/>
                <w:color w:val="000000" w:themeColor="text1"/>
              </w:rPr>
              <w:t>(</w:t>
            </w:r>
            <w:bookmarkStart w:id="43" w:name="_Int_gfBQ07cH"/>
            <w:proofErr w:type="gramStart"/>
            <w:r w:rsidRPr="65106A7D">
              <w:rPr>
                <w:rFonts w:ascii="Arial Narrow" w:eastAsia="Times New Roman" w:hAnsi="Arial Narrow" w:cs="Times New Roman"/>
                <w:color w:val="000000" w:themeColor="text1"/>
              </w:rPr>
              <w:t>submission</w:t>
            </w:r>
            <w:bookmarkEnd w:id="43"/>
            <w:proofErr w:type="gramEnd"/>
            <w:r w:rsidRPr="65106A7D">
              <w:rPr>
                <w:rFonts w:ascii="Arial Narrow" w:eastAsia="Times New Roman" w:hAnsi="Arial Narrow" w:cs="Times New Roman"/>
                <w:color w:val="000000" w:themeColor="text1"/>
              </w:rPr>
              <w:t>, mixed)</w:t>
            </w:r>
          </w:p>
        </w:tc>
        <w:tc>
          <w:tcPr>
            <w:tcW w:w="272" w:type="pct"/>
            <w:tcBorders>
              <w:top w:val="single" w:sz="4" w:space="0" w:color="auto"/>
              <w:left w:val="single" w:sz="4" w:space="0" w:color="auto"/>
              <w:bottom w:val="single" w:sz="4" w:space="0" w:color="auto"/>
              <w:right w:val="single" w:sz="4" w:space="0" w:color="auto"/>
            </w:tcBorders>
            <w:vAlign w:val="center"/>
            <w:hideMark/>
          </w:tcPr>
          <w:p w14:paraId="0A6025FD"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46</w:t>
            </w:r>
          </w:p>
        </w:tc>
        <w:tc>
          <w:tcPr>
            <w:tcW w:w="567" w:type="pct"/>
            <w:tcBorders>
              <w:top w:val="single" w:sz="4" w:space="0" w:color="auto"/>
              <w:left w:val="single" w:sz="4" w:space="0" w:color="auto"/>
              <w:bottom w:val="single" w:sz="4" w:space="0" w:color="auto"/>
              <w:right w:val="single" w:sz="4" w:space="0" w:color="auto"/>
            </w:tcBorders>
            <w:vAlign w:val="center"/>
            <w:hideMark/>
          </w:tcPr>
          <w:p w14:paraId="259E0360"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hideMark/>
          </w:tcPr>
          <w:p w14:paraId="39F430A6"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vAlign w:val="center"/>
            <w:hideMark/>
          </w:tcPr>
          <w:p w14:paraId="67FB21AD"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100%</w:t>
            </w:r>
          </w:p>
        </w:tc>
        <w:tc>
          <w:tcPr>
            <w:tcW w:w="637" w:type="pct"/>
            <w:tcBorders>
              <w:top w:val="single" w:sz="4" w:space="0" w:color="auto"/>
              <w:left w:val="single" w:sz="4" w:space="0" w:color="auto"/>
              <w:bottom w:val="single" w:sz="4" w:space="0" w:color="auto"/>
              <w:right w:val="single" w:sz="4" w:space="0" w:color="auto"/>
            </w:tcBorders>
            <w:vAlign w:val="center"/>
            <w:hideMark/>
          </w:tcPr>
          <w:p w14:paraId="2847CDBB"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97%</w:t>
            </w:r>
          </w:p>
        </w:tc>
        <w:tc>
          <w:tcPr>
            <w:tcW w:w="764" w:type="pct"/>
            <w:tcBorders>
              <w:top w:val="single" w:sz="4" w:space="0" w:color="auto"/>
              <w:left w:val="single" w:sz="4" w:space="0" w:color="auto"/>
              <w:bottom w:val="single" w:sz="4" w:space="0" w:color="auto"/>
              <w:right w:val="single" w:sz="4" w:space="0" w:color="auto"/>
            </w:tcBorders>
            <w:vAlign w:val="center"/>
            <w:hideMark/>
          </w:tcPr>
          <w:p w14:paraId="65AC3747"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1AD18F6A"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92%</w:t>
            </w:r>
          </w:p>
        </w:tc>
        <w:tc>
          <w:tcPr>
            <w:tcW w:w="378" w:type="pct"/>
            <w:tcBorders>
              <w:top w:val="single" w:sz="4" w:space="0" w:color="auto"/>
              <w:left w:val="single" w:sz="4" w:space="0" w:color="auto"/>
              <w:bottom w:val="single" w:sz="4" w:space="0" w:color="auto"/>
              <w:right w:val="single" w:sz="4" w:space="0" w:color="auto"/>
            </w:tcBorders>
            <w:vAlign w:val="center"/>
            <w:hideMark/>
          </w:tcPr>
          <w:p w14:paraId="74778935"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89%</w:t>
            </w:r>
          </w:p>
        </w:tc>
      </w:tr>
      <w:tr w:rsidR="000C4977" w:rsidRPr="00595284" w14:paraId="23ACCB71"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tcPr>
          <w:p w14:paraId="72A8647A" w14:textId="6FB68F71" w:rsidR="000C4977" w:rsidRPr="00F84405" w:rsidRDefault="00A8205F" w:rsidP="000C4977">
            <w:pPr>
              <w:keepNext/>
              <w:keepLines/>
              <w:widowControl w:val="0"/>
              <w:spacing w:before="0"/>
              <w:jc w:val="left"/>
              <w:rPr>
                <w:rFonts w:ascii="Arial Narrow" w:eastAsia="Times New Roman" w:hAnsi="Arial Narrow" w:cs="Times New Roman"/>
                <w:color w:val="000000" w:themeColor="text1"/>
                <w:vertAlign w:val="superscript"/>
              </w:rPr>
            </w:pPr>
            <w:r w:rsidRPr="00A8205F">
              <w:rPr>
                <w:rFonts w:ascii="Arial Narrow" w:eastAsia="Times New Roman" w:hAnsi="Arial Narrow" w:cs="Times New Roman"/>
                <w:color w:val="000000" w:themeColor="text1"/>
                <w:spacing w:val="94"/>
                <w:shd w:val="solid" w:color="000000" w:fill="000000"/>
                <w:fitText w:val="180" w:id="-1450962175"/>
                <w14:textFill>
                  <w14:solidFill>
                    <w14:schemeClr w14:val="tx1">
                      <w14:alpha w14:val="100000"/>
                    </w14:schemeClr>
                  </w14:solidFill>
                </w14:textFill>
              </w:rPr>
              <w:t>|</w:t>
            </w:r>
            <w:r w:rsidRPr="00A8205F">
              <w:rPr>
                <w:rFonts w:ascii="Arial Narrow" w:eastAsia="Times New Roman" w:hAnsi="Arial Narrow" w:cs="Times New Roman"/>
                <w:color w:val="000000" w:themeColor="text1"/>
                <w:spacing w:val="1"/>
                <w:shd w:val="solid" w:color="000000" w:fill="000000"/>
                <w:fitText w:val="180" w:id="-1450962175"/>
                <w14:textFill>
                  <w14:solidFill>
                    <w14:schemeClr w14:val="tx1">
                      <w14:alpha w14:val="100000"/>
                    </w14:schemeClr>
                  </w14:solidFill>
                </w14:textFill>
              </w:rPr>
              <w:t>|</w:t>
            </w:r>
            <w:r w:rsidR="000C4977" w:rsidRPr="1CD16233">
              <w:rPr>
                <w:rFonts w:ascii="Arial Narrow" w:eastAsia="Times New Roman" w:hAnsi="Arial Narrow" w:cs="Times New Roman"/>
                <w:color w:val="000000" w:themeColor="text1"/>
              </w:rPr>
              <w:t xml:space="preserve"> validation (pre-ESC, ovarian) </w:t>
            </w:r>
            <w:r w:rsidR="000C4977" w:rsidRPr="1CD16233">
              <w:rPr>
                <w:rFonts w:ascii="Arial Narrow" w:eastAsia="Times New Roman" w:hAnsi="Arial Narrow" w:cs="Times New Roman"/>
                <w:color w:val="000000" w:themeColor="text1"/>
                <w:vertAlign w:val="superscript"/>
              </w:rPr>
              <w:t>c</w:t>
            </w:r>
          </w:p>
        </w:tc>
        <w:tc>
          <w:tcPr>
            <w:tcW w:w="272" w:type="pct"/>
            <w:tcBorders>
              <w:top w:val="single" w:sz="4" w:space="0" w:color="auto"/>
              <w:left w:val="single" w:sz="4" w:space="0" w:color="auto"/>
              <w:bottom w:val="single" w:sz="4" w:space="0" w:color="auto"/>
              <w:right w:val="single" w:sz="4" w:space="0" w:color="auto"/>
            </w:tcBorders>
            <w:vAlign w:val="center"/>
          </w:tcPr>
          <w:p w14:paraId="41239900"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60</w:t>
            </w:r>
          </w:p>
        </w:tc>
        <w:tc>
          <w:tcPr>
            <w:tcW w:w="567" w:type="pct"/>
            <w:tcBorders>
              <w:top w:val="single" w:sz="4" w:space="0" w:color="auto"/>
              <w:left w:val="single" w:sz="4" w:space="0" w:color="auto"/>
              <w:bottom w:val="single" w:sz="4" w:space="0" w:color="auto"/>
              <w:right w:val="single" w:sz="4" w:space="0" w:color="auto"/>
            </w:tcBorders>
            <w:vAlign w:val="center"/>
          </w:tcPr>
          <w:p w14:paraId="0DB1786F"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tcPr>
          <w:p w14:paraId="6C65EF39"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vAlign w:val="center"/>
          </w:tcPr>
          <w:p w14:paraId="1D9740B1" w14:textId="77777777" w:rsidR="000C4977" w:rsidRPr="0045080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450804">
              <w:rPr>
                <w:rFonts w:ascii="Arial Narrow" w:eastAsia="Times New Roman" w:hAnsi="Arial Narrow" w:cs="Times New Roman"/>
                <w:color w:val="000000" w:themeColor="text1"/>
                <w:sz w:val="20"/>
                <w:szCs w:val="20"/>
              </w:rPr>
              <w:t>100%</w:t>
            </w:r>
          </w:p>
        </w:tc>
        <w:tc>
          <w:tcPr>
            <w:tcW w:w="637" w:type="pct"/>
            <w:tcBorders>
              <w:top w:val="single" w:sz="4" w:space="0" w:color="auto"/>
              <w:left w:val="single" w:sz="4" w:space="0" w:color="auto"/>
              <w:bottom w:val="single" w:sz="4" w:space="0" w:color="auto"/>
              <w:right w:val="single" w:sz="4" w:space="0" w:color="auto"/>
            </w:tcBorders>
            <w:vAlign w:val="center"/>
          </w:tcPr>
          <w:p w14:paraId="4E9977D4" w14:textId="77777777" w:rsidR="000C4977" w:rsidRPr="0045080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450804">
              <w:rPr>
                <w:rFonts w:ascii="Arial Narrow" w:eastAsia="Times New Roman" w:hAnsi="Arial Narrow" w:cs="Times New Roman"/>
                <w:color w:val="000000" w:themeColor="text1"/>
                <w:sz w:val="20"/>
                <w:szCs w:val="20"/>
              </w:rPr>
              <w:t>100%</w:t>
            </w:r>
          </w:p>
        </w:tc>
        <w:tc>
          <w:tcPr>
            <w:tcW w:w="764" w:type="pct"/>
            <w:tcBorders>
              <w:top w:val="single" w:sz="4" w:space="0" w:color="auto"/>
              <w:left w:val="single" w:sz="4" w:space="0" w:color="auto"/>
              <w:bottom w:val="single" w:sz="4" w:space="0" w:color="auto"/>
              <w:right w:val="single" w:sz="4" w:space="0" w:color="auto"/>
            </w:tcBorders>
            <w:vAlign w:val="center"/>
          </w:tcPr>
          <w:p w14:paraId="7096DC53" w14:textId="77777777" w:rsidR="000C4977" w:rsidRPr="0045080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45080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tcPr>
          <w:p w14:paraId="05AE2938" w14:textId="47C6B01D" w:rsidR="1CD16233" w:rsidRPr="00450804" w:rsidRDefault="1CD16233" w:rsidP="1CD16233">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p>
          <w:p w14:paraId="668F53F6" w14:textId="77777777" w:rsidR="000C4977" w:rsidRPr="0045080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450804">
              <w:rPr>
                <w:rFonts w:ascii="Arial Narrow" w:eastAsia="Times New Roman" w:hAnsi="Arial Narrow" w:cs="Times New Roman"/>
                <w:color w:val="000000" w:themeColor="text1"/>
                <w:sz w:val="20"/>
                <w:szCs w:val="20"/>
              </w:rPr>
              <w:t>100%</w:t>
            </w:r>
          </w:p>
        </w:tc>
        <w:tc>
          <w:tcPr>
            <w:tcW w:w="378" w:type="pct"/>
            <w:tcBorders>
              <w:top w:val="single" w:sz="4" w:space="0" w:color="auto"/>
              <w:left w:val="single" w:sz="4" w:space="0" w:color="auto"/>
              <w:bottom w:val="single" w:sz="4" w:space="0" w:color="auto"/>
              <w:right w:val="single" w:sz="4" w:space="0" w:color="auto"/>
            </w:tcBorders>
            <w:vAlign w:val="center"/>
          </w:tcPr>
          <w:p w14:paraId="2394EF4B" w14:textId="77777777" w:rsidR="000C4977" w:rsidRPr="0045080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450804">
              <w:rPr>
                <w:rFonts w:ascii="Arial Narrow" w:eastAsia="Times New Roman" w:hAnsi="Arial Narrow" w:cs="Times New Roman"/>
                <w:color w:val="000000" w:themeColor="text1"/>
                <w:sz w:val="20"/>
                <w:szCs w:val="20"/>
              </w:rPr>
              <w:t>NR</w:t>
            </w:r>
          </w:p>
        </w:tc>
      </w:tr>
      <w:tr w:rsidR="000C4977" w:rsidRPr="00595284" w14:paraId="36C8FC59"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3705748F"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PAOLA-1</w:t>
            </w:r>
          </w:p>
        </w:tc>
        <w:tc>
          <w:tcPr>
            <w:tcW w:w="272" w:type="pct"/>
            <w:tcBorders>
              <w:top w:val="single" w:sz="4" w:space="0" w:color="auto"/>
              <w:left w:val="single" w:sz="4" w:space="0" w:color="auto"/>
              <w:bottom w:val="single" w:sz="4" w:space="0" w:color="auto"/>
              <w:right w:val="single" w:sz="4" w:space="0" w:color="auto"/>
            </w:tcBorders>
            <w:vAlign w:val="center"/>
            <w:hideMark/>
          </w:tcPr>
          <w:p w14:paraId="675568DD"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728</w:t>
            </w:r>
          </w:p>
        </w:tc>
        <w:tc>
          <w:tcPr>
            <w:tcW w:w="567" w:type="pct"/>
            <w:tcBorders>
              <w:top w:val="single" w:sz="4" w:space="0" w:color="auto"/>
              <w:left w:val="single" w:sz="4" w:space="0" w:color="auto"/>
              <w:bottom w:val="single" w:sz="4" w:space="0" w:color="auto"/>
              <w:right w:val="single" w:sz="4" w:space="0" w:color="auto"/>
            </w:tcBorders>
            <w:vAlign w:val="center"/>
            <w:hideMark/>
          </w:tcPr>
          <w:p w14:paraId="52A4DB1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Level II</w:t>
            </w:r>
          </w:p>
        </w:tc>
        <w:tc>
          <w:tcPr>
            <w:tcW w:w="527" w:type="pct"/>
            <w:tcBorders>
              <w:top w:val="single" w:sz="4" w:space="0" w:color="auto"/>
              <w:left w:val="single" w:sz="4" w:space="0" w:color="auto"/>
              <w:bottom w:val="single" w:sz="4" w:space="0" w:color="auto"/>
              <w:right w:val="single" w:sz="4" w:space="0" w:color="auto"/>
            </w:tcBorders>
            <w:vAlign w:val="center"/>
            <w:hideMark/>
          </w:tcPr>
          <w:p w14:paraId="19762EBE"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Low</w:t>
            </w:r>
          </w:p>
        </w:tc>
        <w:tc>
          <w:tcPr>
            <w:tcW w:w="637" w:type="pct"/>
            <w:tcBorders>
              <w:top w:val="single" w:sz="4" w:space="0" w:color="auto"/>
              <w:left w:val="single" w:sz="4" w:space="0" w:color="auto"/>
              <w:bottom w:val="single" w:sz="4" w:space="0" w:color="auto"/>
              <w:right w:val="single" w:sz="4" w:space="0" w:color="auto"/>
            </w:tcBorders>
            <w:vAlign w:val="center"/>
            <w:hideMark/>
          </w:tcPr>
          <w:p w14:paraId="65EBEEA3"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91.3%</w:t>
            </w:r>
          </w:p>
        </w:tc>
        <w:tc>
          <w:tcPr>
            <w:tcW w:w="637" w:type="pct"/>
            <w:tcBorders>
              <w:top w:val="single" w:sz="4" w:space="0" w:color="auto"/>
              <w:left w:val="single" w:sz="4" w:space="0" w:color="auto"/>
              <w:bottom w:val="single" w:sz="4" w:space="0" w:color="auto"/>
              <w:right w:val="single" w:sz="4" w:space="0" w:color="auto"/>
            </w:tcBorders>
            <w:vAlign w:val="center"/>
            <w:hideMark/>
          </w:tcPr>
          <w:p w14:paraId="272EC53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98.6%</w:t>
            </w:r>
          </w:p>
        </w:tc>
        <w:tc>
          <w:tcPr>
            <w:tcW w:w="764" w:type="pct"/>
            <w:tcBorders>
              <w:top w:val="single" w:sz="4" w:space="0" w:color="auto"/>
              <w:left w:val="single" w:sz="4" w:space="0" w:color="auto"/>
              <w:bottom w:val="single" w:sz="4" w:space="0" w:color="auto"/>
              <w:right w:val="single" w:sz="4" w:space="0" w:color="auto"/>
            </w:tcBorders>
            <w:vAlign w:val="center"/>
            <w:hideMark/>
          </w:tcPr>
          <w:p w14:paraId="4850E5A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628768F2"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sz w:val="20"/>
                <w:szCs w:val="20"/>
              </w:rPr>
              <w:t>96.8%</w:t>
            </w:r>
          </w:p>
        </w:tc>
        <w:tc>
          <w:tcPr>
            <w:tcW w:w="378" w:type="pct"/>
            <w:tcBorders>
              <w:top w:val="single" w:sz="4" w:space="0" w:color="auto"/>
              <w:left w:val="single" w:sz="4" w:space="0" w:color="auto"/>
              <w:bottom w:val="single" w:sz="4" w:space="0" w:color="auto"/>
              <w:right w:val="single" w:sz="4" w:space="0" w:color="auto"/>
            </w:tcBorders>
            <w:vAlign w:val="center"/>
            <w:hideMark/>
          </w:tcPr>
          <w:p w14:paraId="7FD202F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96.1%</w:t>
            </w:r>
          </w:p>
        </w:tc>
      </w:tr>
      <w:tr w:rsidR="000C4977" w:rsidRPr="00595284" w14:paraId="0E3FACFC"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5785BFC4"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FDA 2019</w:t>
            </w:r>
          </w:p>
        </w:tc>
        <w:tc>
          <w:tcPr>
            <w:tcW w:w="272" w:type="pct"/>
            <w:tcBorders>
              <w:top w:val="single" w:sz="4" w:space="0" w:color="auto"/>
              <w:left w:val="single" w:sz="4" w:space="0" w:color="auto"/>
              <w:bottom w:val="single" w:sz="4" w:space="0" w:color="auto"/>
              <w:right w:val="single" w:sz="4" w:space="0" w:color="auto"/>
            </w:tcBorders>
            <w:vAlign w:val="center"/>
            <w:hideMark/>
          </w:tcPr>
          <w:p w14:paraId="411AAF73"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200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37C9A22C"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hideMark/>
          </w:tcPr>
          <w:p w14:paraId="4D5F5231"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Moderate</w:t>
            </w:r>
          </w:p>
        </w:tc>
        <w:tc>
          <w:tcPr>
            <w:tcW w:w="637" w:type="pct"/>
            <w:tcBorders>
              <w:top w:val="single" w:sz="4" w:space="0" w:color="auto"/>
              <w:left w:val="single" w:sz="4" w:space="0" w:color="auto"/>
              <w:bottom w:val="single" w:sz="4" w:space="0" w:color="auto"/>
              <w:right w:val="single" w:sz="4" w:space="0" w:color="auto"/>
            </w:tcBorders>
            <w:vAlign w:val="center"/>
            <w:hideMark/>
          </w:tcPr>
          <w:p w14:paraId="5CE10454"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c>
          <w:tcPr>
            <w:tcW w:w="637" w:type="pct"/>
            <w:tcBorders>
              <w:top w:val="single" w:sz="4" w:space="0" w:color="auto"/>
              <w:left w:val="single" w:sz="4" w:space="0" w:color="auto"/>
              <w:bottom w:val="single" w:sz="4" w:space="0" w:color="auto"/>
              <w:right w:val="single" w:sz="4" w:space="0" w:color="auto"/>
            </w:tcBorders>
            <w:vAlign w:val="center"/>
            <w:hideMark/>
          </w:tcPr>
          <w:p w14:paraId="3F700540"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c>
          <w:tcPr>
            <w:tcW w:w="764" w:type="pct"/>
            <w:tcBorders>
              <w:top w:val="single" w:sz="4" w:space="0" w:color="auto"/>
              <w:left w:val="single" w:sz="4" w:space="0" w:color="auto"/>
              <w:bottom w:val="single" w:sz="4" w:space="0" w:color="auto"/>
              <w:right w:val="single" w:sz="4" w:space="0" w:color="auto"/>
            </w:tcBorders>
            <w:vAlign w:val="center"/>
            <w:hideMark/>
          </w:tcPr>
          <w:p w14:paraId="47862FF5"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01EA9D54"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c>
          <w:tcPr>
            <w:tcW w:w="378" w:type="pct"/>
            <w:tcBorders>
              <w:top w:val="single" w:sz="4" w:space="0" w:color="auto"/>
              <w:left w:val="single" w:sz="4" w:space="0" w:color="auto"/>
              <w:bottom w:val="single" w:sz="4" w:space="0" w:color="auto"/>
              <w:right w:val="single" w:sz="4" w:space="0" w:color="auto"/>
            </w:tcBorders>
            <w:vAlign w:val="center"/>
            <w:hideMark/>
          </w:tcPr>
          <w:p w14:paraId="20A25265"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r>
      <w:tr w:rsidR="000C4977" w:rsidRPr="00595284" w14:paraId="72D1B3C0"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3BDC042F"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Hodgson 2018</w:t>
            </w:r>
          </w:p>
        </w:tc>
        <w:tc>
          <w:tcPr>
            <w:tcW w:w="272" w:type="pct"/>
            <w:tcBorders>
              <w:top w:val="single" w:sz="4" w:space="0" w:color="auto"/>
              <w:left w:val="single" w:sz="4" w:space="0" w:color="auto"/>
              <w:bottom w:val="single" w:sz="4" w:space="0" w:color="auto"/>
              <w:right w:val="single" w:sz="4" w:space="0" w:color="auto"/>
            </w:tcBorders>
            <w:vAlign w:val="center"/>
            <w:hideMark/>
          </w:tcPr>
          <w:p w14:paraId="0299413D"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193</w:t>
            </w:r>
          </w:p>
        </w:tc>
        <w:tc>
          <w:tcPr>
            <w:tcW w:w="567" w:type="pct"/>
            <w:tcBorders>
              <w:top w:val="single" w:sz="4" w:space="0" w:color="auto"/>
              <w:left w:val="single" w:sz="4" w:space="0" w:color="auto"/>
              <w:bottom w:val="single" w:sz="4" w:space="0" w:color="auto"/>
              <w:right w:val="single" w:sz="4" w:space="0" w:color="auto"/>
            </w:tcBorders>
            <w:vAlign w:val="center"/>
            <w:hideMark/>
          </w:tcPr>
          <w:p w14:paraId="4C68838C"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hideMark/>
          </w:tcPr>
          <w:p w14:paraId="608B6927"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Moderate</w:t>
            </w:r>
          </w:p>
        </w:tc>
        <w:tc>
          <w:tcPr>
            <w:tcW w:w="637" w:type="pct"/>
            <w:tcBorders>
              <w:top w:val="single" w:sz="4" w:space="0" w:color="auto"/>
              <w:left w:val="single" w:sz="4" w:space="0" w:color="auto"/>
              <w:bottom w:val="single" w:sz="4" w:space="0" w:color="auto"/>
              <w:right w:val="single" w:sz="4" w:space="0" w:color="auto"/>
            </w:tcBorders>
            <w:vAlign w:val="center"/>
            <w:hideMark/>
          </w:tcPr>
          <w:p w14:paraId="5F4DDF1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c>
          <w:tcPr>
            <w:tcW w:w="637" w:type="pct"/>
            <w:tcBorders>
              <w:top w:val="single" w:sz="4" w:space="0" w:color="auto"/>
              <w:left w:val="single" w:sz="4" w:space="0" w:color="auto"/>
              <w:bottom w:val="single" w:sz="4" w:space="0" w:color="auto"/>
              <w:right w:val="single" w:sz="4" w:space="0" w:color="auto"/>
            </w:tcBorders>
            <w:vAlign w:val="center"/>
            <w:hideMark/>
          </w:tcPr>
          <w:p w14:paraId="4974AB6E"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96.6%</w:t>
            </w:r>
          </w:p>
        </w:tc>
        <w:tc>
          <w:tcPr>
            <w:tcW w:w="764" w:type="pct"/>
            <w:tcBorders>
              <w:top w:val="single" w:sz="4" w:space="0" w:color="auto"/>
              <w:left w:val="single" w:sz="4" w:space="0" w:color="auto"/>
              <w:bottom w:val="single" w:sz="4" w:space="0" w:color="auto"/>
              <w:right w:val="single" w:sz="4" w:space="0" w:color="auto"/>
            </w:tcBorders>
            <w:vAlign w:val="center"/>
            <w:hideMark/>
          </w:tcPr>
          <w:p w14:paraId="1BE183A3"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3583D48A"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97.3%</w:t>
            </w:r>
          </w:p>
        </w:tc>
        <w:tc>
          <w:tcPr>
            <w:tcW w:w="378" w:type="pct"/>
            <w:tcBorders>
              <w:top w:val="single" w:sz="4" w:space="0" w:color="auto"/>
              <w:left w:val="single" w:sz="4" w:space="0" w:color="auto"/>
              <w:bottom w:val="single" w:sz="4" w:space="0" w:color="auto"/>
              <w:right w:val="single" w:sz="4" w:space="0" w:color="auto"/>
            </w:tcBorders>
            <w:vAlign w:val="center"/>
            <w:hideMark/>
          </w:tcPr>
          <w:p w14:paraId="1D7D812F"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100%</w:t>
            </w:r>
          </w:p>
        </w:tc>
      </w:tr>
      <w:tr w:rsidR="000C4977" w:rsidRPr="00595284" w14:paraId="71D1A5BD"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tcPr>
          <w:p w14:paraId="71E9B81F" w14:textId="7EAF1262"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vertAlign w:val="superscript"/>
              </w:rPr>
            </w:pPr>
            <w:proofErr w:type="spellStart"/>
            <w:r w:rsidRPr="00595284">
              <w:rPr>
                <w:rFonts w:ascii="Arial Narrow" w:eastAsia="Times New Roman" w:hAnsi="Arial Narrow" w:cs="Times New Roman"/>
                <w:color w:val="000000" w:themeColor="text1"/>
                <w:szCs w:val="20"/>
              </w:rPr>
              <w:t>myChoice</w:t>
            </w:r>
            <w:proofErr w:type="spellEnd"/>
            <w:r w:rsidRPr="00595284">
              <w:rPr>
                <w:rFonts w:ascii="Arial Narrow" w:eastAsia="Times New Roman" w:hAnsi="Arial Narrow" w:cs="Times New Roman"/>
                <w:color w:val="000000" w:themeColor="text1"/>
                <w:szCs w:val="20"/>
              </w:rPr>
              <w:t xml:space="preserve"> </w:t>
            </w:r>
            <w:proofErr w:type="spellStart"/>
            <w:r w:rsidRPr="00595284">
              <w:rPr>
                <w:rFonts w:ascii="Arial Narrow" w:eastAsia="Times New Roman" w:hAnsi="Arial Narrow" w:cs="Times New Roman"/>
                <w:color w:val="000000" w:themeColor="text1"/>
                <w:szCs w:val="20"/>
              </w:rPr>
              <w:t>CDx</w:t>
            </w:r>
            <w:proofErr w:type="spellEnd"/>
            <w:r w:rsidRPr="00595284">
              <w:rPr>
                <w:rFonts w:ascii="Arial Narrow" w:eastAsia="Times New Roman" w:hAnsi="Arial Narrow" w:cs="Times New Roman"/>
                <w:color w:val="000000" w:themeColor="text1"/>
                <w:szCs w:val="20"/>
              </w:rPr>
              <w:t xml:space="preserve"> tech spec </w:t>
            </w:r>
            <w:r w:rsidRPr="00595284">
              <w:rPr>
                <w:rFonts w:ascii="Arial Narrow" w:eastAsia="Times New Roman" w:hAnsi="Arial Narrow" w:cs="Times New Roman"/>
                <w:color w:val="000000" w:themeColor="text1"/>
                <w:szCs w:val="20"/>
                <w:vertAlign w:val="superscript"/>
              </w:rPr>
              <w:t>d</w:t>
            </w:r>
          </w:p>
        </w:tc>
        <w:tc>
          <w:tcPr>
            <w:tcW w:w="272" w:type="pct"/>
            <w:tcBorders>
              <w:top w:val="single" w:sz="4" w:space="0" w:color="auto"/>
              <w:left w:val="single" w:sz="4" w:space="0" w:color="auto"/>
              <w:bottom w:val="single" w:sz="4" w:space="0" w:color="auto"/>
              <w:right w:val="single" w:sz="4" w:space="0" w:color="auto"/>
            </w:tcBorders>
            <w:vAlign w:val="center"/>
          </w:tcPr>
          <w:p w14:paraId="2E496257"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292</w:t>
            </w:r>
          </w:p>
        </w:tc>
        <w:tc>
          <w:tcPr>
            <w:tcW w:w="567" w:type="pct"/>
            <w:tcBorders>
              <w:top w:val="single" w:sz="4" w:space="0" w:color="auto"/>
              <w:left w:val="single" w:sz="4" w:space="0" w:color="auto"/>
              <w:bottom w:val="single" w:sz="4" w:space="0" w:color="auto"/>
              <w:right w:val="single" w:sz="4" w:space="0" w:color="auto"/>
            </w:tcBorders>
            <w:vAlign w:val="center"/>
          </w:tcPr>
          <w:p w14:paraId="504E7ECB"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Unknown</w:t>
            </w:r>
          </w:p>
        </w:tc>
        <w:tc>
          <w:tcPr>
            <w:tcW w:w="527" w:type="pct"/>
            <w:tcBorders>
              <w:top w:val="single" w:sz="4" w:space="0" w:color="auto"/>
              <w:left w:val="single" w:sz="4" w:space="0" w:color="auto"/>
              <w:bottom w:val="single" w:sz="4" w:space="0" w:color="auto"/>
              <w:right w:val="single" w:sz="4" w:space="0" w:color="auto"/>
            </w:tcBorders>
            <w:vAlign w:val="center"/>
          </w:tcPr>
          <w:p w14:paraId="6E630DC1"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vAlign w:val="center"/>
          </w:tcPr>
          <w:p w14:paraId="6913A769"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97.3%</w:t>
            </w:r>
          </w:p>
        </w:tc>
        <w:tc>
          <w:tcPr>
            <w:tcW w:w="637" w:type="pct"/>
            <w:tcBorders>
              <w:top w:val="single" w:sz="4" w:space="0" w:color="auto"/>
              <w:left w:val="single" w:sz="4" w:space="0" w:color="auto"/>
              <w:bottom w:val="single" w:sz="4" w:space="0" w:color="auto"/>
              <w:right w:val="single" w:sz="4" w:space="0" w:color="auto"/>
            </w:tcBorders>
            <w:vAlign w:val="center"/>
          </w:tcPr>
          <w:p w14:paraId="320A628D"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NR</w:t>
            </w:r>
          </w:p>
        </w:tc>
        <w:tc>
          <w:tcPr>
            <w:tcW w:w="764" w:type="pct"/>
            <w:tcBorders>
              <w:top w:val="single" w:sz="4" w:space="0" w:color="auto"/>
              <w:left w:val="single" w:sz="4" w:space="0" w:color="auto"/>
              <w:bottom w:val="single" w:sz="4" w:space="0" w:color="auto"/>
              <w:right w:val="single" w:sz="4" w:space="0" w:color="auto"/>
            </w:tcBorders>
            <w:vAlign w:val="center"/>
          </w:tcPr>
          <w:p w14:paraId="53739B48"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tcPr>
          <w:p w14:paraId="1518EDC1"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NR</w:t>
            </w:r>
          </w:p>
        </w:tc>
        <w:tc>
          <w:tcPr>
            <w:tcW w:w="378" w:type="pct"/>
            <w:tcBorders>
              <w:top w:val="single" w:sz="4" w:space="0" w:color="auto"/>
              <w:left w:val="single" w:sz="4" w:space="0" w:color="auto"/>
              <w:bottom w:val="single" w:sz="4" w:space="0" w:color="auto"/>
              <w:right w:val="single" w:sz="4" w:space="0" w:color="auto"/>
            </w:tcBorders>
            <w:vAlign w:val="center"/>
          </w:tcPr>
          <w:p w14:paraId="7865BB5C"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rPr>
            </w:pPr>
            <w:r w:rsidRPr="00595284">
              <w:rPr>
                <w:rFonts w:ascii="Arial Narrow" w:eastAsia="Times New Roman" w:hAnsi="Arial Narrow" w:cs="Times New Roman"/>
                <w:i/>
                <w:iCs/>
                <w:color w:val="000000" w:themeColor="text1"/>
                <w:sz w:val="20"/>
                <w:szCs w:val="20"/>
              </w:rPr>
              <w:t>NR</w:t>
            </w:r>
          </w:p>
        </w:tc>
      </w:tr>
      <w:tr w:rsidR="000C4977" w:rsidRPr="00595284" w14:paraId="5ADF45FF" w14:textId="77777777" w:rsidTr="373443CE">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hideMark/>
          </w:tcPr>
          <w:p w14:paraId="12D04477"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b/>
                <w:bCs/>
                <w:color w:val="000000" w:themeColor="text1"/>
                <w:szCs w:val="20"/>
              </w:rPr>
              <w:t>GIS</w:t>
            </w:r>
          </w:p>
        </w:tc>
      </w:tr>
      <w:tr w:rsidR="000C4977" w:rsidRPr="00595284" w14:paraId="742A1CD5"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428D2D64" w14:textId="380DD048" w:rsidR="000C4977" w:rsidRPr="00F84405" w:rsidRDefault="00A8205F" w:rsidP="373443CE">
            <w:pPr>
              <w:keepNext/>
              <w:keepLines/>
              <w:widowControl w:val="0"/>
              <w:spacing w:before="0"/>
              <w:jc w:val="left"/>
              <w:rPr>
                <w:rFonts w:ascii="Arial Narrow" w:eastAsia="Times New Roman" w:hAnsi="Arial Narrow" w:cs="Times New Roman"/>
                <w:color w:val="000000" w:themeColor="text1"/>
              </w:rPr>
            </w:pPr>
            <w:r w:rsidRPr="00A8205F">
              <w:rPr>
                <w:rFonts w:ascii="Arial Narrow" w:eastAsia="Times New Roman" w:hAnsi="Arial Narrow" w:cs="Times New Roman"/>
                <w:color w:val="000000" w:themeColor="text1"/>
                <w:spacing w:val="94"/>
                <w:shd w:val="solid" w:color="000000" w:fill="000000"/>
                <w:fitText w:val="180" w:id="-1450962174"/>
                <w14:textFill>
                  <w14:solidFill>
                    <w14:schemeClr w14:val="tx1">
                      <w14:alpha w14:val="100000"/>
                    </w14:schemeClr>
                  </w14:solidFill>
                </w14:textFill>
              </w:rPr>
              <w:t>|</w:t>
            </w:r>
            <w:r w:rsidRPr="00A8205F">
              <w:rPr>
                <w:rFonts w:ascii="Arial Narrow" w:eastAsia="Times New Roman" w:hAnsi="Arial Narrow" w:cs="Times New Roman"/>
                <w:color w:val="000000" w:themeColor="text1"/>
                <w:spacing w:val="1"/>
                <w:shd w:val="solid" w:color="000000" w:fill="000000"/>
                <w:fitText w:val="180" w:id="-1450962174"/>
                <w14:textFill>
                  <w14:solidFill>
                    <w14:schemeClr w14:val="tx1">
                      <w14:alpha w14:val="100000"/>
                    </w14:schemeClr>
                  </w14:solidFill>
                </w14:textFill>
              </w:rPr>
              <w:t>|</w:t>
            </w:r>
            <w:r w:rsidR="000C4977" w:rsidRPr="373443CE">
              <w:rPr>
                <w:rFonts w:ascii="Arial Narrow" w:eastAsia="Times New Roman" w:hAnsi="Arial Narrow" w:cs="Times New Roman"/>
                <w:color w:val="000000" w:themeColor="text1"/>
              </w:rPr>
              <w:t xml:space="preserve"> validation (submission, mixed)</w:t>
            </w:r>
          </w:p>
        </w:tc>
        <w:tc>
          <w:tcPr>
            <w:tcW w:w="272" w:type="pct"/>
            <w:tcBorders>
              <w:top w:val="single" w:sz="4" w:space="0" w:color="auto"/>
              <w:left w:val="single" w:sz="4" w:space="0" w:color="auto"/>
              <w:bottom w:val="single" w:sz="4" w:space="0" w:color="auto"/>
              <w:right w:val="single" w:sz="4" w:space="0" w:color="auto"/>
            </w:tcBorders>
            <w:vAlign w:val="center"/>
            <w:hideMark/>
          </w:tcPr>
          <w:p w14:paraId="3D13226E"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31</w:t>
            </w:r>
          </w:p>
        </w:tc>
        <w:tc>
          <w:tcPr>
            <w:tcW w:w="567" w:type="pct"/>
            <w:tcBorders>
              <w:top w:val="single" w:sz="4" w:space="0" w:color="auto"/>
              <w:left w:val="single" w:sz="4" w:space="0" w:color="auto"/>
              <w:bottom w:val="single" w:sz="4" w:space="0" w:color="auto"/>
              <w:right w:val="single" w:sz="4" w:space="0" w:color="auto"/>
            </w:tcBorders>
            <w:vAlign w:val="center"/>
            <w:hideMark/>
          </w:tcPr>
          <w:p w14:paraId="221CAC48"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hideMark/>
          </w:tcPr>
          <w:p w14:paraId="410A0339"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vAlign w:val="center"/>
            <w:hideMark/>
          </w:tcPr>
          <w:p w14:paraId="382A7CF8"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86%</w:t>
            </w:r>
          </w:p>
        </w:tc>
        <w:tc>
          <w:tcPr>
            <w:tcW w:w="637" w:type="pct"/>
            <w:tcBorders>
              <w:top w:val="single" w:sz="4" w:space="0" w:color="auto"/>
              <w:left w:val="single" w:sz="4" w:space="0" w:color="auto"/>
              <w:bottom w:val="single" w:sz="4" w:space="0" w:color="auto"/>
              <w:right w:val="single" w:sz="4" w:space="0" w:color="auto"/>
            </w:tcBorders>
            <w:vAlign w:val="center"/>
            <w:hideMark/>
          </w:tcPr>
          <w:p w14:paraId="51091913"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94%</w:t>
            </w:r>
          </w:p>
        </w:tc>
        <w:tc>
          <w:tcPr>
            <w:tcW w:w="764" w:type="pct"/>
            <w:tcBorders>
              <w:top w:val="single" w:sz="4" w:space="0" w:color="auto"/>
              <w:left w:val="single" w:sz="4" w:space="0" w:color="auto"/>
              <w:bottom w:val="single" w:sz="4" w:space="0" w:color="auto"/>
              <w:right w:val="single" w:sz="4" w:space="0" w:color="auto"/>
            </w:tcBorders>
            <w:vAlign w:val="center"/>
            <w:hideMark/>
          </w:tcPr>
          <w:p w14:paraId="6513C5B7"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4294F930"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92%</w:t>
            </w:r>
          </w:p>
        </w:tc>
        <w:tc>
          <w:tcPr>
            <w:tcW w:w="378" w:type="pct"/>
            <w:tcBorders>
              <w:top w:val="single" w:sz="4" w:space="0" w:color="auto"/>
              <w:left w:val="single" w:sz="4" w:space="0" w:color="auto"/>
              <w:bottom w:val="single" w:sz="4" w:space="0" w:color="auto"/>
              <w:right w:val="single" w:sz="4" w:space="0" w:color="auto"/>
            </w:tcBorders>
            <w:vAlign w:val="center"/>
            <w:hideMark/>
          </w:tcPr>
          <w:p w14:paraId="68287C01" w14:textId="77777777" w:rsidR="000C4977" w:rsidRPr="006474F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6474F6">
              <w:rPr>
                <w:rFonts w:ascii="Arial Narrow" w:eastAsia="Times New Roman" w:hAnsi="Arial Narrow" w:cs="Times New Roman"/>
                <w:color w:val="000000" w:themeColor="text1"/>
                <w:sz w:val="20"/>
                <w:szCs w:val="20"/>
              </w:rPr>
              <w:t>89%</w:t>
            </w:r>
          </w:p>
        </w:tc>
      </w:tr>
      <w:tr w:rsidR="000C4977" w:rsidRPr="00595284" w14:paraId="54DED787" w14:textId="77777777" w:rsidTr="005235A9">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tcPr>
          <w:p w14:paraId="0EA11BDB" w14:textId="0F77DCBD" w:rsidR="000C4977" w:rsidRPr="00F84405" w:rsidRDefault="00A8205F" w:rsidP="000C4977">
            <w:pPr>
              <w:keepNext/>
              <w:keepLines/>
              <w:widowControl w:val="0"/>
              <w:spacing w:before="0"/>
              <w:jc w:val="left"/>
              <w:rPr>
                <w:rFonts w:ascii="Arial Narrow" w:eastAsia="Times New Roman" w:hAnsi="Arial Narrow" w:cs="Times New Roman"/>
                <w:color w:val="000000" w:themeColor="text1"/>
                <w:vertAlign w:val="superscript"/>
              </w:rPr>
            </w:pPr>
            <w:r w:rsidRPr="00A8205F">
              <w:rPr>
                <w:rFonts w:ascii="Arial Narrow" w:eastAsia="Times New Roman" w:hAnsi="Arial Narrow" w:cs="Times New Roman"/>
                <w:color w:val="000000" w:themeColor="text1"/>
                <w:spacing w:val="94"/>
                <w:shd w:val="solid" w:color="000000" w:fill="000000"/>
                <w:fitText w:val="180" w:id="-1450962173"/>
                <w14:textFill>
                  <w14:solidFill>
                    <w14:schemeClr w14:val="tx1">
                      <w14:alpha w14:val="100000"/>
                    </w14:schemeClr>
                  </w14:solidFill>
                </w14:textFill>
              </w:rPr>
              <w:t>|</w:t>
            </w:r>
            <w:r w:rsidRPr="00A8205F">
              <w:rPr>
                <w:rFonts w:ascii="Arial Narrow" w:eastAsia="Times New Roman" w:hAnsi="Arial Narrow" w:cs="Times New Roman"/>
                <w:color w:val="000000" w:themeColor="text1"/>
                <w:spacing w:val="1"/>
                <w:shd w:val="solid" w:color="000000" w:fill="000000"/>
                <w:fitText w:val="180" w:id="-1450962173"/>
                <w14:textFill>
                  <w14:solidFill>
                    <w14:schemeClr w14:val="tx1">
                      <w14:alpha w14:val="100000"/>
                    </w14:schemeClr>
                  </w14:solidFill>
                </w14:textFill>
              </w:rPr>
              <w:t>|</w:t>
            </w:r>
            <w:r w:rsidR="000C4977" w:rsidRPr="1CD16233">
              <w:rPr>
                <w:rFonts w:ascii="Arial Narrow" w:eastAsia="Times New Roman" w:hAnsi="Arial Narrow" w:cs="Times New Roman"/>
                <w:color w:val="000000" w:themeColor="text1"/>
              </w:rPr>
              <w:t xml:space="preserve"> validation (pre-ESC, ovarian) </w:t>
            </w:r>
            <w:r w:rsidR="000C4977" w:rsidRPr="1CD16233">
              <w:rPr>
                <w:rFonts w:ascii="Arial Narrow" w:eastAsia="Times New Roman" w:hAnsi="Arial Narrow" w:cs="Times New Roman"/>
                <w:color w:val="000000" w:themeColor="text1"/>
                <w:vertAlign w:val="superscript"/>
              </w:rPr>
              <w:t>e</w:t>
            </w:r>
          </w:p>
        </w:tc>
        <w:tc>
          <w:tcPr>
            <w:tcW w:w="272" w:type="pct"/>
            <w:tcBorders>
              <w:top w:val="single" w:sz="4" w:space="0" w:color="auto"/>
              <w:left w:val="single" w:sz="4" w:space="0" w:color="auto"/>
              <w:bottom w:val="single" w:sz="4" w:space="0" w:color="auto"/>
              <w:right w:val="single" w:sz="4" w:space="0" w:color="auto"/>
            </w:tcBorders>
            <w:vAlign w:val="center"/>
          </w:tcPr>
          <w:p w14:paraId="55B6596E"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51</w:t>
            </w:r>
          </w:p>
        </w:tc>
        <w:tc>
          <w:tcPr>
            <w:tcW w:w="567" w:type="pct"/>
            <w:tcBorders>
              <w:top w:val="single" w:sz="4" w:space="0" w:color="auto"/>
              <w:left w:val="single" w:sz="4" w:space="0" w:color="auto"/>
              <w:bottom w:val="single" w:sz="4" w:space="0" w:color="auto"/>
              <w:right w:val="single" w:sz="4" w:space="0" w:color="auto"/>
            </w:tcBorders>
            <w:vAlign w:val="center"/>
          </w:tcPr>
          <w:p w14:paraId="4F91A5A1"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tcPr>
          <w:p w14:paraId="218BF512"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1457661"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3645DF">
              <w:rPr>
                <w:rFonts w:ascii="Arial Narrow" w:eastAsia="Times New Roman" w:hAnsi="Arial Narrow" w:cs="Times New Roman"/>
                <w:color w:val="000000" w:themeColor="text1"/>
                <w:sz w:val="20"/>
                <w:szCs w:val="20"/>
              </w:rPr>
              <w:t>83</w:t>
            </w:r>
            <w:r w:rsidRPr="00F84405">
              <w:rPr>
                <w:rFonts w:ascii="Arial Narrow" w:eastAsia="Times New Roman" w:hAnsi="Arial Narrow" w:cs="Times New Roman"/>
                <w:color w:val="000000" w:themeColor="text1"/>
                <w:sz w:val="20"/>
                <w:szCs w:val="20"/>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30DB1B9D"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3645DF">
              <w:rPr>
                <w:rFonts w:ascii="Arial Narrow" w:eastAsia="Times New Roman" w:hAnsi="Arial Narrow" w:cs="Times New Roman"/>
                <w:color w:val="000000" w:themeColor="text1"/>
                <w:sz w:val="20"/>
                <w:szCs w:val="20"/>
              </w:rPr>
              <w:t>91%</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0BF2E99"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16B983F"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3645DF">
              <w:rPr>
                <w:rFonts w:ascii="Arial Narrow" w:eastAsia="Times New Roman" w:hAnsi="Arial Narrow" w:cs="Times New Roman"/>
                <w:color w:val="000000" w:themeColor="text1"/>
                <w:sz w:val="20"/>
                <w:szCs w:val="20"/>
              </w:rPr>
              <w:t>92</w:t>
            </w:r>
            <w:r w:rsidRPr="00F84405">
              <w:rPr>
                <w:rFonts w:ascii="Arial Narrow" w:eastAsia="Times New Roman" w:hAnsi="Arial Narrow" w:cs="Times New Roman"/>
                <w:color w:val="000000" w:themeColor="text1"/>
                <w:sz w:val="20"/>
                <w:szCs w:val="20"/>
              </w:rPr>
              <w:t>%</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7BC7B9C"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NR</w:t>
            </w:r>
          </w:p>
        </w:tc>
      </w:tr>
      <w:tr w:rsidR="000C4977" w:rsidRPr="00595284" w14:paraId="4E5FD8F7"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03FF374E"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FDA 2019</w:t>
            </w:r>
          </w:p>
        </w:tc>
        <w:tc>
          <w:tcPr>
            <w:tcW w:w="272" w:type="pct"/>
            <w:tcBorders>
              <w:top w:val="single" w:sz="4" w:space="0" w:color="auto"/>
              <w:left w:val="single" w:sz="4" w:space="0" w:color="auto"/>
              <w:bottom w:val="single" w:sz="4" w:space="0" w:color="auto"/>
              <w:right w:val="single" w:sz="4" w:space="0" w:color="auto"/>
            </w:tcBorders>
            <w:vAlign w:val="center"/>
            <w:hideMark/>
          </w:tcPr>
          <w:p w14:paraId="70F955F8"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200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2863F27F"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vAlign w:val="center"/>
            <w:hideMark/>
          </w:tcPr>
          <w:p w14:paraId="1D5ABF17"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Moderate</w:t>
            </w:r>
          </w:p>
        </w:tc>
        <w:tc>
          <w:tcPr>
            <w:tcW w:w="637" w:type="pct"/>
            <w:tcBorders>
              <w:top w:val="single" w:sz="4" w:space="0" w:color="auto"/>
              <w:left w:val="single" w:sz="4" w:space="0" w:color="auto"/>
              <w:bottom w:val="single" w:sz="4" w:space="0" w:color="auto"/>
              <w:right w:val="single" w:sz="4" w:space="0" w:color="auto"/>
            </w:tcBorders>
            <w:vAlign w:val="center"/>
            <w:hideMark/>
          </w:tcPr>
          <w:p w14:paraId="3D619DBD"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98.5%</w:t>
            </w:r>
          </w:p>
        </w:tc>
        <w:tc>
          <w:tcPr>
            <w:tcW w:w="637" w:type="pct"/>
            <w:tcBorders>
              <w:top w:val="single" w:sz="4" w:space="0" w:color="auto"/>
              <w:left w:val="single" w:sz="4" w:space="0" w:color="auto"/>
              <w:bottom w:val="single" w:sz="4" w:space="0" w:color="auto"/>
              <w:right w:val="single" w:sz="4" w:space="0" w:color="auto"/>
            </w:tcBorders>
            <w:vAlign w:val="center"/>
            <w:hideMark/>
          </w:tcPr>
          <w:p w14:paraId="64ED20F8"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97.4%</w:t>
            </w:r>
          </w:p>
        </w:tc>
        <w:tc>
          <w:tcPr>
            <w:tcW w:w="764" w:type="pct"/>
            <w:tcBorders>
              <w:top w:val="single" w:sz="4" w:space="0" w:color="auto"/>
              <w:left w:val="single" w:sz="4" w:space="0" w:color="auto"/>
              <w:bottom w:val="single" w:sz="4" w:space="0" w:color="auto"/>
              <w:right w:val="single" w:sz="4" w:space="0" w:color="auto"/>
            </w:tcBorders>
            <w:vAlign w:val="center"/>
            <w:hideMark/>
          </w:tcPr>
          <w:p w14:paraId="7816A49B"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hideMark/>
          </w:tcPr>
          <w:p w14:paraId="17B5B856"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98.5%</w:t>
            </w:r>
          </w:p>
        </w:tc>
        <w:tc>
          <w:tcPr>
            <w:tcW w:w="378" w:type="pct"/>
            <w:tcBorders>
              <w:top w:val="single" w:sz="4" w:space="0" w:color="auto"/>
              <w:left w:val="single" w:sz="4" w:space="0" w:color="auto"/>
              <w:bottom w:val="single" w:sz="4" w:space="0" w:color="auto"/>
              <w:right w:val="single" w:sz="4" w:space="0" w:color="auto"/>
            </w:tcBorders>
            <w:vAlign w:val="center"/>
            <w:hideMark/>
          </w:tcPr>
          <w:p w14:paraId="316D6F9E"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97.4%</w:t>
            </w:r>
          </w:p>
        </w:tc>
      </w:tr>
      <w:tr w:rsidR="000C4977" w:rsidRPr="00595284" w14:paraId="12EACBC1"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tcPr>
          <w:p w14:paraId="4E134A08"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vertAlign w:val="superscript"/>
              </w:rPr>
            </w:pPr>
            <w:proofErr w:type="spellStart"/>
            <w:r w:rsidRPr="00595284">
              <w:rPr>
                <w:rFonts w:ascii="Arial Narrow" w:eastAsia="Times New Roman" w:hAnsi="Arial Narrow" w:cs="Times New Roman"/>
                <w:color w:val="000000" w:themeColor="text1"/>
                <w:szCs w:val="20"/>
              </w:rPr>
              <w:t>myChoice</w:t>
            </w:r>
            <w:proofErr w:type="spellEnd"/>
            <w:r w:rsidRPr="00595284">
              <w:rPr>
                <w:rFonts w:ascii="Arial Narrow" w:eastAsia="Times New Roman" w:hAnsi="Arial Narrow" w:cs="Times New Roman"/>
                <w:color w:val="000000" w:themeColor="text1"/>
                <w:szCs w:val="20"/>
              </w:rPr>
              <w:t xml:space="preserve"> </w:t>
            </w:r>
            <w:proofErr w:type="spellStart"/>
            <w:r w:rsidRPr="00595284">
              <w:rPr>
                <w:rFonts w:ascii="Arial Narrow" w:eastAsia="Times New Roman" w:hAnsi="Arial Narrow" w:cs="Times New Roman"/>
                <w:color w:val="000000" w:themeColor="text1"/>
                <w:szCs w:val="20"/>
              </w:rPr>
              <w:t>CDx</w:t>
            </w:r>
            <w:proofErr w:type="spellEnd"/>
            <w:r w:rsidRPr="00595284">
              <w:rPr>
                <w:rFonts w:ascii="Arial Narrow" w:eastAsia="Times New Roman" w:hAnsi="Arial Narrow" w:cs="Times New Roman"/>
                <w:color w:val="000000" w:themeColor="text1"/>
                <w:szCs w:val="20"/>
              </w:rPr>
              <w:t xml:space="preserve"> tech spec </w:t>
            </w:r>
            <w:r w:rsidRPr="00595284">
              <w:rPr>
                <w:rFonts w:ascii="Arial Narrow" w:eastAsia="Times New Roman" w:hAnsi="Arial Narrow" w:cs="Times New Roman"/>
                <w:color w:val="000000" w:themeColor="text1"/>
                <w:szCs w:val="20"/>
                <w:vertAlign w:val="superscript"/>
              </w:rPr>
              <w:t>d</w:t>
            </w:r>
          </w:p>
        </w:tc>
        <w:tc>
          <w:tcPr>
            <w:tcW w:w="272" w:type="pct"/>
            <w:tcBorders>
              <w:top w:val="single" w:sz="4" w:space="0" w:color="auto"/>
              <w:left w:val="single" w:sz="4" w:space="0" w:color="auto"/>
              <w:bottom w:val="single" w:sz="4" w:space="0" w:color="auto"/>
              <w:right w:val="single" w:sz="4" w:space="0" w:color="auto"/>
            </w:tcBorders>
            <w:vAlign w:val="center"/>
          </w:tcPr>
          <w:p w14:paraId="550BE7A0"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755</w:t>
            </w:r>
          </w:p>
        </w:tc>
        <w:tc>
          <w:tcPr>
            <w:tcW w:w="567" w:type="pct"/>
            <w:tcBorders>
              <w:top w:val="single" w:sz="4" w:space="0" w:color="auto"/>
              <w:left w:val="single" w:sz="4" w:space="0" w:color="auto"/>
              <w:bottom w:val="single" w:sz="4" w:space="0" w:color="auto"/>
              <w:right w:val="single" w:sz="4" w:space="0" w:color="auto"/>
            </w:tcBorders>
            <w:vAlign w:val="center"/>
          </w:tcPr>
          <w:p w14:paraId="44C1D358"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Unknown</w:t>
            </w:r>
          </w:p>
        </w:tc>
        <w:tc>
          <w:tcPr>
            <w:tcW w:w="527" w:type="pct"/>
            <w:tcBorders>
              <w:top w:val="single" w:sz="4" w:space="0" w:color="auto"/>
              <w:left w:val="single" w:sz="4" w:space="0" w:color="auto"/>
              <w:bottom w:val="single" w:sz="4" w:space="0" w:color="auto"/>
              <w:right w:val="single" w:sz="4" w:space="0" w:color="auto"/>
            </w:tcBorders>
            <w:vAlign w:val="center"/>
          </w:tcPr>
          <w:p w14:paraId="5AD5B839"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High</w:t>
            </w:r>
          </w:p>
        </w:tc>
        <w:tc>
          <w:tcPr>
            <w:tcW w:w="637" w:type="pct"/>
            <w:tcBorders>
              <w:top w:val="single" w:sz="4" w:space="0" w:color="auto"/>
              <w:left w:val="single" w:sz="4" w:space="0" w:color="auto"/>
              <w:bottom w:val="single" w:sz="4" w:space="0" w:color="auto"/>
              <w:right w:val="single" w:sz="4" w:space="0" w:color="auto"/>
            </w:tcBorders>
            <w:vAlign w:val="center"/>
          </w:tcPr>
          <w:p w14:paraId="54095A11"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98.6%</w:t>
            </w:r>
          </w:p>
        </w:tc>
        <w:tc>
          <w:tcPr>
            <w:tcW w:w="637" w:type="pct"/>
            <w:tcBorders>
              <w:top w:val="single" w:sz="4" w:space="0" w:color="auto"/>
              <w:left w:val="single" w:sz="4" w:space="0" w:color="auto"/>
              <w:bottom w:val="single" w:sz="4" w:space="0" w:color="auto"/>
              <w:right w:val="single" w:sz="4" w:space="0" w:color="auto"/>
            </w:tcBorders>
            <w:vAlign w:val="center"/>
          </w:tcPr>
          <w:p w14:paraId="05D12595"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96.6%</w:t>
            </w:r>
          </w:p>
        </w:tc>
        <w:tc>
          <w:tcPr>
            <w:tcW w:w="764" w:type="pct"/>
            <w:tcBorders>
              <w:top w:val="single" w:sz="4" w:space="0" w:color="auto"/>
              <w:left w:val="single" w:sz="4" w:space="0" w:color="auto"/>
              <w:bottom w:val="single" w:sz="4" w:space="0" w:color="auto"/>
              <w:right w:val="single" w:sz="4" w:space="0" w:color="auto"/>
            </w:tcBorders>
            <w:vAlign w:val="center"/>
          </w:tcPr>
          <w:p w14:paraId="439B6BB8"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vAlign w:val="center"/>
          </w:tcPr>
          <w:p w14:paraId="3C803A3A"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NR</w:t>
            </w:r>
          </w:p>
        </w:tc>
        <w:tc>
          <w:tcPr>
            <w:tcW w:w="378" w:type="pct"/>
            <w:tcBorders>
              <w:top w:val="single" w:sz="4" w:space="0" w:color="auto"/>
              <w:left w:val="single" w:sz="4" w:space="0" w:color="auto"/>
              <w:bottom w:val="single" w:sz="4" w:space="0" w:color="auto"/>
              <w:right w:val="single" w:sz="4" w:space="0" w:color="auto"/>
            </w:tcBorders>
            <w:vAlign w:val="center"/>
          </w:tcPr>
          <w:p w14:paraId="1E468862" w14:textId="77777777" w:rsidR="000C4977" w:rsidRPr="00F84405"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F84405">
              <w:rPr>
                <w:rFonts w:ascii="Arial Narrow" w:eastAsia="Times New Roman" w:hAnsi="Arial Narrow" w:cs="Times New Roman"/>
                <w:color w:val="000000" w:themeColor="text1"/>
                <w:sz w:val="20"/>
                <w:szCs w:val="20"/>
              </w:rPr>
              <w:t>NR</w:t>
            </w:r>
          </w:p>
        </w:tc>
      </w:tr>
      <w:tr w:rsidR="000C4977" w:rsidRPr="00595284" w14:paraId="50817C98" w14:textId="77777777" w:rsidTr="373443CE">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hideMark/>
          </w:tcPr>
          <w:p w14:paraId="54976EC6"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b/>
                <w:bCs/>
                <w:color w:val="000000" w:themeColor="text1"/>
                <w:szCs w:val="20"/>
              </w:rPr>
              <w:t>HRD status</w:t>
            </w:r>
          </w:p>
        </w:tc>
      </w:tr>
      <w:tr w:rsidR="000C4977" w:rsidRPr="00595284" w14:paraId="5A346684" w14:textId="77777777" w:rsidTr="373443CE">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auto"/>
              <w:left w:val="single" w:sz="4" w:space="0" w:color="auto"/>
              <w:bottom w:val="single" w:sz="4" w:space="0" w:color="auto"/>
              <w:right w:val="single" w:sz="4" w:space="0" w:color="auto"/>
            </w:tcBorders>
            <w:hideMark/>
          </w:tcPr>
          <w:p w14:paraId="1295A4D2" w14:textId="77777777" w:rsidR="000C4977" w:rsidRPr="00595284" w:rsidRDefault="000C4977" w:rsidP="000C4977">
            <w:pPr>
              <w:keepNext/>
              <w:keepLines/>
              <w:widowControl w:val="0"/>
              <w:spacing w:before="0"/>
              <w:jc w:val="left"/>
              <w:rPr>
                <w:rFonts w:ascii="Arial Narrow" w:eastAsia="Times New Roman" w:hAnsi="Arial Narrow" w:cs="Times New Roman"/>
                <w:color w:val="000000" w:themeColor="text1"/>
                <w:szCs w:val="20"/>
              </w:rPr>
            </w:pPr>
            <w:r w:rsidRPr="00595284">
              <w:rPr>
                <w:rFonts w:ascii="Arial Narrow" w:eastAsia="Times New Roman" w:hAnsi="Arial Narrow" w:cs="Times New Roman"/>
                <w:color w:val="000000" w:themeColor="text1"/>
                <w:szCs w:val="20"/>
              </w:rPr>
              <w:t>FDA 2019</w:t>
            </w:r>
          </w:p>
        </w:tc>
        <w:tc>
          <w:tcPr>
            <w:tcW w:w="272" w:type="pct"/>
            <w:tcBorders>
              <w:top w:val="single" w:sz="4" w:space="0" w:color="auto"/>
              <w:left w:val="single" w:sz="4" w:space="0" w:color="auto"/>
              <w:bottom w:val="single" w:sz="4" w:space="0" w:color="auto"/>
              <w:right w:val="single" w:sz="4" w:space="0" w:color="auto"/>
            </w:tcBorders>
            <w:hideMark/>
          </w:tcPr>
          <w:p w14:paraId="11E0B85A"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200</w:t>
            </w:r>
          </w:p>
        </w:tc>
        <w:tc>
          <w:tcPr>
            <w:tcW w:w="567" w:type="pct"/>
            <w:tcBorders>
              <w:top w:val="single" w:sz="4" w:space="0" w:color="auto"/>
              <w:left w:val="single" w:sz="4" w:space="0" w:color="auto"/>
              <w:bottom w:val="single" w:sz="4" w:space="0" w:color="auto"/>
              <w:right w:val="single" w:sz="4" w:space="0" w:color="auto"/>
            </w:tcBorders>
            <w:hideMark/>
          </w:tcPr>
          <w:p w14:paraId="750D00AD"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Level III-2</w:t>
            </w:r>
          </w:p>
        </w:tc>
        <w:tc>
          <w:tcPr>
            <w:tcW w:w="527" w:type="pct"/>
            <w:tcBorders>
              <w:top w:val="single" w:sz="4" w:space="0" w:color="auto"/>
              <w:left w:val="single" w:sz="4" w:space="0" w:color="auto"/>
              <w:bottom w:val="single" w:sz="4" w:space="0" w:color="auto"/>
              <w:right w:val="single" w:sz="4" w:space="0" w:color="auto"/>
            </w:tcBorders>
            <w:hideMark/>
          </w:tcPr>
          <w:p w14:paraId="0EDFDE98"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Moderate</w:t>
            </w:r>
          </w:p>
        </w:tc>
        <w:tc>
          <w:tcPr>
            <w:tcW w:w="637" w:type="pct"/>
            <w:tcBorders>
              <w:top w:val="single" w:sz="4" w:space="0" w:color="auto"/>
              <w:left w:val="single" w:sz="4" w:space="0" w:color="auto"/>
              <w:bottom w:val="single" w:sz="4" w:space="0" w:color="auto"/>
              <w:right w:val="single" w:sz="4" w:space="0" w:color="auto"/>
            </w:tcBorders>
            <w:hideMark/>
          </w:tcPr>
          <w:p w14:paraId="3D6B1681"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98.5%</w:t>
            </w:r>
          </w:p>
        </w:tc>
        <w:tc>
          <w:tcPr>
            <w:tcW w:w="637" w:type="pct"/>
            <w:tcBorders>
              <w:top w:val="single" w:sz="4" w:space="0" w:color="auto"/>
              <w:left w:val="single" w:sz="4" w:space="0" w:color="auto"/>
              <w:bottom w:val="single" w:sz="4" w:space="0" w:color="auto"/>
              <w:right w:val="single" w:sz="4" w:space="0" w:color="auto"/>
            </w:tcBorders>
            <w:hideMark/>
          </w:tcPr>
          <w:p w14:paraId="504B2FEC"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98.6%</w:t>
            </w:r>
          </w:p>
        </w:tc>
        <w:tc>
          <w:tcPr>
            <w:tcW w:w="764" w:type="pct"/>
            <w:tcBorders>
              <w:top w:val="single" w:sz="4" w:space="0" w:color="auto"/>
              <w:left w:val="single" w:sz="4" w:space="0" w:color="auto"/>
              <w:bottom w:val="single" w:sz="4" w:space="0" w:color="auto"/>
              <w:right w:val="single" w:sz="4" w:space="0" w:color="auto"/>
            </w:tcBorders>
            <w:hideMark/>
          </w:tcPr>
          <w:p w14:paraId="6F7A6180"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Not reported</w:t>
            </w:r>
          </w:p>
        </w:tc>
        <w:tc>
          <w:tcPr>
            <w:tcW w:w="378" w:type="pct"/>
            <w:tcBorders>
              <w:top w:val="single" w:sz="4" w:space="0" w:color="auto"/>
              <w:left w:val="single" w:sz="4" w:space="0" w:color="auto"/>
              <w:bottom w:val="single" w:sz="4" w:space="0" w:color="auto"/>
              <w:right w:val="single" w:sz="4" w:space="0" w:color="auto"/>
            </w:tcBorders>
            <w:hideMark/>
          </w:tcPr>
          <w:p w14:paraId="44FB5380"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99.3%</w:t>
            </w:r>
          </w:p>
        </w:tc>
        <w:tc>
          <w:tcPr>
            <w:tcW w:w="378" w:type="pct"/>
            <w:tcBorders>
              <w:top w:val="single" w:sz="4" w:space="0" w:color="auto"/>
              <w:left w:val="single" w:sz="4" w:space="0" w:color="auto"/>
              <w:bottom w:val="single" w:sz="4" w:space="0" w:color="auto"/>
              <w:right w:val="single" w:sz="4" w:space="0" w:color="auto"/>
            </w:tcBorders>
            <w:hideMark/>
          </w:tcPr>
          <w:p w14:paraId="78BF33D5" w14:textId="77777777" w:rsidR="000C4977" w:rsidRPr="00595284"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595284">
              <w:rPr>
                <w:rFonts w:ascii="Arial Narrow" w:eastAsia="Times New Roman" w:hAnsi="Arial Narrow" w:cs="Times New Roman"/>
                <w:color w:val="000000" w:themeColor="text1"/>
                <w:sz w:val="20"/>
                <w:szCs w:val="20"/>
              </w:rPr>
              <w:t>97.2%</w:t>
            </w:r>
          </w:p>
        </w:tc>
      </w:tr>
    </w:tbl>
    <w:p w14:paraId="274DC4C6" w14:textId="49DFECDD"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 breast cancer gene; GIS = </w:t>
      </w:r>
      <w:r w:rsidR="00EE062D">
        <w:rPr>
          <w:rFonts w:ascii="Arial Narrow" w:eastAsia="Times New Roman" w:hAnsi="Arial Narrow" w:cs="Arial"/>
          <w:snapToGrid w:val="0"/>
          <w:sz w:val="18"/>
          <w:szCs w:val="20"/>
        </w:rPr>
        <w:t>G</w:t>
      </w:r>
      <w:r w:rsidRPr="000C4977">
        <w:rPr>
          <w:rFonts w:ascii="Arial Narrow" w:eastAsia="Times New Roman" w:hAnsi="Arial Narrow" w:cs="Arial"/>
          <w:snapToGrid w:val="0"/>
          <w:sz w:val="18"/>
          <w:szCs w:val="20"/>
        </w:rPr>
        <w:t xml:space="preserve">enomic </w:t>
      </w:r>
      <w:r w:rsidR="00EE062D">
        <w:rPr>
          <w:rFonts w:ascii="Arial Narrow" w:eastAsia="Times New Roman" w:hAnsi="Arial Narrow" w:cs="Arial"/>
          <w:snapToGrid w:val="0"/>
          <w:sz w:val="18"/>
          <w:szCs w:val="20"/>
        </w:rPr>
        <w:t>I</w:t>
      </w:r>
      <w:r w:rsidRPr="000C4977">
        <w:rPr>
          <w:rFonts w:ascii="Arial Narrow" w:eastAsia="Times New Roman" w:hAnsi="Arial Narrow" w:cs="Arial"/>
          <w:snapToGrid w:val="0"/>
          <w:sz w:val="18"/>
          <w:szCs w:val="20"/>
        </w:rPr>
        <w:t xml:space="preserve">nstability </w:t>
      </w:r>
      <w:r w:rsidR="00EE062D">
        <w:rPr>
          <w:rFonts w:ascii="Arial Narrow" w:eastAsia="Times New Roman" w:hAnsi="Arial Narrow" w:cs="Arial"/>
          <w:snapToGrid w:val="0"/>
          <w:sz w:val="18"/>
          <w:szCs w:val="20"/>
        </w:rPr>
        <w:t>S</w:t>
      </w:r>
      <w:r w:rsidRPr="000C4977">
        <w:rPr>
          <w:rFonts w:ascii="Arial Narrow" w:eastAsia="Times New Roman" w:hAnsi="Arial Narrow" w:cs="Arial"/>
          <w:snapToGrid w:val="0"/>
          <w:sz w:val="18"/>
          <w:szCs w:val="20"/>
        </w:rPr>
        <w:t>core; HRD = homologous recombination deficiency; NPV = negative predictive value; NR = not reported; PPV = positive predictive value</w:t>
      </w:r>
    </w:p>
    <w:p w14:paraId="6D82AC34" w14:textId="66B2EE34"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vertAlign w:val="superscript"/>
          <w:lang w:eastAsia="zh-CN"/>
        </w:rPr>
        <w:t>a</w:t>
      </w:r>
      <w:r w:rsidRPr="000C4977">
        <w:rPr>
          <w:rFonts w:ascii="Arial Narrow" w:eastAsia="Times New Roman" w:hAnsi="Arial Narrow" w:cs="Arial"/>
          <w:snapToGrid w:val="0"/>
          <w:sz w:val="18"/>
          <w:szCs w:val="20"/>
          <w:lang w:eastAsia="zh-CN"/>
        </w:rPr>
        <w:t xml:space="preserve"> Level II</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a study of test accuracy with an independent, blinded comparison with a valid reference standard, among consecutive patients with a defined clinical presentation; Level III-1</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a study of test accuracy with an independent blinded comparison with a valid reference standard, among non-consecutive persons with a defined clinical presentation; Level III-2</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a comparison with reference standard that does not meet the criteria for level II and III-1 evidence; Level III-3</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diagnostic case-control study; Level IV</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w:t>
      </w:r>
      <w:r w:rsidR="00A20519">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study of diagnostic yield (no reference standard).</w:t>
      </w:r>
    </w:p>
    <w:p w14:paraId="491543A5"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lang w:eastAsia="zh-CN"/>
        </w:rPr>
        <w:t>b</w:t>
      </w:r>
      <w:r w:rsidRPr="000C4977">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rPr>
        <w:t>FDA 2019 report sensitivity and specificity as positive percent agreement and negative percent agreement</w:t>
      </w:r>
    </w:p>
    <w:p w14:paraId="4FD0FB6A"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c</w:t>
      </w:r>
      <w:r w:rsidRPr="000C4977">
        <w:rPr>
          <w:rFonts w:ascii="Arial Narrow" w:eastAsia="Times New Roman" w:hAnsi="Arial Narrow" w:cs="Arial"/>
          <w:snapToGrid w:val="0"/>
          <w:sz w:val="18"/>
          <w:szCs w:val="20"/>
        </w:rPr>
        <w:t xml:space="preserve"> Ovarian ‘Myriad’ data set </w:t>
      </w:r>
      <w:proofErr w:type="spellStart"/>
      <w:r w:rsidRPr="00870583">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Accuracy (Table 12, pre-ESC response)</w:t>
      </w:r>
    </w:p>
    <w:p w14:paraId="1F49EF9F"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 xml:space="preserve">d </w:t>
      </w:r>
      <w:r w:rsidRPr="000C4977">
        <w:rPr>
          <w:rFonts w:ascii="Arial Narrow" w:eastAsia="Times New Roman" w:hAnsi="Arial Narrow" w:cs="Arial"/>
          <w:snapToGrid w:val="0"/>
          <w:sz w:val="18"/>
          <w:szCs w:val="20"/>
        </w:rPr>
        <w:t xml:space="preserve">Only information reported was that Myriad </w:t>
      </w:r>
      <w:proofErr w:type="spellStart"/>
      <w:r w:rsidRPr="000C4977">
        <w:rPr>
          <w:rFonts w:ascii="Arial Narrow" w:eastAsia="Times New Roman" w:hAnsi="Arial Narrow" w:cs="Arial"/>
          <w:snapToGrid w:val="0"/>
          <w:sz w:val="18"/>
          <w:szCs w:val="20"/>
        </w:rPr>
        <w:t>myChoice</w:t>
      </w:r>
      <w:proofErr w:type="spellEnd"/>
      <w:r w:rsidRPr="000C4977">
        <w:rPr>
          <w:rFonts w:ascii="Arial Narrow" w:eastAsia="Times New Roman" w:hAnsi="Arial Narrow" w:cs="Arial"/>
          <w:snapToGrid w:val="0"/>
          <w:sz w:val="18"/>
          <w:szCs w:val="20"/>
        </w:rPr>
        <w:t xml:space="preserve"> correctly classified 284 as </w:t>
      </w:r>
      <w:proofErr w:type="spellStart"/>
      <w:r w:rsidRPr="000C4977">
        <w:rPr>
          <w:rFonts w:ascii="Arial Narrow" w:eastAsia="Times New Roman" w:hAnsi="Arial Narrow" w:cs="Arial"/>
          <w:i/>
          <w:iCs/>
          <w:snapToGrid w:val="0"/>
          <w:sz w:val="18"/>
          <w:szCs w:val="20"/>
        </w:rPr>
        <w:t>BRCA</w:t>
      </w:r>
      <w:r w:rsidRPr="005B2AFE">
        <w:rPr>
          <w:rFonts w:ascii="Arial Narrow" w:eastAsia="Times New Roman" w:hAnsi="Arial Narrow" w:cs="Arial"/>
          <w:snapToGrid w:val="0"/>
          <w:sz w:val="18"/>
          <w:szCs w:val="20"/>
        </w:rPr>
        <w:t>m</w:t>
      </w:r>
      <w:proofErr w:type="spellEnd"/>
      <w:r w:rsidRPr="000C4977">
        <w:rPr>
          <w:rFonts w:ascii="Arial Narrow" w:eastAsia="Times New Roman" w:hAnsi="Arial Narrow" w:cs="Arial"/>
          <w:i/>
          <w:iCs/>
          <w:snapToGrid w:val="0"/>
          <w:sz w:val="18"/>
          <w:szCs w:val="20"/>
        </w:rPr>
        <w:t xml:space="preserve"> </w:t>
      </w:r>
      <w:r w:rsidRPr="000C4977">
        <w:rPr>
          <w:rFonts w:ascii="Arial Narrow" w:eastAsia="Times New Roman" w:hAnsi="Arial Narrow" w:cs="Arial"/>
          <w:snapToGrid w:val="0"/>
          <w:sz w:val="18"/>
          <w:szCs w:val="20"/>
        </w:rPr>
        <w:t xml:space="preserve">out of 292 patients classified as </w:t>
      </w:r>
      <w:proofErr w:type="spellStart"/>
      <w:r w:rsidRPr="000C4977">
        <w:rPr>
          <w:rFonts w:ascii="Arial Narrow" w:eastAsia="Times New Roman" w:hAnsi="Arial Narrow" w:cs="Arial"/>
          <w:i/>
          <w:iCs/>
          <w:snapToGrid w:val="0"/>
          <w:sz w:val="18"/>
          <w:szCs w:val="20"/>
        </w:rPr>
        <w:t>BRCA</w:t>
      </w:r>
      <w:r w:rsidRPr="005B2AFE">
        <w:rPr>
          <w:rFonts w:ascii="Arial Narrow" w:eastAsia="Times New Roman" w:hAnsi="Arial Narrow" w:cs="Arial"/>
          <w:snapToGrid w:val="0"/>
          <w:sz w:val="18"/>
          <w:szCs w:val="20"/>
        </w:rPr>
        <w:t>m</w:t>
      </w:r>
      <w:proofErr w:type="spellEnd"/>
      <w:r w:rsidRPr="005B2AFE">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using NGS in SOLO1</w:t>
      </w:r>
    </w:p>
    <w:p w14:paraId="727A5FA1" w14:textId="68DCB99B"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 xml:space="preserve">e </w:t>
      </w:r>
      <w:r w:rsidRPr="000C4977">
        <w:rPr>
          <w:rFonts w:ascii="Arial Narrow" w:eastAsia="Times New Roman" w:hAnsi="Arial Narrow" w:cs="Arial"/>
          <w:snapToGrid w:val="0"/>
          <w:sz w:val="18"/>
          <w:szCs w:val="20"/>
        </w:rPr>
        <w:t>Ovarian ‘Myriad’ data set GII Accuracy (Table 14, pre-ESC response)</w:t>
      </w:r>
    </w:p>
    <w:p w14:paraId="5BB39E85" w14:textId="32FC87BA" w:rsidR="000C4977" w:rsidRPr="000C4977" w:rsidRDefault="000C4977" w:rsidP="00FC3969">
      <w:pPr>
        <w:widowControl w:val="0"/>
        <w:spacing w:before="0" w:after="0"/>
        <w:contextualSpacing/>
        <w:rPr>
          <w:rFonts w:ascii="Arial Narrow" w:eastAsia="Times New Roman" w:hAnsi="Arial Narrow" w:cs="Arial"/>
          <w:snapToGrid w:val="0"/>
          <w:sz w:val="18"/>
          <w:szCs w:val="18"/>
        </w:rPr>
      </w:pPr>
      <w:bookmarkStart w:id="44" w:name="_Int_v4nnTojE"/>
      <w:proofErr w:type="spellStart"/>
      <w:r w:rsidRPr="000C4977">
        <w:rPr>
          <w:rFonts w:ascii="Arial Narrow" w:eastAsia="Times New Roman" w:hAnsi="Arial Narrow" w:cs="Arial"/>
          <w:snapToGrid w:val="0"/>
          <w:sz w:val="18"/>
          <w:szCs w:val="18"/>
          <w:vertAlign w:val="superscript"/>
        </w:rPr>
        <w:t>f</w:t>
      </w:r>
      <w:bookmarkEnd w:id="44"/>
      <w:proofErr w:type="spellEnd"/>
      <w:r w:rsidRPr="000C4977">
        <w:rPr>
          <w:rFonts w:ascii="Arial Narrow" w:eastAsia="Times New Roman" w:hAnsi="Arial Narrow" w:cs="Arial"/>
          <w:snapToGrid w:val="0"/>
          <w:sz w:val="18"/>
          <w:szCs w:val="18"/>
        </w:rPr>
        <w:t xml:space="preserve"> The Myriad </w:t>
      </w:r>
      <w:proofErr w:type="spellStart"/>
      <w:r w:rsidRPr="000C4977">
        <w:rPr>
          <w:rFonts w:ascii="Arial Narrow" w:eastAsia="Times New Roman" w:hAnsi="Arial Narrow" w:cs="Arial"/>
          <w:snapToGrid w:val="0"/>
          <w:sz w:val="18"/>
          <w:szCs w:val="18"/>
        </w:rPr>
        <w:t>myChoice</w:t>
      </w:r>
      <w:proofErr w:type="spellEnd"/>
      <w:r w:rsidRPr="000C4977">
        <w:rPr>
          <w:rFonts w:ascii="Arial Narrow" w:eastAsia="Times New Roman" w:hAnsi="Arial Narrow" w:cs="Arial"/>
          <w:snapToGrid w:val="0"/>
          <w:sz w:val="18"/>
          <w:szCs w:val="18"/>
        </w:rPr>
        <w:t xml:space="preserve"> </w:t>
      </w:r>
      <w:proofErr w:type="spellStart"/>
      <w:r w:rsidRPr="000C4977">
        <w:rPr>
          <w:rFonts w:ascii="Arial Narrow" w:eastAsia="Times New Roman" w:hAnsi="Arial Narrow" w:cs="Arial"/>
          <w:snapToGrid w:val="0"/>
          <w:sz w:val="18"/>
          <w:szCs w:val="18"/>
        </w:rPr>
        <w:t>CDx</w:t>
      </w:r>
      <w:proofErr w:type="spellEnd"/>
      <w:r w:rsidRPr="000C4977">
        <w:rPr>
          <w:rFonts w:ascii="Arial Narrow" w:eastAsia="Times New Roman" w:hAnsi="Arial Narrow" w:cs="Arial"/>
          <w:snapToGrid w:val="0"/>
          <w:sz w:val="18"/>
          <w:szCs w:val="18"/>
        </w:rPr>
        <w:t xml:space="preserve"> technical specifications reported overall percentage agreement, positive percentage agreement and negative percentage agreement for the Myriad </w:t>
      </w:r>
      <w:proofErr w:type="spellStart"/>
      <w:r w:rsidRPr="000C4977">
        <w:rPr>
          <w:rFonts w:ascii="Arial Narrow" w:eastAsia="Times New Roman" w:hAnsi="Arial Narrow" w:cs="Arial"/>
          <w:snapToGrid w:val="0"/>
          <w:sz w:val="18"/>
          <w:szCs w:val="18"/>
        </w:rPr>
        <w:t>myChoice</w:t>
      </w:r>
      <w:proofErr w:type="spellEnd"/>
      <w:r w:rsidRPr="000C4977">
        <w:rPr>
          <w:rFonts w:ascii="Arial Narrow" w:eastAsia="Times New Roman" w:hAnsi="Arial Narrow" w:cs="Arial"/>
          <w:snapToGrid w:val="0"/>
          <w:sz w:val="18"/>
          <w:szCs w:val="18"/>
        </w:rPr>
        <w:t xml:space="preserve"> </w:t>
      </w:r>
      <w:proofErr w:type="spellStart"/>
      <w:r w:rsidRPr="000C4977">
        <w:rPr>
          <w:rFonts w:ascii="Arial Narrow" w:eastAsia="Times New Roman" w:hAnsi="Arial Narrow" w:cs="Arial"/>
          <w:snapToGrid w:val="0"/>
          <w:sz w:val="18"/>
          <w:szCs w:val="18"/>
        </w:rPr>
        <w:t>CDx</w:t>
      </w:r>
      <w:proofErr w:type="spellEnd"/>
      <w:r w:rsidRPr="000C4977">
        <w:rPr>
          <w:rFonts w:ascii="Arial Narrow" w:eastAsia="Times New Roman" w:hAnsi="Arial Narrow" w:cs="Arial"/>
          <w:snapToGrid w:val="0"/>
          <w:sz w:val="18"/>
          <w:szCs w:val="18"/>
        </w:rPr>
        <w:t xml:space="preserve"> assay against the clinical utility standard of Myriad </w:t>
      </w:r>
      <w:proofErr w:type="spellStart"/>
      <w:r w:rsidRPr="000C4977">
        <w:rPr>
          <w:rFonts w:ascii="Arial Narrow" w:eastAsia="Times New Roman" w:hAnsi="Arial Narrow" w:cs="Arial"/>
          <w:snapToGrid w:val="0"/>
          <w:sz w:val="18"/>
          <w:szCs w:val="18"/>
        </w:rPr>
        <w:t>myChoice</w:t>
      </w:r>
      <w:proofErr w:type="spellEnd"/>
      <w:r w:rsidRPr="000C4977">
        <w:rPr>
          <w:rFonts w:ascii="Arial Narrow" w:eastAsia="Times New Roman" w:hAnsi="Arial Narrow" w:cs="Arial"/>
          <w:snapToGrid w:val="0"/>
          <w:sz w:val="18"/>
          <w:szCs w:val="18"/>
        </w:rPr>
        <w:t xml:space="preserve"> HRD plus</w:t>
      </w:r>
    </w:p>
    <w:p w14:paraId="14D5380D" w14:textId="77777777" w:rsidR="000C4977" w:rsidRPr="000C4977" w:rsidRDefault="000C4977" w:rsidP="000C4977">
      <w:pPr>
        <w:spacing w:line="259" w:lineRule="auto"/>
        <w:jc w:val="left"/>
      </w:pPr>
      <w:r w:rsidRPr="000C4977">
        <w:t xml:space="preserve">Despite the submission claiming there were only 728 samples available for the concordance study in PAOLA-1, the CSR indicated that 755 patients were given a </w:t>
      </w:r>
      <w:r w:rsidRPr="000C4977">
        <w:rPr>
          <w:i/>
        </w:rPr>
        <w:t>BRCA</w:t>
      </w:r>
      <w:r w:rsidRPr="000C4977">
        <w:t xml:space="preserve"> classification using the Myriad </w:t>
      </w:r>
      <w:proofErr w:type="spellStart"/>
      <w:r w:rsidRPr="000C4977">
        <w:t>myChoice</w:t>
      </w:r>
      <w:proofErr w:type="spellEnd"/>
      <w:r w:rsidRPr="000C4977">
        <w:t xml:space="preserve"> HRD plus assay, and Ray-</w:t>
      </w:r>
      <w:proofErr w:type="spellStart"/>
      <w:r w:rsidRPr="000C4977">
        <w:t>Coquard</w:t>
      </w:r>
      <w:proofErr w:type="spellEnd"/>
      <w:r w:rsidRPr="000C4977">
        <w:t xml:space="preserve"> 2019 reported a </w:t>
      </w:r>
      <w:r w:rsidRPr="000C4977">
        <w:rPr>
          <w:i/>
        </w:rPr>
        <w:t>BRCA</w:t>
      </w:r>
      <w:r w:rsidRPr="000C4977">
        <w:t xml:space="preserve"> status using NGS for all 806 patients enrolled in PAOLA-1. It was unclear what happened to the result from the 27 patients who were given a </w:t>
      </w:r>
      <w:r w:rsidRPr="000C4977">
        <w:rPr>
          <w:i/>
        </w:rPr>
        <w:t>BRCA</w:t>
      </w:r>
      <w:r w:rsidRPr="000C4977">
        <w:t xml:space="preserve"> classification but not included as part of the concordance evidence.</w:t>
      </w:r>
    </w:p>
    <w:p w14:paraId="52D3F522" w14:textId="6C0198C8" w:rsidR="000C4977" w:rsidRPr="000C4977" w:rsidRDefault="000C4977" w:rsidP="000C4977">
      <w:pPr>
        <w:spacing w:line="259" w:lineRule="auto"/>
        <w:jc w:val="left"/>
        <w:rPr>
          <w:iCs/>
        </w:rPr>
      </w:pPr>
      <w:r w:rsidRPr="000C4977">
        <w:rPr>
          <w:iCs/>
        </w:rPr>
        <w:t xml:space="preserve">While the cross-sectional accuracy studies generally reported a high level of concordance between the Myriad </w:t>
      </w:r>
      <w:proofErr w:type="spellStart"/>
      <w:r w:rsidRPr="000C4977">
        <w:rPr>
          <w:iCs/>
        </w:rPr>
        <w:t>myChoice</w:t>
      </w:r>
      <w:proofErr w:type="spellEnd"/>
      <w:r w:rsidRPr="000C4977">
        <w:rPr>
          <w:iCs/>
        </w:rPr>
        <w:t xml:space="preserve"> assays and the NGS or Foundation Medicine assay, false positive or false negative </w:t>
      </w:r>
      <w:r w:rsidRPr="000C4977">
        <w:rPr>
          <w:i/>
          <w:iCs/>
        </w:rPr>
        <w:t>BRCA</w:t>
      </w:r>
      <w:r w:rsidRPr="000C4977">
        <w:rPr>
          <w:iCs/>
        </w:rPr>
        <w:t xml:space="preserve"> and HRD results will have implications for patients. There were also potential issues with the claimed number of samples available for the concordance study in PAOLA-1. The submission assumed perfect concordance (100% sensitivity and specificity) in detection of </w:t>
      </w:r>
      <w:r w:rsidRPr="000C4977">
        <w:rPr>
          <w:i/>
          <w:iCs/>
        </w:rPr>
        <w:t>BRCA</w:t>
      </w:r>
      <w:r w:rsidRPr="000C4977">
        <w:rPr>
          <w:iCs/>
        </w:rPr>
        <w:t xml:space="preserve"> in the economic evaluation, which was not supported by the evidence provided.</w:t>
      </w:r>
    </w:p>
    <w:p w14:paraId="286FEBD9" w14:textId="77777777" w:rsidR="000C4977" w:rsidRPr="00FF1136" w:rsidRDefault="000C4977" w:rsidP="000C4977">
      <w:pPr>
        <w:keepNext/>
        <w:keepLines/>
        <w:numPr>
          <w:ilvl w:val="6"/>
          <w:numId w:val="44"/>
        </w:numPr>
        <w:spacing w:before="240" w:after="0" w:line="259" w:lineRule="auto"/>
        <w:ind w:left="1440" w:hanging="1440"/>
        <w:jc w:val="left"/>
        <w:outlineLvl w:val="3"/>
        <w:rPr>
          <w:rFonts w:eastAsiaTheme="majorEastAsia" w:cstheme="majorBidi"/>
          <w:b/>
          <w:i/>
          <w:iCs/>
          <w:color w:val="000000" w:themeColor="text1"/>
          <w:szCs w:val="28"/>
        </w:rPr>
      </w:pPr>
      <w:r w:rsidRPr="00FF1136">
        <w:rPr>
          <w:rFonts w:eastAsiaTheme="majorEastAsia" w:cstheme="majorBidi"/>
          <w:b/>
          <w:i/>
          <w:iCs/>
          <w:color w:val="000000" w:themeColor="text1"/>
          <w:szCs w:val="28"/>
        </w:rPr>
        <w:lastRenderedPageBreak/>
        <w:t xml:space="preserve">Validation of proposed test vs Myriad </w:t>
      </w:r>
      <w:proofErr w:type="spellStart"/>
      <w:r w:rsidRPr="00FF1136">
        <w:rPr>
          <w:rFonts w:eastAsiaTheme="majorEastAsia" w:cstheme="majorBidi"/>
          <w:b/>
          <w:i/>
          <w:iCs/>
          <w:color w:val="000000" w:themeColor="text1"/>
          <w:szCs w:val="28"/>
        </w:rPr>
        <w:t>MyChoice</w:t>
      </w:r>
      <w:proofErr w:type="spellEnd"/>
      <w:r w:rsidRPr="00FF1136">
        <w:rPr>
          <w:rFonts w:eastAsiaTheme="majorEastAsia" w:cstheme="majorBidi"/>
          <w:b/>
          <w:i/>
          <w:iCs/>
          <w:color w:val="000000" w:themeColor="text1"/>
          <w:szCs w:val="28"/>
        </w:rPr>
        <w:t xml:space="preserve"> HRD tests</w:t>
      </w:r>
    </w:p>
    <w:p w14:paraId="68B7BD25" w14:textId="1A843290" w:rsidR="000C4977" w:rsidRPr="000C4977" w:rsidRDefault="000C4977" w:rsidP="000C4977">
      <w:pPr>
        <w:spacing w:line="259" w:lineRule="auto"/>
        <w:jc w:val="left"/>
      </w:pPr>
      <w:r w:rsidRPr="000C4977">
        <w:t xml:space="preserve">The </w:t>
      </w:r>
      <w:r w:rsidR="00A8205F" w:rsidRPr="00A8205F">
        <w:rPr>
          <w:color w:val="000000"/>
          <w:spacing w:val="73"/>
          <w:w w:val="81"/>
          <w:shd w:val="solid" w:color="000000" w:fill="000000"/>
          <w:fitText w:val="252" w:id="-1450962172"/>
          <w14:textFill>
            <w14:solidFill>
              <w14:srgbClr w14:val="000000">
                <w14:alpha w14:val="100000"/>
              </w14:srgbClr>
            </w14:solidFill>
          </w14:textFill>
        </w:rPr>
        <w:t>|</w:t>
      </w:r>
      <w:r w:rsidR="00A8205F" w:rsidRPr="00A8205F">
        <w:rPr>
          <w:color w:val="000000"/>
          <w:spacing w:val="1"/>
          <w:w w:val="81"/>
          <w:shd w:val="solid" w:color="000000" w:fill="000000"/>
          <w:fitText w:val="252" w:id="-1450962172"/>
          <w14:textFill>
            <w14:solidFill>
              <w14:srgbClr w14:val="000000">
                <w14:alpha w14:val="100000"/>
              </w14:srgbClr>
            </w14:solidFill>
          </w14:textFill>
        </w:rPr>
        <w:t>|</w:t>
      </w:r>
      <w:r w:rsidRPr="000C4977">
        <w:t xml:space="preserve"> laboratory is undertaking the local analytic validation and concordance of the </w:t>
      </w:r>
      <w:proofErr w:type="spellStart"/>
      <w:r w:rsidRPr="000C4977">
        <w:t>SOPHiA</w:t>
      </w:r>
      <w:proofErr w:type="spellEnd"/>
      <w:r w:rsidRPr="000C4977">
        <w:t xml:space="preserve"> Genetics HRD solution versus the Myriad </w:t>
      </w:r>
      <w:proofErr w:type="spellStart"/>
      <w:r w:rsidRPr="000C4977">
        <w:t>myChoice</w:t>
      </w:r>
      <w:proofErr w:type="spellEnd"/>
      <w:r w:rsidRPr="000C4977">
        <w:t xml:space="preserve"> </w:t>
      </w:r>
      <w:proofErr w:type="spellStart"/>
      <w:r w:rsidRPr="000C4977">
        <w:t>CDx</w:t>
      </w:r>
      <w:proofErr w:type="spellEnd"/>
      <w:r w:rsidRPr="000C4977">
        <w:t xml:space="preserve"> assay. The two-phase validation process includes an </w:t>
      </w:r>
      <w:r>
        <w:t xml:space="preserve">early access program that was conducted to assess the </w:t>
      </w:r>
      <w:proofErr w:type="spellStart"/>
      <w:r>
        <w:t>SOPHiA</w:t>
      </w:r>
      <w:proofErr w:type="spellEnd"/>
      <w:r>
        <w:t xml:space="preserve"> Genetics assay for initial test performance and laboratory workflow assessment, and a second phase that is aiming to demonstrate concordance of the </w:t>
      </w:r>
      <w:proofErr w:type="spellStart"/>
      <w:r>
        <w:t>SOPHiA</w:t>
      </w:r>
      <w:proofErr w:type="spellEnd"/>
      <w:r>
        <w:t xml:space="preserve"> Genetics HRD solution vs the Myriad </w:t>
      </w:r>
      <w:proofErr w:type="spellStart"/>
      <w:r>
        <w:t>MyChoice</w:t>
      </w:r>
      <w:proofErr w:type="spellEnd"/>
      <w:r>
        <w:t xml:space="preserve"> </w:t>
      </w:r>
      <w:proofErr w:type="spellStart"/>
      <w:r>
        <w:t>CDx</w:t>
      </w:r>
      <w:proofErr w:type="spellEnd"/>
      <w:r>
        <w:t xml:space="preserve"> assay. The pre-</w:t>
      </w:r>
      <w:r w:rsidR="00D02EDA">
        <w:t xml:space="preserve">MSAC </w:t>
      </w:r>
      <w:r>
        <w:t>response provided the full validation data.</w:t>
      </w:r>
    </w:p>
    <w:p w14:paraId="6BE0220F" w14:textId="01E058CA" w:rsidR="000C4977" w:rsidRPr="000C4977" w:rsidRDefault="000C4977" w:rsidP="000C4977">
      <w:pPr>
        <w:spacing w:line="259" w:lineRule="auto"/>
        <w:jc w:val="left"/>
        <w:rPr>
          <w:szCs w:val="24"/>
        </w:rPr>
      </w:pPr>
      <w:r w:rsidRPr="000C4977">
        <w:rPr>
          <w:szCs w:val="24"/>
        </w:rPr>
        <w:t xml:space="preserve">This process is summarised in </w:t>
      </w:r>
      <w:r w:rsidR="00595284">
        <w:rPr>
          <w:szCs w:val="24"/>
        </w:rPr>
        <w:fldChar w:fldCharType="begin"/>
      </w:r>
      <w:r w:rsidR="00595284">
        <w:rPr>
          <w:szCs w:val="24"/>
        </w:rPr>
        <w:instrText xml:space="preserve"> REF _Ref111813648 \h </w:instrText>
      </w:r>
      <w:r w:rsidR="00595284">
        <w:rPr>
          <w:szCs w:val="24"/>
        </w:rPr>
      </w:r>
      <w:r w:rsidR="00595284">
        <w:rPr>
          <w:szCs w:val="24"/>
        </w:rPr>
        <w:fldChar w:fldCharType="separate"/>
      </w:r>
      <w:r w:rsidR="00D8603B">
        <w:t xml:space="preserve">Table </w:t>
      </w:r>
      <w:r w:rsidR="00D8603B">
        <w:rPr>
          <w:noProof/>
        </w:rPr>
        <w:t>12</w:t>
      </w:r>
      <w:r w:rsidR="00595284">
        <w:rPr>
          <w:szCs w:val="24"/>
        </w:rPr>
        <w:fldChar w:fldCharType="end"/>
      </w:r>
      <w:r w:rsidRPr="000C4977">
        <w:rPr>
          <w:szCs w:val="24"/>
        </w:rPr>
        <w:t>.</w:t>
      </w:r>
    </w:p>
    <w:p w14:paraId="5F55E1C3" w14:textId="143B59E6" w:rsidR="00595284" w:rsidRDefault="00595284" w:rsidP="00595284">
      <w:pPr>
        <w:pStyle w:val="Caption"/>
      </w:pPr>
      <w:bookmarkStart w:id="45" w:name="_Ref111813648"/>
      <w:r>
        <w:t xml:space="preserve">Table </w:t>
      </w:r>
      <w:r w:rsidRPr="373443CE">
        <w:fldChar w:fldCharType="begin"/>
      </w:r>
      <w:r>
        <w:instrText xml:space="preserve"> SEQ Table \* ARABIC </w:instrText>
      </w:r>
      <w:r w:rsidRPr="373443CE">
        <w:fldChar w:fldCharType="separate"/>
      </w:r>
      <w:r w:rsidR="00D8603B" w:rsidRPr="373443CE">
        <w:rPr>
          <w:noProof/>
        </w:rPr>
        <w:t>12</w:t>
      </w:r>
      <w:r w:rsidRPr="373443CE">
        <w:rPr>
          <w:noProof/>
        </w:rPr>
        <w:fldChar w:fldCharType="end"/>
      </w:r>
      <w:bookmarkEnd w:id="45"/>
      <w:r>
        <w:tab/>
        <w:t>Summary of validation process</w:t>
      </w:r>
    </w:p>
    <w:tbl>
      <w:tblPr>
        <w:tblStyle w:val="ASDTable1"/>
        <w:tblW w:w="9204" w:type="dxa"/>
        <w:tblCellMar>
          <w:left w:w="0" w:type="dxa"/>
          <w:right w:w="0" w:type="dxa"/>
        </w:tblCellMar>
        <w:tblLook w:val="04A0" w:firstRow="1" w:lastRow="0" w:firstColumn="1" w:lastColumn="0" w:noHBand="0" w:noVBand="1"/>
      </w:tblPr>
      <w:tblGrid>
        <w:gridCol w:w="1555"/>
        <w:gridCol w:w="3543"/>
        <w:gridCol w:w="4106"/>
      </w:tblGrid>
      <w:tr w:rsidR="000C4977" w:rsidRPr="000C4977" w14:paraId="7343AD5D"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A01EB1" w14:textId="2479A425" w:rsidR="000C4977" w:rsidRPr="000C4977" w:rsidRDefault="000C4977" w:rsidP="000C4977">
            <w:pPr>
              <w:keepNext/>
              <w:keepLines/>
              <w:widowControl w:val="0"/>
              <w:spacing w:before="0" w:line="256" w:lineRule="auto"/>
              <w:jc w:val="left"/>
              <w:rPr>
                <w:rFonts w:ascii="Arial Narrow" w:hAnsi="Arial Narrow"/>
                <w:b/>
              </w:rPr>
            </w:pPr>
            <w:r w:rsidRPr="000C4977">
              <w:rPr>
                <w:rFonts w:ascii="Arial Narrow" w:hAnsi="Arial Narrow"/>
                <w:b/>
              </w:rPr>
              <w:t xml:space="preserve">Phase of </w:t>
            </w:r>
            <w:r w:rsidR="00870583">
              <w:rPr>
                <w:rFonts w:ascii="Arial Narrow" w:hAnsi="Arial Narrow"/>
                <w:b/>
              </w:rPr>
              <w:t>t</w:t>
            </w:r>
            <w:r w:rsidRPr="000C4977">
              <w:rPr>
                <w:rFonts w:ascii="Arial Narrow" w:hAnsi="Arial Narrow"/>
                <w:b/>
              </w:rPr>
              <w:t>esting</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63848" w14:textId="77777777" w:rsidR="000C4977" w:rsidRPr="000C4977" w:rsidRDefault="000C4977" w:rsidP="000C4977">
            <w:pPr>
              <w:keepNext/>
              <w:keepLines/>
              <w:widowControl w:val="0"/>
              <w:spacing w:before="0" w:line="256" w:lineRule="auto"/>
              <w:jc w:val="center"/>
              <w:rPr>
                <w:rFonts w:ascii="Arial Narrow" w:hAnsi="Arial Narrow"/>
                <w:b/>
              </w:rPr>
            </w:pPr>
            <w:r w:rsidRPr="000C4977">
              <w:rPr>
                <w:rFonts w:ascii="Arial Narrow" w:hAnsi="Arial Narrow"/>
                <w:b/>
              </w:rPr>
              <w:t>1: Early Access Program</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69DCAD" w14:textId="77777777" w:rsidR="000C4977" w:rsidRPr="000C4977" w:rsidRDefault="000C4977" w:rsidP="000C4977">
            <w:pPr>
              <w:keepNext/>
              <w:keepLines/>
              <w:widowControl w:val="0"/>
              <w:spacing w:before="0" w:line="256" w:lineRule="auto"/>
              <w:jc w:val="center"/>
              <w:rPr>
                <w:rFonts w:ascii="Arial Narrow" w:hAnsi="Arial Narrow"/>
                <w:b/>
              </w:rPr>
            </w:pPr>
            <w:r w:rsidRPr="000C4977">
              <w:rPr>
                <w:rFonts w:ascii="Arial Narrow" w:hAnsi="Arial Narrow"/>
                <w:b/>
              </w:rPr>
              <w:t>2: Bridging phase</w:t>
            </w:r>
          </w:p>
        </w:tc>
      </w:tr>
      <w:tr w:rsidR="000C4977" w:rsidRPr="000C4977" w14:paraId="3D28AF3A"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EC4CC"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Number of samples</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06AE5"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32</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1DA84"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Total of approximately 122 samples, with initial run of 48 samples reported in preliminary report (46/48 included in the </w:t>
            </w:r>
            <w:r w:rsidRPr="000C4977">
              <w:rPr>
                <w:rFonts w:ascii="Arial Narrow" w:hAnsi="Arial Narrow"/>
                <w:i/>
              </w:rPr>
              <w:t>BRCA</w:t>
            </w:r>
            <w:r w:rsidRPr="000C4977">
              <w:rPr>
                <w:rFonts w:ascii="Arial Narrow" w:hAnsi="Arial Narrow"/>
              </w:rPr>
              <w:t xml:space="preserve"> analysis and 31/48 included in the GIS analysis)</w:t>
            </w:r>
          </w:p>
        </w:tc>
      </w:tr>
      <w:tr w:rsidR="000C4977" w:rsidRPr="000C4977" w14:paraId="4025585C"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D72387"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Origin of sample</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7ADB9E" w14:textId="699AE533"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Mixed tumour type samples including high grade serous ovarian carcinoma, squamous cell carcinomas, endometrial carcinomas, prostate carcinomas, thyroid carcinomas provided by </w:t>
            </w:r>
            <w:proofErr w:type="spellStart"/>
            <w:r w:rsidRPr="000C4977">
              <w:rPr>
                <w:rFonts w:ascii="Arial Narrow" w:hAnsi="Arial Narrow"/>
              </w:rPr>
              <w:t>SOPHiA</w:t>
            </w:r>
            <w:proofErr w:type="spellEnd"/>
            <w:r w:rsidRPr="000C4977">
              <w:rPr>
                <w:rFonts w:ascii="Arial Narrow" w:hAnsi="Arial Narrow"/>
              </w:rPr>
              <w:t xml:space="preserve"> Genetics</w:t>
            </w:r>
            <w:r w:rsidR="00870583">
              <w:rPr>
                <w:rFonts w:ascii="Arial Narrow" w:hAnsi="Arial Narrow"/>
              </w:rPr>
              <w:t>.</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48139E"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High grade serous ovarian carcinoma tumours provided by </w:t>
            </w:r>
            <w:proofErr w:type="spellStart"/>
            <w:r w:rsidRPr="000C4977">
              <w:rPr>
                <w:rFonts w:ascii="Arial Narrow" w:hAnsi="Arial Narrow"/>
              </w:rPr>
              <w:t>Avaden</w:t>
            </w:r>
            <w:proofErr w:type="spellEnd"/>
            <w:r w:rsidRPr="000C4977">
              <w:rPr>
                <w:rFonts w:ascii="Arial Narrow" w:hAnsi="Arial Narrow"/>
              </w:rPr>
              <w:t xml:space="preserve"> </w:t>
            </w:r>
            <w:proofErr w:type="spellStart"/>
            <w:r w:rsidRPr="000C4977">
              <w:rPr>
                <w:rFonts w:ascii="Arial Narrow" w:hAnsi="Arial Narrow"/>
              </w:rPr>
              <w:t>BioScience</w:t>
            </w:r>
            <w:proofErr w:type="spellEnd"/>
            <w:r w:rsidRPr="000C4977">
              <w:rPr>
                <w:rFonts w:ascii="Arial Narrow" w:hAnsi="Arial Narrow"/>
              </w:rPr>
              <w:t xml:space="preserve"> on behalf of AstraZeneca AND a local Australian Clinic.</w:t>
            </w:r>
          </w:p>
        </w:tc>
      </w:tr>
      <w:tr w:rsidR="000C4977" w:rsidRPr="000C4977" w14:paraId="1CEB11B3"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B9198"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Previous testing conducted</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D5BB1"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Myriad pre-tested</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438FA9"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Samples pre-tested with Myriad </w:t>
            </w:r>
            <w:proofErr w:type="spellStart"/>
            <w:r w:rsidRPr="000C4977">
              <w:rPr>
                <w:rFonts w:ascii="Arial Narrow" w:hAnsi="Arial Narrow"/>
              </w:rPr>
              <w:t>myChoice</w:t>
            </w:r>
            <w:proofErr w:type="spellEnd"/>
            <w:r w:rsidRPr="000C4977">
              <w:rPr>
                <w:rFonts w:ascii="Arial Narrow" w:hAnsi="Arial Narrow"/>
              </w:rPr>
              <w:t xml:space="preserve">® </w:t>
            </w:r>
            <w:proofErr w:type="spellStart"/>
            <w:r w:rsidRPr="000C4977">
              <w:rPr>
                <w:rFonts w:ascii="Arial Narrow" w:hAnsi="Arial Narrow"/>
              </w:rPr>
              <w:t>CDx</w:t>
            </w:r>
            <w:proofErr w:type="spellEnd"/>
            <w:r w:rsidRPr="000C4977">
              <w:rPr>
                <w:rFonts w:ascii="Arial Narrow" w:hAnsi="Arial Narrow"/>
              </w:rPr>
              <w:t xml:space="preserve"> PLUS.</w:t>
            </w:r>
          </w:p>
        </w:tc>
      </w:tr>
      <w:tr w:rsidR="000C4977" w:rsidRPr="000C4977" w14:paraId="17B5F511"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12C890"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Issues impacting samples</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4E932" w14:textId="77777777" w:rsidR="000C4977" w:rsidRPr="000C4977" w:rsidRDefault="000C4977" w:rsidP="000C4977">
            <w:pPr>
              <w:keepNext/>
              <w:keepLines/>
              <w:widowControl w:val="0"/>
              <w:spacing w:before="0" w:line="256" w:lineRule="auto"/>
              <w:jc w:val="center"/>
              <w:rPr>
                <w:rFonts w:ascii="Arial Narrow" w:hAnsi="Arial Narrow"/>
              </w:rPr>
            </w:pP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92F56F"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Of the first 48 samples, 2 did not meet variant calling criteria and excluded from </w:t>
            </w:r>
            <w:r w:rsidRPr="000C4977">
              <w:rPr>
                <w:rFonts w:ascii="Arial Narrow" w:hAnsi="Arial Narrow"/>
                <w:i/>
              </w:rPr>
              <w:t>BRCA</w:t>
            </w:r>
            <w:r w:rsidRPr="000C4977">
              <w:rPr>
                <w:rFonts w:ascii="Arial Narrow" w:hAnsi="Arial Narrow"/>
              </w:rPr>
              <w:t xml:space="preserve"> analysis and 15 failed QC due to wet lab issues and were excluded from the GIS analysis.</w:t>
            </w:r>
          </w:p>
          <w:p w14:paraId="15DE9990"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The 15 samples which failed QC will be re-analysed.</w:t>
            </w:r>
          </w:p>
        </w:tc>
      </w:tr>
      <w:tr w:rsidR="000C4977" w:rsidRPr="000C4977" w14:paraId="4A5CC486"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75927"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Results</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40E0C"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The assay showed promising performance and lab workflow and analysis fit for purpose.</w:t>
            </w:r>
          </w:p>
          <w:p w14:paraId="004BDD3F" w14:textId="77777777" w:rsidR="000C4977" w:rsidRPr="000C4977" w:rsidRDefault="000C4977" w:rsidP="000C4977">
            <w:pPr>
              <w:keepNext/>
              <w:keepLines/>
              <w:widowControl w:val="0"/>
              <w:spacing w:before="0" w:line="256" w:lineRule="auto"/>
              <w:jc w:val="center"/>
              <w:rPr>
                <w:rFonts w:ascii="Arial Narrow" w:hAnsi="Arial Narrow"/>
              </w:rPr>
            </w:pPr>
          </w:p>
          <w:p w14:paraId="7973692A" w14:textId="77777777" w:rsidR="000C4977" w:rsidRPr="000C4977" w:rsidRDefault="000C4977" w:rsidP="000C4977">
            <w:pPr>
              <w:keepNext/>
              <w:keepLines/>
              <w:widowControl w:val="0"/>
              <w:spacing w:before="0" w:line="256" w:lineRule="auto"/>
              <w:jc w:val="center"/>
              <w:rPr>
                <w:rFonts w:ascii="Arial Narrow" w:hAnsi="Arial Narrow"/>
              </w:rPr>
            </w:pPr>
          </w:p>
          <w:p w14:paraId="5B9661B3" w14:textId="77777777" w:rsidR="000C4977" w:rsidRPr="000C4977" w:rsidRDefault="000C4977" w:rsidP="000C4977">
            <w:pPr>
              <w:keepNext/>
              <w:keepLines/>
              <w:widowControl w:val="0"/>
              <w:spacing w:before="0" w:line="256" w:lineRule="auto"/>
              <w:jc w:val="center"/>
              <w:rPr>
                <w:rFonts w:ascii="Arial Narrow" w:hAnsi="Arial Narrow"/>
              </w:rPr>
            </w:pPr>
          </w:p>
          <w:p w14:paraId="332EF867"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Results will not be included in NATA accreditation.</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C623C"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 xml:space="preserve">The analysis showed a 90% agreement (PPA 86%, NPA 94%) for the GIS analysis based on 31 samples showed and a 98% agreement (PPA 100%, NPA 97%) for the </w:t>
            </w:r>
            <w:r w:rsidRPr="000C4977">
              <w:rPr>
                <w:rFonts w:ascii="Arial Narrow" w:hAnsi="Arial Narrow"/>
                <w:i/>
              </w:rPr>
              <w:t>BRCA</w:t>
            </w:r>
            <w:r w:rsidRPr="000C4977">
              <w:rPr>
                <w:rFonts w:ascii="Arial Narrow" w:hAnsi="Arial Narrow"/>
              </w:rPr>
              <w:t xml:space="preserve"> analysis based on 46 samples.</w:t>
            </w:r>
          </w:p>
          <w:p w14:paraId="0C5150F8" w14:textId="77777777" w:rsidR="000C4977" w:rsidRPr="000C4977" w:rsidRDefault="000C4977" w:rsidP="000C4977">
            <w:pPr>
              <w:keepNext/>
              <w:keepLines/>
              <w:widowControl w:val="0"/>
              <w:spacing w:before="0" w:line="256" w:lineRule="auto"/>
              <w:jc w:val="center"/>
              <w:rPr>
                <w:rFonts w:ascii="Arial Narrow" w:hAnsi="Arial Narrow"/>
              </w:rPr>
            </w:pPr>
          </w:p>
          <w:p w14:paraId="269C0446"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Results to be submitted for NATA accreditation.</w:t>
            </w:r>
          </w:p>
        </w:tc>
      </w:tr>
      <w:tr w:rsidR="000C4977" w:rsidRPr="000C4977" w14:paraId="5A734DF8" w14:textId="77777777" w:rsidTr="373443CE">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EC3360" w14:textId="77777777" w:rsidR="000C4977" w:rsidRPr="000C4977" w:rsidRDefault="000C4977" w:rsidP="000C4977">
            <w:pPr>
              <w:keepNext/>
              <w:keepLines/>
              <w:widowControl w:val="0"/>
              <w:spacing w:before="0" w:line="256" w:lineRule="auto"/>
              <w:jc w:val="left"/>
              <w:rPr>
                <w:rFonts w:ascii="Arial Narrow" w:hAnsi="Arial Narrow"/>
              </w:rPr>
            </w:pPr>
            <w:r w:rsidRPr="000C4977">
              <w:rPr>
                <w:rFonts w:ascii="Arial Narrow" w:hAnsi="Arial Narrow"/>
              </w:rPr>
              <w:t>Timing</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BDCE3" w14:textId="77777777" w:rsidR="000C4977" w:rsidRPr="000C4977" w:rsidRDefault="000C4977" w:rsidP="000C4977">
            <w:pPr>
              <w:keepNext/>
              <w:keepLines/>
              <w:widowControl w:val="0"/>
              <w:spacing w:before="0" w:line="256" w:lineRule="auto"/>
              <w:jc w:val="center"/>
              <w:rPr>
                <w:rFonts w:ascii="Arial Narrow" w:hAnsi="Arial Narrow"/>
              </w:rPr>
            </w:pPr>
            <w:r w:rsidRPr="000C4977">
              <w:rPr>
                <w:rFonts w:ascii="Arial Narrow" w:hAnsi="Arial Narrow"/>
              </w:rPr>
              <w:t>The EAP was completed in December 2021.</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5E9B2" w14:textId="68C50F7F" w:rsidR="000C4977" w:rsidRPr="000C4977" w:rsidRDefault="000C4977" w:rsidP="000C4977">
            <w:pPr>
              <w:keepNext/>
              <w:keepLines/>
              <w:widowControl w:val="0"/>
              <w:spacing w:before="0" w:line="256" w:lineRule="auto"/>
              <w:jc w:val="center"/>
              <w:rPr>
                <w:rFonts w:ascii="Arial Narrow" w:hAnsi="Arial Narrow"/>
              </w:rPr>
            </w:pPr>
            <w:r w:rsidRPr="373443CE">
              <w:rPr>
                <w:rFonts w:ascii="Arial Narrow" w:hAnsi="Arial Narrow"/>
              </w:rPr>
              <w:t xml:space="preserve">Phase 2 </w:t>
            </w:r>
            <w:r w:rsidR="00870583" w:rsidRPr="373443CE">
              <w:rPr>
                <w:rFonts w:ascii="Arial Narrow" w:hAnsi="Arial Narrow"/>
              </w:rPr>
              <w:t>wa</w:t>
            </w:r>
            <w:r w:rsidRPr="373443CE">
              <w:rPr>
                <w:rFonts w:ascii="Arial Narrow" w:hAnsi="Arial Narrow"/>
              </w:rPr>
              <w:t>s scheduled for completion in May/June 2022.</w:t>
            </w:r>
          </w:p>
        </w:tc>
      </w:tr>
    </w:tbl>
    <w:p w14:paraId="14830A0C" w14:textId="3B094F9E"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18"/>
        </w:rPr>
      </w:pPr>
      <w:r w:rsidRPr="1CD16233">
        <w:rPr>
          <w:rFonts w:ascii="Arial Narrow" w:eastAsia="Times New Roman" w:hAnsi="Arial Narrow" w:cs="Arial"/>
          <w:i/>
          <w:snapToGrid w:val="0"/>
          <w:sz w:val="18"/>
          <w:szCs w:val="18"/>
          <w:lang w:eastAsia="en-AU"/>
        </w:rPr>
        <w:t>BRCA</w:t>
      </w:r>
      <w:r w:rsidRPr="000C4977">
        <w:rPr>
          <w:rFonts w:ascii="Arial Narrow" w:eastAsia="Times New Roman" w:hAnsi="Arial Narrow" w:cs="Arial"/>
          <w:snapToGrid w:val="0"/>
          <w:sz w:val="18"/>
          <w:szCs w:val="18"/>
          <w:lang w:eastAsia="en-AU"/>
        </w:rPr>
        <w:t xml:space="preserve"> = </w:t>
      </w:r>
      <w:r w:rsidR="00D9058D">
        <w:rPr>
          <w:rFonts w:ascii="Arial Narrow" w:eastAsia="Times New Roman" w:hAnsi="Arial Narrow" w:cs="Arial"/>
          <w:snapToGrid w:val="0"/>
          <w:sz w:val="18"/>
          <w:szCs w:val="18"/>
          <w:lang w:eastAsia="en-AU"/>
        </w:rPr>
        <w:t>b</w:t>
      </w:r>
      <w:r w:rsidRPr="000C4977">
        <w:rPr>
          <w:rFonts w:ascii="Arial Narrow" w:eastAsia="Times New Roman" w:hAnsi="Arial Narrow" w:cs="Arial"/>
          <w:snapToGrid w:val="0"/>
          <w:sz w:val="18"/>
          <w:szCs w:val="18"/>
          <w:lang w:eastAsia="en-AU"/>
        </w:rPr>
        <w:t xml:space="preserve">reast cancer gene; GIS = </w:t>
      </w:r>
      <w:r w:rsidR="00EE062D">
        <w:rPr>
          <w:rFonts w:ascii="Arial Narrow" w:eastAsia="Times New Roman" w:hAnsi="Arial Narrow" w:cs="Arial"/>
          <w:snapToGrid w:val="0"/>
          <w:sz w:val="18"/>
          <w:szCs w:val="18"/>
          <w:lang w:eastAsia="en-AU"/>
        </w:rPr>
        <w:t>G</w:t>
      </w:r>
      <w:r w:rsidRPr="000C4977">
        <w:rPr>
          <w:rFonts w:ascii="Arial Narrow" w:eastAsia="Times New Roman" w:hAnsi="Arial Narrow" w:cs="Arial"/>
          <w:snapToGrid w:val="0"/>
          <w:sz w:val="18"/>
          <w:szCs w:val="18"/>
          <w:lang w:eastAsia="en-AU"/>
        </w:rPr>
        <w:t xml:space="preserve">enomic </w:t>
      </w:r>
      <w:r w:rsidR="00EE062D">
        <w:rPr>
          <w:rFonts w:ascii="Arial Narrow" w:eastAsia="Times New Roman" w:hAnsi="Arial Narrow" w:cs="Arial"/>
          <w:snapToGrid w:val="0"/>
          <w:sz w:val="18"/>
          <w:szCs w:val="18"/>
          <w:lang w:eastAsia="en-AU"/>
        </w:rPr>
        <w:t>I</w:t>
      </w:r>
      <w:r w:rsidRPr="000C4977">
        <w:rPr>
          <w:rFonts w:ascii="Arial Narrow" w:eastAsia="Times New Roman" w:hAnsi="Arial Narrow" w:cs="Arial"/>
          <w:snapToGrid w:val="0"/>
          <w:sz w:val="18"/>
          <w:szCs w:val="18"/>
          <w:lang w:eastAsia="en-AU"/>
        </w:rPr>
        <w:t xml:space="preserve">nstability </w:t>
      </w:r>
      <w:r w:rsidR="00EE062D">
        <w:rPr>
          <w:rFonts w:ascii="Arial Narrow" w:eastAsia="Times New Roman" w:hAnsi="Arial Narrow" w:cs="Arial"/>
          <w:snapToGrid w:val="0"/>
          <w:sz w:val="18"/>
          <w:szCs w:val="18"/>
          <w:lang w:eastAsia="en-AU"/>
        </w:rPr>
        <w:t>S</w:t>
      </w:r>
      <w:r w:rsidRPr="000C4977">
        <w:rPr>
          <w:rFonts w:ascii="Arial Narrow" w:eastAsia="Times New Roman" w:hAnsi="Arial Narrow" w:cs="Arial"/>
          <w:snapToGrid w:val="0"/>
          <w:sz w:val="18"/>
          <w:szCs w:val="18"/>
          <w:lang w:eastAsia="en-AU"/>
        </w:rPr>
        <w:t>core; NATA = National Association of Testing Authorities;</w:t>
      </w:r>
      <w:r w:rsidRPr="000C4977">
        <w:rPr>
          <w:rFonts w:ascii="Arial Narrow" w:eastAsia="Times New Roman" w:hAnsi="Arial Narrow" w:cs="Arial"/>
          <w:snapToGrid w:val="0"/>
          <w:sz w:val="18"/>
          <w:szCs w:val="18"/>
        </w:rPr>
        <w:t xml:space="preserve"> </w:t>
      </w:r>
      <w:r w:rsidR="00A8205F" w:rsidRPr="00A8205F">
        <w:rPr>
          <w:rFonts w:ascii="Arial Narrow" w:eastAsia="Times New Roman" w:hAnsi="Arial Narrow" w:cs="Arial"/>
          <w:snapToGrid w:val="0"/>
          <w:color w:val="000000"/>
          <w:spacing w:val="8"/>
          <w:w w:val="44"/>
          <w:sz w:val="18"/>
          <w:szCs w:val="18"/>
          <w:shd w:val="solid" w:color="000000" w:fill="000000"/>
          <w:fitText w:val="148" w:id="-1450962171"/>
          <w14:textFill>
            <w14:solidFill>
              <w14:srgbClr w14:val="000000">
                <w14:alpha w14:val="100000"/>
              </w14:srgbClr>
            </w14:solidFill>
          </w14:textFill>
        </w:rPr>
        <w:t>|</w:t>
      </w:r>
      <w:proofErr w:type="gramStart"/>
      <w:r w:rsidR="00A8205F" w:rsidRPr="00A8205F">
        <w:rPr>
          <w:rFonts w:ascii="Arial Narrow" w:eastAsia="Times New Roman" w:hAnsi="Arial Narrow" w:cs="Arial"/>
          <w:snapToGrid w:val="0"/>
          <w:color w:val="000000"/>
          <w:spacing w:val="8"/>
          <w:w w:val="44"/>
          <w:sz w:val="18"/>
          <w:szCs w:val="18"/>
          <w:shd w:val="solid" w:color="000000" w:fill="000000"/>
          <w:fitText w:val="148" w:id="-1450962171"/>
          <w14:textFill>
            <w14:solidFill>
              <w14:srgbClr w14:val="000000">
                <w14:alpha w14:val="100000"/>
              </w14:srgbClr>
            </w14:solidFill>
          </w14:textFill>
        </w:rPr>
        <w:t>|  |</w:t>
      </w:r>
      <w:proofErr w:type="gramEnd"/>
      <w:r w:rsidR="00A8205F" w:rsidRPr="00A8205F">
        <w:rPr>
          <w:rFonts w:ascii="Arial Narrow" w:eastAsia="Times New Roman" w:hAnsi="Arial Narrow" w:cs="Arial"/>
          <w:snapToGrid w:val="0"/>
          <w:color w:val="000000"/>
          <w:spacing w:val="5"/>
          <w:w w:val="44"/>
          <w:sz w:val="18"/>
          <w:szCs w:val="18"/>
          <w:shd w:val="solid" w:color="000000" w:fill="000000"/>
          <w:fitText w:val="148" w:id="-1450962171"/>
          <w14:textFill>
            <w14:solidFill>
              <w14:srgbClr w14:val="000000">
                <w14:alpha w14:val="100000"/>
              </w14:srgbClr>
            </w14:solidFill>
          </w14:textFill>
        </w:rPr>
        <w:t>|</w:t>
      </w:r>
    </w:p>
    <w:p w14:paraId="022537DE" w14:textId="2E0376D6" w:rsidR="000C4977" w:rsidRPr="000C4977" w:rsidRDefault="000C4977" w:rsidP="00FC3969">
      <w:pPr>
        <w:widowControl w:val="0"/>
        <w:spacing w:before="0" w:after="0"/>
        <w:contextualSpacing/>
        <w:rPr>
          <w:rFonts w:eastAsia="Times New Roman" w:cs="Arial"/>
          <w:snapToGrid w:val="0"/>
          <w:sz w:val="18"/>
          <w:szCs w:val="18"/>
          <w:lang w:eastAsia="en-AU"/>
        </w:rPr>
      </w:pPr>
      <w:r w:rsidRPr="000C4977">
        <w:rPr>
          <w:rFonts w:ascii="Arial Narrow" w:eastAsia="Times New Roman" w:hAnsi="Arial Narrow" w:cs="Arial"/>
          <w:snapToGrid w:val="0"/>
          <w:sz w:val="18"/>
          <w:szCs w:val="18"/>
          <w:lang w:eastAsia="en-AU"/>
        </w:rPr>
        <w:t xml:space="preserve">Source: Table 1 of additional correspondence provided by sponsor during evaluation (ADDENDUM response to </w:t>
      </w:r>
      <w:proofErr w:type="spellStart"/>
      <w:r w:rsidRPr="000C4977">
        <w:rPr>
          <w:rFonts w:ascii="Arial Narrow" w:eastAsia="Times New Roman" w:hAnsi="Arial Narrow" w:cs="Arial"/>
          <w:snapToGrid w:val="0"/>
          <w:sz w:val="18"/>
          <w:szCs w:val="18"/>
          <w:lang w:eastAsia="en-AU"/>
        </w:rPr>
        <w:t>DoH</w:t>
      </w:r>
      <w:proofErr w:type="spellEnd"/>
      <w:r w:rsidRPr="000C4977">
        <w:rPr>
          <w:rFonts w:ascii="Arial Narrow" w:eastAsia="Times New Roman" w:hAnsi="Arial Narrow" w:cs="Arial"/>
          <w:snapToGrid w:val="0"/>
          <w:sz w:val="18"/>
          <w:szCs w:val="18"/>
          <w:lang w:eastAsia="en-AU"/>
        </w:rPr>
        <w:t xml:space="preserve"> questions re HRD test validation (</w:t>
      </w:r>
      <w:bookmarkStart w:id="46" w:name="_Int_M9wTeLeL"/>
      <w:r w:rsidR="00A8205F" w:rsidRPr="00A8205F">
        <w:rPr>
          <w:rFonts w:ascii="Arial Narrow" w:eastAsia="Times New Roman" w:hAnsi="Arial Narrow" w:cs="Arial"/>
          <w:snapToGrid w:val="0"/>
          <w:color w:val="000000"/>
          <w:spacing w:val="8"/>
          <w:w w:val="44"/>
          <w:sz w:val="18"/>
          <w:szCs w:val="18"/>
          <w:shd w:val="solid" w:color="000000" w:fill="000000"/>
          <w:fitText w:val="148" w:id="-1450961905"/>
          <w14:textFill>
            <w14:solidFill>
              <w14:srgbClr w14:val="000000">
                <w14:alpha w14:val="100000"/>
              </w14:srgbClr>
            </w14:solidFill>
          </w14:textFill>
        </w:rPr>
        <w:t>|</w:t>
      </w:r>
      <w:proofErr w:type="gramStart"/>
      <w:r w:rsidR="00A8205F" w:rsidRPr="00A8205F">
        <w:rPr>
          <w:rFonts w:ascii="Arial Narrow" w:eastAsia="Times New Roman" w:hAnsi="Arial Narrow" w:cs="Arial"/>
          <w:snapToGrid w:val="0"/>
          <w:color w:val="000000"/>
          <w:spacing w:val="8"/>
          <w:w w:val="44"/>
          <w:sz w:val="18"/>
          <w:szCs w:val="18"/>
          <w:shd w:val="solid" w:color="000000" w:fill="000000"/>
          <w:fitText w:val="148" w:id="-1450961905"/>
          <w14:textFill>
            <w14:solidFill>
              <w14:srgbClr w14:val="000000">
                <w14:alpha w14:val="100000"/>
              </w14:srgbClr>
            </w14:solidFill>
          </w14:textFill>
        </w:rPr>
        <w:t>|  |</w:t>
      </w:r>
      <w:proofErr w:type="gramEnd"/>
      <w:r w:rsidR="00A8205F" w:rsidRPr="00A8205F">
        <w:rPr>
          <w:rFonts w:ascii="Arial Narrow" w:eastAsia="Times New Roman" w:hAnsi="Arial Narrow" w:cs="Arial"/>
          <w:snapToGrid w:val="0"/>
          <w:color w:val="000000"/>
          <w:spacing w:val="5"/>
          <w:w w:val="44"/>
          <w:sz w:val="18"/>
          <w:szCs w:val="18"/>
          <w:shd w:val="solid" w:color="000000" w:fill="000000"/>
          <w:fitText w:val="148" w:id="-1450961905"/>
          <w14:textFill>
            <w14:solidFill>
              <w14:srgbClr w14:val="000000">
                <w14:alpha w14:val="100000"/>
              </w14:srgbClr>
            </w14:solidFill>
          </w14:textFill>
        </w:rPr>
        <w:t>|</w:t>
      </w:r>
      <w:r w:rsidRPr="000C4977">
        <w:rPr>
          <w:rFonts w:ascii="Arial Narrow" w:eastAsia="Times New Roman" w:hAnsi="Arial Narrow" w:cs="Arial"/>
          <w:snapToGrid w:val="0"/>
          <w:sz w:val="18"/>
          <w:szCs w:val="18"/>
          <w:lang w:eastAsia="en-AU"/>
        </w:rPr>
        <w:t>)_</w:t>
      </w:r>
      <w:bookmarkEnd w:id="46"/>
      <w:r w:rsidRPr="000C4977">
        <w:rPr>
          <w:rFonts w:ascii="Arial Narrow" w:eastAsia="Times New Roman" w:hAnsi="Arial Narrow" w:cs="Arial"/>
          <w:snapToGrid w:val="0"/>
          <w:sz w:val="18"/>
          <w:szCs w:val="18"/>
          <w:lang w:eastAsia="en-AU"/>
        </w:rPr>
        <w:t>AZ_220310</w:t>
      </w:r>
    </w:p>
    <w:p w14:paraId="5B2F7062" w14:textId="46150141" w:rsidR="001D29DE" w:rsidRDefault="007E7628" w:rsidP="000C4977">
      <w:pPr>
        <w:spacing w:line="259" w:lineRule="auto"/>
        <w:jc w:val="left"/>
      </w:pPr>
      <w:r>
        <w:t xml:space="preserve">The complete validation study results were provided with the pre-MSAC response. It reported the results for genomic instability for the following subgroups: </w:t>
      </w:r>
      <w:proofErr w:type="spellStart"/>
      <w:r>
        <w:t>i</w:t>
      </w:r>
      <w:proofErr w:type="spellEnd"/>
      <w:r>
        <w:t xml:space="preserve">) </w:t>
      </w:r>
      <w:r w:rsidR="00212C56" w:rsidRPr="007E7628">
        <w:t>a</w:t>
      </w:r>
      <w:r w:rsidRPr="007E7628">
        <w:t>ll samples (n=115)</w:t>
      </w:r>
      <w:r>
        <w:t xml:space="preserve">, ii) </w:t>
      </w:r>
      <w:r w:rsidR="00212C56">
        <w:t>s</w:t>
      </w:r>
      <w:r w:rsidRPr="007E7628">
        <w:t xml:space="preserve">amples with a Myriad </w:t>
      </w:r>
      <w:proofErr w:type="spellStart"/>
      <w:r w:rsidRPr="007E7628">
        <w:t>myChoice</w:t>
      </w:r>
      <w:proofErr w:type="spellEnd"/>
      <w:r w:rsidRPr="007E7628">
        <w:t xml:space="preserve"> result (n=81)</w:t>
      </w:r>
      <w:r>
        <w:t xml:space="preserve">, and iii) </w:t>
      </w:r>
      <w:r w:rsidR="00212C56" w:rsidRPr="007E7628">
        <w:t>o</w:t>
      </w:r>
      <w:r w:rsidRPr="007E7628">
        <w:t xml:space="preserve">varian samples with a Myriad </w:t>
      </w:r>
      <w:proofErr w:type="spellStart"/>
      <w:r w:rsidRPr="007E7628">
        <w:t>myChoice</w:t>
      </w:r>
      <w:proofErr w:type="spellEnd"/>
      <w:r w:rsidRPr="007E7628">
        <w:t xml:space="preserve"> result (n=76)</w:t>
      </w:r>
      <w:r>
        <w:t xml:space="preserve">. </w:t>
      </w:r>
      <w:r w:rsidR="001D29DE">
        <w:t>Of 76 o</w:t>
      </w:r>
      <w:r w:rsidR="001D29DE" w:rsidRPr="001D29DE">
        <w:t xml:space="preserve">varian samples with a Myriad </w:t>
      </w:r>
      <w:proofErr w:type="spellStart"/>
      <w:r w:rsidR="001D29DE" w:rsidRPr="001D29DE">
        <w:t>myChoice</w:t>
      </w:r>
      <w:proofErr w:type="spellEnd"/>
      <w:r w:rsidR="001D29DE" w:rsidRPr="001D29DE">
        <w:t xml:space="preserve"> result</w:t>
      </w:r>
      <w:r w:rsidR="001D29DE">
        <w:t xml:space="preserve">, 4 samples (5%) were rejected due to low quality assurance status, and a further 10 samples (13%) resulted in an inconclusive </w:t>
      </w:r>
      <w:proofErr w:type="spellStart"/>
      <w:r w:rsidR="001D29DE">
        <w:t>SOPHiA</w:t>
      </w:r>
      <w:proofErr w:type="spellEnd"/>
      <w:r w:rsidR="001D29DE">
        <w:t xml:space="preserve"> genomic instability result. The results of validation study are presented in </w:t>
      </w:r>
      <w:r w:rsidR="00756628">
        <w:t>the figures below</w:t>
      </w:r>
      <w:r w:rsidR="001D29DE">
        <w:t>.</w:t>
      </w:r>
      <w:r w:rsidR="002B736A">
        <w:t xml:space="preserve"> The validation reported stated that the </w:t>
      </w:r>
      <w:proofErr w:type="spellStart"/>
      <w:r w:rsidR="002B736A" w:rsidRPr="002B736A">
        <w:t>SOPHiA</w:t>
      </w:r>
      <w:proofErr w:type="spellEnd"/>
      <w:r w:rsidR="002B736A" w:rsidRPr="002B736A">
        <w:t xml:space="preserve"> HRD assay failed to achieve the target accuracy of 95% compared with the Myriad </w:t>
      </w:r>
      <w:proofErr w:type="spellStart"/>
      <w:r w:rsidR="002B736A" w:rsidRPr="002B736A">
        <w:t>myChoice</w:t>
      </w:r>
      <w:proofErr w:type="spellEnd"/>
      <w:r w:rsidR="002B736A" w:rsidRPr="002B736A">
        <w:t xml:space="preserve"> </w:t>
      </w:r>
      <w:proofErr w:type="spellStart"/>
      <w:r w:rsidR="002B736A" w:rsidRPr="002B736A">
        <w:t>CDx</w:t>
      </w:r>
      <w:proofErr w:type="spellEnd"/>
      <w:r w:rsidR="002B736A" w:rsidRPr="002B736A">
        <w:t xml:space="preserve"> assay.</w:t>
      </w:r>
    </w:p>
    <w:p w14:paraId="6EED69F1" w14:textId="3F601EAF" w:rsidR="00595284" w:rsidRDefault="00595284" w:rsidP="00595284">
      <w:pPr>
        <w:pStyle w:val="Caption"/>
        <w:jc w:val="both"/>
      </w:pPr>
      <w:r>
        <w:lastRenderedPageBreak/>
        <w:t xml:space="preserve">Figure </w:t>
      </w:r>
      <w:fldSimple w:instr=" SEQ Figure \* ARABIC ">
        <w:r w:rsidR="00D8603B">
          <w:rPr>
            <w:noProof/>
          </w:rPr>
          <w:t>5</w:t>
        </w:r>
      </w:fldSimple>
      <w:r w:rsidR="00BE0DF9">
        <w:rPr>
          <w:noProof/>
        </w:rPr>
        <w:tab/>
      </w:r>
      <w:r w:rsidRPr="00595284">
        <w:rPr>
          <w:bCs/>
          <w:iCs w:val="0"/>
        </w:rPr>
        <w:t>Error matrix for genomic instability (mixed tumour cohort)</w:t>
      </w:r>
    </w:p>
    <w:p w14:paraId="738859D0" w14:textId="5D8DF9E7" w:rsidR="000C4977" w:rsidRPr="000C4977" w:rsidRDefault="00D02EDA" w:rsidP="000C4977">
      <w:pPr>
        <w:keepNext/>
        <w:keepLines/>
      </w:pPr>
      <w:r>
        <w:rPr>
          <w:noProof/>
        </w:rPr>
        <w:drawing>
          <wp:inline distT="0" distB="0" distL="0" distR="0" wp14:anchorId="2AB90051" wp14:editId="3A53DDF1">
            <wp:extent cx="5731510" cy="2232660"/>
            <wp:effectExtent l="0" t="0" r="2540" b="0"/>
            <wp:docPr id="4" name="Picture 4" descr="Figure 5 Error matrix for genomic instability (mixed tumour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5 Error matrix for genomic instability (mixed tumour cohort)"/>
                    <pic:cNvPicPr/>
                  </pic:nvPicPr>
                  <pic:blipFill>
                    <a:blip r:embed="rId16">
                      <a:extLst>
                        <a:ext uri="{28A0092B-C50C-407E-A947-70E740481C1C}">
                          <a14:useLocalDpi xmlns:a14="http://schemas.microsoft.com/office/drawing/2010/main" val="0"/>
                        </a:ext>
                      </a:extLst>
                    </a:blip>
                    <a:stretch>
                      <a:fillRect/>
                    </a:stretch>
                  </pic:blipFill>
                  <pic:spPr>
                    <a:xfrm>
                      <a:off x="0" y="0"/>
                      <a:ext cx="5731510" cy="2232660"/>
                    </a:xfrm>
                    <a:prstGeom prst="rect">
                      <a:avLst/>
                    </a:prstGeom>
                  </pic:spPr>
                </pic:pic>
              </a:graphicData>
            </a:graphic>
          </wp:inline>
        </w:drawing>
      </w:r>
    </w:p>
    <w:p w14:paraId="7BBC39E1" w14:textId="06527C45" w:rsidR="00756628" w:rsidRDefault="00756628"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lang w:eastAsia="en-AU"/>
        </w:rPr>
        <w:t>BRCA</w:t>
      </w:r>
      <w:r w:rsidRPr="000C4977">
        <w:rPr>
          <w:rFonts w:ascii="Arial Narrow" w:eastAsia="Times New Roman" w:hAnsi="Arial Narrow" w:cs="Arial"/>
          <w:snapToGrid w:val="0"/>
          <w:sz w:val="18"/>
          <w:szCs w:val="20"/>
          <w:lang w:eastAsia="en-AU"/>
        </w:rPr>
        <w:t xml:space="preserve"> = </w:t>
      </w:r>
      <w:r w:rsidR="00BE0DF9">
        <w:rPr>
          <w:rFonts w:ascii="Arial Narrow" w:eastAsia="Times New Roman" w:hAnsi="Arial Narrow" w:cs="Arial"/>
          <w:snapToGrid w:val="0"/>
          <w:sz w:val="18"/>
          <w:szCs w:val="20"/>
          <w:lang w:eastAsia="en-AU"/>
        </w:rPr>
        <w:t>b</w:t>
      </w:r>
      <w:r w:rsidRPr="000C4977">
        <w:rPr>
          <w:rFonts w:ascii="Arial Narrow" w:eastAsia="Times New Roman" w:hAnsi="Arial Narrow" w:cs="Arial"/>
          <w:snapToGrid w:val="0"/>
          <w:sz w:val="18"/>
          <w:szCs w:val="20"/>
          <w:lang w:eastAsia="en-AU"/>
        </w:rPr>
        <w:t xml:space="preserve">reast cancer gene; </w:t>
      </w:r>
      <w:r>
        <w:rPr>
          <w:rFonts w:ascii="Arial Narrow" w:eastAsia="Times New Roman" w:hAnsi="Arial Narrow" w:cs="Arial"/>
          <w:snapToGrid w:val="0"/>
          <w:sz w:val="18"/>
          <w:szCs w:val="20"/>
        </w:rPr>
        <w:t xml:space="preserve">FN = false negative; FP = false positive; </w:t>
      </w:r>
      <w:r w:rsidR="00EE062D">
        <w:rPr>
          <w:rFonts w:ascii="Arial Narrow" w:eastAsia="Times New Roman" w:hAnsi="Arial Narrow" w:cs="Arial"/>
          <w:snapToGrid w:val="0"/>
          <w:sz w:val="18"/>
          <w:szCs w:val="20"/>
        </w:rPr>
        <w:t>G</w:t>
      </w:r>
      <w:r>
        <w:rPr>
          <w:rFonts w:ascii="Arial Narrow" w:eastAsia="Times New Roman" w:hAnsi="Arial Narrow" w:cs="Arial"/>
          <w:snapToGrid w:val="0"/>
          <w:sz w:val="18"/>
          <w:szCs w:val="20"/>
        </w:rPr>
        <w:t xml:space="preserve">HRD </w:t>
      </w:r>
      <w:r w:rsidR="00BE0DF9">
        <w:rPr>
          <w:rFonts w:ascii="Arial Narrow" w:eastAsia="Times New Roman" w:hAnsi="Arial Narrow" w:cs="Arial"/>
          <w:snapToGrid w:val="0"/>
          <w:sz w:val="18"/>
          <w:szCs w:val="20"/>
        </w:rPr>
        <w:t>=</w:t>
      </w:r>
      <w:r>
        <w:rPr>
          <w:rFonts w:ascii="Arial Narrow" w:eastAsia="Times New Roman" w:hAnsi="Arial Narrow" w:cs="Arial"/>
          <w:snapToGrid w:val="0"/>
          <w:sz w:val="18"/>
          <w:szCs w:val="20"/>
        </w:rPr>
        <w:t xml:space="preserve"> homologous recombination deficiency; </w:t>
      </w:r>
      <w:r w:rsidR="00EE062D">
        <w:rPr>
          <w:rFonts w:ascii="Arial Narrow" w:eastAsia="Times New Roman" w:hAnsi="Arial Narrow" w:cs="Arial"/>
          <w:snapToGrid w:val="0"/>
          <w:sz w:val="18"/>
          <w:szCs w:val="20"/>
        </w:rPr>
        <w:t>GIS = Genomic Instability</w:t>
      </w:r>
      <w:r w:rsidR="00EE062D" w:rsidRPr="007C109F">
        <w:rPr>
          <w:rFonts w:ascii="Arial Narrow" w:eastAsia="Times New Roman" w:hAnsi="Arial Narrow" w:cs="Arial"/>
          <w:snapToGrid w:val="0"/>
          <w:sz w:val="18"/>
          <w:szCs w:val="20"/>
        </w:rPr>
        <w:t xml:space="preserve"> </w:t>
      </w:r>
      <w:r w:rsidR="00EE062D">
        <w:rPr>
          <w:rFonts w:ascii="Arial Narrow" w:eastAsia="Times New Roman" w:hAnsi="Arial Narrow" w:cs="Arial"/>
          <w:snapToGrid w:val="0"/>
          <w:sz w:val="18"/>
          <w:szCs w:val="20"/>
        </w:rPr>
        <w:t>S</w:t>
      </w:r>
      <w:r w:rsidR="00EE062D" w:rsidRPr="007C109F">
        <w:rPr>
          <w:rFonts w:ascii="Arial Narrow" w:eastAsia="Times New Roman" w:hAnsi="Arial Narrow" w:cs="Arial"/>
          <w:snapToGrid w:val="0"/>
          <w:sz w:val="18"/>
          <w:szCs w:val="20"/>
        </w:rPr>
        <w:t>core</w:t>
      </w:r>
      <w:r w:rsidR="00EE062D">
        <w:rPr>
          <w:rFonts w:ascii="Arial Narrow" w:eastAsia="Times New Roman" w:hAnsi="Arial Narrow" w:cs="Arial"/>
          <w:snapToGrid w:val="0"/>
          <w:sz w:val="18"/>
          <w:szCs w:val="20"/>
        </w:rPr>
        <w:t xml:space="preserve">; </w:t>
      </w:r>
      <w:r>
        <w:rPr>
          <w:rFonts w:ascii="Arial Narrow" w:eastAsia="Times New Roman" w:hAnsi="Arial Narrow" w:cs="Arial"/>
          <w:snapToGrid w:val="0"/>
          <w:sz w:val="18"/>
          <w:szCs w:val="20"/>
        </w:rPr>
        <w:t xml:space="preserve">HRR = </w:t>
      </w:r>
      <w:r w:rsidRPr="00756628">
        <w:rPr>
          <w:rFonts w:ascii="Arial Narrow" w:eastAsia="Times New Roman" w:hAnsi="Arial Narrow" w:cs="Arial"/>
          <w:snapToGrid w:val="0"/>
          <w:sz w:val="18"/>
          <w:szCs w:val="20"/>
        </w:rPr>
        <w:t>homologous recombination repair</w:t>
      </w:r>
      <w:r>
        <w:rPr>
          <w:rFonts w:ascii="Arial Narrow" w:eastAsia="Times New Roman" w:hAnsi="Arial Narrow" w:cs="Arial"/>
          <w:snapToGrid w:val="0"/>
          <w:sz w:val="18"/>
          <w:szCs w:val="20"/>
        </w:rPr>
        <w:t xml:space="preserve">; NPA = </w:t>
      </w:r>
      <w:r w:rsidRPr="00756628">
        <w:rPr>
          <w:rFonts w:ascii="Arial Narrow" w:eastAsia="Times New Roman" w:hAnsi="Arial Narrow" w:cs="Arial"/>
          <w:snapToGrid w:val="0"/>
          <w:sz w:val="18"/>
          <w:szCs w:val="20"/>
        </w:rPr>
        <w:t>negative percent agreement</w:t>
      </w:r>
      <w:r>
        <w:rPr>
          <w:rFonts w:ascii="Arial Narrow" w:eastAsia="Times New Roman" w:hAnsi="Arial Narrow" w:cs="Arial"/>
          <w:snapToGrid w:val="0"/>
          <w:sz w:val="18"/>
          <w:szCs w:val="20"/>
        </w:rPr>
        <w:t>; OPA =</w:t>
      </w:r>
      <w:r w:rsidRPr="00756628">
        <w:t xml:space="preserve"> </w:t>
      </w:r>
      <w:r w:rsidRPr="00756628">
        <w:rPr>
          <w:rFonts w:ascii="Arial Narrow" w:eastAsia="Times New Roman" w:hAnsi="Arial Narrow" w:cs="Arial"/>
          <w:snapToGrid w:val="0"/>
          <w:sz w:val="18"/>
          <w:szCs w:val="20"/>
        </w:rPr>
        <w:t>overall percentage agreement</w:t>
      </w:r>
      <w:r>
        <w:rPr>
          <w:rFonts w:ascii="Arial Narrow" w:eastAsia="Times New Roman" w:hAnsi="Arial Narrow" w:cs="Arial"/>
          <w:snapToGrid w:val="0"/>
          <w:sz w:val="18"/>
          <w:szCs w:val="20"/>
        </w:rPr>
        <w:t xml:space="preserve">; PPA = </w:t>
      </w:r>
      <w:r w:rsidRPr="00756628">
        <w:rPr>
          <w:rFonts w:ascii="Arial Narrow" w:eastAsia="Times New Roman" w:hAnsi="Arial Narrow" w:cs="Arial"/>
          <w:snapToGrid w:val="0"/>
          <w:sz w:val="18"/>
          <w:szCs w:val="20"/>
        </w:rPr>
        <w:t>positive percent agreement</w:t>
      </w:r>
      <w:r>
        <w:rPr>
          <w:rFonts w:ascii="Arial Narrow" w:eastAsia="Times New Roman" w:hAnsi="Arial Narrow" w:cs="Arial"/>
          <w:snapToGrid w:val="0"/>
          <w:sz w:val="18"/>
          <w:szCs w:val="20"/>
        </w:rPr>
        <w:t>; TP = true positive; TN = true negative</w:t>
      </w:r>
    </w:p>
    <w:p w14:paraId="573A1491" w14:textId="77777777" w:rsidR="00BE0DF9" w:rsidRDefault="000C4977"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Source: </w:t>
      </w:r>
      <w:r w:rsidR="00D02EDA">
        <w:rPr>
          <w:rFonts w:ascii="Arial Narrow" w:eastAsia="Times New Roman" w:hAnsi="Arial Narrow" w:cs="Arial"/>
          <w:snapToGrid w:val="0"/>
          <w:sz w:val="18"/>
          <w:szCs w:val="20"/>
        </w:rPr>
        <w:t>Validation Report, p11 (provided with the pre-MSAC response)</w:t>
      </w:r>
    </w:p>
    <w:p w14:paraId="50EA6830" w14:textId="58A81F00" w:rsidR="000C4977" w:rsidRPr="000C4977" w:rsidRDefault="007C109F" w:rsidP="00FC3969">
      <w:pPr>
        <w:widowControl w:val="0"/>
        <w:spacing w:before="0" w:after="0"/>
        <w:contextualSpacing/>
        <w:rPr>
          <w:rFonts w:ascii="Arial Narrow" w:eastAsia="Times New Roman" w:hAnsi="Arial Narrow" w:cs="Arial"/>
          <w:snapToGrid w:val="0"/>
          <w:sz w:val="18"/>
          <w:szCs w:val="20"/>
          <w:lang w:eastAsia="en-AU"/>
        </w:rPr>
      </w:pPr>
      <w:r>
        <w:rPr>
          <w:rFonts w:ascii="Arial Narrow" w:eastAsia="Times New Roman" w:hAnsi="Arial Narrow" w:cs="Arial"/>
          <w:snapToGrid w:val="0"/>
          <w:sz w:val="18"/>
          <w:szCs w:val="20"/>
        </w:rPr>
        <w:t xml:space="preserve">a) </w:t>
      </w:r>
      <w:r w:rsidR="00BE0DF9">
        <w:rPr>
          <w:rFonts w:ascii="Arial Narrow" w:eastAsia="Times New Roman" w:hAnsi="Arial Narrow" w:cs="Arial"/>
          <w:snapToGrid w:val="0"/>
          <w:sz w:val="18"/>
          <w:szCs w:val="20"/>
        </w:rPr>
        <w:t>C</w:t>
      </w:r>
      <w:r w:rsidR="008F5D9C" w:rsidRPr="008F5D9C">
        <w:rPr>
          <w:rFonts w:ascii="Arial Narrow" w:eastAsia="Times New Roman" w:hAnsi="Arial Narrow" w:cs="Arial"/>
          <w:snapToGrid w:val="0"/>
          <w:sz w:val="18"/>
          <w:szCs w:val="20"/>
        </w:rPr>
        <w:t xml:space="preserve">onfusion </w:t>
      </w:r>
      <w:r w:rsidR="00BE0DF9">
        <w:rPr>
          <w:rFonts w:ascii="Arial Narrow" w:eastAsia="Times New Roman" w:hAnsi="Arial Narrow" w:cs="Arial"/>
          <w:snapToGrid w:val="0"/>
          <w:sz w:val="18"/>
          <w:szCs w:val="20"/>
        </w:rPr>
        <w:t>M</w:t>
      </w:r>
      <w:r w:rsidR="008F5D9C" w:rsidRPr="008F5D9C">
        <w:rPr>
          <w:rFonts w:ascii="Arial Narrow" w:eastAsia="Times New Roman" w:hAnsi="Arial Narrow" w:cs="Arial"/>
          <w:snapToGrid w:val="0"/>
          <w:sz w:val="18"/>
          <w:szCs w:val="20"/>
        </w:rPr>
        <w:t xml:space="preserve">atrix for </w:t>
      </w:r>
      <w:r>
        <w:rPr>
          <w:rFonts w:ascii="Arial Narrow" w:eastAsia="Times New Roman" w:hAnsi="Arial Narrow" w:cs="Arial"/>
          <w:snapToGrid w:val="0"/>
          <w:sz w:val="18"/>
          <w:szCs w:val="20"/>
        </w:rPr>
        <w:t>genomic instability a</w:t>
      </w:r>
      <w:r w:rsidR="008F5D9C" w:rsidRPr="008F5D9C">
        <w:rPr>
          <w:rFonts w:ascii="Arial Narrow" w:eastAsia="Times New Roman" w:hAnsi="Arial Narrow" w:cs="Arial"/>
          <w:snapToGrid w:val="0"/>
          <w:sz w:val="18"/>
          <w:szCs w:val="20"/>
        </w:rPr>
        <w:t xml:space="preserve">lone, b) Confusion Matrix for </w:t>
      </w:r>
      <w:r w:rsidR="00EE062D">
        <w:rPr>
          <w:rFonts w:ascii="Arial Narrow" w:eastAsia="Times New Roman" w:hAnsi="Arial Narrow" w:cs="Arial"/>
          <w:snapToGrid w:val="0"/>
          <w:sz w:val="18"/>
          <w:szCs w:val="20"/>
        </w:rPr>
        <w:t>GIS</w:t>
      </w:r>
      <w:r w:rsidRPr="007C109F">
        <w:rPr>
          <w:rFonts w:ascii="Arial Narrow" w:eastAsia="Times New Roman" w:hAnsi="Arial Narrow" w:cs="Arial"/>
          <w:snapToGrid w:val="0"/>
          <w:sz w:val="18"/>
          <w:szCs w:val="20"/>
        </w:rPr>
        <w:t>s combined with HRR mutation status, whereby biallelic loss of function in a canonical HRR gene (</w:t>
      </w:r>
      <w:r w:rsidRPr="00756628">
        <w:rPr>
          <w:rFonts w:ascii="Arial Narrow" w:eastAsia="Times New Roman" w:hAnsi="Arial Narrow" w:cs="Arial"/>
          <w:i/>
          <w:iCs/>
          <w:snapToGrid w:val="0"/>
          <w:sz w:val="18"/>
          <w:szCs w:val="20"/>
        </w:rPr>
        <w:t>BRCA1</w:t>
      </w:r>
      <w:r w:rsidRPr="007C109F">
        <w:rPr>
          <w:rFonts w:ascii="Arial Narrow" w:eastAsia="Times New Roman" w:hAnsi="Arial Narrow" w:cs="Arial"/>
          <w:snapToGrid w:val="0"/>
          <w:sz w:val="18"/>
          <w:szCs w:val="20"/>
        </w:rPr>
        <w:t xml:space="preserve"> or </w:t>
      </w:r>
      <w:r w:rsidRPr="00756628">
        <w:rPr>
          <w:rFonts w:ascii="Arial Narrow" w:eastAsia="Times New Roman" w:hAnsi="Arial Narrow" w:cs="Arial"/>
          <w:i/>
          <w:iCs/>
          <w:snapToGrid w:val="0"/>
          <w:sz w:val="18"/>
          <w:szCs w:val="20"/>
        </w:rPr>
        <w:t>BRCA2</w:t>
      </w:r>
      <w:r w:rsidRPr="007C109F">
        <w:rPr>
          <w:rFonts w:ascii="Arial Narrow" w:eastAsia="Times New Roman" w:hAnsi="Arial Narrow" w:cs="Arial"/>
          <w:snapToGrid w:val="0"/>
          <w:sz w:val="18"/>
          <w:szCs w:val="20"/>
        </w:rPr>
        <w:t xml:space="preserve">) overrides a negative or inconclusive </w:t>
      </w:r>
      <w:r w:rsidR="00EE062D">
        <w:rPr>
          <w:rFonts w:ascii="Arial Narrow" w:eastAsia="Times New Roman" w:hAnsi="Arial Narrow" w:cs="Arial"/>
          <w:snapToGrid w:val="0"/>
          <w:sz w:val="18"/>
          <w:szCs w:val="20"/>
        </w:rPr>
        <w:t>GIS</w:t>
      </w:r>
    </w:p>
    <w:p w14:paraId="4BABDB5E"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lang w:eastAsia="en-AU"/>
        </w:rPr>
      </w:pPr>
    </w:p>
    <w:p w14:paraId="1E138955" w14:textId="748B11BD" w:rsidR="00756628" w:rsidRDefault="00756628" w:rsidP="00756628">
      <w:pPr>
        <w:pStyle w:val="Caption"/>
        <w:jc w:val="both"/>
      </w:pPr>
      <w:r>
        <w:t xml:space="preserve">Figure </w:t>
      </w:r>
      <w:fldSimple w:instr=" SEQ Figure \* ARABIC ">
        <w:r w:rsidR="00D8603B">
          <w:rPr>
            <w:noProof/>
          </w:rPr>
          <w:t>6</w:t>
        </w:r>
      </w:fldSimple>
      <w:r w:rsidR="00BE0DF9">
        <w:rPr>
          <w:noProof/>
        </w:rPr>
        <w:tab/>
      </w:r>
      <w:r w:rsidRPr="00756628">
        <w:rPr>
          <w:bCs/>
          <w:iCs w:val="0"/>
        </w:rPr>
        <w:t xml:space="preserve">Validation phase 2 - Error matrix for </w:t>
      </w:r>
      <w:r w:rsidRPr="00756628">
        <w:rPr>
          <w:bCs/>
          <w:i/>
          <w:iCs w:val="0"/>
        </w:rPr>
        <w:t>BRCA1/2</w:t>
      </w:r>
      <w:r w:rsidRPr="00756628">
        <w:rPr>
          <w:bCs/>
          <w:iCs w:val="0"/>
        </w:rPr>
        <w:t xml:space="preserve"> variant detection (ovarian samples)</w:t>
      </w:r>
    </w:p>
    <w:p w14:paraId="256686D0" w14:textId="73AD99D6" w:rsidR="000C4977" w:rsidRPr="000C4977" w:rsidRDefault="00515892" w:rsidP="000C4977">
      <w:pPr>
        <w:keepNext/>
        <w:keepLines/>
        <w:widowControl w:val="0"/>
        <w:spacing w:before="0" w:after="0"/>
        <w:contextualSpacing/>
        <w:rPr>
          <w:rFonts w:ascii="Arial Narrow" w:eastAsia="Times New Roman" w:hAnsi="Arial Narrow" w:cs="Arial"/>
          <w:snapToGrid w:val="0"/>
          <w:sz w:val="18"/>
          <w:szCs w:val="20"/>
        </w:rPr>
      </w:pPr>
      <w:r>
        <w:rPr>
          <w:rFonts w:ascii="Arial Narrow" w:eastAsia="Times New Roman" w:hAnsi="Arial Narrow" w:cs="Arial"/>
          <w:noProof/>
          <w:sz w:val="18"/>
          <w:szCs w:val="20"/>
        </w:rPr>
        <w:drawing>
          <wp:inline distT="0" distB="0" distL="0" distR="0" wp14:anchorId="65F38F57" wp14:editId="322D0750">
            <wp:extent cx="5182375" cy="2247265"/>
            <wp:effectExtent l="0" t="0" r="0" b="635"/>
            <wp:docPr id="10" name="Picture 10" descr="Figure 6 Validation phase 2 - Error matrix for BRCA1/2 variant detection (ovarian s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6 Validation phase 2 - Error matrix for BRCA1/2 variant detection (ovarian samples)"/>
                    <pic:cNvPicPr/>
                  </pic:nvPicPr>
                  <pic:blipFill>
                    <a:blip r:embed="rId17">
                      <a:extLst>
                        <a:ext uri="{28A0092B-C50C-407E-A947-70E740481C1C}">
                          <a14:useLocalDpi xmlns:a14="http://schemas.microsoft.com/office/drawing/2010/main" val="0"/>
                        </a:ext>
                      </a:extLst>
                    </a:blip>
                    <a:stretch>
                      <a:fillRect/>
                    </a:stretch>
                  </pic:blipFill>
                  <pic:spPr>
                    <a:xfrm>
                      <a:off x="0" y="0"/>
                      <a:ext cx="5216075" cy="2261878"/>
                    </a:xfrm>
                    <a:prstGeom prst="rect">
                      <a:avLst/>
                    </a:prstGeom>
                  </pic:spPr>
                </pic:pic>
              </a:graphicData>
            </a:graphic>
          </wp:inline>
        </w:drawing>
      </w:r>
    </w:p>
    <w:p w14:paraId="3A72928A" w14:textId="13FAAA41" w:rsidR="00756628" w:rsidRDefault="00756628" w:rsidP="00756628">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lang w:eastAsia="en-AU"/>
        </w:rPr>
        <w:t>BRCA</w:t>
      </w:r>
      <w:r w:rsidRPr="000C4977">
        <w:rPr>
          <w:rFonts w:ascii="Arial Narrow" w:eastAsia="Times New Roman" w:hAnsi="Arial Narrow" w:cs="Arial"/>
          <w:snapToGrid w:val="0"/>
          <w:sz w:val="18"/>
          <w:szCs w:val="20"/>
          <w:lang w:eastAsia="en-AU"/>
        </w:rPr>
        <w:t xml:space="preserve"> = </w:t>
      </w:r>
      <w:r w:rsidR="00BE0DF9">
        <w:rPr>
          <w:rFonts w:ascii="Arial Narrow" w:eastAsia="Times New Roman" w:hAnsi="Arial Narrow" w:cs="Arial"/>
          <w:snapToGrid w:val="0"/>
          <w:sz w:val="18"/>
          <w:szCs w:val="20"/>
          <w:lang w:eastAsia="en-AU"/>
        </w:rPr>
        <w:t>b</w:t>
      </w:r>
      <w:r w:rsidRPr="000C4977">
        <w:rPr>
          <w:rFonts w:ascii="Arial Narrow" w:eastAsia="Times New Roman" w:hAnsi="Arial Narrow" w:cs="Arial"/>
          <w:snapToGrid w:val="0"/>
          <w:sz w:val="18"/>
          <w:szCs w:val="20"/>
          <w:lang w:eastAsia="en-AU"/>
        </w:rPr>
        <w:t xml:space="preserve">reast cancer gene; </w:t>
      </w:r>
      <w:r>
        <w:rPr>
          <w:rFonts w:ascii="Arial Narrow" w:eastAsia="Times New Roman" w:hAnsi="Arial Narrow" w:cs="Arial"/>
          <w:snapToGrid w:val="0"/>
          <w:sz w:val="18"/>
          <w:szCs w:val="20"/>
        </w:rPr>
        <w:t xml:space="preserve">FN = false negative; FP = false positive; NPA = </w:t>
      </w:r>
      <w:r w:rsidRPr="00756628">
        <w:rPr>
          <w:rFonts w:ascii="Arial Narrow" w:eastAsia="Times New Roman" w:hAnsi="Arial Narrow" w:cs="Arial"/>
          <w:snapToGrid w:val="0"/>
          <w:sz w:val="18"/>
          <w:szCs w:val="20"/>
        </w:rPr>
        <w:t>negative percent agreement</w:t>
      </w:r>
      <w:r>
        <w:rPr>
          <w:rFonts w:ascii="Arial Narrow" w:eastAsia="Times New Roman" w:hAnsi="Arial Narrow" w:cs="Arial"/>
          <w:snapToGrid w:val="0"/>
          <w:sz w:val="18"/>
          <w:szCs w:val="20"/>
        </w:rPr>
        <w:t>; OPA =</w:t>
      </w:r>
      <w:r w:rsidRPr="00756628">
        <w:t xml:space="preserve"> </w:t>
      </w:r>
      <w:r w:rsidRPr="00756628">
        <w:rPr>
          <w:rFonts w:ascii="Arial Narrow" w:eastAsia="Times New Roman" w:hAnsi="Arial Narrow" w:cs="Arial"/>
          <w:snapToGrid w:val="0"/>
          <w:sz w:val="18"/>
          <w:szCs w:val="20"/>
        </w:rPr>
        <w:t>overall percentage agreement</w:t>
      </w:r>
      <w:r>
        <w:rPr>
          <w:rFonts w:ascii="Arial Narrow" w:eastAsia="Times New Roman" w:hAnsi="Arial Narrow" w:cs="Arial"/>
          <w:snapToGrid w:val="0"/>
          <w:sz w:val="18"/>
          <w:szCs w:val="20"/>
        </w:rPr>
        <w:t xml:space="preserve">; PPA = </w:t>
      </w:r>
      <w:r w:rsidRPr="00756628">
        <w:rPr>
          <w:rFonts w:ascii="Arial Narrow" w:eastAsia="Times New Roman" w:hAnsi="Arial Narrow" w:cs="Arial"/>
          <w:snapToGrid w:val="0"/>
          <w:sz w:val="18"/>
          <w:szCs w:val="20"/>
        </w:rPr>
        <w:t>positive percent agreement</w:t>
      </w:r>
      <w:r>
        <w:rPr>
          <w:rFonts w:ascii="Arial Narrow" w:eastAsia="Times New Roman" w:hAnsi="Arial Narrow" w:cs="Arial"/>
          <w:snapToGrid w:val="0"/>
          <w:sz w:val="18"/>
          <w:szCs w:val="20"/>
        </w:rPr>
        <w:t>; TP = true positive; TN = true negative</w:t>
      </w:r>
    </w:p>
    <w:p w14:paraId="694EA9E2" w14:textId="75A9B4E1" w:rsidR="000C4977" w:rsidRPr="00515892" w:rsidRDefault="000C4977" w:rsidP="00870583">
      <w:pPr>
        <w:widowControl w:val="0"/>
        <w:spacing w:before="0" w:after="0"/>
        <w:contextualSpacing/>
        <w:rPr>
          <w:rFonts w:ascii="Arial Narrow" w:eastAsia="Times New Roman" w:hAnsi="Arial Narrow" w:cs="Arial"/>
          <w:snapToGrid w:val="0"/>
          <w:sz w:val="18"/>
          <w:szCs w:val="18"/>
          <w:lang w:eastAsia="en-AU"/>
        </w:rPr>
      </w:pPr>
      <w:r w:rsidRPr="000C4977">
        <w:rPr>
          <w:rFonts w:ascii="Arial Narrow" w:eastAsia="Times New Roman" w:hAnsi="Arial Narrow" w:cs="Arial"/>
          <w:snapToGrid w:val="0"/>
          <w:sz w:val="18"/>
          <w:szCs w:val="18"/>
        </w:rPr>
        <w:t xml:space="preserve">Source: </w:t>
      </w:r>
      <w:r w:rsidRPr="000C4977">
        <w:rPr>
          <w:rFonts w:ascii="Arial Narrow" w:eastAsia="Times New Roman" w:hAnsi="Arial Narrow" w:cs="Arial"/>
          <w:snapToGrid w:val="0"/>
          <w:sz w:val="18"/>
          <w:szCs w:val="18"/>
          <w:lang w:eastAsia="en-AU"/>
        </w:rPr>
        <w:t xml:space="preserve">Figure </w:t>
      </w:r>
      <w:r w:rsidR="00515892">
        <w:rPr>
          <w:rFonts w:ascii="Arial Narrow" w:eastAsia="Times New Roman" w:hAnsi="Arial Narrow" w:cs="Arial"/>
          <w:snapToGrid w:val="0"/>
          <w:sz w:val="18"/>
          <w:szCs w:val="18"/>
          <w:lang w:eastAsia="en-AU"/>
        </w:rPr>
        <w:t xml:space="preserve">1, p8 of the Validation Report </w:t>
      </w:r>
      <w:r w:rsidR="00515892" w:rsidRPr="00515892">
        <w:rPr>
          <w:rFonts w:ascii="Arial Narrow" w:eastAsia="Times New Roman" w:hAnsi="Arial Narrow" w:cs="Arial"/>
          <w:snapToGrid w:val="0"/>
          <w:sz w:val="18"/>
          <w:szCs w:val="18"/>
          <w:lang w:eastAsia="en-AU"/>
        </w:rPr>
        <w:t>(provided with the pre-MSAC response).</w:t>
      </w:r>
      <w:r w:rsidR="00515892">
        <w:rPr>
          <w:rFonts w:ascii="Arial Narrow" w:eastAsia="Times New Roman" w:hAnsi="Arial Narrow" w:cs="Arial"/>
          <w:snapToGrid w:val="0"/>
          <w:sz w:val="18"/>
          <w:szCs w:val="18"/>
          <w:lang w:eastAsia="en-AU"/>
        </w:rPr>
        <w:t xml:space="preserve"> The validation report reported results for ovarian samp</w:t>
      </w:r>
      <w:r w:rsidR="005B33D6">
        <w:rPr>
          <w:rFonts w:ascii="Arial Narrow" w:eastAsia="Times New Roman" w:hAnsi="Arial Narrow" w:cs="Arial"/>
          <w:snapToGrid w:val="0"/>
          <w:sz w:val="18"/>
          <w:szCs w:val="18"/>
          <w:lang w:eastAsia="en-AU"/>
        </w:rPr>
        <w:t>l</w:t>
      </w:r>
      <w:r w:rsidR="00515892">
        <w:rPr>
          <w:rFonts w:ascii="Arial Narrow" w:eastAsia="Times New Roman" w:hAnsi="Arial Narrow" w:cs="Arial"/>
          <w:snapToGrid w:val="0"/>
          <w:sz w:val="18"/>
          <w:szCs w:val="18"/>
          <w:lang w:eastAsia="en-AU"/>
        </w:rPr>
        <w:t xml:space="preserve">es with a valid </w:t>
      </w:r>
      <w:r w:rsidR="00515892" w:rsidRPr="65106A7D">
        <w:rPr>
          <w:rFonts w:ascii="Arial Narrow" w:eastAsia="Times New Roman" w:hAnsi="Arial Narrow" w:cs="Arial"/>
          <w:i/>
          <w:snapToGrid w:val="0"/>
          <w:sz w:val="18"/>
          <w:szCs w:val="18"/>
          <w:lang w:eastAsia="en-AU"/>
        </w:rPr>
        <w:t xml:space="preserve">BRCA1/2 </w:t>
      </w:r>
      <w:r w:rsidR="00515892">
        <w:rPr>
          <w:rFonts w:ascii="Arial Narrow" w:eastAsia="Times New Roman" w:hAnsi="Arial Narrow" w:cs="Arial"/>
          <w:snapToGrid w:val="0"/>
          <w:sz w:val="18"/>
          <w:szCs w:val="18"/>
          <w:lang w:eastAsia="en-AU"/>
        </w:rPr>
        <w:t>results</w:t>
      </w:r>
    </w:p>
    <w:p w14:paraId="3EA58093" w14:textId="77777777" w:rsidR="00870583" w:rsidRDefault="00870583" w:rsidP="00870583">
      <w:pPr>
        <w:widowControl w:val="0"/>
        <w:spacing w:before="0" w:after="0"/>
        <w:contextualSpacing/>
        <w:rPr>
          <w:rFonts w:ascii="Arial Narrow" w:eastAsia="Times New Roman" w:hAnsi="Arial Narrow" w:cs="Arial"/>
          <w:snapToGrid w:val="0"/>
          <w:sz w:val="18"/>
          <w:szCs w:val="20"/>
          <w:lang w:eastAsia="en-AU"/>
        </w:rPr>
      </w:pPr>
    </w:p>
    <w:p w14:paraId="4B10C660" w14:textId="361B13CE" w:rsidR="00756628" w:rsidRDefault="00756628" w:rsidP="00756628">
      <w:pPr>
        <w:pStyle w:val="Caption"/>
        <w:jc w:val="both"/>
      </w:pPr>
      <w:r>
        <w:lastRenderedPageBreak/>
        <w:t xml:space="preserve">Figure </w:t>
      </w:r>
      <w:fldSimple w:instr=" SEQ Figure \* ARABIC ">
        <w:r w:rsidR="00D8603B">
          <w:rPr>
            <w:noProof/>
          </w:rPr>
          <w:t>7</w:t>
        </w:r>
      </w:fldSimple>
      <w:r w:rsidRPr="000C4977">
        <w:rPr>
          <w:b w:val="0"/>
          <w:iCs w:val="0"/>
          <w:noProof/>
        </w:rPr>
        <w:tab/>
      </w:r>
      <w:r w:rsidRPr="00756628">
        <w:rPr>
          <w:bCs/>
          <w:iCs w:val="0"/>
          <w:noProof/>
        </w:rPr>
        <w:t>Updated validation data for the ovarian samples</w:t>
      </w:r>
    </w:p>
    <w:p w14:paraId="09D83885" w14:textId="620D2D10" w:rsidR="000C4977" w:rsidRPr="000C4977" w:rsidRDefault="007C109F" w:rsidP="000C4977">
      <w:pPr>
        <w:keepNext/>
        <w:keepLines/>
        <w:widowControl w:val="0"/>
        <w:spacing w:before="0" w:after="0"/>
        <w:contextualSpacing/>
      </w:pPr>
      <w:r w:rsidRPr="00A37C53">
        <w:rPr>
          <w:noProof/>
        </w:rPr>
        <w:drawing>
          <wp:inline distT="0" distB="0" distL="0" distR="0" wp14:anchorId="2E8698F4" wp14:editId="06A85233">
            <wp:extent cx="5731510" cy="2195830"/>
            <wp:effectExtent l="0" t="0" r="2540" b="0"/>
            <wp:docPr id="8" name="Picture 8" descr="Figure 7 Updated validation data for the ovarian s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Updated validation data for the ovarian sampl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195830"/>
                    </a:xfrm>
                    <a:prstGeom prst="rect">
                      <a:avLst/>
                    </a:prstGeom>
                  </pic:spPr>
                </pic:pic>
              </a:graphicData>
            </a:graphic>
          </wp:inline>
        </w:drawing>
      </w:r>
    </w:p>
    <w:p w14:paraId="57BE73EA" w14:textId="25762681" w:rsidR="00756628" w:rsidRDefault="00756628" w:rsidP="00BE0DF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lang w:eastAsia="en-AU"/>
        </w:rPr>
        <w:t>BRCA</w:t>
      </w:r>
      <w:r w:rsidRPr="000C4977">
        <w:rPr>
          <w:rFonts w:ascii="Arial Narrow" w:eastAsia="Times New Roman" w:hAnsi="Arial Narrow" w:cs="Arial"/>
          <w:snapToGrid w:val="0"/>
          <w:sz w:val="18"/>
          <w:szCs w:val="20"/>
          <w:lang w:eastAsia="en-AU"/>
        </w:rPr>
        <w:t xml:space="preserve"> = </w:t>
      </w:r>
      <w:r w:rsidR="00BE0DF9">
        <w:rPr>
          <w:rFonts w:ascii="Arial Narrow" w:eastAsia="Times New Roman" w:hAnsi="Arial Narrow" w:cs="Arial"/>
          <w:snapToGrid w:val="0"/>
          <w:sz w:val="18"/>
          <w:szCs w:val="20"/>
          <w:lang w:eastAsia="en-AU"/>
        </w:rPr>
        <w:t>b</w:t>
      </w:r>
      <w:r w:rsidRPr="000C4977">
        <w:rPr>
          <w:rFonts w:ascii="Arial Narrow" w:eastAsia="Times New Roman" w:hAnsi="Arial Narrow" w:cs="Arial"/>
          <w:snapToGrid w:val="0"/>
          <w:sz w:val="18"/>
          <w:szCs w:val="20"/>
          <w:lang w:eastAsia="en-AU"/>
        </w:rPr>
        <w:t xml:space="preserve">reast cancer gene; </w:t>
      </w:r>
      <w:r>
        <w:rPr>
          <w:rFonts w:ascii="Arial Narrow" w:eastAsia="Times New Roman" w:hAnsi="Arial Narrow" w:cs="Arial"/>
          <w:snapToGrid w:val="0"/>
          <w:sz w:val="18"/>
          <w:szCs w:val="20"/>
        </w:rPr>
        <w:t xml:space="preserve">FN = false negative; FP = false positive; </w:t>
      </w:r>
      <w:r w:rsidR="00EE062D">
        <w:rPr>
          <w:rFonts w:ascii="Arial Narrow" w:eastAsia="Times New Roman" w:hAnsi="Arial Narrow" w:cs="Arial"/>
          <w:snapToGrid w:val="0"/>
          <w:sz w:val="18"/>
          <w:szCs w:val="20"/>
        </w:rPr>
        <w:t>GIS = Genomic Instability</w:t>
      </w:r>
      <w:r w:rsidR="00EE062D" w:rsidRPr="007C109F">
        <w:rPr>
          <w:rFonts w:ascii="Arial Narrow" w:eastAsia="Times New Roman" w:hAnsi="Arial Narrow" w:cs="Arial"/>
          <w:snapToGrid w:val="0"/>
          <w:sz w:val="18"/>
          <w:szCs w:val="20"/>
        </w:rPr>
        <w:t xml:space="preserve"> </w:t>
      </w:r>
      <w:r w:rsidR="00EE062D">
        <w:rPr>
          <w:rFonts w:ascii="Arial Narrow" w:eastAsia="Times New Roman" w:hAnsi="Arial Narrow" w:cs="Arial"/>
          <w:snapToGrid w:val="0"/>
          <w:sz w:val="18"/>
          <w:szCs w:val="20"/>
        </w:rPr>
        <w:t>S</w:t>
      </w:r>
      <w:r w:rsidR="00EE062D" w:rsidRPr="007C109F">
        <w:rPr>
          <w:rFonts w:ascii="Arial Narrow" w:eastAsia="Times New Roman" w:hAnsi="Arial Narrow" w:cs="Arial"/>
          <w:snapToGrid w:val="0"/>
          <w:sz w:val="18"/>
          <w:szCs w:val="20"/>
        </w:rPr>
        <w:t>core</w:t>
      </w:r>
      <w:r w:rsidR="00EE062D">
        <w:rPr>
          <w:rFonts w:ascii="Arial Narrow" w:eastAsia="Times New Roman" w:hAnsi="Arial Narrow" w:cs="Arial"/>
          <w:snapToGrid w:val="0"/>
          <w:sz w:val="18"/>
          <w:szCs w:val="20"/>
        </w:rPr>
        <w:t xml:space="preserve">; </w:t>
      </w:r>
      <w:r>
        <w:rPr>
          <w:rFonts w:ascii="Arial Narrow" w:eastAsia="Times New Roman" w:hAnsi="Arial Narrow" w:cs="Arial"/>
          <w:snapToGrid w:val="0"/>
          <w:sz w:val="18"/>
          <w:szCs w:val="20"/>
        </w:rPr>
        <w:t xml:space="preserve">HRD </w:t>
      </w:r>
      <w:r w:rsidR="00BE0DF9">
        <w:rPr>
          <w:rFonts w:ascii="Arial Narrow" w:eastAsia="Times New Roman" w:hAnsi="Arial Narrow" w:cs="Arial"/>
          <w:snapToGrid w:val="0"/>
          <w:sz w:val="18"/>
          <w:szCs w:val="20"/>
        </w:rPr>
        <w:t>=</w:t>
      </w:r>
      <w:r>
        <w:rPr>
          <w:rFonts w:ascii="Arial Narrow" w:eastAsia="Times New Roman" w:hAnsi="Arial Narrow" w:cs="Arial"/>
          <w:snapToGrid w:val="0"/>
          <w:sz w:val="18"/>
          <w:szCs w:val="20"/>
        </w:rPr>
        <w:t xml:space="preserve"> homologous recombination deficiency; HRR = </w:t>
      </w:r>
      <w:r w:rsidRPr="00756628">
        <w:rPr>
          <w:rFonts w:ascii="Arial Narrow" w:eastAsia="Times New Roman" w:hAnsi="Arial Narrow" w:cs="Arial"/>
          <w:snapToGrid w:val="0"/>
          <w:sz w:val="18"/>
          <w:szCs w:val="20"/>
        </w:rPr>
        <w:t>homologous recombination repair</w:t>
      </w:r>
      <w:r>
        <w:rPr>
          <w:rFonts w:ascii="Arial Narrow" w:eastAsia="Times New Roman" w:hAnsi="Arial Narrow" w:cs="Arial"/>
          <w:snapToGrid w:val="0"/>
          <w:sz w:val="18"/>
          <w:szCs w:val="20"/>
        </w:rPr>
        <w:t xml:space="preserve">; NPA = </w:t>
      </w:r>
      <w:r w:rsidRPr="00756628">
        <w:rPr>
          <w:rFonts w:ascii="Arial Narrow" w:eastAsia="Times New Roman" w:hAnsi="Arial Narrow" w:cs="Arial"/>
          <w:snapToGrid w:val="0"/>
          <w:sz w:val="18"/>
          <w:szCs w:val="20"/>
        </w:rPr>
        <w:t>negative percent agreement</w:t>
      </w:r>
      <w:r>
        <w:rPr>
          <w:rFonts w:ascii="Arial Narrow" w:eastAsia="Times New Roman" w:hAnsi="Arial Narrow" w:cs="Arial"/>
          <w:snapToGrid w:val="0"/>
          <w:sz w:val="18"/>
          <w:szCs w:val="20"/>
        </w:rPr>
        <w:t>; OPA =</w:t>
      </w:r>
      <w:r w:rsidRPr="00756628">
        <w:t xml:space="preserve"> </w:t>
      </w:r>
      <w:r w:rsidRPr="00756628">
        <w:rPr>
          <w:rFonts w:ascii="Arial Narrow" w:eastAsia="Times New Roman" w:hAnsi="Arial Narrow" w:cs="Arial"/>
          <w:snapToGrid w:val="0"/>
          <w:sz w:val="18"/>
          <w:szCs w:val="20"/>
        </w:rPr>
        <w:t>overall percentage agreement</w:t>
      </w:r>
      <w:r>
        <w:rPr>
          <w:rFonts w:ascii="Arial Narrow" w:eastAsia="Times New Roman" w:hAnsi="Arial Narrow" w:cs="Arial"/>
          <w:snapToGrid w:val="0"/>
          <w:sz w:val="18"/>
          <w:szCs w:val="20"/>
        </w:rPr>
        <w:t xml:space="preserve">; PPA = </w:t>
      </w:r>
      <w:r w:rsidRPr="00756628">
        <w:rPr>
          <w:rFonts w:ascii="Arial Narrow" w:eastAsia="Times New Roman" w:hAnsi="Arial Narrow" w:cs="Arial"/>
          <w:snapToGrid w:val="0"/>
          <w:sz w:val="18"/>
          <w:szCs w:val="20"/>
        </w:rPr>
        <w:t>positive percent agreement</w:t>
      </w:r>
      <w:r>
        <w:rPr>
          <w:rFonts w:ascii="Arial Narrow" w:eastAsia="Times New Roman" w:hAnsi="Arial Narrow" w:cs="Arial"/>
          <w:snapToGrid w:val="0"/>
          <w:sz w:val="18"/>
          <w:szCs w:val="20"/>
        </w:rPr>
        <w:t>; TP = true positive; TN = true negative</w:t>
      </w:r>
    </w:p>
    <w:p w14:paraId="6FE86ADC" w14:textId="13E1C3F8" w:rsidR="000C4977" w:rsidRDefault="000C4977" w:rsidP="00BE0DF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Source: </w:t>
      </w:r>
      <w:r w:rsidR="007C109F" w:rsidRPr="007C109F">
        <w:rPr>
          <w:rFonts w:ascii="Arial Narrow" w:eastAsia="Times New Roman" w:hAnsi="Arial Narrow" w:cs="Arial"/>
          <w:snapToGrid w:val="0"/>
          <w:sz w:val="18"/>
          <w:szCs w:val="20"/>
        </w:rPr>
        <w:t>Validation Report, p1</w:t>
      </w:r>
      <w:r w:rsidR="007C109F">
        <w:rPr>
          <w:rFonts w:ascii="Arial Narrow" w:eastAsia="Times New Roman" w:hAnsi="Arial Narrow" w:cs="Arial"/>
          <w:snapToGrid w:val="0"/>
          <w:sz w:val="18"/>
          <w:szCs w:val="20"/>
        </w:rPr>
        <w:t>2</w:t>
      </w:r>
      <w:r w:rsidR="007C109F" w:rsidRPr="007C109F">
        <w:rPr>
          <w:rFonts w:ascii="Arial Narrow" w:eastAsia="Times New Roman" w:hAnsi="Arial Narrow" w:cs="Arial"/>
          <w:snapToGrid w:val="0"/>
          <w:sz w:val="18"/>
          <w:szCs w:val="20"/>
        </w:rPr>
        <w:t xml:space="preserve"> (provided with the pre-MSAC response)</w:t>
      </w:r>
    </w:p>
    <w:p w14:paraId="5134EE9F" w14:textId="10F26CC8" w:rsidR="007C109F" w:rsidRPr="000C4977" w:rsidRDefault="007C109F" w:rsidP="00FC3969">
      <w:pPr>
        <w:widowControl w:val="0"/>
        <w:spacing w:before="0" w:after="0"/>
        <w:contextualSpacing/>
        <w:rPr>
          <w:rFonts w:ascii="Arial Narrow" w:eastAsia="Times New Roman" w:hAnsi="Arial Narrow" w:cs="Arial"/>
          <w:snapToGrid w:val="0"/>
          <w:sz w:val="18"/>
          <w:szCs w:val="20"/>
          <w:lang w:eastAsia="en-AU"/>
        </w:rPr>
      </w:pPr>
      <w:r>
        <w:rPr>
          <w:rFonts w:ascii="Arial Narrow" w:eastAsia="Times New Roman" w:hAnsi="Arial Narrow" w:cs="Arial"/>
          <w:snapToGrid w:val="0"/>
          <w:sz w:val="18"/>
          <w:szCs w:val="20"/>
        </w:rPr>
        <w:t xml:space="preserve">a) </w:t>
      </w:r>
      <w:r w:rsidR="00BE0DF9">
        <w:rPr>
          <w:rFonts w:ascii="Arial Narrow" w:eastAsia="Times New Roman" w:hAnsi="Arial Narrow" w:cs="Arial"/>
          <w:snapToGrid w:val="0"/>
          <w:sz w:val="18"/>
          <w:szCs w:val="20"/>
        </w:rPr>
        <w:t>C</w:t>
      </w:r>
      <w:r w:rsidRPr="008F5D9C">
        <w:rPr>
          <w:rFonts w:ascii="Arial Narrow" w:eastAsia="Times New Roman" w:hAnsi="Arial Narrow" w:cs="Arial"/>
          <w:snapToGrid w:val="0"/>
          <w:sz w:val="18"/>
          <w:szCs w:val="20"/>
        </w:rPr>
        <w:t xml:space="preserve">onfusion </w:t>
      </w:r>
      <w:r w:rsidR="00BE0DF9">
        <w:rPr>
          <w:rFonts w:ascii="Arial Narrow" w:eastAsia="Times New Roman" w:hAnsi="Arial Narrow" w:cs="Arial"/>
          <w:snapToGrid w:val="0"/>
          <w:sz w:val="18"/>
          <w:szCs w:val="20"/>
        </w:rPr>
        <w:t>M</w:t>
      </w:r>
      <w:r w:rsidRPr="008F5D9C">
        <w:rPr>
          <w:rFonts w:ascii="Arial Narrow" w:eastAsia="Times New Roman" w:hAnsi="Arial Narrow" w:cs="Arial"/>
          <w:snapToGrid w:val="0"/>
          <w:sz w:val="18"/>
          <w:szCs w:val="20"/>
        </w:rPr>
        <w:t xml:space="preserve">atrix for </w:t>
      </w:r>
      <w:r>
        <w:rPr>
          <w:rFonts w:ascii="Arial Narrow" w:eastAsia="Times New Roman" w:hAnsi="Arial Narrow" w:cs="Arial"/>
          <w:snapToGrid w:val="0"/>
          <w:sz w:val="18"/>
          <w:szCs w:val="20"/>
        </w:rPr>
        <w:t>genomic instability a</w:t>
      </w:r>
      <w:r w:rsidRPr="008F5D9C">
        <w:rPr>
          <w:rFonts w:ascii="Arial Narrow" w:eastAsia="Times New Roman" w:hAnsi="Arial Narrow" w:cs="Arial"/>
          <w:snapToGrid w:val="0"/>
          <w:sz w:val="18"/>
          <w:szCs w:val="20"/>
        </w:rPr>
        <w:t xml:space="preserve">lone, b) Confusion Matrix for </w:t>
      </w:r>
      <w:r w:rsidR="00EE062D">
        <w:rPr>
          <w:rFonts w:ascii="Arial Narrow" w:eastAsia="Times New Roman" w:hAnsi="Arial Narrow" w:cs="Arial"/>
          <w:snapToGrid w:val="0"/>
          <w:sz w:val="18"/>
          <w:szCs w:val="20"/>
        </w:rPr>
        <w:t>GIS</w:t>
      </w:r>
      <w:r w:rsidRPr="007C109F">
        <w:rPr>
          <w:rFonts w:ascii="Arial Narrow" w:eastAsia="Times New Roman" w:hAnsi="Arial Narrow" w:cs="Arial"/>
          <w:snapToGrid w:val="0"/>
          <w:sz w:val="18"/>
          <w:szCs w:val="20"/>
        </w:rPr>
        <w:t>s combined with HRR mutation status, whereby biallelic loss of function in a canonical HRR gene (</w:t>
      </w:r>
      <w:r w:rsidRPr="00756628">
        <w:rPr>
          <w:rFonts w:ascii="Arial Narrow" w:eastAsia="Times New Roman" w:hAnsi="Arial Narrow" w:cs="Arial"/>
          <w:i/>
          <w:iCs/>
          <w:snapToGrid w:val="0"/>
          <w:sz w:val="18"/>
          <w:szCs w:val="20"/>
        </w:rPr>
        <w:t>BRCA1</w:t>
      </w:r>
      <w:r w:rsidRPr="007C109F">
        <w:rPr>
          <w:rFonts w:ascii="Arial Narrow" w:eastAsia="Times New Roman" w:hAnsi="Arial Narrow" w:cs="Arial"/>
          <w:snapToGrid w:val="0"/>
          <w:sz w:val="18"/>
          <w:szCs w:val="20"/>
        </w:rPr>
        <w:t xml:space="preserve"> or </w:t>
      </w:r>
      <w:r w:rsidRPr="00756628">
        <w:rPr>
          <w:rFonts w:ascii="Arial Narrow" w:eastAsia="Times New Roman" w:hAnsi="Arial Narrow" w:cs="Arial"/>
          <w:i/>
          <w:iCs/>
          <w:snapToGrid w:val="0"/>
          <w:sz w:val="18"/>
          <w:szCs w:val="20"/>
        </w:rPr>
        <w:t>BRCA2</w:t>
      </w:r>
      <w:r w:rsidRPr="007C109F">
        <w:rPr>
          <w:rFonts w:ascii="Arial Narrow" w:eastAsia="Times New Roman" w:hAnsi="Arial Narrow" w:cs="Arial"/>
          <w:snapToGrid w:val="0"/>
          <w:sz w:val="18"/>
          <w:szCs w:val="20"/>
        </w:rPr>
        <w:t xml:space="preserve">) overrides a negative or inconclusive </w:t>
      </w:r>
      <w:r w:rsidR="00EE062D">
        <w:rPr>
          <w:rFonts w:ascii="Arial Narrow" w:eastAsia="Times New Roman" w:hAnsi="Arial Narrow" w:cs="Arial"/>
          <w:snapToGrid w:val="0"/>
          <w:sz w:val="18"/>
          <w:szCs w:val="20"/>
        </w:rPr>
        <w:t>GIS</w:t>
      </w:r>
    </w:p>
    <w:p w14:paraId="34A92567" w14:textId="6603D895" w:rsidR="00327907" w:rsidRPr="000C4977" w:rsidRDefault="000C4977" w:rsidP="000C4977">
      <w:pPr>
        <w:spacing w:line="259" w:lineRule="auto"/>
        <w:jc w:val="left"/>
      </w:pPr>
      <w:r w:rsidRPr="000C4977">
        <w:t>Additional information provided during the evaluation period reported that the 15 samples being analysed for</w:t>
      </w:r>
      <w:r w:rsidR="009339A5">
        <w:t xml:space="preserve"> genomic instability </w:t>
      </w:r>
      <w:r w:rsidRPr="000C4977">
        <w:t xml:space="preserve">failed QC because of a wet lab issue and there was insufficient coverage of the genome to allow HRD GIS or mutation status assessment. The </w:t>
      </w:r>
      <w:r w:rsidR="00A8205F" w:rsidRPr="00A8205F">
        <w:rPr>
          <w:color w:val="000000"/>
          <w:spacing w:val="77"/>
          <w:w w:val="85"/>
          <w:shd w:val="solid" w:color="000000" w:fill="000000"/>
          <w:fitText w:val="264" w:id="-1450962170"/>
          <w14:textFill>
            <w14:solidFill>
              <w14:srgbClr w14:val="000000">
                <w14:alpha w14:val="100000"/>
              </w14:srgbClr>
            </w14:solidFill>
          </w14:textFill>
        </w:rPr>
        <w:t>|</w:t>
      </w:r>
      <w:r w:rsidR="00A8205F" w:rsidRPr="00A8205F">
        <w:rPr>
          <w:color w:val="000000"/>
          <w:spacing w:val="1"/>
          <w:w w:val="85"/>
          <w:shd w:val="solid" w:color="000000" w:fill="000000"/>
          <w:fitText w:val="264" w:id="-1450962170"/>
          <w14:textFill>
            <w14:solidFill>
              <w14:srgbClr w14:val="000000">
                <w14:alpha w14:val="100000"/>
              </w14:srgbClr>
            </w14:solidFill>
          </w14:textFill>
        </w:rPr>
        <w:t>|</w:t>
      </w:r>
      <w:r w:rsidRPr="000C4977">
        <w:t xml:space="preserve"> advised that a wet lab issue </w:t>
      </w:r>
      <w:r w:rsidRPr="003A2FF8">
        <w:t xml:space="preserve">was caused by evaporation from the tube specified in the </w:t>
      </w:r>
      <w:proofErr w:type="spellStart"/>
      <w:r w:rsidRPr="003A2FF8">
        <w:t>SOPHiA</w:t>
      </w:r>
      <w:proofErr w:type="spellEnd"/>
      <w:r w:rsidRPr="003A2FF8">
        <w:t xml:space="preserve"> Standard Operating Procedure which was corrected on the second run by switching to a standard </w:t>
      </w:r>
      <w:r w:rsidR="00A8205F" w:rsidRPr="00A8205F">
        <w:rPr>
          <w:color w:val="000000"/>
          <w:spacing w:val="77"/>
          <w:w w:val="85"/>
          <w:shd w:val="solid" w:color="000000" w:fill="000000"/>
          <w:fitText w:val="264" w:id="-1450961664"/>
          <w14:textFill>
            <w14:solidFill>
              <w14:srgbClr w14:val="000000">
                <w14:alpha w14:val="100000"/>
              </w14:srgbClr>
            </w14:solidFill>
          </w14:textFill>
        </w:rPr>
        <w:t>|</w:t>
      </w:r>
      <w:r w:rsidR="00A8205F" w:rsidRPr="00A8205F">
        <w:rPr>
          <w:color w:val="000000"/>
          <w:spacing w:val="1"/>
          <w:w w:val="85"/>
          <w:shd w:val="solid" w:color="000000" w:fill="000000"/>
          <w:fitText w:val="264" w:id="-1450961664"/>
          <w14:textFill>
            <w14:solidFill>
              <w14:srgbClr w14:val="000000">
                <w14:alpha w14:val="100000"/>
              </w14:srgbClr>
            </w14:solidFill>
          </w14:textFill>
        </w:rPr>
        <w:t>|</w:t>
      </w:r>
      <w:r w:rsidR="00A8205F">
        <w:rPr>
          <w:color w:val="000000"/>
          <w:shd w:val="solid" w:color="000000" w:fill="000000"/>
          <w14:textFill>
            <w14:solidFill>
              <w14:srgbClr w14:val="000000">
                <w14:alpha w14:val="100000"/>
              </w14:srgbClr>
            </w14:solidFill>
          </w14:textFill>
        </w:rPr>
        <w:t xml:space="preserve"> </w:t>
      </w:r>
      <w:r w:rsidRPr="003A2FF8">
        <w:t xml:space="preserve">workflow tube. This issue </w:t>
      </w:r>
      <w:proofErr w:type="gramStart"/>
      <w:r w:rsidRPr="003A2FF8">
        <w:t>was considered to be</w:t>
      </w:r>
      <w:proofErr w:type="gramEnd"/>
      <w:r w:rsidRPr="003A2FF8">
        <w:t xml:space="preserve"> resolved and the 15 samples which failed QC were to be re-analysed as part of the full validation dataset. The </w:t>
      </w:r>
      <w:r w:rsidR="00A8205F" w:rsidRPr="00A8205F">
        <w:rPr>
          <w:color w:val="000000"/>
          <w:spacing w:val="77"/>
          <w:w w:val="85"/>
          <w:shd w:val="solid" w:color="000000" w:fill="000000"/>
          <w:fitText w:val="264" w:id="-1450962169"/>
          <w14:textFill>
            <w14:solidFill>
              <w14:srgbClr w14:val="000000">
                <w14:alpha w14:val="100000"/>
              </w14:srgbClr>
            </w14:solidFill>
          </w14:textFill>
        </w:rPr>
        <w:t>|</w:t>
      </w:r>
      <w:r w:rsidR="00A8205F" w:rsidRPr="00A8205F">
        <w:rPr>
          <w:color w:val="000000"/>
          <w:spacing w:val="1"/>
          <w:w w:val="85"/>
          <w:shd w:val="solid" w:color="000000" w:fill="000000"/>
          <w:fitText w:val="264" w:id="-1450962169"/>
          <w14:textFill>
            <w14:solidFill>
              <w14:srgbClr w14:val="000000">
                <w14:alpha w14:val="100000"/>
              </w14:srgbClr>
            </w14:solidFill>
          </w14:textFill>
        </w:rPr>
        <w:t>|</w:t>
      </w:r>
      <w:r w:rsidRPr="003A2FF8">
        <w:t xml:space="preserve"> advised that it is not uncommon for such issues to arise during the early phase of assay validation and confirmed that no further changes to the workflow methodology are required.</w:t>
      </w:r>
    </w:p>
    <w:p w14:paraId="128F2006" w14:textId="133E27EC" w:rsidR="00327907" w:rsidRDefault="000C4977" w:rsidP="000C4977">
      <w:pPr>
        <w:spacing w:line="259" w:lineRule="auto"/>
        <w:jc w:val="left"/>
      </w:pPr>
      <w:r w:rsidRPr="000C4977">
        <w:t>The ESC</w:t>
      </w:r>
      <w:r w:rsidR="003D23FB">
        <w:t>s</w:t>
      </w:r>
      <w:r w:rsidRPr="000C4977">
        <w:t xml:space="preserve"> noted the pre-ESC response that the </w:t>
      </w:r>
      <w:r w:rsidR="00A8205F" w:rsidRPr="00A8205F">
        <w:rPr>
          <w:color w:val="000000"/>
          <w:spacing w:val="77"/>
          <w:w w:val="85"/>
          <w:shd w:val="solid" w:color="000000" w:fill="000000"/>
          <w:fitText w:val="264" w:id="-1450962168"/>
          <w14:textFill>
            <w14:solidFill>
              <w14:srgbClr w14:val="000000">
                <w14:alpha w14:val="100000"/>
              </w14:srgbClr>
            </w14:solidFill>
          </w14:textFill>
        </w:rPr>
        <w:t>|</w:t>
      </w:r>
      <w:r w:rsidR="00A8205F" w:rsidRPr="00A8205F">
        <w:rPr>
          <w:color w:val="000000"/>
          <w:spacing w:val="1"/>
          <w:w w:val="85"/>
          <w:shd w:val="solid" w:color="000000" w:fill="000000"/>
          <w:fitText w:val="264" w:id="-1450962168"/>
          <w14:textFill>
            <w14:solidFill>
              <w14:srgbClr w14:val="000000">
                <w14:alpha w14:val="100000"/>
              </w14:srgbClr>
            </w14:solidFill>
          </w14:textFill>
        </w:rPr>
        <w:t>|</w:t>
      </w:r>
      <w:r w:rsidRPr="000C4977">
        <w:t xml:space="preserve"> validation is being repeated using 100</w:t>
      </w:r>
      <w:r w:rsidR="00CC7AA6">
        <w:t> </w:t>
      </w:r>
      <w:r w:rsidRPr="000C4977">
        <w:t>ng input DNA due to the high number of inconclusive results when using 50</w:t>
      </w:r>
      <w:r w:rsidR="00CC7AA6">
        <w:t> </w:t>
      </w:r>
      <w:r w:rsidRPr="000C4977">
        <w:t xml:space="preserve">ng input DNA (as per manufacturer recommendation). The ESCs noted the pre-ESC response reported the proportion of samples with a ≥30% tumour purity as a quality metric for the </w:t>
      </w:r>
      <w:proofErr w:type="spellStart"/>
      <w:r w:rsidRPr="000C4977">
        <w:t>SOPHiA</w:t>
      </w:r>
      <w:proofErr w:type="spellEnd"/>
      <w:r w:rsidRPr="000C4977">
        <w:t xml:space="preserve"> HRD assay. The ESC</w:t>
      </w:r>
      <w:r w:rsidR="003D23FB">
        <w:t>s</w:t>
      </w:r>
      <w:r w:rsidRPr="000C4977">
        <w:t xml:space="preserve"> queried whether this meant that some samples will not be suitable for testing or if microdissection is needed to enable testing.</w:t>
      </w:r>
      <w:r w:rsidR="00612608">
        <w:t xml:space="preserve"> </w:t>
      </w:r>
      <w:r w:rsidR="009440A6">
        <w:t>The final validation report stated that s</w:t>
      </w:r>
      <w:r w:rsidR="009440A6" w:rsidRPr="00612608">
        <w:t xml:space="preserve">amples with insufficient tumour cells result in an </w:t>
      </w:r>
      <w:r w:rsidR="009440A6">
        <w:t>i</w:t>
      </w:r>
      <w:r w:rsidR="009440A6" w:rsidRPr="00612608">
        <w:t>nconclusive</w:t>
      </w:r>
      <w:r w:rsidR="009339A5">
        <w:t xml:space="preserve"> genomic instability </w:t>
      </w:r>
      <w:r w:rsidR="009440A6" w:rsidRPr="00612608">
        <w:t>call but can also manifest in false negative (FN) calls.</w:t>
      </w:r>
    </w:p>
    <w:p w14:paraId="45D48A8E" w14:textId="0A8D228A" w:rsidR="00327907" w:rsidRDefault="00327907" w:rsidP="000C4977">
      <w:pPr>
        <w:spacing w:line="259" w:lineRule="auto"/>
        <w:jc w:val="left"/>
      </w:pPr>
      <w:r>
        <w:t xml:space="preserve">The pre-MSAC response considered the </w:t>
      </w:r>
      <w:r w:rsidRPr="00327907">
        <w:t xml:space="preserve">major determinant of the inconclusive result is sample age </w:t>
      </w:r>
      <w:r w:rsidR="009440A6">
        <w:t xml:space="preserve">(particularly samples older than 2 years) </w:t>
      </w:r>
      <w:r w:rsidRPr="00327907">
        <w:t>and is not necessarily a true indicator of a negative result</w:t>
      </w:r>
      <w:r>
        <w:t xml:space="preserve">. The final validation report considered the rate of inconclusive test results observed the validation study (13%, 15/115) </w:t>
      </w:r>
      <w:r w:rsidRPr="00327907">
        <w:t>not reflective of real-world testing</w:t>
      </w:r>
      <w:r>
        <w:t xml:space="preserve"> outcomes. The final validation report estimated reported </w:t>
      </w:r>
      <w:r w:rsidRPr="00327907">
        <w:t>a non</w:t>
      </w:r>
      <w:r>
        <w:noBreakHyphen/>
      </w:r>
      <w:r w:rsidRPr="00327907">
        <w:t>diagnostic rate of about 6%</w:t>
      </w:r>
      <w:r w:rsidR="009440A6">
        <w:t xml:space="preserve"> (personal communication with an experienced clinician).</w:t>
      </w:r>
    </w:p>
    <w:p w14:paraId="51A17FE0" w14:textId="011F1759" w:rsidR="000C4977" w:rsidRPr="000C4977" w:rsidRDefault="000C4977" w:rsidP="000C4977">
      <w:pPr>
        <w:spacing w:line="259" w:lineRule="auto"/>
        <w:jc w:val="left"/>
      </w:pPr>
      <w:r w:rsidRPr="000C4977">
        <w:t xml:space="preserve">The additional information provided by the sponsor during the evaluation period also stated that although nine </w:t>
      </w:r>
      <w:r w:rsidRPr="000C4977">
        <w:rPr>
          <w:i/>
        </w:rPr>
        <w:t>BRCA1</w:t>
      </w:r>
      <w:r w:rsidRPr="000C4977">
        <w:t xml:space="preserve"> or </w:t>
      </w:r>
      <w:r w:rsidRPr="000C4977">
        <w:rPr>
          <w:i/>
        </w:rPr>
        <w:t>BRCA2</w:t>
      </w:r>
      <w:r w:rsidRPr="000C4977">
        <w:t xml:space="preserve"> variants were detected by the Myriad </w:t>
      </w:r>
      <w:proofErr w:type="spellStart"/>
      <w:r w:rsidRPr="000C4977">
        <w:t>MyChoice</w:t>
      </w:r>
      <w:proofErr w:type="spellEnd"/>
      <w:r w:rsidRPr="000C4977">
        <w:t xml:space="preserve"> </w:t>
      </w:r>
      <w:proofErr w:type="spellStart"/>
      <w:r w:rsidRPr="000C4977">
        <w:t>CDx</w:t>
      </w:r>
      <w:proofErr w:type="spellEnd"/>
      <w:r w:rsidRPr="000C4977">
        <w:t xml:space="preserve"> assay in this sample set, the </w:t>
      </w:r>
      <w:proofErr w:type="spellStart"/>
      <w:r w:rsidRPr="000C4977">
        <w:t>SOPHiA</w:t>
      </w:r>
      <w:proofErr w:type="spellEnd"/>
      <w:r w:rsidRPr="000C4977">
        <w:t xml:space="preserve"> HRD assay detected an additional case because it was in BRIP1, an HRR gene that is not present in the Myriad assay. However according to the Myriad </w:t>
      </w:r>
      <w:proofErr w:type="spellStart"/>
      <w:r w:rsidRPr="000C4977">
        <w:t>myChoice</w:t>
      </w:r>
      <w:proofErr w:type="spellEnd"/>
      <w:r w:rsidRPr="000C4977">
        <w:t xml:space="preserve"> </w:t>
      </w:r>
      <w:proofErr w:type="spellStart"/>
      <w:r w:rsidRPr="000C4977">
        <w:t>CDx</w:t>
      </w:r>
      <w:proofErr w:type="spellEnd"/>
      <w:r w:rsidRPr="000C4977">
        <w:t xml:space="preserve"> technical specifications, mutations in BRIP1 should be detectable with the Myriad </w:t>
      </w:r>
      <w:proofErr w:type="spellStart"/>
      <w:r w:rsidRPr="000C4977">
        <w:t>myChoice</w:t>
      </w:r>
      <w:proofErr w:type="spellEnd"/>
      <w:r w:rsidRPr="000C4977">
        <w:t xml:space="preserve"> </w:t>
      </w:r>
      <w:proofErr w:type="spellStart"/>
      <w:r w:rsidRPr="000C4977">
        <w:t>CDx</w:t>
      </w:r>
      <w:proofErr w:type="spellEnd"/>
      <w:r w:rsidRPr="000C4977">
        <w:t xml:space="preserve"> assay. The sponsor claimed that, although scored as a false positive, this is not technically true since it was a mutation that was not possible to detect by the Myriad </w:t>
      </w:r>
      <w:proofErr w:type="spellStart"/>
      <w:r w:rsidRPr="000C4977">
        <w:t>MyChoice</w:t>
      </w:r>
      <w:proofErr w:type="spellEnd"/>
      <w:r w:rsidRPr="000C4977">
        <w:t xml:space="preserve"> </w:t>
      </w:r>
      <w:proofErr w:type="spellStart"/>
      <w:r w:rsidRPr="000C4977">
        <w:t>CDx</w:t>
      </w:r>
      <w:proofErr w:type="spellEnd"/>
      <w:r w:rsidRPr="000C4977">
        <w:t xml:space="preserve"> assay. As noted above, HRD tests, using different algorithms, will detect different types of</w:t>
      </w:r>
      <w:r w:rsidR="009339A5">
        <w:t xml:space="preserve"> genomic </w:t>
      </w:r>
      <w:r w:rsidR="009339A5">
        <w:lastRenderedPageBreak/>
        <w:t xml:space="preserve">instability </w:t>
      </w:r>
      <w:r w:rsidRPr="000C4977">
        <w:t xml:space="preserve">including LOH, TAI, and/or LST as well as different </w:t>
      </w:r>
      <w:r w:rsidRPr="000C4977">
        <w:rPr>
          <w:i/>
        </w:rPr>
        <w:t>BRCA</w:t>
      </w:r>
      <w:r w:rsidRPr="000C4977">
        <w:t xml:space="preserve"> gene mutations. As such, it is possible (as demonstrated in this ‘false positive’ case in the validation) that the tests will identify different patients as</w:t>
      </w:r>
      <w:r w:rsidR="009339A5">
        <w:t xml:space="preserve"> genomic instability </w:t>
      </w:r>
      <w:r w:rsidRPr="000C4977">
        <w:t>positive depending on the causes of</w:t>
      </w:r>
      <w:r w:rsidR="009339A5">
        <w:t xml:space="preserve"> genomic instability </w:t>
      </w:r>
      <w:r w:rsidRPr="000C4977">
        <w:t xml:space="preserve">and type of </w:t>
      </w:r>
      <w:r w:rsidRPr="000C4977">
        <w:rPr>
          <w:i/>
        </w:rPr>
        <w:t>BRCA</w:t>
      </w:r>
      <w:r w:rsidRPr="000C4977">
        <w:t xml:space="preserve"> mutation.</w:t>
      </w:r>
    </w:p>
    <w:p w14:paraId="75E47D4D" w14:textId="4CF84E70" w:rsidR="000C4977" w:rsidRPr="000C4977" w:rsidRDefault="000C4977" w:rsidP="000C4977">
      <w:pPr>
        <w:spacing w:line="259" w:lineRule="auto"/>
        <w:jc w:val="left"/>
      </w:pPr>
      <w:r w:rsidRPr="00892093">
        <w:t xml:space="preserve">The submission provided an additional analysis comparing genomic instability of the </w:t>
      </w:r>
      <w:proofErr w:type="spellStart"/>
      <w:r w:rsidRPr="00892093">
        <w:t>SOPHiA</w:t>
      </w:r>
      <w:proofErr w:type="spellEnd"/>
      <w:r w:rsidRPr="00892093">
        <w:t xml:space="preserve"> Genetics assay versus the Myriad </w:t>
      </w:r>
      <w:proofErr w:type="spellStart"/>
      <w:r w:rsidRPr="00892093">
        <w:t>myChoice</w:t>
      </w:r>
      <w:proofErr w:type="spellEnd"/>
      <w:r w:rsidRPr="00892093">
        <w:t xml:space="preserve"> </w:t>
      </w:r>
      <w:proofErr w:type="spellStart"/>
      <w:r w:rsidRPr="00892093">
        <w:t>CDx</w:t>
      </w:r>
      <w:proofErr w:type="spellEnd"/>
      <w:r w:rsidRPr="00892093">
        <w:t xml:space="preserve"> assay for three cohorts (n=225 samples). It was claimed that an analysis that combined the results of these cohorts plus the addition of 31 samples from the </w:t>
      </w:r>
      <w:r w:rsidR="00A8205F" w:rsidRPr="00B97B49">
        <w:rPr>
          <w:color w:val="000000"/>
          <w:spacing w:val="73"/>
          <w:w w:val="81"/>
          <w:shd w:val="solid" w:color="000000" w:fill="000000"/>
          <w:fitText w:val="252" w:id="-1450962167"/>
          <w14:textFill>
            <w14:solidFill>
              <w14:srgbClr w14:val="000000">
                <w14:alpha w14:val="100000"/>
              </w14:srgbClr>
            </w14:solidFill>
          </w14:textFill>
        </w:rPr>
        <w:t>|</w:t>
      </w:r>
      <w:r w:rsidR="00A8205F" w:rsidRPr="00B97B49">
        <w:rPr>
          <w:color w:val="000000"/>
          <w:spacing w:val="1"/>
          <w:w w:val="81"/>
          <w:shd w:val="solid" w:color="000000" w:fill="000000"/>
          <w:fitText w:val="252" w:id="-1450962167"/>
          <w14:textFill>
            <w14:solidFill>
              <w14:srgbClr w14:val="000000">
                <w14:alpha w14:val="100000"/>
              </w14:srgbClr>
            </w14:solidFill>
          </w14:textFill>
        </w:rPr>
        <w:t>|</w:t>
      </w:r>
      <w:r w:rsidRPr="00892093">
        <w:t xml:space="preserve"> validation data resulted in the calculation of a sensitivity of 95% and specificity of 95%. The submission stated that data was provided by </w:t>
      </w:r>
      <w:proofErr w:type="spellStart"/>
      <w:r w:rsidRPr="00892093">
        <w:t>SOPHiA</w:t>
      </w:r>
      <w:proofErr w:type="spellEnd"/>
      <w:r w:rsidRPr="00892093">
        <w:t xml:space="preserve"> Genetics and is confidential. Consequently, this data could not be independently verified (such as via a peer-reviewed publication). The 95% sensitivity and specificity (for HRD only) were used in the base case of the economic evaluation. However, different values were estimated during the evaluation (see </w:t>
      </w:r>
      <w:r w:rsidR="009440A6" w:rsidRPr="00892093">
        <w:fldChar w:fldCharType="begin"/>
      </w:r>
      <w:r w:rsidR="009440A6" w:rsidRPr="00892093">
        <w:instrText xml:space="preserve"> REF _Ref111818156 \h </w:instrText>
      </w:r>
      <w:r w:rsidR="003F5BB4" w:rsidRPr="00892093">
        <w:instrText xml:space="preserve"> \* MERGEFORMAT </w:instrText>
      </w:r>
      <w:r w:rsidR="009440A6" w:rsidRPr="00892093">
        <w:fldChar w:fldCharType="separate"/>
      </w:r>
      <w:r w:rsidR="00D8603B" w:rsidRPr="00892093">
        <w:t xml:space="preserve">Table </w:t>
      </w:r>
      <w:r w:rsidR="00D8603B" w:rsidRPr="00892093">
        <w:rPr>
          <w:noProof/>
        </w:rPr>
        <w:t>13</w:t>
      </w:r>
      <w:r w:rsidR="009440A6" w:rsidRPr="00892093">
        <w:fldChar w:fldCharType="end"/>
      </w:r>
      <w:r w:rsidRPr="00892093">
        <w:t>)</w:t>
      </w:r>
      <w:r w:rsidR="00870583" w:rsidRPr="00892093">
        <w:t>.</w:t>
      </w:r>
    </w:p>
    <w:p w14:paraId="3BB50286" w14:textId="4EE0D9DC" w:rsidR="009440A6" w:rsidRDefault="009440A6" w:rsidP="009440A6">
      <w:pPr>
        <w:pStyle w:val="Caption"/>
      </w:pPr>
      <w:bookmarkStart w:id="47" w:name="_Ref111818156"/>
      <w:r>
        <w:t xml:space="preserve">Table </w:t>
      </w:r>
      <w:fldSimple w:instr=" SEQ Table \* ARABIC ">
        <w:r w:rsidR="00D8603B">
          <w:rPr>
            <w:noProof/>
          </w:rPr>
          <w:t>13</w:t>
        </w:r>
      </w:fldSimple>
      <w:bookmarkEnd w:id="47"/>
      <w:r w:rsidR="00BE0DF9">
        <w:rPr>
          <w:noProof/>
        </w:rPr>
        <w:tab/>
      </w:r>
      <w:r w:rsidRPr="009440A6">
        <w:rPr>
          <w:bCs/>
          <w:iCs w:val="0"/>
        </w:rPr>
        <w:t xml:space="preserve">Error matrix for genomic instability between </w:t>
      </w:r>
      <w:proofErr w:type="spellStart"/>
      <w:r w:rsidRPr="009440A6">
        <w:rPr>
          <w:bCs/>
          <w:iCs w:val="0"/>
        </w:rPr>
        <w:t>SOPHiA</w:t>
      </w:r>
      <w:proofErr w:type="spellEnd"/>
      <w:r w:rsidRPr="009440A6">
        <w:rPr>
          <w:bCs/>
          <w:iCs w:val="0"/>
        </w:rPr>
        <w:t xml:space="preserve"> Genetics HRD assay and Myriad (based on 4 cohorts, including </w:t>
      </w:r>
      <w:r w:rsidR="00A8205F" w:rsidRPr="00B97B49">
        <w:rPr>
          <w:bCs/>
          <w:iCs w:val="0"/>
          <w:color w:val="000000"/>
          <w:spacing w:val="88"/>
          <w:shd w:val="solid" w:color="000000" w:fill="000000"/>
          <w:fitText w:val="180" w:id="-1450962166"/>
          <w14:textFill>
            <w14:solidFill>
              <w14:srgbClr w14:val="000000">
                <w14:alpha w14:val="100000"/>
              </w14:srgbClr>
            </w14:solidFill>
          </w14:textFill>
        </w:rPr>
        <w:t>|</w:t>
      </w:r>
      <w:r w:rsidR="00A8205F" w:rsidRPr="00B97B49">
        <w:rPr>
          <w:bCs/>
          <w:iCs w:val="0"/>
          <w:color w:val="000000"/>
          <w:spacing w:val="1"/>
          <w:shd w:val="solid" w:color="000000" w:fill="000000"/>
          <w:fitText w:val="180" w:id="-1450962166"/>
          <w14:textFill>
            <w14:solidFill>
              <w14:srgbClr w14:val="000000">
                <w14:alpha w14:val="100000"/>
              </w14:srgbClr>
            </w14:solidFill>
          </w14:textFill>
        </w:rPr>
        <w:t>|</w:t>
      </w:r>
      <w:r w:rsidRPr="009440A6">
        <w:rPr>
          <w:bCs/>
          <w:iCs w:val="0"/>
        </w:rPr>
        <w:t>)</w:t>
      </w:r>
    </w:p>
    <w:tbl>
      <w:tblPr>
        <w:tblStyle w:val="PBACtable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391"/>
        <w:gridCol w:w="1430"/>
        <w:gridCol w:w="1479"/>
        <w:gridCol w:w="1650"/>
      </w:tblGrid>
      <w:tr w:rsidR="000C4977" w:rsidRPr="000C4977" w14:paraId="4A50F69F" w14:textId="77777777" w:rsidTr="00A9128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7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820BA04" w14:textId="77777777" w:rsidR="000C4977" w:rsidRPr="000C4977" w:rsidRDefault="000C4977" w:rsidP="000C4977">
            <w:pPr>
              <w:keepNext/>
              <w:widowControl w:val="0"/>
              <w:spacing w:before="0"/>
              <w:jc w:val="left"/>
              <w:rPr>
                <w:rFonts w:eastAsia="Times New Roman" w:cs="Times New Roman"/>
                <w:color w:val="000000" w:themeColor="text1"/>
                <w:szCs w:val="20"/>
              </w:rPr>
            </w:pPr>
          </w:p>
        </w:tc>
        <w:tc>
          <w:tcPr>
            <w:tcW w:w="2528"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8CE599"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0"/>
              </w:rPr>
            </w:pPr>
            <w:proofErr w:type="spellStart"/>
            <w:r w:rsidRPr="000C4977">
              <w:rPr>
                <w:rFonts w:eastAsia="Times New Roman" w:cs="Times New Roman"/>
                <w:color w:val="000000" w:themeColor="text1"/>
                <w:szCs w:val="20"/>
              </w:rPr>
              <w:t>myChoice</w:t>
            </w:r>
            <w:proofErr w:type="spellEnd"/>
            <w:r w:rsidRPr="000C4977">
              <w:rPr>
                <w:rFonts w:eastAsia="Times New Roman" w:cs="Times New Roman"/>
                <w:color w:val="000000" w:themeColor="text1"/>
                <w:szCs w:val="20"/>
              </w:rPr>
              <w:t xml:space="preserve">® </w:t>
            </w:r>
            <w:proofErr w:type="spellStart"/>
            <w:r w:rsidRPr="000C4977">
              <w:rPr>
                <w:rFonts w:eastAsia="Times New Roman" w:cs="Times New Roman"/>
                <w:color w:val="000000" w:themeColor="text1"/>
                <w:szCs w:val="20"/>
              </w:rPr>
              <w:t>CDx</w:t>
            </w:r>
            <w:proofErr w:type="spellEnd"/>
          </w:p>
        </w:tc>
      </w:tr>
      <w:tr w:rsidR="000C4977" w:rsidRPr="000C4977" w14:paraId="1C92FB3D"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21C03" w14:textId="77777777" w:rsidR="000C4977" w:rsidRPr="000C4977" w:rsidRDefault="000C4977" w:rsidP="000C4977">
            <w:pPr>
              <w:spacing w:before="0"/>
              <w:jc w:val="left"/>
              <w:rPr>
                <w:rFonts w:eastAsia="Times New Roman" w:cs="Times New Roman"/>
                <w:b/>
                <w:color w:val="000000" w:themeColor="text1"/>
                <w:szCs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14C9684C"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Detected</w:t>
            </w:r>
          </w:p>
        </w:tc>
        <w:tc>
          <w:tcPr>
            <w:tcW w:w="820" w:type="pct"/>
            <w:tcBorders>
              <w:top w:val="single" w:sz="4" w:space="0" w:color="auto"/>
              <w:left w:val="single" w:sz="4" w:space="0" w:color="auto"/>
              <w:bottom w:val="single" w:sz="4" w:space="0" w:color="auto"/>
              <w:right w:val="single" w:sz="4" w:space="0" w:color="auto"/>
            </w:tcBorders>
            <w:shd w:val="clear" w:color="auto" w:fill="auto"/>
            <w:hideMark/>
          </w:tcPr>
          <w:p w14:paraId="0DB2F0D9" w14:textId="17E6C110"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 xml:space="preserve">Not </w:t>
            </w:r>
            <w:r w:rsidR="00C1285A">
              <w:rPr>
                <w:rFonts w:ascii="Arial Narrow" w:eastAsia="Times New Roman" w:hAnsi="Arial Narrow" w:cs="Times New Roman"/>
                <w:color w:val="000000" w:themeColor="text1"/>
                <w:sz w:val="20"/>
                <w:szCs w:val="20"/>
              </w:rPr>
              <w:t>d</w:t>
            </w:r>
            <w:r w:rsidRPr="000C4977">
              <w:rPr>
                <w:rFonts w:ascii="Arial Narrow" w:eastAsia="Times New Roman" w:hAnsi="Arial Narrow" w:cs="Times New Roman"/>
                <w:color w:val="000000" w:themeColor="text1"/>
                <w:sz w:val="20"/>
                <w:szCs w:val="20"/>
              </w:rPr>
              <w:t>etected</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24CE6204"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Total</w:t>
            </w:r>
          </w:p>
        </w:tc>
      </w:tr>
      <w:tr w:rsidR="000C4977" w:rsidRPr="000C4977" w14:paraId="3E6A5F59"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1146" w:type="pct"/>
            <w:tcBorders>
              <w:top w:val="single" w:sz="4" w:space="0" w:color="auto"/>
              <w:left w:val="single" w:sz="4" w:space="0" w:color="auto"/>
              <w:bottom w:val="single" w:sz="4" w:space="0" w:color="auto"/>
              <w:right w:val="single" w:sz="4" w:space="0" w:color="auto"/>
            </w:tcBorders>
            <w:shd w:val="clear" w:color="auto" w:fill="auto"/>
          </w:tcPr>
          <w:p w14:paraId="4DBD0716" w14:textId="77777777" w:rsidR="000C4977" w:rsidRPr="000C4977" w:rsidRDefault="000C4977" w:rsidP="000C4977">
            <w:pPr>
              <w:keepNext/>
              <w:widowControl w:val="0"/>
              <w:spacing w:before="0"/>
              <w:jc w:val="left"/>
              <w:rPr>
                <w:rFonts w:eastAsia="Times New Roman" w:cs="Times New Roman"/>
                <w:color w:val="000000" w:themeColor="text1"/>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14:paraId="67C5AC1C" w14:textId="77777777" w:rsidR="000C4977" w:rsidRPr="000C4977"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Detected</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25689533"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109</w:t>
            </w:r>
          </w:p>
        </w:tc>
        <w:tc>
          <w:tcPr>
            <w:tcW w:w="820" w:type="pct"/>
            <w:tcBorders>
              <w:top w:val="single" w:sz="4" w:space="0" w:color="auto"/>
              <w:left w:val="single" w:sz="4" w:space="0" w:color="auto"/>
              <w:bottom w:val="single" w:sz="4" w:space="0" w:color="auto"/>
              <w:right w:val="single" w:sz="4" w:space="0" w:color="auto"/>
            </w:tcBorders>
            <w:shd w:val="clear" w:color="auto" w:fill="auto"/>
            <w:hideMark/>
          </w:tcPr>
          <w:p w14:paraId="38309600"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6</w:t>
            </w:r>
          </w:p>
        </w:tc>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3AF75AFD"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115</w:t>
            </w:r>
          </w:p>
        </w:tc>
      </w:tr>
      <w:tr w:rsidR="000C4977" w:rsidRPr="000C4977" w14:paraId="2F6819D0"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1146" w:type="pct"/>
            <w:tcBorders>
              <w:top w:val="single" w:sz="4" w:space="0" w:color="auto"/>
              <w:left w:val="single" w:sz="4" w:space="0" w:color="auto"/>
              <w:bottom w:val="single" w:sz="4" w:space="0" w:color="auto"/>
              <w:right w:val="single" w:sz="4" w:space="0" w:color="auto"/>
            </w:tcBorders>
            <w:hideMark/>
          </w:tcPr>
          <w:p w14:paraId="11D89F18" w14:textId="77777777" w:rsidR="000C4977" w:rsidRPr="000C4977" w:rsidRDefault="000C4977" w:rsidP="000C4977">
            <w:pPr>
              <w:keepNext/>
              <w:widowControl w:val="0"/>
              <w:spacing w:before="0"/>
              <w:jc w:val="left"/>
              <w:rPr>
                <w:rFonts w:eastAsia="Times New Roman" w:cs="Times New Roman"/>
                <w:color w:val="000000" w:themeColor="text1"/>
                <w:szCs w:val="20"/>
              </w:rPr>
            </w:pPr>
            <w:proofErr w:type="spellStart"/>
            <w:r w:rsidRPr="000C4977">
              <w:rPr>
                <w:rFonts w:eastAsia="Times New Roman" w:cs="Times New Roman"/>
                <w:color w:val="000000" w:themeColor="text1"/>
                <w:szCs w:val="20"/>
              </w:rPr>
              <w:t>SOPHiA</w:t>
            </w:r>
            <w:proofErr w:type="spellEnd"/>
            <w:r w:rsidRPr="000C4977">
              <w:rPr>
                <w:rFonts w:eastAsia="Times New Roman" w:cs="Times New Roman"/>
                <w:color w:val="000000" w:themeColor="text1"/>
                <w:szCs w:val="20"/>
              </w:rPr>
              <w:t xml:space="preserve"> Genetics</w:t>
            </w:r>
          </w:p>
        </w:tc>
        <w:tc>
          <w:tcPr>
            <w:tcW w:w="1326" w:type="pct"/>
            <w:tcBorders>
              <w:top w:val="single" w:sz="4" w:space="0" w:color="auto"/>
              <w:left w:val="single" w:sz="4" w:space="0" w:color="auto"/>
              <w:bottom w:val="single" w:sz="4" w:space="0" w:color="auto"/>
              <w:right w:val="single" w:sz="4" w:space="0" w:color="auto"/>
            </w:tcBorders>
            <w:hideMark/>
          </w:tcPr>
          <w:p w14:paraId="3E5C1351" w14:textId="1EEC7FE5" w:rsidR="000C4977" w:rsidRPr="000C4977"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 xml:space="preserve">Not </w:t>
            </w:r>
            <w:r w:rsidR="00C1285A">
              <w:rPr>
                <w:rFonts w:ascii="Arial Narrow" w:eastAsia="Times New Roman" w:hAnsi="Arial Narrow" w:cs="Times New Roman"/>
                <w:color w:val="000000" w:themeColor="text1"/>
                <w:sz w:val="20"/>
                <w:szCs w:val="20"/>
              </w:rPr>
              <w:t>d</w:t>
            </w:r>
            <w:r w:rsidRPr="000C4977">
              <w:rPr>
                <w:rFonts w:ascii="Arial Narrow" w:eastAsia="Times New Roman" w:hAnsi="Arial Narrow" w:cs="Times New Roman"/>
                <w:color w:val="000000" w:themeColor="text1"/>
                <w:sz w:val="20"/>
                <w:szCs w:val="20"/>
              </w:rPr>
              <w:t>etected</w:t>
            </w:r>
          </w:p>
        </w:tc>
        <w:tc>
          <w:tcPr>
            <w:tcW w:w="793" w:type="pct"/>
            <w:tcBorders>
              <w:top w:val="single" w:sz="4" w:space="0" w:color="auto"/>
              <w:left w:val="single" w:sz="4" w:space="0" w:color="auto"/>
              <w:bottom w:val="single" w:sz="4" w:space="0" w:color="auto"/>
              <w:right w:val="single" w:sz="4" w:space="0" w:color="auto"/>
            </w:tcBorders>
            <w:hideMark/>
          </w:tcPr>
          <w:p w14:paraId="6D5DDBB8"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7</w:t>
            </w:r>
          </w:p>
        </w:tc>
        <w:tc>
          <w:tcPr>
            <w:tcW w:w="820" w:type="pct"/>
            <w:tcBorders>
              <w:top w:val="single" w:sz="4" w:space="0" w:color="auto"/>
              <w:left w:val="single" w:sz="4" w:space="0" w:color="auto"/>
              <w:bottom w:val="single" w:sz="4" w:space="0" w:color="auto"/>
              <w:right w:val="single" w:sz="4" w:space="0" w:color="auto"/>
            </w:tcBorders>
            <w:hideMark/>
          </w:tcPr>
          <w:p w14:paraId="44C3251E"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121</w:t>
            </w:r>
          </w:p>
        </w:tc>
        <w:tc>
          <w:tcPr>
            <w:tcW w:w="915" w:type="pct"/>
            <w:tcBorders>
              <w:top w:val="single" w:sz="4" w:space="0" w:color="auto"/>
              <w:left w:val="single" w:sz="4" w:space="0" w:color="auto"/>
              <w:bottom w:val="single" w:sz="4" w:space="0" w:color="auto"/>
              <w:right w:val="single" w:sz="4" w:space="0" w:color="auto"/>
            </w:tcBorders>
            <w:hideMark/>
          </w:tcPr>
          <w:p w14:paraId="0D73D2BB"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128</w:t>
            </w:r>
          </w:p>
        </w:tc>
      </w:tr>
      <w:tr w:rsidR="000C4977" w:rsidRPr="000C4977" w14:paraId="028A1BB0"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1146" w:type="pct"/>
            <w:tcBorders>
              <w:top w:val="single" w:sz="4" w:space="0" w:color="auto"/>
              <w:left w:val="single" w:sz="4" w:space="0" w:color="auto"/>
              <w:bottom w:val="single" w:sz="4" w:space="0" w:color="auto"/>
              <w:right w:val="single" w:sz="4" w:space="0" w:color="auto"/>
            </w:tcBorders>
          </w:tcPr>
          <w:p w14:paraId="47B31E26" w14:textId="77777777" w:rsidR="000C4977" w:rsidRPr="000C4977" w:rsidRDefault="000C4977" w:rsidP="000C4977">
            <w:pPr>
              <w:keepNext/>
              <w:widowControl w:val="0"/>
              <w:spacing w:before="0"/>
              <w:jc w:val="left"/>
              <w:rPr>
                <w:rFonts w:eastAsia="Times New Roman" w:cs="Times New Roman"/>
                <w:color w:val="000000" w:themeColor="text1"/>
                <w:szCs w:val="20"/>
              </w:rPr>
            </w:pPr>
          </w:p>
        </w:tc>
        <w:tc>
          <w:tcPr>
            <w:tcW w:w="1326" w:type="pct"/>
            <w:tcBorders>
              <w:top w:val="single" w:sz="4" w:space="0" w:color="auto"/>
              <w:left w:val="single" w:sz="4" w:space="0" w:color="auto"/>
              <w:bottom w:val="single" w:sz="4" w:space="0" w:color="auto"/>
              <w:right w:val="single" w:sz="4" w:space="0" w:color="auto"/>
            </w:tcBorders>
            <w:hideMark/>
          </w:tcPr>
          <w:p w14:paraId="3D986CA0" w14:textId="77777777" w:rsidR="000C4977" w:rsidRPr="000C4977"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Total</w:t>
            </w:r>
          </w:p>
        </w:tc>
        <w:tc>
          <w:tcPr>
            <w:tcW w:w="793" w:type="pct"/>
            <w:tcBorders>
              <w:top w:val="single" w:sz="4" w:space="0" w:color="auto"/>
              <w:left w:val="single" w:sz="4" w:space="0" w:color="auto"/>
              <w:bottom w:val="single" w:sz="4" w:space="0" w:color="auto"/>
              <w:right w:val="single" w:sz="4" w:space="0" w:color="auto"/>
            </w:tcBorders>
            <w:hideMark/>
          </w:tcPr>
          <w:p w14:paraId="1B8C0148"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116</w:t>
            </w:r>
          </w:p>
        </w:tc>
        <w:tc>
          <w:tcPr>
            <w:tcW w:w="820" w:type="pct"/>
            <w:tcBorders>
              <w:top w:val="single" w:sz="4" w:space="0" w:color="auto"/>
              <w:left w:val="single" w:sz="4" w:space="0" w:color="auto"/>
              <w:bottom w:val="single" w:sz="4" w:space="0" w:color="auto"/>
              <w:right w:val="single" w:sz="4" w:space="0" w:color="auto"/>
            </w:tcBorders>
            <w:hideMark/>
          </w:tcPr>
          <w:p w14:paraId="6519E1C0"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127</w:t>
            </w:r>
          </w:p>
        </w:tc>
        <w:tc>
          <w:tcPr>
            <w:tcW w:w="915" w:type="pct"/>
            <w:tcBorders>
              <w:top w:val="single" w:sz="4" w:space="0" w:color="auto"/>
              <w:left w:val="single" w:sz="4" w:space="0" w:color="auto"/>
              <w:bottom w:val="single" w:sz="4" w:space="0" w:color="auto"/>
              <w:right w:val="single" w:sz="4" w:space="0" w:color="auto"/>
            </w:tcBorders>
            <w:hideMark/>
          </w:tcPr>
          <w:p w14:paraId="2CF65E3D"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243</w:t>
            </w:r>
          </w:p>
        </w:tc>
      </w:tr>
      <w:tr w:rsidR="000C4977" w:rsidRPr="000C4977" w14:paraId="6B4C6D06"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1146" w:type="pct"/>
            <w:tcBorders>
              <w:top w:val="single" w:sz="4" w:space="0" w:color="auto"/>
              <w:left w:val="single" w:sz="4" w:space="0" w:color="auto"/>
              <w:bottom w:val="single" w:sz="4" w:space="0" w:color="auto"/>
              <w:right w:val="single" w:sz="4" w:space="0" w:color="auto"/>
            </w:tcBorders>
            <w:hideMark/>
          </w:tcPr>
          <w:p w14:paraId="0754D408" w14:textId="77777777" w:rsidR="000C4977" w:rsidRPr="000C4977" w:rsidRDefault="000C4977" w:rsidP="000C4977">
            <w:pPr>
              <w:keepNext/>
              <w:widowControl w:val="0"/>
              <w:spacing w:before="0"/>
              <w:jc w:val="left"/>
              <w:rPr>
                <w:rFonts w:eastAsia="Times New Roman" w:cs="Times New Roman"/>
                <w:color w:val="000000" w:themeColor="text1"/>
                <w:szCs w:val="20"/>
              </w:rPr>
            </w:pPr>
            <w:r w:rsidRPr="000C4977">
              <w:rPr>
                <w:rFonts w:eastAsia="Times New Roman" w:cs="Times New Roman"/>
                <w:color w:val="000000" w:themeColor="text1"/>
                <w:szCs w:val="20"/>
              </w:rPr>
              <w:t>Agreement</w:t>
            </w:r>
          </w:p>
        </w:tc>
        <w:tc>
          <w:tcPr>
            <w:tcW w:w="1326" w:type="pct"/>
            <w:tcBorders>
              <w:top w:val="single" w:sz="4" w:space="0" w:color="auto"/>
              <w:left w:val="single" w:sz="4" w:space="0" w:color="auto"/>
              <w:bottom w:val="single" w:sz="4" w:space="0" w:color="auto"/>
              <w:right w:val="single" w:sz="4" w:space="0" w:color="auto"/>
            </w:tcBorders>
            <w:hideMark/>
          </w:tcPr>
          <w:p w14:paraId="5C56E703" w14:textId="77777777" w:rsidR="000C4977" w:rsidRPr="000C4977"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PPA</w:t>
            </w:r>
          </w:p>
        </w:tc>
        <w:tc>
          <w:tcPr>
            <w:tcW w:w="2528" w:type="pct"/>
            <w:gridSpan w:val="3"/>
            <w:tcBorders>
              <w:top w:val="single" w:sz="4" w:space="0" w:color="auto"/>
              <w:left w:val="single" w:sz="4" w:space="0" w:color="auto"/>
              <w:bottom w:val="single" w:sz="4" w:space="0" w:color="auto"/>
              <w:right w:val="single" w:sz="4" w:space="0" w:color="auto"/>
            </w:tcBorders>
            <w:hideMark/>
          </w:tcPr>
          <w:p w14:paraId="0CE94017" w14:textId="0A894AD2" w:rsidR="000C4977" w:rsidRPr="0031569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315695">
              <w:rPr>
                <w:rFonts w:ascii="Arial Narrow" w:eastAsia="Times New Roman" w:hAnsi="Arial Narrow" w:cs="Times New Roman"/>
                <w:color w:val="000000" w:themeColor="text1"/>
                <w:sz w:val="20"/>
                <w:szCs w:val="20"/>
              </w:rPr>
              <w:t>93.97% (95%CI 87.96, 97.54)</w:t>
            </w:r>
          </w:p>
        </w:tc>
      </w:tr>
      <w:tr w:rsidR="000C4977" w:rsidRPr="000C4977" w14:paraId="6CAC9BBE" w14:textId="77777777" w:rsidTr="00A91280">
        <w:trPr>
          <w:trHeight w:val="227"/>
        </w:trPr>
        <w:tc>
          <w:tcPr>
            <w:cnfStyle w:val="001000000000" w:firstRow="0" w:lastRow="0" w:firstColumn="1" w:lastColumn="0" w:oddVBand="0" w:evenVBand="0" w:oddHBand="0" w:evenHBand="0" w:firstRowFirstColumn="0" w:firstRowLastColumn="0" w:lastRowFirstColumn="0" w:lastRowLastColumn="0"/>
            <w:tcW w:w="1146" w:type="pct"/>
            <w:tcBorders>
              <w:top w:val="single" w:sz="4" w:space="0" w:color="auto"/>
              <w:left w:val="single" w:sz="4" w:space="0" w:color="auto"/>
              <w:bottom w:val="single" w:sz="4" w:space="0" w:color="auto"/>
              <w:right w:val="single" w:sz="4" w:space="0" w:color="auto"/>
            </w:tcBorders>
          </w:tcPr>
          <w:p w14:paraId="6DFF61A2" w14:textId="77777777" w:rsidR="000C4977" w:rsidRPr="000C4977" w:rsidRDefault="000C4977" w:rsidP="000C4977">
            <w:pPr>
              <w:keepNext/>
              <w:widowControl w:val="0"/>
              <w:spacing w:before="0"/>
              <w:jc w:val="left"/>
              <w:rPr>
                <w:rFonts w:eastAsia="Times New Roman" w:cs="Times New Roman"/>
                <w:color w:val="000000" w:themeColor="text1"/>
                <w:szCs w:val="20"/>
              </w:rPr>
            </w:pPr>
          </w:p>
        </w:tc>
        <w:tc>
          <w:tcPr>
            <w:tcW w:w="1326" w:type="pct"/>
            <w:tcBorders>
              <w:top w:val="single" w:sz="4" w:space="0" w:color="auto"/>
              <w:left w:val="single" w:sz="4" w:space="0" w:color="auto"/>
              <w:bottom w:val="single" w:sz="4" w:space="0" w:color="auto"/>
              <w:right w:val="single" w:sz="4" w:space="0" w:color="auto"/>
            </w:tcBorders>
            <w:hideMark/>
          </w:tcPr>
          <w:p w14:paraId="795177C3" w14:textId="77777777" w:rsidR="000C4977" w:rsidRPr="000C4977"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C4977">
              <w:rPr>
                <w:rFonts w:ascii="Arial Narrow" w:eastAsia="Times New Roman" w:hAnsi="Arial Narrow" w:cs="Times New Roman"/>
                <w:color w:val="000000" w:themeColor="text1"/>
                <w:sz w:val="20"/>
                <w:szCs w:val="20"/>
              </w:rPr>
              <w:t>NPA</w:t>
            </w:r>
          </w:p>
        </w:tc>
        <w:tc>
          <w:tcPr>
            <w:tcW w:w="2528" w:type="pct"/>
            <w:gridSpan w:val="3"/>
            <w:tcBorders>
              <w:top w:val="single" w:sz="4" w:space="0" w:color="auto"/>
              <w:left w:val="single" w:sz="4" w:space="0" w:color="auto"/>
              <w:bottom w:val="single" w:sz="4" w:space="0" w:color="auto"/>
              <w:right w:val="single" w:sz="4" w:space="0" w:color="auto"/>
            </w:tcBorders>
            <w:hideMark/>
          </w:tcPr>
          <w:p w14:paraId="456C740B" w14:textId="77777777" w:rsidR="000C4977" w:rsidRPr="0031569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315695">
              <w:rPr>
                <w:rFonts w:ascii="Arial Narrow" w:eastAsia="Times New Roman" w:hAnsi="Arial Narrow" w:cs="Times New Roman"/>
                <w:color w:val="000000" w:themeColor="text1"/>
                <w:sz w:val="20"/>
                <w:szCs w:val="20"/>
              </w:rPr>
              <w:t>95.28% (95% CI 90.00, 98.25)</w:t>
            </w:r>
          </w:p>
        </w:tc>
      </w:tr>
    </w:tbl>
    <w:p w14:paraId="34DFA862" w14:textId="63382504"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NPA = negative percent agreement; PPA =</w:t>
      </w:r>
      <w:r w:rsidR="00C1285A">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positive percent agreement</w:t>
      </w:r>
    </w:p>
    <w:p w14:paraId="02C188A0"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2.36, p96 of the submission.</w:t>
      </w:r>
    </w:p>
    <w:p w14:paraId="55A32257" w14:textId="6B365796" w:rsidR="000C4977" w:rsidRPr="000C4977" w:rsidRDefault="000C4977" w:rsidP="000C4977">
      <w:pPr>
        <w:keepNext/>
        <w:keepLines/>
        <w:tabs>
          <w:tab w:val="left" w:pos="851"/>
        </w:tabs>
        <w:spacing w:before="360" w:after="200" w:line="259" w:lineRule="auto"/>
        <w:jc w:val="left"/>
        <w:outlineLvl w:val="3"/>
        <w:rPr>
          <w:rFonts w:ascii="Franklin Gothic Medium" w:eastAsiaTheme="majorEastAsia" w:hAnsi="Franklin Gothic Medium" w:cstheme="majorBidi"/>
          <w:i/>
          <w:szCs w:val="24"/>
        </w:rPr>
      </w:pPr>
      <w:bookmarkStart w:id="48" w:name="_Ref103673550"/>
      <w:r w:rsidRPr="000C4977">
        <w:rPr>
          <w:rFonts w:ascii="Franklin Gothic Medium" w:eastAsiaTheme="majorEastAsia" w:hAnsi="Franklin Gothic Medium" w:cstheme="majorBidi"/>
          <w:i/>
          <w:szCs w:val="24"/>
        </w:rPr>
        <w:t>Longitudinal accuracy</w:t>
      </w:r>
      <w:bookmarkEnd w:id="48"/>
    </w:p>
    <w:p w14:paraId="6E6947A1" w14:textId="77EB9379" w:rsidR="000C4977" w:rsidRPr="000C4977" w:rsidRDefault="000C4977" w:rsidP="000C4977">
      <w:pPr>
        <w:spacing w:line="259" w:lineRule="auto"/>
        <w:jc w:val="left"/>
        <w:rPr>
          <w:lang w:eastAsia="zh-CN"/>
        </w:rPr>
      </w:pPr>
      <w:r w:rsidRPr="000C4977">
        <w:t xml:space="preserve">Four studies were identified by the submission that considered the longitudinal accuracy of the HRD test to predict a response to PARP inhibitor treatment in ovarian cancer. Three studies used Myriad </w:t>
      </w:r>
      <w:proofErr w:type="spellStart"/>
      <w:r w:rsidRPr="000C4977">
        <w:t>myChoice</w:t>
      </w:r>
      <w:proofErr w:type="spellEnd"/>
      <w:r w:rsidRPr="000C4977">
        <w:t xml:space="preserve"> assays to determine HRD status in patients with newly diagnosed HGEOC or HGSOC status (PAOLA-1, González-Martín 2019, Coleman 2019) and one study used the Foundation One assay to determine HRD status in patients with recurrent HGEOC (Coleman 2017). A summary of the studies is provided in </w:t>
      </w:r>
      <w:r w:rsidR="009440A6">
        <w:fldChar w:fldCharType="begin"/>
      </w:r>
      <w:r w:rsidR="009440A6">
        <w:instrText xml:space="preserve"> REF _Ref111818186 \h </w:instrText>
      </w:r>
      <w:r w:rsidR="009440A6">
        <w:fldChar w:fldCharType="separate"/>
      </w:r>
      <w:r w:rsidR="00D8603B">
        <w:t xml:space="preserve">Table </w:t>
      </w:r>
      <w:r w:rsidR="00D8603B">
        <w:rPr>
          <w:noProof/>
        </w:rPr>
        <w:t>14</w:t>
      </w:r>
      <w:r w:rsidR="009440A6">
        <w:fldChar w:fldCharType="end"/>
      </w:r>
      <w:r w:rsidRPr="000C4977">
        <w:t>.</w:t>
      </w:r>
    </w:p>
    <w:p w14:paraId="57EDD07E" w14:textId="77777777" w:rsidR="000C4977" w:rsidRPr="000C4977" w:rsidRDefault="000C4977" w:rsidP="000C4977">
      <w:pPr>
        <w:spacing w:line="259" w:lineRule="auto"/>
        <w:jc w:val="left"/>
      </w:pPr>
    </w:p>
    <w:p w14:paraId="596445EB" w14:textId="77777777" w:rsidR="000C4977" w:rsidRPr="000C4977" w:rsidRDefault="000C4977" w:rsidP="000C4977">
      <w:pPr>
        <w:spacing w:before="0" w:after="0"/>
        <w:jc w:val="left"/>
        <w:sectPr w:rsidR="000C4977" w:rsidRPr="000C4977" w:rsidSect="00AC0CA3">
          <w:footerReference w:type="default" r:id="rId19"/>
          <w:pgSz w:w="11906" w:h="16838"/>
          <w:pgMar w:top="1440" w:right="1440" w:bottom="1440" w:left="1440" w:header="708" w:footer="708" w:gutter="0"/>
          <w:cols w:space="720"/>
          <w:docGrid w:linePitch="326"/>
        </w:sectPr>
      </w:pPr>
    </w:p>
    <w:p w14:paraId="75BD74FF" w14:textId="40E43DDC" w:rsidR="009440A6" w:rsidRDefault="009440A6" w:rsidP="009440A6">
      <w:pPr>
        <w:pStyle w:val="Caption"/>
      </w:pPr>
      <w:bookmarkStart w:id="49" w:name="_Ref111818186"/>
      <w:r>
        <w:lastRenderedPageBreak/>
        <w:t xml:space="preserve">Table </w:t>
      </w:r>
      <w:fldSimple w:instr=" SEQ Table \* ARABIC ">
        <w:r w:rsidR="00D8603B">
          <w:rPr>
            <w:noProof/>
          </w:rPr>
          <w:t>14</w:t>
        </w:r>
      </w:fldSimple>
      <w:bookmarkEnd w:id="49"/>
      <w:r w:rsidR="00BE0DF9">
        <w:rPr>
          <w:noProof/>
        </w:rPr>
        <w:tab/>
      </w:r>
      <w:r w:rsidRPr="009440A6">
        <w:rPr>
          <w:bCs/>
          <w:iCs w:val="0"/>
        </w:rPr>
        <w:t>Summary of study characteristics of included longitudinal accuracy studies</w:t>
      </w:r>
    </w:p>
    <w:tbl>
      <w:tblPr>
        <w:tblStyle w:val="AZTable11"/>
        <w:tblW w:w="5000" w:type="pct"/>
        <w:tblLook w:val="04A0" w:firstRow="1" w:lastRow="0" w:firstColumn="1" w:lastColumn="0" w:noHBand="0" w:noVBand="1"/>
      </w:tblPr>
      <w:tblGrid>
        <w:gridCol w:w="1415"/>
        <w:gridCol w:w="712"/>
        <w:gridCol w:w="2354"/>
        <w:gridCol w:w="2675"/>
        <w:gridCol w:w="1400"/>
        <w:gridCol w:w="937"/>
        <w:gridCol w:w="2575"/>
        <w:gridCol w:w="1880"/>
      </w:tblGrid>
      <w:tr w:rsidR="000C4977" w:rsidRPr="000C4977" w14:paraId="0C82BD43" w14:textId="77777777" w:rsidTr="00A9128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7" w:type="pct"/>
            <w:tcBorders>
              <w:top w:val="single" w:sz="4" w:space="0" w:color="auto"/>
              <w:left w:val="single" w:sz="4" w:space="0" w:color="auto"/>
              <w:bottom w:val="single" w:sz="4" w:space="0" w:color="auto"/>
              <w:right w:val="single" w:sz="4" w:space="0" w:color="auto"/>
            </w:tcBorders>
            <w:hideMark/>
          </w:tcPr>
          <w:p w14:paraId="4FA26474" w14:textId="77777777" w:rsidR="000C4977" w:rsidRPr="000C4977" w:rsidRDefault="000C4977" w:rsidP="000C4977">
            <w:pPr>
              <w:keepNext/>
              <w:widowControl w:val="0"/>
              <w:spacing w:before="0"/>
              <w:jc w:val="center"/>
              <w:rPr>
                <w:rFonts w:eastAsia="Times New Roman" w:cs="Times New Roman"/>
                <w:color w:val="000000" w:themeColor="text1"/>
                <w:szCs w:val="20"/>
              </w:rPr>
            </w:pPr>
            <w:r w:rsidRPr="000C4977">
              <w:rPr>
                <w:rFonts w:eastAsia="Times New Roman" w:cs="Times New Roman"/>
                <w:color w:val="000000" w:themeColor="text1"/>
                <w:szCs w:val="20"/>
              </w:rPr>
              <w:t>Study ID</w:t>
            </w:r>
          </w:p>
        </w:tc>
        <w:tc>
          <w:tcPr>
            <w:tcW w:w="255" w:type="pct"/>
            <w:tcBorders>
              <w:top w:val="single" w:sz="4" w:space="0" w:color="auto"/>
              <w:left w:val="single" w:sz="4" w:space="0" w:color="auto"/>
              <w:bottom w:val="single" w:sz="4" w:space="0" w:color="auto"/>
              <w:right w:val="single" w:sz="4" w:space="0" w:color="auto"/>
            </w:tcBorders>
            <w:hideMark/>
          </w:tcPr>
          <w:p w14:paraId="23F48E55"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N</w:t>
            </w:r>
          </w:p>
        </w:tc>
        <w:tc>
          <w:tcPr>
            <w:tcW w:w="844" w:type="pct"/>
            <w:tcBorders>
              <w:top w:val="single" w:sz="4" w:space="0" w:color="auto"/>
              <w:left w:val="single" w:sz="4" w:space="0" w:color="auto"/>
              <w:bottom w:val="single" w:sz="4" w:space="0" w:color="auto"/>
              <w:right w:val="single" w:sz="4" w:space="0" w:color="auto"/>
            </w:tcBorders>
            <w:hideMark/>
          </w:tcPr>
          <w:p w14:paraId="780524B3"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Study design</w:t>
            </w:r>
          </w:p>
        </w:tc>
        <w:tc>
          <w:tcPr>
            <w:tcW w:w="959" w:type="pct"/>
            <w:tcBorders>
              <w:top w:val="single" w:sz="4" w:space="0" w:color="auto"/>
              <w:left w:val="single" w:sz="4" w:space="0" w:color="auto"/>
              <w:bottom w:val="single" w:sz="4" w:space="0" w:color="auto"/>
              <w:right w:val="single" w:sz="4" w:space="0" w:color="auto"/>
            </w:tcBorders>
            <w:hideMark/>
          </w:tcPr>
          <w:p w14:paraId="785DCE5A"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Patient source</w:t>
            </w:r>
          </w:p>
        </w:tc>
        <w:tc>
          <w:tcPr>
            <w:tcW w:w="502" w:type="pct"/>
            <w:tcBorders>
              <w:top w:val="single" w:sz="4" w:space="0" w:color="auto"/>
              <w:left w:val="single" w:sz="4" w:space="0" w:color="auto"/>
              <w:bottom w:val="single" w:sz="4" w:space="0" w:color="auto"/>
              <w:right w:val="single" w:sz="4" w:space="0" w:color="auto"/>
            </w:tcBorders>
            <w:hideMark/>
          </w:tcPr>
          <w:p w14:paraId="41C23F1E"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Treatment</w:t>
            </w:r>
          </w:p>
        </w:tc>
        <w:tc>
          <w:tcPr>
            <w:tcW w:w="336" w:type="pct"/>
            <w:tcBorders>
              <w:top w:val="single" w:sz="4" w:space="0" w:color="auto"/>
              <w:left w:val="single" w:sz="4" w:space="0" w:color="auto"/>
              <w:bottom w:val="single" w:sz="4" w:space="0" w:color="auto"/>
              <w:right w:val="single" w:sz="4" w:space="0" w:color="auto"/>
            </w:tcBorders>
            <w:hideMark/>
          </w:tcPr>
          <w:p w14:paraId="53FC3571"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Line of therapy</w:t>
            </w:r>
          </w:p>
        </w:tc>
        <w:tc>
          <w:tcPr>
            <w:tcW w:w="923" w:type="pct"/>
            <w:tcBorders>
              <w:top w:val="single" w:sz="4" w:space="0" w:color="auto"/>
              <w:left w:val="single" w:sz="4" w:space="0" w:color="auto"/>
              <w:bottom w:val="single" w:sz="4" w:space="0" w:color="auto"/>
              <w:right w:val="single" w:sz="4" w:space="0" w:color="auto"/>
            </w:tcBorders>
            <w:hideMark/>
          </w:tcPr>
          <w:p w14:paraId="0D9B1E33"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Disease severity</w:t>
            </w:r>
          </w:p>
        </w:tc>
        <w:tc>
          <w:tcPr>
            <w:tcW w:w="674" w:type="pct"/>
            <w:tcBorders>
              <w:top w:val="single" w:sz="4" w:space="0" w:color="auto"/>
              <w:left w:val="single" w:sz="4" w:space="0" w:color="auto"/>
              <w:bottom w:val="single" w:sz="4" w:space="0" w:color="auto"/>
              <w:right w:val="single" w:sz="4" w:space="0" w:color="auto"/>
            </w:tcBorders>
            <w:hideMark/>
          </w:tcPr>
          <w:p w14:paraId="12E23E75" w14:textId="77777777" w:rsidR="000C4977" w:rsidRPr="000C4977"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0C4977">
              <w:rPr>
                <w:rFonts w:eastAsia="Times New Roman" w:cs="Arial"/>
                <w:color w:val="000000" w:themeColor="text1"/>
                <w:szCs w:val="20"/>
              </w:rPr>
              <w:t>Primary outcome</w:t>
            </w:r>
          </w:p>
        </w:tc>
      </w:tr>
      <w:tr w:rsidR="000C4977" w:rsidRPr="000C4977" w14:paraId="4F15C248" w14:textId="77777777" w:rsidTr="00A91280">
        <w:trPr>
          <w:cantSplit/>
        </w:trPr>
        <w:tc>
          <w:tcPr>
            <w:cnfStyle w:val="001000000000" w:firstRow="0" w:lastRow="0" w:firstColumn="1" w:lastColumn="0" w:oddVBand="0" w:evenVBand="0" w:oddHBand="0" w:evenHBand="0" w:firstRowFirstColumn="0" w:firstRowLastColumn="0" w:lastRowFirstColumn="0" w:lastRowLastColumn="0"/>
            <w:tcW w:w="507" w:type="pct"/>
            <w:tcBorders>
              <w:top w:val="single" w:sz="4" w:space="0" w:color="auto"/>
              <w:left w:val="single" w:sz="4" w:space="0" w:color="auto"/>
              <w:bottom w:val="single" w:sz="4" w:space="0" w:color="auto"/>
              <w:right w:val="single" w:sz="4" w:space="0" w:color="auto"/>
            </w:tcBorders>
            <w:vAlign w:val="center"/>
            <w:hideMark/>
          </w:tcPr>
          <w:p w14:paraId="0EA37402" w14:textId="77777777" w:rsidR="000C4977" w:rsidRPr="00C336A0" w:rsidRDefault="000C4977" w:rsidP="000C4977">
            <w:pPr>
              <w:keepNext/>
              <w:widowControl w:val="0"/>
              <w:spacing w:before="0"/>
              <w:jc w:val="left"/>
              <w:rPr>
                <w:rFonts w:ascii="Arial Narrow" w:eastAsia="Times New Roman" w:hAnsi="Arial Narrow" w:cs="Times New Roman"/>
                <w:color w:val="000000" w:themeColor="text1"/>
                <w:szCs w:val="20"/>
              </w:rPr>
            </w:pPr>
            <w:r w:rsidRPr="00C336A0">
              <w:rPr>
                <w:rFonts w:ascii="Arial Narrow" w:eastAsia="Times New Roman" w:hAnsi="Arial Narrow" w:cs="Times New Roman"/>
                <w:color w:val="000000" w:themeColor="text1"/>
                <w:szCs w:val="20"/>
              </w:rPr>
              <w:t>PAOLA-1</w:t>
            </w:r>
          </w:p>
        </w:tc>
        <w:tc>
          <w:tcPr>
            <w:tcW w:w="255" w:type="pct"/>
            <w:tcBorders>
              <w:top w:val="single" w:sz="4" w:space="0" w:color="auto"/>
              <w:left w:val="single" w:sz="4" w:space="0" w:color="auto"/>
              <w:bottom w:val="single" w:sz="4" w:space="0" w:color="auto"/>
              <w:right w:val="single" w:sz="4" w:space="0" w:color="auto"/>
            </w:tcBorders>
            <w:vAlign w:val="center"/>
            <w:hideMark/>
          </w:tcPr>
          <w:p w14:paraId="2FA61AD6"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806</w:t>
            </w:r>
          </w:p>
        </w:tc>
        <w:tc>
          <w:tcPr>
            <w:tcW w:w="844" w:type="pct"/>
            <w:tcBorders>
              <w:top w:val="single" w:sz="4" w:space="0" w:color="auto"/>
              <w:left w:val="single" w:sz="4" w:space="0" w:color="auto"/>
              <w:bottom w:val="single" w:sz="4" w:space="0" w:color="auto"/>
              <w:right w:val="single" w:sz="4" w:space="0" w:color="auto"/>
            </w:tcBorders>
            <w:vAlign w:val="center"/>
            <w:hideMark/>
          </w:tcPr>
          <w:p w14:paraId="126060BB"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Randomised, double-blind, placebo-controlled, international phase 3 trial</w:t>
            </w:r>
          </w:p>
        </w:tc>
        <w:tc>
          <w:tcPr>
            <w:tcW w:w="959" w:type="pct"/>
            <w:tcBorders>
              <w:top w:val="single" w:sz="4" w:space="0" w:color="auto"/>
              <w:left w:val="single" w:sz="4" w:space="0" w:color="auto"/>
              <w:bottom w:val="single" w:sz="4" w:space="0" w:color="auto"/>
              <w:right w:val="single" w:sz="4" w:space="0" w:color="auto"/>
            </w:tcBorders>
            <w:vAlign w:val="center"/>
            <w:hideMark/>
          </w:tcPr>
          <w:p w14:paraId="166BA95F"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11 countries</w:t>
            </w:r>
          </w:p>
        </w:tc>
        <w:tc>
          <w:tcPr>
            <w:tcW w:w="502" w:type="pct"/>
            <w:tcBorders>
              <w:top w:val="single" w:sz="4" w:space="0" w:color="auto"/>
              <w:left w:val="single" w:sz="4" w:space="0" w:color="auto"/>
              <w:bottom w:val="single" w:sz="4" w:space="0" w:color="auto"/>
              <w:right w:val="single" w:sz="4" w:space="0" w:color="auto"/>
            </w:tcBorders>
            <w:vAlign w:val="center"/>
            <w:hideMark/>
          </w:tcPr>
          <w:p w14:paraId="3B4D6745"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 xml:space="preserve">Ola + </w:t>
            </w:r>
            <w:proofErr w:type="spellStart"/>
            <w:r w:rsidRPr="000C4977">
              <w:rPr>
                <w:rFonts w:ascii="Arial Narrow" w:eastAsia="Times New Roman" w:hAnsi="Arial Narrow" w:cs="Arial"/>
                <w:color w:val="000000" w:themeColor="text1"/>
                <w:sz w:val="20"/>
                <w:szCs w:val="20"/>
              </w:rPr>
              <w:t>beva</w:t>
            </w:r>
            <w:proofErr w:type="spellEnd"/>
            <w:r w:rsidRPr="000C4977">
              <w:rPr>
                <w:rFonts w:ascii="Arial Narrow" w:eastAsia="Times New Roman" w:hAnsi="Arial Narrow" w:cs="Arial"/>
                <w:color w:val="000000" w:themeColor="text1"/>
                <w:sz w:val="20"/>
                <w:szCs w:val="20"/>
              </w:rPr>
              <w:t xml:space="preserve"> vs </w:t>
            </w:r>
            <w:proofErr w:type="spellStart"/>
            <w:r w:rsidRPr="000C4977">
              <w:rPr>
                <w:rFonts w:ascii="Arial Narrow" w:eastAsia="Times New Roman" w:hAnsi="Arial Narrow" w:cs="Arial"/>
                <w:color w:val="000000" w:themeColor="text1"/>
                <w:sz w:val="20"/>
                <w:szCs w:val="20"/>
              </w:rPr>
              <w:t>pbo</w:t>
            </w:r>
            <w:proofErr w:type="spellEnd"/>
            <w:r w:rsidRPr="000C4977">
              <w:rPr>
                <w:rFonts w:ascii="Arial Narrow" w:eastAsia="Times New Roman" w:hAnsi="Arial Narrow" w:cs="Arial"/>
                <w:color w:val="000000" w:themeColor="text1"/>
                <w:sz w:val="20"/>
                <w:szCs w:val="20"/>
              </w:rPr>
              <w:t xml:space="preserve"> + </w:t>
            </w:r>
            <w:proofErr w:type="spellStart"/>
            <w:r w:rsidRPr="000C4977">
              <w:rPr>
                <w:rFonts w:ascii="Arial Narrow" w:eastAsia="Times New Roman" w:hAnsi="Arial Narrow" w:cs="Arial"/>
                <w:color w:val="000000" w:themeColor="text1"/>
                <w:sz w:val="20"/>
                <w:szCs w:val="20"/>
              </w:rPr>
              <w:t>beva</w:t>
            </w:r>
            <w:proofErr w:type="spellEnd"/>
          </w:p>
        </w:tc>
        <w:tc>
          <w:tcPr>
            <w:tcW w:w="336" w:type="pct"/>
            <w:tcBorders>
              <w:top w:val="single" w:sz="4" w:space="0" w:color="auto"/>
              <w:left w:val="single" w:sz="4" w:space="0" w:color="auto"/>
              <w:bottom w:val="single" w:sz="4" w:space="0" w:color="auto"/>
              <w:right w:val="single" w:sz="4" w:space="0" w:color="auto"/>
            </w:tcBorders>
            <w:vAlign w:val="center"/>
            <w:hideMark/>
          </w:tcPr>
          <w:p w14:paraId="237FA007"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First</w:t>
            </w:r>
          </w:p>
        </w:tc>
        <w:tc>
          <w:tcPr>
            <w:tcW w:w="923" w:type="pct"/>
            <w:tcBorders>
              <w:top w:val="single" w:sz="4" w:space="0" w:color="auto"/>
              <w:left w:val="single" w:sz="4" w:space="0" w:color="auto"/>
              <w:bottom w:val="single" w:sz="4" w:space="0" w:color="auto"/>
              <w:right w:val="single" w:sz="4" w:space="0" w:color="auto"/>
            </w:tcBorders>
            <w:vAlign w:val="center"/>
            <w:hideMark/>
          </w:tcPr>
          <w:p w14:paraId="722AFDD6"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Newly diagnosed, high-grade serous or endometrioid ovarian cancer, FIGO stage III or IV</w:t>
            </w:r>
          </w:p>
        </w:tc>
        <w:tc>
          <w:tcPr>
            <w:tcW w:w="674" w:type="pct"/>
            <w:tcBorders>
              <w:top w:val="single" w:sz="4" w:space="0" w:color="auto"/>
              <w:left w:val="single" w:sz="4" w:space="0" w:color="auto"/>
              <w:bottom w:val="single" w:sz="4" w:space="0" w:color="auto"/>
              <w:right w:val="single" w:sz="4" w:space="0" w:color="auto"/>
            </w:tcBorders>
            <w:vAlign w:val="center"/>
            <w:hideMark/>
          </w:tcPr>
          <w:p w14:paraId="7658FE03"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Investigator-assessed disease progression or death</w:t>
            </w:r>
          </w:p>
        </w:tc>
      </w:tr>
      <w:tr w:rsidR="000C4977" w:rsidRPr="000C4977" w14:paraId="1728E8EE" w14:textId="77777777" w:rsidTr="00A91280">
        <w:trPr>
          <w:cantSplit/>
        </w:trPr>
        <w:tc>
          <w:tcPr>
            <w:cnfStyle w:val="001000000000" w:firstRow="0" w:lastRow="0" w:firstColumn="1" w:lastColumn="0" w:oddVBand="0" w:evenVBand="0" w:oddHBand="0" w:evenHBand="0" w:firstRowFirstColumn="0" w:firstRowLastColumn="0" w:lastRowFirstColumn="0" w:lastRowLastColumn="0"/>
            <w:tcW w:w="507" w:type="pct"/>
            <w:tcBorders>
              <w:top w:val="single" w:sz="4" w:space="0" w:color="auto"/>
              <w:left w:val="single" w:sz="4" w:space="0" w:color="auto"/>
              <w:bottom w:val="single" w:sz="4" w:space="0" w:color="auto"/>
              <w:right w:val="single" w:sz="4" w:space="0" w:color="auto"/>
            </w:tcBorders>
            <w:vAlign w:val="center"/>
            <w:hideMark/>
          </w:tcPr>
          <w:p w14:paraId="10CB347A" w14:textId="77777777" w:rsidR="000C4977" w:rsidRPr="00C336A0" w:rsidRDefault="000C4977" w:rsidP="000C4977">
            <w:pPr>
              <w:keepNext/>
              <w:widowControl w:val="0"/>
              <w:spacing w:before="0"/>
              <w:jc w:val="left"/>
              <w:rPr>
                <w:rFonts w:ascii="Arial Narrow" w:eastAsia="Times New Roman" w:hAnsi="Arial Narrow" w:cs="Times New Roman"/>
                <w:color w:val="000000" w:themeColor="text1"/>
                <w:szCs w:val="20"/>
              </w:rPr>
            </w:pPr>
            <w:r w:rsidRPr="00C336A0">
              <w:rPr>
                <w:rFonts w:ascii="Arial Narrow" w:eastAsia="Times New Roman" w:hAnsi="Arial Narrow" w:cs="Times New Roman"/>
                <w:color w:val="000000" w:themeColor="text1"/>
                <w:szCs w:val="20"/>
              </w:rPr>
              <w:t>Coleman 2017</w:t>
            </w:r>
          </w:p>
        </w:tc>
        <w:tc>
          <w:tcPr>
            <w:tcW w:w="255" w:type="pct"/>
            <w:tcBorders>
              <w:top w:val="single" w:sz="4" w:space="0" w:color="auto"/>
              <w:left w:val="single" w:sz="4" w:space="0" w:color="auto"/>
              <w:bottom w:val="single" w:sz="4" w:space="0" w:color="auto"/>
              <w:right w:val="single" w:sz="4" w:space="0" w:color="auto"/>
            </w:tcBorders>
            <w:vAlign w:val="center"/>
            <w:hideMark/>
          </w:tcPr>
          <w:p w14:paraId="5EA8EA82"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564</w:t>
            </w:r>
          </w:p>
        </w:tc>
        <w:tc>
          <w:tcPr>
            <w:tcW w:w="844" w:type="pct"/>
            <w:tcBorders>
              <w:top w:val="single" w:sz="4" w:space="0" w:color="auto"/>
              <w:left w:val="single" w:sz="4" w:space="0" w:color="auto"/>
              <w:bottom w:val="single" w:sz="4" w:space="0" w:color="auto"/>
              <w:right w:val="single" w:sz="4" w:space="0" w:color="auto"/>
            </w:tcBorders>
            <w:vAlign w:val="center"/>
            <w:hideMark/>
          </w:tcPr>
          <w:p w14:paraId="1139744A"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Randomised, double-blind, placebo-controlled phase 3 trial</w:t>
            </w:r>
          </w:p>
        </w:tc>
        <w:tc>
          <w:tcPr>
            <w:tcW w:w="959" w:type="pct"/>
            <w:tcBorders>
              <w:top w:val="single" w:sz="4" w:space="0" w:color="auto"/>
              <w:left w:val="single" w:sz="4" w:space="0" w:color="auto"/>
              <w:bottom w:val="single" w:sz="4" w:space="0" w:color="auto"/>
              <w:right w:val="single" w:sz="4" w:space="0" w:color="auto"/>
            </w:tcBorders>
            <w:vAlign w:val="center"/>
            <w:hideMark/>
          </w:tcPr>
          <w:p w14:paraId="642F0669"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87 hospitals and cancer centres in Australia, Belgium, Canada, France, Germany, Israel, Italy, New Zealand, Spain, UK, US</w:t>
            </w:r>
          </w:p>
        </w:tc>
        <w:tc>
          <w:tcPr>
            <w:tcW w:w="502" w:type="pct"/>
            <w:tcBorders>
              <w:top w:val="single" w:sz="4" w:space="0" w:color="auto"/>
              <w:left w:val="single" w:sz="4" w:space="0" w:color="auto"/>
              <w:bottom w:val="single" w:sz="4" w:space="0" w:color="auto"/>
              <w:right w:val="single" w:sz="4" w:space="0" w:color="auto"/>
            </w:tcBorders>
            <w:vAlign w:val="center"/>
            <w:hideMark/>
          </w:tcPr>
          <w:p w14:paraId="7B15C794"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Rucaparib vs placebo</w:t>
            </w:r>
          </w:p>
        </w:tc>
        <w:tc>
          <w:tcPr>
            <w:tcW w:w="336" w:type="pct"/>
            <w:tcBorders>
              <w:top w:val="single" w:sz="4" w:space="0" w:color="auto"/>
              <w:left w:val="single" w:sz="4" w:space="0" w:color="auto"/>
              <w:bottom w:val="single" w:sz="4" w:space="0" w:color="auto"/>
              <w:right w:val="single" w:sz="4" w:space="0" w:color="auto"/>
            </w:tcBorders>
            <w:vAlign w:val="center"/>
            <w:hideMark/>
          </w:tcPr>
          <w:p w14:paraId="0D966604"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Second</w:t>
            </w:r>
          </w:p>
        </w:tc>
        <w:tc>
          <w:tcPr>
            <w:tcW w:w="923" w:type="pct"/>
            <w:tcBorders>
              <w:top w:val="single" w:sz="4" w:space="0" w:color="auto"/>
              <w:left w:val="single" w:sz="4" w:space="0" w:color="auto"/>
              <w:bottom w:val="single" w:sz="4" w:space="0" w:color="auto"/>
              <w:right w:val="single" w:sz="4" w:space="0" w:color="auto"/>
            </w:tcBorders>
            <w:vAlign w:val="center"/>
            <w:hideMark/>
          </w:tcPr>
          <w:p w14:paraId="5DD454A2"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Platinum-sensitive, high-grade serous or endometrioid ovarian cancer</w:t>
            </w:r>
          </w:p>
        </w:tc>
        <w:tc>
          <w:tcPr>
            <w:tcW w:w="674" w:type="pct"/>
            <w:tcBorders>
              <w:top w:val="single" w:sz="4" w:space="0" w:color="auto"/>
              <w:left w:val="single" w:sz="4" w:space="0" w:color="auto"/>
              <w:bottom w:val="single" w:sz="4" w:space="0" w:color="auto"/>
              <w:right w:val="single" w:sz="4" w:space="0" w:color="auto"/>
            </w:tcBorders>
            <w:vAlign w:val="center"/>
            <w:hideMark/>
          </w:tcPr>
          <w:p w14:paraId="35BFB8FF"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Investigator-assessed PFS</w:t>
            </w:r>
          </w:p>
        </w:tc>
      </w:tr>
      <w:tr w:rsidR="000C4977" w:rsidRPr="000C4977" w14:paraId="2105131A" w14:textId="77777777" w:rsidTr="00A91280">
        <w:trPr>
          <w:cantSplit/>
        </w:trPr>
        <w:tc>
          <w:tcPr>
            <w:cnfStyle w:val="001000000000" w:firstRow="0" w:lastRow="0" w:firstColumn="1" w:lastColumn="0" w:oddVBand="0" w:evenVBand="0" w:oddHBand="0" w:evenHBand="0" w:firstRowFirstColumn="0" w:firstRowLastColumn="0" w:lastRowFirstColumn="0" w:lastRowLastColumn="0"/>
            <w:tcW w:w="507" w:type="pct"/>
            <w:tcBorders>
              <w:top w:val="single" w:sz="4" w:space="0" w:color="auto"/>
              <w:left w:val="single" w:sz="4" w:space="0" w:color="auto"/>
              <w:bottom w:val="single" w:sz="4" w:space="0" w:color="auto"/>
              <w:right w:val="single" w:sz="4" w:space="0" w:color="auto"/>
            </w:tcBorders>
            <w:vAlign w:val="center"/>
            <w:hideMark/>
          </w:tcPr>
          <w:p w14:paraId="177CA138" w14:textId="77777777" w:rsidR="000C4977" w:rsidRPr="00C336A0" w:rsidRDefault="000C4977" w:rsidP="000C4977">
            <w:pPr>
              <w:keepNext/>
              <w:widowControl w:val="0"/>
              <w:spacing w:before="0"/>
              <w:jc w:val="left"/>
              <w:rPr>
                <w:rFonts w:ascii="Arial Narrow" w:eastAsia="Times New Roman" w:hAnsi="Arial Narrow" w:cs="Times New Roman"/>
                <w:color w:val="000000" w:themeColor="text1"/>
                <w:szCs w:val="20"/>
              </w:rPr>
            </w:pPr>
            <w:r w:rsidRPr="00C336A0">
              <w:rPr>
                <w:rFonts w:ascii="Arial Narrow" w:eastAsia="Times New Roman" w:hAnsi="Arial Narrow" w:cs="Times New Roman"/>
                <w:color w:val="000000" w:themeColor="text1"/>
                <w:szCs w:val="20"/>
              </w:rPr>
              <w:t>Coleman 2019</w:t>
            </w:r>
          </w:p>
        </w:tc>
        <w:tc>
          <w:tcPr>
            <w:tcW w:w="255" w:type="pct"/>
            <w:tcBorders>
              <w:top w:val="single" w:sz="4" w:space="0" w:color="auto"/>
              <w:left w:val="single" w:sz="4" w:space="0" w:color="auto"/>
              <w:bottom w:val="single" w:sz="4" w:space="0" w:color="auto"/>
              <w:right w:val="single" w:sz="4" w:space="0" w:color="auto"/>
            </w:tcBorders>
            <w:vAlign w:val="center"/>
            <w:hideMark/>
          </w:tcPr>
          <w:p w14:paraId="2341A202"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1140</w:t>
            </w:r>
          </w:p>
        </w:tc>
        <w:tc>
          <w:tcPr>
            <w:tcW w:w="844" w:type="pct"/>
            <w:tcBorders>
              <w:top w:val="single" w:sz="4" w:space="0" w:color="auto"/>
              <w:left w:val="single" w:sz="4" w:space="0" w:color="auto"/>
              <w:bottom w:val="single" w:sz="4" w:space="0" w:color="auto"/>
              <w:right w:val="single" w:sz="4" w:space="0" w:color="auto"/>
            </w:tcBorders>
            <w:vAlign w:val="center"/>
            <w:hideMark/>
          </w:tcPr>
          <w:p w14:paraId="27F0F734"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Randomised, double-blind, placebo-controlled phase 3 trial</w:t>
            </w:r>
          </w:p>
        </w:tc>
        <w:tc>
          <w:tcPr>
            <w:tcW w:w="959" w:type="pct"/>
            <w:tcBorders>
              <w:top w:val="single" w:sz="4" w:space="0" w:color="auto"/>
              <w:left w:val="single" w:sz="4" w:space="0" w:color="auto"/>
              <w:bottom w:val="single" w:sz="4" w:space="0" w:color="auto"/>
              <w:right w:val="single" w:sz="4" w:space="0" w:color="auto"/>
            </w:tcBorders>
            <w:vAlign w:val="center"/>
            <w:hideMark/>
          </w:tcPr>
          <w:p w14:paraId="62483C83"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202 sites in 10 countries</w:t>
            </w:r>
          </w:p>
        </w:tc>
        <w:tc>
          <w:tcPr>
            <w:tcW w:w="502" w:type="pct"/>
            <w:tcBorders>
              <w:top w:val="single" w:sz="4" w:space="0" w:color="auto"/>
              <w:left w:val="single" w:sz="4" w:space="0" w:color="auto"/>
              <w:bottom w:val="single" w:sz="4" w:space="0" w:color="auto"/>
              <w:right w:val="single" w:sz="4" w:space="0" w:color="auto"/>
            </w:tcBorders>
            <w:vAlign w:val="center"/>
            <w:hideMark/>
          </w:tcPr>
          <w:p w14:paraId="08465764"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Veliparib vs placebo</w:t>
            </w:r>
          </w:p>
        </w:tc>
        <w:tc>
          <w:tcPr>
            <w:tcW w:w="336" w:type="pct"/>
            <w:tcBorders>
              <w:top w:val="single" w:sz="4" w:space="0" w:color="auto"/>
              <w:left w:val="single" w:sz="4" w:space="0" w:color="auto"/>
              <w:bottom w:val="single" w:sz="4" w:space="0" w:color="auto"/>
              <w:right w:val="single" w:sz="4" w:space="0" w:color="auto"/>
            </w:tcBorders>
            <w:vAlign w:val="center"/>
            <w:hideMark/>
          </w:tcPr>
          <w:p w14:paraId="0D935D17"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First</w:t>
            </w:r>
          </w:p>
        </w:tc>
        <w:tc>
          <w:tcPr>
            <w:tcW w:w="923" w:type="pct"/>
            <w:tcBorders>
              <w:top w:val="single" w:sz="4" w:space="0" w:color="auto"/>
              <w:left w:val="single" w:sz="4" w:space="0" w:color="auto"/>
              <w:bottom w:val="single" w:sz="4" w:space="0" w:color="auto"/>
              <w:right w:val="single" w:sz="4" w:space="0" w:color="auto"/>
            </w:tcBorders>
            <w:vAlign w:val="center"/>
            <w:hideMark/>
          </w:tcPr>
          <w:p w14:paraId="6966F2F3"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Newly diagnosed, high-grade serous or endometrioid ovarian cancer, FIGO stage III or IV</w:t>
            </w:r>
          </w:p>
        </w:tc>
        <w:tc>
          <w:tcPr>
            <w:tcW w:w="674" w:type="pct"/>
            <w:tcBorders>
              <w:top w:val="single" w:sz="4" w:space="0" w:color="auto"/>
              <w:left w:val="single" w:sz="4" w:space="0" w:color="auto"/>
              <w:bottom w:val="single" w:sz="4" w:space="0" w:color="auto"/>
              <w:right w:val="single" w:sz="4" w:space="0" w:color="auto"/>
            </w:tcBorders>
            <w:vAlign w:val="center"/>
            <w:hideMark/>
          </w:tcPr>
          <w:p w14:paraId="2D834BF0"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Investigator-assessed PFS in the intervention throughout group compared to control group</w:t>
            </w:r>
          </w:p>
        </w:tc>
      </w:tr>
      <w:tr w:rsidR="000C4977" w:rsidRPr="000C4977" w14:paraId="38BE6880" w14:textId="77777777" w:rsidTr="00A91280">
        <w:trPr>
          <w:cantSplit/>
        </w:trPr>
        <w:tc>
          <w:tcPr>
            <w:cnfStyle w:val="001000000000" w:firstRow="0" w:lastRow="0" w:firstColumn="1" w:lastColumn="0" w:oddVBand="0" w:evenVBand="0" w:oddHBand="0" w:evenHBand="0" w:firstRowFirstColumn="0" w:firstRowLastColumn="0" w:lastRowFirstColumn="0" w:lastRowLastColumn="0"/>
            <w:tcW w:w="507" w:type="pct"/>
            <w:tcBorders>
              <w:top w:val="single" w:sz="4" w:space="0" w:color="auto"/>
              <w:left w:val="single" w:sz="4" w:space="0" w:color="auto"/>
              <w:bottom w:val="single" w:sz="4" w:space="0" w:color="auto"/>
              <w:right w:val="single" w:sz="4" w:space="0" w:color="auto"/>
            </w:tcBorders>
            <w:vAlign w:val="center"/>
            <w:hideMark/>
          </w:tcPr>
          <w:p w14:paraId="5ABA88E9" w14:textId="77777777" w:rsidR="000C4977" w:rsidRPr="00C336A0" w:rsidRDefault="000C4977" w:rsidP="000C4977">
            <w:pPr>
              <w:keepNext/>
              <w:widowControl w:val="0"/>
              <w:spacing w:before="0"/>
              <w:jc w:val="left"/>
              <w:rPr>
                <w:rFonts w:ascii="Arial Narrow" w:eastAsia="Times New Roman" w:hAnsi="Arial Narrow" w:cs="Times New Roman"/>
                <w:color w:val="000000" w:themeColor="text1"/>
                <w:szCs w:val="20"/>
              </w:rPr>
            </w:pPr>
            <w:r w:rsidRPr="00C336A0">
              <w:rPr>
                <w:rFonts w:ascii="Arial Narrow" w:eastAsia="Times New Roman" w:hAnsi="Arial Narrow" w:cs="Times New Roman"/>
                <w:color w:val="000000" w:themeColor="text1"/>
                <w:szCs w:val="20"/>
              </w:rPr>
              <w:t>González-Martín 2019</w:t>
            </w:r>
          </w:p>
        </w:tc>
        <w:tc>
          <w:tcPr>
            <w:tcW w:w="255" w:type="pct"/>
            <w:tcBorders>
              <w:top w:val="single" w:sz="4" w:space="0" w:color="auto"/>
              <w:left w:val="single" w:sz="4" w:space="0" w:color="auto"/>
              <w:bottom w:val="single" w:sz="4" w:space="0" w:color="auto"/>
              <w:right w:val="single" w:sz="4" w:space="0" w:color="auto"/>
            </w:tcBorders>
            <w:vAlign w:val="center"/>
            <w:hideMark/>
          </w:tcPr>
          <w:p w14:paraId="412342E3"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733</w:t>
            </w:r>
          </w:p>
        </w:tc>
        <w:tc>
          <w:tcPr>
            <w:tcW w:w="844" w:type="pct"/>
            <w:tcBorders>
              <w:top w:val="single" w:sz="4" w:space="0" w:color="auto"/>
              <w:left w:val="single" w:sz="4" w:space="0" w:color="auto"/>
              <w:bottom w:val="single" w:sz="4" w:space="0" w:color="auto"/>
              <w:right w:val="single" w:sz="4" w:space="0" w:color="auto"/>
            </w:tcBorders>
            <w:vAlign w:val="center"/>
            <w:hideMark/>
          </w:tcPr>
          <w:p w14:paraId="00C9DC0E"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Randomised, double-blind, placebo-controlled phase 3 trial</w:t>
            </w:r>
          </w:p>
        </w:tc>
        <w:tc>
          <w:tcPr>
            <w:tcW w:w="959" w:type="pct"/>
            <w:tcBorders>
              <w:top w:val="single" w:sz="4" w:space="0" w:color="auto"/>
              <w:left w:val="single" w:sz="4" w:space="0" w:color="auto"/>
              <w:bottom w:val="single" w:sz="4" w:space="0" w:color="auto"/>
              <w:right w:val="single" w:sz="4" w:space="0" w:color="auto"/>
            </w:tcBorders>
            <w:vAlign w:val="center"/>
            <w:hideMark/>
          </w:tcPr>
          <w:p w14:paraId="5B0BB38A"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20 countries at 181 clinical sites in the US, Canada, Spain, Belgium, Italy, France, Denmark, Germany, UK, Israel, Finland, Switzerland, Ireland, Sweden, Norway, Russia, Ukraine, Czechia, Poland, Hungary</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F3A6A6"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Niraparib vs placebo</w:t>
            </w:r>
          </w:p>
        </w:tc>
        <w:tc>
          <w:tcPr>
            <w:tcW w:w="336" w:type="pct"/>
            <w:tcBorders>
              <w:top w:val="single" w:sz="4" w:space="0" w:color="auto"/>
              <w:left w:val="single" w:sz="4" w:space="0" w:color="auto"/>
              <w:bottom w:val="single" w:sz="4" w:space="0" w:color="auto"/>
              <w:right w:val="single" w:sz="4" w:space="0" w:color="auto"/>
            </w:tcBorders>
            <w:vAlign w:val="center"/>
            <w:hideMark/>
          </w:tcPr>
          <w:p w14:paraId="204D1ABA"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First</w:t>
            </w:r>
          </w:p>
        </w:tc>
        <w:tc>
          <w:tcPr>
            <w:tcW w:w="923" w:type="pct"/>
            <w:tcBorders>
              <w:top w:val="single" w:sz="4" w:space="0" w:color="auto"/>
              <w:left w:val="single" w:sz="4" w:space="0" w:color="auto"/>
              <w:bottom w:val="single" w:sz="4" w:space="0" w:color="auto"/>
              <w:right w:val="single" w:sz="4" w:space="0" w:color="auto"/>
            </w:tcBorders>
            <w:vAlign w:val="center"/>
            <w:hideMark/>
          </w:tcPr>
          <w:p w14:paraId="4907251D"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Newly diagnosed, high-grade serous or endometrioid ovarian cancer, FIGO stage III or IV</w:t>
            </w:r>
          </w:p>
        </w:tc>
        <w:tc>
          <w:tcPr>
            <w:tcW w:w="674" w:type="pct"/>
            <w:tcBorders>
              <w:top w:val="single" w:sz="4" w:space="0" w:color="auto"/>
              <w:left w:val="single" w:sz="4" w:space="0" w:color="auto"/>
              <w:bottom w:val="single" w:sz="4" w:space="0" w:color="auto"/>
              <w:right w:val="single" w:sz="4" w:space="0" w:color="auto"/>
            </w:tcBorders>
            <w:vAlign w:val="center"/>
            <w:hideMark/>
          </w:tcPr>
          <w:p w14:paraId="3227B7AE" w14:textId="77777777" w:rsidR="000C4977" w:rsidRPr="000C4977"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C4977">
              <w:rPr>
                <w:rFonts w:ascii="Arial Narrow" w:eastAsia="Times New Roman" w:hAnsi="Arial Narrow" w:cs="Arial"/>
                <w:color w:val="000000" w:themeColor="text1"/>
                <w:sz w:val="20"/>
                <w:szCs w:val="20"/>
              </w:rPr>
              <w:t>PFS in patients with HRD tumours and in the overall population</w:t>
            </w:r>
          </w:p>
        </w:tc>
      </w:tr>
    </w:tbl>
    <w:p w14:paraId="7BBBCB9D" w14:textId="28E4D9CE" w:rsidR="000C4977" w:rsidRPr="000C4977" w:rsidRDefault="000C4977" w:rsidP="00FC3969">
      <w:pPr>
        <w:keepNext/>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 xml:space="preserve">Abbreviations: </w:t>
      </w:r>
      <w:proofErr w:type="spellStart"/>
      <w:r w:rsidRPr="000C4977">
        <w:rPr>
          <w:rFonts w:ascii="Arial Narrow" w:eastAsia="Times New Roman" w:hAnsi="Arial Narrow" w:cs="Arial"/>
          <w:snapToGrid w:val="0"/>
          <w:sz w:val="18"/>
          <w:szCs w:val="20"/>
          <w:lang w:eastAsia="zh-CN"/>
        </w:rPr>
        <w:t>Beva</w:t>
      </w:r>
      <w:proofErr w:type="spellEnd"/>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bevacizumab; FIGO</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International Federation of Gynaecology and Obstetrics; HRD</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homologous recombination deficiency; Ola</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w:t>
      </w:r>
      <w:proofErr w:type="spellStart"/>
      <w:r w:rsidRPr="000C4977">
        <w:rPr>
          <w:rFonts w:ascii="Arial Narrow" w:eastAsia="Times New Roman" w:hAnsi="Arial Narrow" w:cs="Arial"/>
          <w:snapToGrid w:val="0"/>
          <w:sz w:val="18"/>
          <w:szCs w:val="20"/>
          <w:lang w:eastAsia="zh-CN"/>
        </w:rPr>
        <w:t>olaparib</w:t>
      </w:r>
      <w:proofErr w:type="spellEnd"/>
      <w:r w:rsidRPr="000C4977">
        <w:rPr>
          <w:rFonts w:ascii="Arial Narrow" w:eastAsia="Times New Roman" w:hAnsi="Arial Narrow" w:cs="Arial"/>
          <w:snapToGrid w:val="0"/>
          <w:sz w:val="18"/>
          <w:szCs w:val="20"/>
          <w:lang w:eastAsia="zh-CN"/>
        </w:rPr>
        <w:t xml:space="preserve">; </w:t>
      </w:r>
      <w:proofErr w:type="spellStart"/>
      <w:r w:rsidRPr="000C4977">
        <w:rPr>
          <w:rFonts w:ascii="Arial Narrow" w:eastAsia="Times New Roman" w:hAnsi="Arial Narrow" w:cs="Arial"/>
          <w:snapToGrid w:val="0"/>
          <w:sz w:val="18"/>
          <w:szCs w:val="20"/>
          <w:lang w:eastAsia="zh-CN"/>
        </w:rPr>
        <w:t>Pbo</w:t>
      </w:r>
      <w:proofErr w:type="spellEnd"/>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placebo; PFS</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progression-free survival; UK</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United Kingdom; US</w:t>
      </w:r>
      <w:r w:rsidR="00D9058D">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United States</w:t>
      </w:r>
    </w:p>
    <w:p w14:paraId="6E7F536C"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2.48, p114 of the submission</w:t>
      </w:r>
    </w:p>
    <w:p w14:paraId="25B04D26"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lang w:eastAsia="zh-CN"/>
        </w:rPr>
      </w:pPr>
    </w:p>
    <w:p w14:paraId="778C6878" w14:textId="77777777" w:rsidR="000C4977" w:rsidRPr="000C4977" w:rsidRDefault="000C4977" w:rsidP="000C4977">
      <w:pPr>
        <w:spacing w:before="0" w:after="0"/>
        <w:jc w:val="left"/>
        <w:sectPr w:rsidR="000C4977" w:rsidRPr="000C4977">
          <w:pgSz w:w="16838" w:h="11906" w:orient="landscape"/>
          <w:pgMar w:top="1440" w:right="1440" w:bottom="1440" w:left="1440" w:header="708" w:footer="708" w:gutter="0"/>
          <w:cols w:space="720"/>
        </w:sectPr>
      </w:pPr>
    </w:p>
    <w:p w14:paraId="6090B03D" w14:textId="164F5FE0" w:rsidR="000C4977" w:rsidRPr="000C4977" w:rsidRDefault="000C4977" w:rsidP="000C4977">
      <w:pPr>
        <w:spacing w:line="259" w:lineRule="auto"/>
        <w:jc w:val="left"/>
      </w:pPr>
      <w:r w:rsidRPr="000C4977">
        <w:lastRenderedPageBreak/>
        <w:t xml:space="preserve">The test and definitions used to determine whether patients were HRD positive varied between the longitudinal accuracy studies, as presented in </w:t>
      </w:r>
      <w:r w:rsidR="009440A6">
        <w:fldChar w:fldCharType="begin"/>
      </w:r>
      <w:r w:rsidR="009440A6">
        <w:instrText xml:space="preserve"> REF _Ref111818232 \h </w:instrText>
      </w:r>
      <w:r w:rsidR="009440A6">
        <w:fldChar w:fldCharType="separate"/>
      </w:r>
      <w:r w:rsidR="00D8603B">
        <w:t xml:space="preserve">Table </w:t>
      </w:r>
      <w:r w:rsidR="00D8603B">
        <w:rPr>
          <w:noProof/>
        </w:rPr>
        <w:t>15</w:t>
      </w:r>
      <w:r w:rsidR="009440A6">
        <w:fldChar w:fldCharType="end"/>
      </w:r>
      <w:r w:rsidRPr="000C4977">
        <w:t>.</w:t>
      </w:r>
    </w:p>
    <w:p w14:paraId="2DBD25C9" w14:textId="3FCCB41B" w:rsidR="009440A6" w:rsidRDefault="009440A6" w:rsidP="009440A6">
      <w:pPr>
        <w:pStyle w:val="Caption"/>
      </w:pPr>
      <w:bookmarkStart w:id="50" w:name="_Ref111818232"/>
      <w:r>
        <w:t xml:space="preserve">Table </w:t>
      </w:r>
      <w:fldSimple w:instr=" SEQ Table \* ARABIC ">
        <w:r w:rsidR="00D8603B">
          <w:rPr>
            <w:noProof/>
          </w:rPr>
          <w:t>15</w:t>
        </w:r>
      </w:fldSimple>
      <w:bookmarkEnd w:id="50"/>
      <w:r w:rsidR="00BE0DF9">
        <w:rPr>
          <w:noProof/>
        </w:rPr>
        <w:tab/>
      </w:r>
      <w:r w:rsidRPr="009440A6">
        <w:rPr>
          <w:bCs/>
          <w:iCs w:val="0"/>
        </w:rPr>
        <w:t>GIS thresholds used in longitudinal accuracy studies</w:t>
      </w:r>
    </w:p>
    <w:tbl>
      <w:tblPr>
        <w:tblStyle w:val="AZTable11"/>
        <w:tblW w:w="5000" w:type="pct"/>
        <w:tblLook w:val="04A0" w:firstRow="1" w:lastRow="0" w:firstColumn="1" w:lastColumn="0" w:noHBand="0" w:noVBand="1"/>
      </w:tblPr>
      <w:tblGrid>
        <w:gridCol w:w="1129"/>
        <w:gridCol w:w="1985"/>
        <w:gridCol w:w="1984"/>
        <w:gridCol w:w="3918"/>
      </w:tblGrid>
      <w:tr w:rsidR="000C4977" w:rsidRPr="009440A6" w14:paraId="16AC84BF" w14:textId="77777777" w:rsidTr="00FF1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2B7BAE53" w14:textId="48C3BDB6" w:rsidR="000C4977" w:rsidRPr="009440A6" w:rsidRDefault="000C4977" w:rsidP="000C4977">
            <w:pPr>
              <w:keepNext/>
              <w:widowControl w:val="0"/>
              <w:spacing w:before="0"/>
              <w:jc w:val="center"/>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Study ID</w:t>
            </w:r>
          </w:p>
        </w:tc>
        <w:tc>
          <w:tcPr>
            <w:tcW w:w="1101" w:type="pct"/>
            <w:tcBorders>
              <w:top w:val="single" w:sz="4" w:space="0" w:color="auto"/>
              <w:left w:val="single" w:sz="4" w:space="0" w:color="auto"/>
              <w:bottom w:val="single" w:sz="4" w:space="0" w:color="auto"/>
              <w:right w:val="single" w:sz="4" w:space="0" w:color="auto"/>
            </w:tcBorders>
            <w:hideMark/>
          </w:tcPr>
          <w:p w14:paraId="42DB7D72" w14:textId="77777777" w:rsidR="000C4977" w:rsidRPr="009440A6"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test</w:t>
            </w:r>
          </w:p>
        </w:tc>
        <w:tc>
          <w:tcPr>
            <w:tcW w:w="1100" w:type="pct"/>
            <w:tcBorders>
              <w:top w:val="single" w:sz="4" w:space="0" w:color="auto"/>
              <w:left w:val="single" w:sz="4" w:space="0" w:color="auto"/>
              <w:bottom w:val="single" w:sz="4" w:space="0" w:color="auto"/>
              <w:right w:val="single" w:sz="4" w:space="0" w:color="auto"/>
            </w:tcBorders>
            <w:hideMark/>
          </w:tcPr>
          <w:p w14:paraId="79684957" w14:textId="77777777" w:rsidR="000C4977" w:rsidRPr="009440A6" w:rsidRDefault="000C4977" w:rsidP="00FF1136">
            <w:pPr>
              <w:keepNext/>
              <w:widowControl w:val="0"/>
              <w:spacing w:before="0"/>
              <w:ind w:left="-105" w:right="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positive threshold</w:t>
            </w:r>
          </w:p>
        </w:tc>
        <w:tc>
          <w:tcPr>
            <w:tcW w:w="2173" w:type="pct"/>
            <w:tcBorders>
              <w:top w:val="single" w:sz="4" w:space="0" w:color="auto"/>
              <w:left w:val="single" w:sz="4" w:space="0" w:color="auto"/>
              <w:bottom w:val="single" w:sz="4" w:space="0" w:color="auto"/>
              <w:right w:val="single" w:sz="4" w:space="0" w:color="auto"/>
            </w:tcBorders>
            <w:hideMark/>
          </w:tcPr>
          <w:p w14:paraId="30D28106" w14:textId="77777777" w:rsidR="000C4977" w:rsidRPr="009440A6"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Rationale</w:t>
            </w:r>
          </w:p>
        </w:tc>
      </w:tr>
      <w:tr w:rsidR="000C4977" w:rsidRPr="009440A6" w14:paraId="69B8BAD6" w14:textId="77777777" w:rsidTr="00FF1136">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vAlign w:val="center"/>
            <w:hideMark/>
          </w:tcPr>
          <w:p w14:paraId="736D4463" w14:textId="77777777" w:rsidR="000C4977" w:rsidRPr="009440A6"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PAOLA-1</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1E5823A"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 xml:space="preserve">Myriad </w:t>
            </w:r>
            <w:proofErr w:type="spellStart"/>
            <w:r w:rsidRPr="009440A6">
              <w:rPr>
                <w:rFonts w:ascii="Arial Narrow" w:eastAsia="Times New Roman" w:hAnsi="Arial Narrow" w:cs="Times New Roman"/>
                <w:color w:val="000000" w:themeColor="text1"/>
                <w:sz w:val="20"/>
                <w:szCs w:val="20"/>
                <w:lang w:eastAsia="zh-CN"/>
              </w:rPr>
              <w:t>myChoice</w:t>
            </w:r>
            <w:proofErr w:type="spellEnd"/>
            <w:r w:rsidRPr="009440A6">
              <w:rPr>
                <w:rFonts w:ascii="Arial Narrow" w:eastAsia="Times New Roman" w:hAnsi="Arial Narrow" w:cs="Times New Roman"/>
                <w:color w:val="000000" w:themeColor="text1"/>
                <w:sz w:val="20"/>
                <w:szCs w:val="20"/>
                <w:lang w:eastAsia="zh-CN"/>
              </w:rPr>
              <w:t xml:space="preserve"> HRD Plus / </w:t>
            </w:r>
            <w:proofErr w:type="spellStart"/>
            <w:r w:rsidRPr="009440A6">
              <w:rPr>
                <w:rFonts w:ascii="Arial Narrow" w:eastAsia="Times New Roman" w:hAnsi="Arial Narrow" w:cs="Times New Roman"/>
                <w:color w:val="000000" w:themeColor="text1"/>
                <w:sz w:val="20"/>
                <w:szCs w:val="20"/>
                <w:lang w:eastAsia="zh-CN"/>
              </w:rPr>
              <w:t>myChoice</w:t>
            </w:r>
            <w:proofErr w:type="spellEnd"/>
            <w:r w:rsidRPr="009440A6">
              <w:rPr>
                <w:rFonts w:ascii="Arial Narrow" w:eastAsia="Times New Roman" w:hAnsi="Arial Narrow" w:cs="Times New Roman"/>
                <w:color w:val="000000" w:themeColor="text1"/>
                <w:sz w:val="20"/>
                <w:szCs w:val="20"/>
                <w:lang w:eastAsia="zh-CN"/>
              </w:rPr>
              <w:t xml:space="preserve"> </w:t>
            </w:r>
            <w:proofErr w:type="spellStart"/>
            <w:r w:rsidRPr="009440A6">
              <w:rPr>
                <w:rFonts w:ascii="Arial Narrow" w:eastAsia="Times New Roman" w:hAnsi="Arial Narrow" w:cs="Times New Roman"/>
                <w:color w:val="000000" w:themeColor="text1"/>
                <w:sz w:val="20"/>
                <w:szCs w:val="20"/>
                <w:lang w:eastAsia="zh-CN"/>
              </w:rPr>
              <w:t>CDx</w:t>
            </w:r>
            <w:proofErr w:type="spellEnd"/>
          </w:p>
        </w:tc>
        <w:tc>
          <w:tcPr>
            <w:tcW w:w="1100" w:type="pct"/>
            <w:tcBorders>
              <w:top w:val="single" w:sz="4" w:space="0" w:color="auto"/>
              <w:left w:val="single" w:sz="4" w:space="0" w:color="auto"/>
              <w:bottom w:val="single" w:sz="4" w:space="0" w:color="auto"/>
              <w:right w:val="single" w:sz="4" w:space="0" w:color="auto"/>
            </w:tcBorders>
            <w:vAlign w:val="center"/>
            <w:hideMark/>
          </w:tcPr>
          <w:p w14:paraId="1CC1B314"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≥42 and ≥33</w:t>
            </w:r>
          </w:p>
        </w:tc>
        <w:tc>
          <w:tcPr>
            <w:tcW w:w="2173" w:type="pct"/>
            <w:tcBorders>
              <w:top w:val="single" w:sz="4" w:space="0" w:color="auto"/>
              <w:left w:val="single" w:sz="4" w:space="0" w:color="auto"/>
              <w:bottom w:val="single" w:sz="4" w:space="0" w:color="auto"/>
              <w:right w:val="single" w:sz="4" w:space="0" w:color="auto"/>
            </w:tcBorders>
            <w:vAlign w:val="center"/>
            <w:hideMark/>
          </w:tcPr>
          <w:p w14:paraId="4DFFCF18"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Based on Myriad recommended threshold</w:t>
            </w:r>
          </w:p>
        </w:tc>
      </w:tr>
      <w:tr w:rsidR="000C4977" w:rsidRPr="009440A6" w14:paraId="6CCCE1B5" w14:textId="77777777" w:rsidTr="00FF1136">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vAlign w:val="center"/>
            <w:hideMark/>
          </w:tcPr>
          <w:p w14:paraId="6EE48BE4" w14:textId="77777777" w:rsidR="000C4977" w:rsidRPr="009440A6"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Coleman 2017</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0D79619"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Foundation Medicine T5 NGS assay</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9A6290D"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≥16%</w:t>
            </w:r>
          </w:p>
        </w:tc>
        <w:tc>
          <w:tcPr>
            <w:tcW w:w="2173" w:type="pct"/>
            <w:tcBorders>
              <w:top w:val="single" w:sz="4" w:space="0" w:color="auto"/>
              <w:left w:val="single" w:sz="4" w:space="0" w:color="auto"/>
              <w:bottom w:val="single" w:sz="4" w:space="0" w:color="auto"/>
              <w:right w:val="single" w:sz="4" w:space="0" w:color="auto"/>
            </w:tcBorders>
            <w:vAlign w:val="center"/>
            <w:hideMark/>
          </w:tcPr>
          <w:p w14:paraId="7681CE1B"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 xml:space="preserve">Based on retrospective analysis of data from ARIEL2 Part 1, which applied a cut-off value of 14% (Coleman 2016) </w:t>
            </w:r>
          </w:p>
        </w:tc>
      </w:tr>
      <w:tr w:rsidR="000C4977" w:rsidRPr="009440A6" w14:paraId="56674178" w14:textId="77777777" w:rsidTr="00FF1136">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vAlign w:val="center"/>
            <w:hideMark/>
          </w:tcPr>
          <w:p w14:paraId="0AFBDF5C" w14:textId="77777777" w:rsidR="000C4977" w:rsidRPr="009440A6"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Coleman 2019</w:t>
            </w:r>
          </w:p>
        </w:tc>
        <w:tc>
          <w:tcPr>
            <w:tcW w:w="1101" w:type="pct"/>
            <w:tcBorders>
              <w:top w:val="single" w:sz="4" w:space="0" w:color="auto"/>
              <w:left w:val="single" w:sz="4" w:space="0" w:color="auto"/>
              <w:bottom w:val="single" w:sz="4" w:space="0" w:color="auto"/>
              <w:right w:val="single" w:sz="4" w:space="0" w:color="auto"/>
            </w:tcBorders>
            <w:vAlign w:val="center"/>
            <w:hideMark/>
          </w:tcPr>
          <w:p w14:paraId="7BB4709C"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 xml:space="preserve">“Myriad </w:t>
            </w:r>
            <w:proofErr w:type="spellStart"/>
            <w:r w:rsidRPr="009440A6">
              <w:rPr>
                <w:rFonts w:ascii="Arial Narrow" w:eastAsia="Times New Roman" w:hAnsi="Arial Narrow" w:cs="Times New Roman"/>
                <w:color w:val="000000" w:themeColor="text1"/>
                <w:sz w:val="20"/>
                <w:szCs w:val="20"/>
                <w:lang w:eastAsia="zh-CN"/>
              </w:rPr>
              <w:t>myChoice</w:t>
            </w:r>
            <w:proofErr w:type="spellEnd"/>
            <w:r w:rsidRPr="009440A6">
              <w:rPr>
                <w:rFonts w:ascii="Arial Narrow" w:eastAsia="Times New Roman" w:hAnsi="Arial Narrow" w:cs="Times New Roman"/>
                <w:color w:val="000000" w:themeColor="text1"/>
                <w:sz w:val="20"/>
                <w:szCs w:val="20"/>
                <w:lang w:eastAsia="zh-CN"/>
              </w:rPr>
              <w:t xml:space="preserve"> HRD </w:t>
            </w:r>
            <w:proofErr w:type="spellStart"/>
            <w:r w:rsidRPr="009440A6">
              <w:rPr>
                <w:rFonts w:ascii="Arial Narrow" w:eastAsia="Times New Roman" w:hAnsi="Arial Narrow" w:cs="Times New Roman"/>
                <w:color w:val="000000" w:themeColor="text1"/>
                <w:sz w:val="20"/>
                <w:szCs w:val="20"/>
                <w:lang w:eastAsia="zh-CN"/>
              </w:rPr>
              <w:t>CDx</w:t>
            </w:r>
            <w:proofErr w:type="spellEnd"/>
            <w:r w:rsidRPr="009440A6">
              <w:rPr>
                <w:rFonts w:ascii="Arial Narrow" w:eastAsia="Times New Roman" w:hAnsi="Arial Narrow" w:cs="Times New Roman"/>
                <w:color w:val="000000" w:themeColor="text1"/>
                <w:sz w:val="20"/>
                <w:szCs w:val="20"/>
                <w:lang w:eastAsia="zh-CN"/>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5451069C"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≥33</w:t>
            </w:r>
          </w:p>
        </w:tc>
        <w:tc>
          <w:tcPr>
            <w:tcW w:w="2173" w:type="pct"/>
            <w:tcBorders>
              <w:top w:val="single" w:sz="4" w:space="0" w:color="auto"/>
              <w:left w:val="single" w:sz="4" w:space="0" w:color="auto"/>
              <w:bottom w:val="single" w:sz="4" w:space="0" w:color="auto"/>
              <w:right w:val="single" w:sz="4" w:space="0" w:color="auto"/>
            </w:tcBorders>
            <w:vAlign w:val="center"/>
            <w:hideMark/>
          </w:tcPr>
          <w:p w14:paraId="437764EA"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Applying a lower threshold increases the sensitivity of detecting a response to PARP inhibitor</w:t>
            </w:r>
          </w:p>
        </w:tc>
      </w:tr>
      <w:tr w:rsidR="000C4977" w:rsidRPr="009440A6" w14:paraId="6391A59F" w14:textId="77777777" w:rsidTr="00FF1136">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vAlign w:val="center"/>
            <w:hideMark/>
          </w:tcPr>
          <w:p w14:paraId="524777FA" w14:textId="77777777" w:rsidR="000C4977" w:rsidRPr="009440A6"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González-Martín 2019</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AD2946E"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 xml:space="preserve">“Myriad </w:t>
            </w:r>
            <w:proofErr w:type="spellStart"/>
            <w:r w:rsidRPr="009440A6">
              <w:rPr>
                <w:rFonts w:ascii="Arial Narrow" w:eastAsia="Times New Roman" w:hAnsi="Arial Narrow" w:cs="Times New Roman"/>
                <w:color w:val="000000" w:themeColor="text1"/>
                <w:sz w:val="20"/>
                <w:szCs w:val="20"/>
              </w:rPr>
              <w:t>myChoice</w:t>
            </w:r>
            <w:proofErr w:type="spellEnd"/>
            <w:r w:rsidRPr="009440A6">
              <w:rPr>
                <w:rFonts w:ascii="Arial Narrow" w:eastAsia="Times New Roman" w:hAnsi="Arial Narrow" w:cs="Times New Roman"/>
                <w:color w:val="000000" w:themeColor="text1"/>
                <w:sz w:val="20"/>
                <w:szCs w:val="20"/>
              </w:rPr>
              <w:t>, HRD test”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1B94F4F0"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≥42</w:t>
            </w:r>
          </w:p>
        </w:tc>
        <w:tc>
          <w:tcPr>
            <w:tcW w:w="2173" w:type="pct"/>
            <w:tcBorders>
              <w:top w:val="single" w:sz="4" w:space="0" w:color="auto"/>
              <w:left w:val="single" w:sz="4" w:space="0" w:color="auto"/>
              <w:bottom w:val="single" w:sz="4" w:space="0" w:color="auto"/>
              <w:right w:val="single" w:sz="4" w:space="0" w:color="auto"/>
            </w:tcBorders>
            <w:vAlign w:val="center"/>
            <w:hideMark/>
          </w:tcPr>
          <w:p w14:paraId="3C855EC6" w14:textId="77777777" w:rsidR="000C4977" w:rsidRPr="009440A6"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Based on Myriad recommended threshold</w:t>
            </w:r>
          </w:p>
        </w:tc>
      </w:tr>
    </w:tbl>
    <w:p w14:paraId="658BC0D7"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HRD = homologous recombination deficiency; PARP = poly (ADP-ribose) polymerase</w:t>
      </w:r>
    </w:p>
    <w:p w14:paraId="3D71F084"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2.52, p119 of the submission</w:t>
      </w:r>
    </w:p>
    <w:p w14:paraId="5724CDD2" w14:textId="5D1BA4DD" w:rsidR="000C4977" w:rsidRPr="000C4977" w:rsidRDefault="000C4977" w:rsidP="000C4977">
      <w:pPr>
        <w:spacing w:line="259" w:lineRule="auto"/>
        <w:jc w:val="left"/>
      </w:pPr>
      <w:r w:rsidRPr="000C4977">
        <w:t xml:space="preserve">As a GIS threshold of 42 from Myriad </w:t>
      </w:r>
      <w:proofErr w:type="spellStart"/>
      <w:r w:rsidRPr="000C4977">
        <w:t>myChoice</w:t>
      </w:r>
      <w:proofErr w:type="spellEnd"/>
      <w:r w:rsidRPr="000C4977">
        <w:t xml:space="preserve"> HRD plus was used in PAOLA-1 in the results relied upon by the submission, it is uncertain whether the results of Coleman 2017,Coleman 2019 or Gonzalez-Martin 2019 would be comparable as they use different HRD positive definitions and/or different HRD tests, though it was noted that PAOLA-1 results using a GIS threshold of 33 (with the Myriad </w:t>
      </w:r>
      <w:proofErr w:type="spellStart"/>
      <w:r w:rsidRPr="000C4977">
        <w:t>myChoice</w:t>
      </w:r>
      <w:proofErr w:type="spellEnd"/>
      <w:r w:rsidRPr="000C4977">
        <w:t xml:space="preserve"> HRD plus assay) and results for HRD positive and HRD negative subgroups using the Myriad </w:t>
      </w:r>
      <w:proofErr w:type="spellStart"/>
      <w:r w:rsidRPr="000C4977">
        <w:t>myChoice</w:t>
      </w:r>
      <w:proofErr w:type="spellEnd"/>
      <w:r w:rsidRPr="000C4977">
        <w:t xml:space="preserve"> </w:t>
      </w:r>
      <w:proofErr w:type="spellStart"/>
      <w:r w:rsidRPr="000C4977">
        <w:t>CDx</w:t>
      </w:r>
      <w:proofErr w:type="spellEnd"/>
      <w:r w:rsidRPr="000C4977">
        <w:t xml:space="preserve"> were also reported. The validation study conducted by </w:t>
      </w:r>
      <w:r w:rsidR="00A8205F" w:rsidRPr="00B97B49">
        <w:rPr>
          <w:color w:val="000000"/>
          <w:spacing w:val="73"/>
          <w:w w:val="81"/>
          <w:shd w:val="solid" w:color="000000" w:fill="000000"/>
          <w:fitText w:val="252" w:id="-1450962165"/>
          <w14:textFill>
            <w14:solidFill>
              <w14:srgbClr w14:val="000000">
                <w14:alpha w14:val="100000"/>
              </w14:srgbClr>
            </w14:solidFill>
          </w14:textFill>
        </w:rPr>
        <w:t>|</w:t>
      </w:r>
      <w:r w:rsidR="00A8205F" w:rsidRPr="00B97B49">
        <w:rPr>
          <w:color w:val="000000"/>
          <w:spacing w:val="1"/>
          <w:w w:val="81"/>
          <w:shd w:val="solid" w:color="000000" w:fill="000000"/>
          <w:fitText w:val="252" w:id="-1450962165"/>
          <w14:textFill>
            <w14:solidFill>
              <w14:srgbClr w14:val="000000">
                <w14:alpha w14:val="100000"/>
              </w14:srgbClr>
            </w14:solidFill>
          </w14:textFill>
        </w:rPr>
        <w:t>|</w:t>
      </w:r>
      <w:r w:rsidRPr="000C4977">
        <w:t xml:space="preserve"> did not include any longitudinal results.</w:t>
      </w:r>
    </w:p>
    <w:p w14:paraId="39F8D146" w14:textId="1C1B4619" w:rsidR="000C4977" w:rsidRPr="000C4977" w:rsidRDefault="009440A6" w:rsidP="000C4977">
      <w:pPr>
        <w:spacing w:line="259" w:lineRule="auto"/>
        <w:jc w:val="left"/>
      </w:pPr>
      <w:r>
        <w:fldChar w:fldCharType="begin"/>
      </w:r>
      <w:r>
        <w:instrText xml:space="preserve"> REF _Ref111818264 \h </w:instrText>
      </w:r>
      <w:r>
        <w:fldChar w:fldCharType="separate"/>
      </w:r>
      <w:r w:rsidR="00D8603B">
        <w:t xml:space="preserve">Table </w:t>
      </w:r>
      <w:r w:rsidR="00D8603B">
        <w:rPr>
          <w:noProof/>
        </w:rPr>
        <w:t>16</w:t>
      </w:r>
      <w:r>
        <w:fldChar w:fldCharType="end"/>
      </w:r>
      <w:r>
        <w:t xml:space="preserve"> </w:t>
      </w:r>
      <w:r w:rsidR="000C4977" w:rsidRPr="000C4977">
        <w:t>provides a summary of the longitudinal accuracy studies.</w:t>
      </w:r>
    </w:p>
    <w:p w14:paraId="1981380F" w14:textId="77777777" w:rsidR="000C4977" w:rsidRPr="000C4977" w:rsidRDefault="000C4977" w:rsidP="000C4977"/>
    <w:p w14:paraId="0D5051D2" w14:textId="77777777" w:rsidR="000C4977" w:rsidRPr="000C4977" w:rsidRDefault="000C4977" w:rsidP="000C4977">
      <w:pPr>
        <w:spacing w:before="0" w:after="0"/>
        <w:jc w:val="left"/>
        <w:rPr>
          <w:rFonts w:ascii="Arial Narrow" w:hAnsi="Arial Narrow"/>
          <w:b/>
          <w:iCs/>
          <w:sz w:val="20"/>
          <w:szCs w:val="18"/>
        </w:rPr>
        <w:sectPr w:rsidR="000C4977" w:rsidRPr="000C4977" w:rsidSect="00A91280">
          <w:pgSz w:w="11906" w:h="16838"/>
          <w:pgMar w:top="1440" w:right="1440" w:bottom="1440" w:left="1440" w:header="708" w:footer="708" w:gutter="0"/>
          <w:cols w:space="720"/>
        </w:sectPr>
      </w:pPr>
    </w:p>
    <w:p w14:paraId="13229396" w14:textId="76ECD696" w:rsidR="009440A6" w:rsidRDefault="009440A6" w:rsidP="009440A6">
      <w:pPr>
        <w:pStyle w:val="Caption"/>
      </w:pPr>
      <w:bookmarkStart w:id="51" w:name="_Ref111818264"/>
      <w:r>
        <w:lastRenderedPageBreak/>
        <w:t xml:space="preserve">Table </w:t>
      </w:r>
      <w:fldSimple w:instr=" SEQ Table \* ARABIC ">
        <w:r w:rsidR="00D8603B">
          <w:rPr>
            <w:noProof/>
          </w:rPr>
          <w:t>16</w:t>
        </w:r>
      </w:fldSimple>
      <w:bookmarkEnd w:id="51"/>
      <w:r w:rsidR="00BE0DF9">
        <w:rPr>
          <w:noProof/>
        </w:rPr>
        <w:tab/>
      </w:r>
      <w:r w:rsidRPr="009440A6">
        <w:rPr>
          <w:bCs/>
          <w:iCs w:val="0"/>
        </w:rPr>
        <w:t>Summary of longitudinal accuracy studies </w:t>
      </w:r>
      <w:r w:rsidRPr="009440A6">
        <w:rPr>
          <w:bCs/>
          <w:iCs w:val="0"/>
          <w:vertAlign w:val="superscript"/>
        </w:rPr>
        <w:t>a</w:t>
      </w:r>
    </w:p>
    <w:tbl>
      <w:tblPr>
        <w:tblStyle w:val="AZTable11"/>
        <w:tblW w:w="5000" w:type="pct"/>
        <w:tblLook w:val="04A0" w:firstRow="1" w:lastRow="0" w:firstColumn="1" w:lastColumn="0" w:noHBand="0" w:noVBand="1"/>
      </w:tblPr>
      <w:tblGrid>
        <w:gridCol w:w="1821"/>
        <w:gridCol w:w="1292"/>
        <w:gridCol w:w="1158"/>
        <w:gridCol w:w="259"/>
        <w:gridCol w:w="1247"/>
        <w:gridCol w:w="851"/>
        <w:gridCol w:w="1679"/>
        <w:gridCol w:w="1130"/>
        <w:gridCol w:w="854"/>
        <w:gridCol w:w="1612"/>
        <w:gridCol w:w="1180"/>
        <w:gridCol w:w="865"/>
      </w:tblGrid>
      <w:tr w:rsidR="000C4977" w:rsidRPr="00870285" w14:paraId="3A20F79A"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gridSpan w:val="2"/>
            <w:tcBorders>
              <w:top w:val="single" w:sz="4" w:space="0" w:color="auto"/>
              <w:left w:val="single" w:sz="4" w:space="0" w:color="auto"/>
              <w:bottom w:val="nil"/>
              <w:right w:val="single" w:sz="4" w:space="0" w:color="auto"/>
            </w:tcBorders>
            <w:hideMark/>
          </w:tcPr>
          <w:p w14:paraId="3A5167E6" w14:textId="77777777" w:rsidR="000C4977" w:rsidRPr="00870285" w:rsidRDefault="000C4977" w:rsidP="000C4977">
            <w:pPr>
              <w:keepNext/>
              <w:spacing w:before="0"/>
              <w:jc w:val="center"/>
              <w:rPr>
                <w:rFonts w:ascii="Arial Narrow" w:eastAsiaTheme="majorEastAsia" w:hAnsi="Arial Narrow" w:cs="Times New Roman"/>
                <w:bCs/>
                <w:szCs w:val="20"/>
                <w:lang w:eastAsia="en-AU"/>
              </w:rPr>
            </w:pPr>
            <w:r w:rsidRPr="00870285">
              <w:rPr>
                <w:rFonts w:ascii="Arial Narrow" w:eastAsiaTheme="majorEastAsia" w:hAnsi="Arial Narrow" w:cs="Times New Roman"/>
                <w:bCs/>
                <w:szCs w:val="20"/>
                <w:lang w:eastAsia="en-AU"/>
              </w:rPr>
              <w:t>Study ID</w:t>
            </w:r>
          </w:p>
        </w:tc>
        <w:tc>
          <w:tcPr>
            <w:tcW w:w="1260" w:type="pct"/>
            <w:gridSpan w:val="4"/>
            <w:tcBorders>
              <w:top w:val="single" w:sz="4" w:space="0" w:color="auto"/>
              <w:left w:val="single" w:sz="4" w:space="0" w:color="auto"/>
              <w:bottom w:val="single" w:sz="4" w:space="0" w:color="auto"/>
              <w:right w:val="single" w:sz="4" w:space="0" w:color="auto"/>
            </w:tcBorders>
            <w:hideMark/>
          </w:tcPr>
          <w:p w14:paraId="600BACE2" w14:textId="77777777" w:rsidR="000C4977" w:rsidRPr="00870285" w:rsidRDefault="000C4977" w:rsidP="000C4977">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imes New Roman"/>
                <w:bCs/>
                <w:szCs w:val="20"/>
                <w:lang w:eastAsia="en-AU"/>
              </w:rPr>
            </w:pPr>
            <w:r w:rsidRPr="00870285">
              <w:rPr>
                <w:rFonts w:ascii="Arial Narrow" w:eastAsiaTheme="majorEastAsia" w:hAnsi="Arial Narrow" w:cs="Times New Roman"/>
                <w:bCs/>
                <w:szCs w:val="20"/>
                <w:lang w:eastAsia="en-AU"/>
              </w:rPr>
              <w:t xml:space="preserve">HRD+ </w:t>
            </w:r>
            <w:proofErr w:type="spellStart"/>
            <w:r w:rsidRPr="00870285">
              <w:rPr>
                <w:rFonts w:ascii="Arial Narrow" w:eastAsiaTheme="majorEastAsia" w:hAnsi="Arial Narrow" w:cs="Times New Roman"/>
                <w:bCs/>
                <w:i/>
                <w:iCs/>
                <w:szCs w:val="20"/>
                <w:lang w:eastAsia="en-AU"/>
              </w:rPr>
              <w:t>BRCA</w:t>
            </w:r>
            <w:r w:rsidRPr="00870285">
              <w:rPr>
                <w:rFonts w:ascii="Arial Narrow" w:eastAsiaTheme="majorEastAsia" w:hAnsi="Arial Narrow" w:cs="Times New Roman"/>
                <w:bCs/>
                <w:szCs w:val="20"/>
                <w:lang w:eastAsia="en-AU"/>
              </w:rPr>
              <w:t>m</w:t>
            </w:r>
            <w:proofErr w:type="spellEnd"/>
          </w:p>
        </w:tc>
        <w:tc>
          <w:tcPr>
            <w:tcW w:w="1313" w:type="pct"/>
            <w:gridSpan w:val="3"/>
            <w:tcBorders>
              <w:top w:val="single" w:sz="4" w:space="0" w:color="auto"/>
              <w:left w:val="single" w:sz="4" w:space="0" w:color="auto"/>
              <w:bottom w:val="single" w:sz="4" w:space="0" w:color="auto"/>
              <w:right w:val="single" w:sz="4" w:space="0" w:color="auto"/>
            </w:tcBorders>
            <w:hideMark/>
          </w:tcPr>
          <w:p w14:paraId="3AF43B22" w14:textId="77777777" w:rsidR="000C4977" w:rsidRPr="00870285" w:rsidRDefault="000C4977" w:rsidP="000C4977">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imes New Roman"/>
                <w:bCs/>
                <w:szCs w:val="20"/>
                <w:lang w:eastAsia="en-AU"/>
              </w:rPr>
            </w:pPr>
            <w:r w:rsidRPr="00870285">
              <w:rPr>
                <w:rFonts w:ascii="Arial Narrow" w:eastAsiaTheme="majorEastAsia" w:hAnsi="Arial Narrow" w:cs="Times New Roman"/>
                <w:bCs/>
                <w:szCs w:val="20"/>
                <w:lang w:eastAsia="en-AU"/>
              </w:rPr>
              <w:t xml:space="preserve">HRD+ </w:t>
            </w:r>
            <w:proofErr w:type="spellStart"/>
            <w:r w:rsidRPr="00870285">
              <w:rPr>
                <w:rFonts w:ascii="Arial Narrow" w:eastAsiaTheme="majorEastAsia" w:hAnsi="Arial Narrow" w:cs="Times New Roman"/>
                <w:bCs/>
                <w:i/>
                <w:iCs/>
                <w:szCs w:val="20"/>
                <w:lang w:eastAsia="en-AU"/>
              </w:rPr>
              <w:t>BRCA</w:t>
            </w:r>
            <w:r w:rsidRPr="00870285">
              <w:rPr>
                <w:rFonts w:ascii="Arial Narrow" w:eastAsiaTheme="majorEastAsia" w:hAnsi="Arial Narrow" w:cs="Times New Roman"/>
                <w:bCs/>
                <w:szCs w:val="20"/>
                <w:lang w:eastAsia="en-AU"/>
              </w:rPr>
              <w:t>wt</w:t>
            </w:r>
            <w:proofErr w:type="spellEnd"/>
          </w:p>
        </w:tc>
        <w:tc>
          <w:tcPr>
            <w:tcW w:w="1311" w:type="pct"/>
            <w:gridSpan w:val="3"/>
            <w:tcBorders>
              <w:top w:val="single" w:sz="4" w:space="0" w:color="auto"/>
              <w:left w:val="single" w:sz="4" w:space="0" w:color="auto"/>
              <w:bottom w:val="single" w:sz="4" w:space="0" w:color="auto"/>
              <w:right w:val="single" w:sz="4" w:space="0" w:color="auto"/>
            </w:tcBorders>
            <w:hideMark/>
          </w:tcPr>
          <w:p w14:paraId="468D69CF" w14:textId="77777777" w:rsidR="000C4977" w:rsidRPr="00870285" w:rsidRDefault="000C4977" w:rsidP="000C4977">
            <w:pPr>
              <w:keepNext/>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imes New Roman"/>
                <w:bCs/>
                <w:szCs w:val="20"/>
                <w:lang w:eastAsia="en-AU"/>
              </w:rPr>
            </w:pPr>
            <w:r w:rsidRPr="00870285">
              <w:rPr>
                <w:rFonts w:ascii="Arial Narrow" w:eastAsiaTheme="majorEastAsia" w:hAnsi="Arial Narrow" w:cs="Times New Roman"/>
                <w:bCs/>
                <w:szCs w:val="20"/>
                <w:lang w:eastAsia="en-AU"/>
              </w:rPr>
              <w:t>HRD-</w:t>
            </w:r>
          </w:p>
        </w:tc>
      </w:tr>
      <w:tr w:rsidR="000C4977" w:rsidRPr="00870285" w14:paraId="70BAB516" w14:textId="77777777" w:rsidTr="00A91280">
        <w:tc>
          <w:tcPr>
            <w:cnfStyle w:val="001000000000" w:firstRow="0" w:lastRow="0" w:firstColumn="1" w:lastColumn="0" w:oddVBand="0" w:evenVBand="0" w:oddHBand="0" w:evenHBand="0" w:firstRowFirstColumn="0" w:firstRowLastColumn="0" w:lastRowFirstColumn="0" w:lastRowLastColumn="0"/>
            <w:tcW w:w="1116" w:type="pct"/>
            <w:gridSpan w:val="2"/>
            <w:tcBorders>
              <w:top w:val="nil"/>
              <w:left w:val="single" w:sz="4" w:space="0" w:color="auto"/>
              <w:bottom w:val="single" w:sz="4" w:space="0" w:color="auto"/>
              <w:right w:val="single" w:sz="4" w:space="0" w:color="auto"/>
            </w:tcBorders>
          </w:tcPr>
          <w:p w14:paraId="1DC79AC6" w14:textId="77777777" w:rsidR="000C4977" w:rsidRPr="00870285" w:rsidRDefault="000C4977" w:rsidP="000C4977">
            <w:pPr>
              <w:keepNext/>
              <w:spacing w:before="0"/>
              <w:jc w:val="center"/>
              <w:rPr>
                <w:rFonts w:ascii="Arial Narrow" w:eastAsiaTheme="majorEastAsia" w:hAnsi="Arial Narrow" w:cs="Times New Roman"/>
                <w:b/>
                <w:szCs w:val="20"/>
                <w:lang w:eastAsia="en-AU"/>
              </w:rPr>
            </w:pPr>
          </w:p>
        </w:tc>
        <w:tc>
          <w:tcPr>
            <w:tcW w:w="508" w:type="pct"/>
            <w:gridSpan w:val="2"/>
            <w:tcBorders>
              <w:top w:val="single" w:sz="4" w:space="0" w:color="auto"/>
              <w:left w:val="single" w:sz="4" w:space="0" w:color="auto"/>
              <w:bottom w:val="single" w:sz="4" w:space="0" w:color="auto"/>
              <w:right w:val="single" w:sz="4" w:space="0" w:color="auto"/>
            </w:tcBorders>
            <w:hideMark/>
          </w:tcPr>
          <w:p w14:paraId="0D8970E1"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PFS, months</w:t>
            </w:r>
          </w:p>
          <w:p w14:paraId="6CBC1E22"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447" w:type="pct"/>
            <w:tcBorders>
              <w:top w:val="single" w:sz="4" w:space="0" w:color="auto"/>
              <w:left w:val="single" w:sz="4" w:space="0" w:color="auto"/>
              <w:bottom w:val="single" w:sz="4" w:space="0" w:color="auto"/>
              <w:right w:val="single" w:sz="4" w:space="0" w:color="auto"/>
            </w:tcBorders>
            <w:hideMark/>
          </w:tcPr>
          <w:p w14:paraId="07DCF99D"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HR</w:t>
            </w:r>
          </w:p>
          <w:p w14:paraId="4360A7DE"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305" w:type="pct"/>
            <w:tcBorders>
              <w:top w:val="single" w:sz="4" w:space="0" w:color="auto"/>
              <w:left w:val="single" w:sz="4" w:space="0" w:color="auto"/>
              <w:bottom w:val="single" w:sz="4" w:space="0" w:color="auto"/>
              <w:right w:val="single" w:sz="4" w:space="0" w:color="auto"/>
            </w:tcBorders>
            <w:hideMark/>
          </w:tcPr>
          <w:p w14:paraId="6E14D373"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p-value</w:t>
            </w:r>
          </w:p>
        </w:tc>
        <w:tc>
          <w:tcPr>
            <w:tcW w:w="602" w:type="pct"/>
            <w:tcBorders>
              <w:top w:val="single" w:sz="4" w:space="0" w:color="auto"/>
              <w:left w:val="single" w:sz="4" w:space="0" w:color="auto"/>
              <w:bottom w:val="single" w:sz="4" w:space="0" w:color="auto"/>
              <w:right w:val="single" w:sz="4" w:space="0" w:color="auto"/>
            </w:tcBorders>
            <w:hideMark/>
          </w:tcPr>
          <w:p w14:paraId="3000E0E2"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PFS, months</w:t>
            </w:r>
          </w:p>
          <w:p w14:paraId="2CC00C8E"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405" w:type="pct"/>
            <w:tcBorders>
              <w:top w:val="single" w:sz="4" w:space="0" w:color="auto"/>
              <w:left w:val="single" w:sz="4" w:space="0" w:color="auto"/>
              <w:bottom w:val="single" w:sz="4" w:space="0" w:color="auto"/>
              <w:right w:val="single" w:sz="4" w:space="0" w:color="auto"/>
            </w:tcBorders>
            <w:hideMark/>
          </w:tcPr>
          <w:p w14:paraId="5EAE5DE1"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HR</w:t>
            </w:r>
          </w:p>
          <w:p w14:paraId="625466B7"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306" w:type="pct"/>
            <w:tcBorders>
              <w:top w:val="single" w:sz="4" w:space="0" w:color="auto"/>
              <w:left w:val="single" w:sz="4" w:space="0" w:color="auto"/>
              <w:bottom w:val="single" w:sz="4" w:space="0" w:color="auto"/>
              <w:right w:val="single" w:sz="4" w:space="0" w:color="auto"/>
            </w:tcBorders>
            <w:hideMark/>
          </w:tcPr>
          <w:p w14:paraId="5AF55C7C"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p-value</w:t>
            </w:r>
          </w:p>
        </w:tc>
        <w:tc>
          <w:tcPr>
            <w:tcW w:w="578" w:type="pct"/>
            <w:tcBorders>
              <w:top w:val="single" w:sz="4" w:space="0" w:color="auto"/>
              <w:left w:val="single" w:sz="4" w:space="0" w:color="auto"/>
              <w:bottom w:val="single" w:sz="4" w:space="0" w:color="auto"/>
              <w:right w:val="single" w:sz="4" w:space="0" w:color="auto"/>
            </w:tcBorders>
            <w:hideMark/>
          </w:tcPr>
          <w:p w14:paraId="11E9F15E"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PFS, months</w:t>
            </w:r>
          </w:p>
          <w:p w14:paraId="56DD6156"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423" w:type="pct"/>
            <w:tcBorders>
              <w:top w:val="single" w:sz="4" w:space="0" w:color="auto"/>
              <w:left w:val="single" w:sz="4" w:space="0" w:color="auto"/>
              <w:bottom w:val="single" w:sz="4" w:space="0" w:color="auto"/>
              <w:right w:val="single" w:sz="4" w:space="0" w:color="auto"/>
            </w:tcBorders>
            <w:hideMark/>
          </w:tcPr>
          <w:p w14:paraId="05EC174F"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HR</w:t>
            </w:r>
          </w:p>
          <w:p w14:paraId="4D46D6DD"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(95% CI)</w:t>
            </w:r>
          </w:p>
        </w:tc>
        <w:tc>
          <w:tcPr>
            <w:tcW w:w="310" w:type="pct"/>
            <w:tcBorders>
              <w:top w:val="single" w:sz="4" w:space="0" w:color="auto"/>
              <w:left w:val="single" w:sz="4" w:space="0" w:color="auto"/>
              <w:bottom w:val="single" w:sz="4" w:space="0" w:color="auto"/>
              <w:right w:val="single" w:sz="4" w:space="0" w:color="auto"/>
            </w:tcBorders>
            <w:hideMark/>
          </w:tcPr>
          <w:p w14:paraId="31ADB9B9" w14:textId="77777777" w:rsidR="000C4977" w:rsidRPr="00870285" w:rsidRDefault="000C4977" w:rsidP="000C4977">
            <w:pPr>
              <w:keepNext/>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imes New Roman"/>
                <w:b/>
                <w:sz w:val="20"/>
                <w:szCs w:val="20"/>
                <w:lang w:eastAsia="en-AU"/>
              </w:rPr>
            </w:pPr>
            <w:r w:rsidRPr="00870285">
              <w:rPr>
                <w:rFonts w:ascii="Arial Narrow" w:eastAsiaTheme="majorEastAsia" w:hAnsi="Arial Narrow" w:cs="Times New Roman"/>
                <w:b/>
                <w:sz w:val="20"/>
                <w:szCs w:val="20"/>
                <w:lang w:eastAsia="en-AU"/>
              </w:rPr>
              <w:t>p-value</w:t>
            </w:r>
          </w:p>
        </w:tc>
      </w:tr>
      <w:tr w:rsidR="000C4977" w:rsidRPr="00870285" w14:paraId="380D104B" w14:textId="77777777" w:rsidTr="00A91280">
        <w:tc>
          <w:tcPr>
            <w:cnfStyle w:val="001000000000" w:firstRow="0" w:lastRow="0" w:firstColumn="1" w:lastColumn="0" w:oddVBand="0" w:evenVBand="0" w:oddHBand="0" w:evenHBand="0" w:firstRowFirstColumn="0" w:firstRowLastColumn="0" w:lastRowFirstColumn="0" w:lastRowLastColumn="0"/>
            <w:tcW w:w="1116" w:type="pct"/>
            <w:gridSpan w:val="2"/>
            <w:tcBorders>
              <w:top w:val="single" w:sz="4" w:space="0" w:color="auto"/>
              <w:left w:val="single" w:sz="4" w:space="0" w:color="auto"/>
              <w:bottom w:val="single" w:sz="4" w:space="0" w:color="auto"/>
              <w:right w:val="nil"/>
            </w:tcBorders>
            <w:hideMark/>
          </w:tcPr>
          <w:p w14:paraId="45C206C0" w14:textId="77777777" w:rsidR="000C4977" w:rsidRPr="00870285" w:rsidRDefault="000C4977" w:rsidP="000C4977">
            <w:pPr>
              <w:keepNext/>
              <w:widowControl w:val="0"/>
              <w:spacing w:before="0"/>
              <w:jc w:val="left"/>
              <w:rPr>
                <w:rFonts w:ascii="Arial Narrow" w:eastAsia="Times New Roman" w:hAnsi="Arial Narrow" w:cs="Times New Roman"/>
                <w:b/>
                <w:bCs/>
                <w:color w:val="000000" w:themeColor="text1"/>
                <w:szCs w:val="20"/>
                <w:lang w:eastAsia="zh-CN"/>
              </w:rPr>
            </w:pPr>
            <w:r w:rsidRPr="00870285">
              <w:rPr>
                <w:rFonts w:ascii="Arial Narrow" w:eastAsia="Times New Roman" w:hAnsi="Arial Narrow" w:cs="Times New Roman"/>
                <w:b/>
                <w:bCs/>
                <w:color w:val="000000" w:themeColor="text1"/>
                <w:szCs w:val="20"/>
                <w:lang w:eastAsia="zh-CN"/>
              </w:rPr>
              <w:t xml:space="preserve">Myriad </w:t>
            </w:r>
            <w:proofErr w:type="spellStart"/>
            <w:r w:rsidRPr="00870285">
              <w:rPr>
                <w:rFonts w:ascii="Arial Narrow" w:eastAsia="Times New Roman" w:hAnsi="Arial Narrow" w:cs="Times New Roman"/>
                <w:b/>
                <w:bCs/>
                <w:color w:val="000000" w:themeColor="text1"/>
                <w:szCs w:val="20"/>
                <w:lang w:eastAsia="zh-CN"/>
              </w:rPr>
              <w:t>myChoice</w:t>
            </w:r>
            <w:proofErr w:type="spellEnd"/>
            <w:r w:rsidRPr="00870285">
              <w:rPr>
                <w:rFonts w:ascii="Arial Narrow" w:eastAsia="Times New Roman" w:hAnsi="Arial Narrow" w:cs="Times New Roman"/>
                <w:b/>
                <w:bCs/>
                <w:color w:val="000000" w:themeColor="text1"/>
                <w:szCs w:val="20"/>
                <w:lang w:eastAsia="zh-CN"/>
              </w:rPr>
              <w:t xml:space="preserve"> HRD plus assay</w:t>
            </w:r>
          </w:p>
        </w:tc>
        <w:tc>
          <w:tcPr>
            <w:tcW w:w="508" w:type="pct"/>
            <w:gridSpan w:val="2"/>
            <w:tcBorders>
              <w:top w:val="single" w:sz="4" w:space="0" w:color="auto"/>
              <w:left w:val="nil"/>
              <w:bottom w:val="single" w:sz="4" w:space="0" w:color="auto"/>
              <w:right w:val="nil"/>
            </w:tcBorders>
          </w:tcPr>
          <w:p w14:paraId="3F89D409"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47" w:type="pct"/>
            <w:tcBorders>
              <w:top w:val="single" w:sz="4" w:space="0" w:color="auto"/>
              <w:left w:val="nil"/>
              <w:bottom w:val="single" w:sz="4" w:space="0" w:color="auto"/>
              <w:right w:val="nil"/>
            </w:tcBorders>
          </w:tcPr>
          <w:p w14:paraId="25982068"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5" w:type="pct"/>
            <w:tcBorders>
              <w:top w:val="single" w:sz="4" w:space="0" w:color="auto"/>
              <w:left w:val="nil"/>
              <w:bottom w:val="single" w:sz="4" w:space="0" w:color="auto"/>
              <w:right w:val="nil"/>
            </w:tcBorders>
          </w:tcPr>
          <w:p w14:paraId="58200607"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602" w:type="pct"/>
            <w:tcBorders>
              <w:top w:val="single" w:sz="4" w:space="0" w:color="auto"/>
              <w:left w:val="nil"/>
              <w:bottom w:val="single" w:sz="4" w:space="0" w:color="auto"/>
              <w:right w:val="nil"/>
            </w:tcBorders>
          </w:tcPr>
          <w:p w14:paraId="5F9428FC"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05" w:type="pct"/>
            <w:tcBorders>
              <w:top w:val="single" w:sz="4" w:space="0" w:color="auto"/>
              <w:left w:val="nil"/>
              <w:bottom w:val="single" w:sz="4" w:space="0" w:color="auto"/>
              <w:right w:val="nil"/>
            </w:tcBorders>
          </w:tcPr>
          <w:p w14:paraId="51F541B5"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6" w:type="pct"/>
            <w:tcBorders>
              <w:top w:val="single" w:sz="4" w:space="0" w:color="auto"/>
              <w:left w:val="nil"/>
              <w:bottom w:val="single" w:sz="4" w:space="0" w:color="auto"/>
              <w:right w:val="nil"/>
            </w:tcBorders>
          </w:tcPr>
          <w:p w14:paraId="48E6A7C0"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78" w:type="pct"/>
            <w:tcBorders>
              <w:top w:val="single" w:sz="4" w:space="0" w:color="auto"/>
              <w:left w:val="nil"/>
              <w:bottom w:val="single" w:sz="4" w:space="0" w:color="auto"/>
              <w:right w:val="nil"/>
            </w:tcBorders>
          </w:tcPr>
          <w:p w14:paraId="53BE5946"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23" w:type="pct"/>
            <w:tcBorders>
              <w:top w:val="single" w:sz="4" w:space="0" w:color="auto"/>
              <w:left w:val="nil"/>
              <w:bottom w:val="single" w:sz="4" w:space="0" w:color="auto"/>
              <w:right w:val="nil"/>
            </w:tcBorders>
          </w:tcPr>
          <w:p w14:paraId="4873BB2E"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10" w:type="pct"/>
            <w:tcBorders>
              <w:top w:val="single" w:sz="4" w:space="0" w:color="auto"/>
              <w:left w:val="nil"/>
              <w:bottom w:val="single" w:sz="4" w:space="0" w:color="auto"/>
              <w:right w:val="single" w:sz="4" w:space="0" w:color="auto"/>
            </w:tcBorders>
          </w:tcPr>
          <w:p w14:paraId="1AE0AB01"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870285" w14:paraId="5471730B"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single" w:sz="4" w:space="0" w:color="auto"/>
              <w:left w:val="single" w:sz="4" w:space="0" w:color="auto"/>
              <w:bottom w:val="nil"/>
              <w:right w:val="single" w:sz="4" w:space="0" w:color="auto"/>
            </w:tcBorders>
            <w:hideMark/>
          </w:tcPr>
          <w:p w14:paraId="6836D94C" w14:textId="58CD0E86"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vertAlign w:val="superscript"/>
                <w:lang w:eastAsia="zh-CN"/>
              </w:rPr>
            </w:pPr>
            <w:r w:rsidRPr="00870285">
              <w:rPr>
                <w:rFonts w:ascii="Arial Narrow" w:eastAsia="Times New Roman" w:hAnsi="Arial Narrow" w:cs="Times New Roman"/>
                <w:color w:val="000000" w:themeColor="text1"/>
                <w:szCs w:val="20"/>
                <w:lang w:eastAsia="zh-CN"/>
              </w:rPr>
              <w:t>PAOLA-1</w:t>
            </w:r>
            <w:r w:rsidR="00BA699A" w:rsidRPr="00870285">
              <w:rPr>
                <w:rFonts w:ascii="Arial Narrow" w:eastAsia="Times New Roman" w:hAnsi="Arial Narrow" w:cs="Times New Roman"/>
                <w:color w:val="000000" w:themeColor="text1"/>
                <w:szCs w:val="20"/>
                <w:lang w:eastAsia="zh-CN"/>
              </w:rPr>
              <w:t xml:space="preserve"> </w:t>
            </w:r>
            <w:r w:rsidRPr="00870285">
              <w:rPr>
                <w:rFonts w:ascii="Arial Narrow" w:eastAsia="Times New Roman" w:hAnsi="Arial Narrow" w:cs="Times New Roman"/>
                <w:color w:val="000000" w:themeColor="text1"/>
                <w:szCs w:val="20"/>
                <w:lang w:eastAsia="zh-CN"/>
              </w:rPr>
              <w:t xml:space="preserve">(GIS ≥42) </w:t>
            </w:r>
            <w:r w:rsidRPr="00870285">
              <w:rPr>
                <w:rFonts w:ascii="Arial Narrow" w:eastAsia="Times New Roman" w:hAnsi="Arial Narrow" w:cs="Times New Roman"/>
                <w:color w:val="000000" w:themeColor="text1"/>
                <w:szCs w:val="20"/>
                <w:vertAlign w:val="superscript"/>
                <w:lang w:eastAsia="zh-CN"/>
              </w:rPr>
              <w:t>b</w:t>
            </w:r>
          </w:p>
        </w:tc>
        <w:tc>
          <w:tcPr>
            <w:tcW w:w="463" w:type="pct"/>
            <w:tcBorders>
              <w:top w:val="single" w:sz="4" w:space="0" w:color="auto"/>
              <w:left w:val="single" w:sz="4" w:space="0" w:color="auto"/>
              <w:bottom w:val="single" w:sz="4" w:space="0" w:color="auto"/>
              <w:right w:val="single" w:sz="4" w:space="0" w:color="auto"/>
            </w:tcBorders>
            <w:vAlign w:val="center"/>
            <w:hideMark/>
          </w:tcPr>
          <w:p w14:paraId="1B3B2076"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Intervention</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46591F44"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37.2</w:t>
            </w:r>
          </w:p>
        </w:tc>
        <w:tc>
          <w:tcPr>
            <w:tcW w:w="447" w:type="pct"/>
            <w:tcBorders>
              <w:top w:val="single" w:sz="4" w:space="0" w:color="auto"/>
              <w:left w:val="single" w:sz="4" w:space="0" w:color="auto"/>
              <w:bottom w:val="nil"/>
              <w:right w:val="single" w:sz="4" w:space="0" w:color="auto"/>
            </w:tcBorders>
            <w:vAlign w:val="center"/>
            <w:hideMark/>
          </w:tcPr>
          <w:p w14:paraId="641149B8"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0.33</w:t>
            </w:r>
          </w:p>
        </w:tc>
        <w:tc>
          <w:tcPr>
            <w:tcW w:w="305" w:type="pct"/>
            <w:tcBorders>
              <w:top w:val="single" w:sz="4" w:space="0" w:color="auto"/>
              <w:left w:val="single" w:sz="4" w:space="0" w:color="auto"/>
              <w:bottom w:val="nil"/>
              <w:right w:val="single" w:sz="4" w:space="0" w:color="auto"/>
            </w:tcBorders>
            <w:vAlign w:val="center"/>
            <w:hideMark/>
          </w:tcPr>
          <w:p w14:paraId="064605C4"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c>
          <w:tcPr>
            <w:tcW w:w="602" w:type="pct"/>
            <w:tcBorders>
              <w:top w:val="single" w:sz="4" w:space="0" w:color="auto"/>
              <w:left w:val="single" w:sz="4" w:space="0" w:color="auto"/>
              <w:bottom w:val="single" w:sz="4" w:space="0" w:color="auto"/>
              <w:right w:val="single" w:sz="4" w:space="0" w:color="auto"/>
            </w:tcBorders>
            <w:vAlign w:val="center"/>
            <w:hideMark/>
          </w:tcPr>
          <w:p w14:paraId="4757F596"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28.1</w:t>
            </w:r>
          </w:p>
        </w:tc>
        <w:tc>
          <w:tcPr>
            <w:tcW w:w="405" w:type="pct"/>
            <w:tcBorders>
              <w:top w:val="single" w:sz="4" w:space="0" w:color="auto"/>
              <w:left w:val="single" w:sz="4" w:space="0" w:color="auto"/>
              <w:bottom w:val="nil"/>
              <w:right w:val="single" w:sz="4" w:space="0" w:color="auto"/>
            </w:tcBorders>
            <w:vAlign w:val="center"/>
            <w:hideMark/>
          </w:tcPr>
          <w:p w14:paraId="14755CF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0.43</w:t>
            </w:r>
          </w:p>
        </w:tc>
        <w:tc>
          <w:tcPr>
            <w:tcW w:w="306" w:type="pct"/>
            <w:tcBorders>
              <w:top w:val="single" w:sz="4" w:space="0" w:color="auto"/>
              <w:left w:val="single" w:sz="4" w:space="0" w:color="auto"/>
              <w:bottom w:val="nil"/>
              <w:right w:val="single" w:sz="4" w:space="0" w:color="auto"/>
            </w:tcBorders>
            <w:vAlign w:val="center"/>
            <w:hideMark/>
          </w:tcPr>
          <w:p w14:paraId="757CA25B"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c>
          <w:tcPr>
            <w:tcW w:w="578" w:type="pct"/>
            <w:tcBorders>
              <w:top w:val="single" w:sz="4" w:space="0" w:color="auto"/>
              <w:left w:val="single" w:sz="4" w:space="0" w:color="auto"/>
              <w:bottom w:val="single" w:sz="4" w:space="0" w:color="auto"/>
              <w:right w:val="single" w:sz="4" w:space="0" w:color="auto"/>
            </w:tcBorders>
            <w:vAlign w:val="center"/>
            <w:hideMark/>
          </w:tcPr>
          <w:p w14:paraId="496D7E76"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16.6</w:t>
            </w:r>
          </w:p>
        </w:tc>
        <w:tc>
          <w:tcPr>
            <w:tcW w:w="423" w:type="pct"/>
            <w:tcBorders>
              <w:top w:val="single" w:sz="4" w:space="0" w:color="auto"/>
              <w:left w:val="single" w:sz="4" w:space="0" w:color="auto"/>
              <w:bottom w:val="nil"/>
              <w:right w:val="single" w:sz="4" w:space="0" w:color="auto"/>
            </w:tcBorders>
            <w:vAlign w:val="center"/>
            <w:hideMark/>
          </w:tcPr>
          <w:p w14:paraId="08994305"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1.00</w:t>
            </w:r>
          </w:p>
        </w:tc>
        <w:tc>
          <w:tcPr>
            <w:tcW w:w="310" w:type="pct"/>
            <w:tcBorders>
              <w:top w:val="single" w:sz="4" w:space="0" w:color="auto"/>
              <w:left w:val="single" w:sz="4" w:space="0" w:color="auto"/>
              <w:bottom w:val="nil"/>
              <w:right w:val="single" w:sz="4" w:space="0" w:color="auto"/>
            </w:tcBorders>
            <w:vAlign w:val="center"/>
            <w:hideMark/>
          </w:tcPr>
          <w:p w14:paraId="7AACDB99"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r>
      <w:tr w:rsidR="000C4977" w:rsidRPr="00870285" w14:paraId="06A73B6F"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nil"/>
              <w:left w:val="single" w:sz="4" w:space="0" w:color="auto"/>
              <w:bottom w:val="single" w:sz="4" w:space="0" w:color="auto"/>
              <w:right w:val="single" w:sz="4" w:space="0" w:color="auto"/>
            </w:tcBorders>
          </w:tcPr>
          <w:p w14:paraId="1F574D95" w14:textId="77777777"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734805C6" w14:textId="37D2E8D2"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Control</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2D12630F"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17.7</w:t>
            </w:r>
          </w:p>
        </w:tc>
        <w:tc>
          <w:tcPr>
            <w:tcW w:w="447" w:type="pct"/>
            <w:tcBorders>
              <w:top w:val="nil"/>
              <w:left w:val="single" w:sz="4" w:space="0" w:color="auto"/>
              <w:bottom w:val="single" w:sz="4" w:space="0" w:color="auto"/>
              <w:right w:val="single" w:sz="4" w:space="0" w:color="auto"/>
            </w:tcBorders>
            <w:vAlign w:val="center"/>
            <w:hideMark/>
          </w:tcPr>
          <w:p w14:paraId="356F001B" w14:textId="53F8812C"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(0.25,</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0.45)</w:t>
            </w:r>
          </w:p>
        </w:tc>
        <w:tc>
          <w:tcPr>
            <w:tcW w:w="305" w:type="pct"/>
            <w:tcBorders>
              <w:top w:val="nil"/>
              <w:left w:val="single" w:sz="4" w:space="0" w:color="auto"/>
              <w:bottom w:val="single" w:sz="4" w:space="0" w:color="auto"/>
              <w:right w:val="single" w:sz="4" w:space="0" w:color="auto"/>
            </w:tcBorders>
            <w:vAlign w:val="center"/>
            <w:hideMark/>
          </w:tcPr>
          <w:p w14:paraId="7E63D47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c>
          <w:tcPr>
            <w:tcW w:w="602" w:type="pct"/>
            <w:tcBorders>
              <w:top w:val="single" w:sz="4" w:space="0" w:color="auto"/>
              <w:left w:val="single" w:sz="4" w:space="0" w:color="auto"/>
              <w:bottom w:val="single" w:sz="4" w:space="0" w:color="auto"/>
              <w:right w:val="single" w:sz="4" w:space="0" w:color="auto"/>
            </w:tcBorders>
            <w:vAlign w:val="center"/>
            <w:hideMark/>
          </w:tcPr>
          <w:p w14:paraId="56DBA097"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16.6</w:t>
            </w:r>
          </w:p>
        </w:tc>
        <w:tc>
          <w:tcPr>
            <w:tcW w:w="405" w:type="pct"/>
            <w:tcBorders>
              <w:top w:val="nil"/>
              <w:left w:val="single" w:sz="4" w:space="0" w:color="auto"/>
              <w:bottom w:val="single" w:sz="4" w:space="0" w:color="auto"/>
              <w:right w:val="single" w:sz="4" w:space="0" w:color="auto"/>
            </w:tcBorders>
            <w:vAlign w:val="center"/>
            <w:hideMark/>
          </w:tcPr>
          <w:p w14:paraId="42ACB153" w14:textId="342A60DB"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(0.28,</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0.66)</w:t>
            </w:r>
          </w:p>
        </w:tc>
        <w:tc>
          <w:tcPr>
            <w:tcW w:w="306" w:type="pct"/>
            <w:tcBorders>
              <w:top w:val="nil"/>
              <w:left w:val="single" w:sz="4" w:space="0" w:color="auto"/>
              <w:bottom w:val="single" w:sz="4" w:space="0" w:color="auto"/>
              <w:right w:val="single" w:sz="4" w:space="0" w:color="auto"/>
            </w:tcBorders>
            <w:vAlign w:val="center"/>
            <w:hideMark/>
          </w:tcPr>
          <w:p w14:paraId="761B8947"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c>
          <w:tcPr>
            <w:tcW w:w="578" w:type="pct"/>
            <w:tcBorders>
              <w:top w:val="single" w:sz="4" w:space="0" w:color="auto"/>
              <w:left w:val="single" w:sz="4" w:space="0" w:color="auto"/>
              <w:bottom w:val="single" w:sz="4" w:space="0" w:color="auto"/>
              <w:right w:val="single" w:sz="4" w:space="0" w:color="auto"/>
            </w:tcBorders>
            <w:vAlign w:val="center"/>
            <w:hideMark/>
          </w:tcPr>
          <w:p w14:paraId="196E579D"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16.2</w:t>
            </w:r>
          </w:p>
        </w:tc>
        <w:tc>
          <w:tcPr>
            <w:tcW w:w="423" w:type="pct"/>
            <w:tcBorders>
              <w:top w:val="nil"/>
              <w:left w:val="single" w:sz="4" w:space="0" w:color="auto"/>
              <w:bottom w:val="single" w:sz="4" w:space="0" w:color="auto"/>
              <w:right w:val="single" w:sz="4" w:space="0" w:color="auto"/>
            </w:tcBorders>
            <w:vAlign w:val="center"/>
            <w:hideMark/>
          </w:tcPr>
          <w:p w14:paraId="3923EE63" w14:textId="58D2901E"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(0.75,</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1.35)</w:t>
            </w:r>
          </w:p>
        </w:tc>
        <w:tc>
          <w:tcPr>
            <w:tcW w:w="310" w:type="pct"/>
            <w:tcBorders>
              <w:top w:val="nil"/>
              <w:left w:val="single" w:sz="4" w:space="0" w:color="auto"/>
              <w:bottom w:val="single" w:sz="4" w:space="0" w:color="auto"/>
              <w:right w:val="single" w:sz="4" w:space="0" w:color="auto"/>
            </w:tcBorders>
            <w:vAlign w:val="center"/>
            <w:hideMark/>
          </w:tcPr>
          <w:p w14:paraId="327D2954"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r>
      <w:tr w:rsidR="000C4977" w:rsidRPr="00870285" w14:paraId="73961324"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nil"/>
              <w:bottom w:val="dotted" w:sz="4" w:space="0" w:color="auto"/>
            </w:tcBorders>
          </w:tcPr>
          <w:p w14:paraId="589FC27A" w14:textId="77777777"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vertAlign w:val="superscript"/>
                <w:lang w:eastAsia="zh-CN"/>
              </w:rPr>
            </w:pPr>
            <w:r w:rsidRPr="00870285">
              <w:rPr>
                <w:rFonts w:ascii="Arial Narrow" w:eastAsia="Times New Roman" w:hAnsi="Arial Narrow" w:cs="Times New Roman"/>
                <w:color w:val="000000" w:themeColor="text1"/>
                <w:szCs w:val="20"/>
                <w:lang w:eastAsia="zh-CN"/>
              </w:rPr>
              <w:t xml:space="preserve">PAOLA-1 (GIS ≥33) </w:t>
            </w:r>
            <w:r w:rsidRPr="00870285">
              <w:rPr>
                <w:rFonts w:ascii="Arial Narrow" w:eastAsia="Times New Roman" w:hAnsi="Arial Narrow" w:cs="Times New Roman"/>
                <w:color w:val="000000" w:themeColor="text1"/>
                <w:szCs w:val="20"/>
                <w:vertAlign w:val="superscript"/>
                <w:lang w:eastAsia="zh-CN"/>
              </w:rPr>
              <w:t>b</w:t>
            </w:r>
          </w:p>
        </w:tc>
        <w:tc>
          <w:tcPr>
            <w:tcW w:w="463" w:type="pct"/>
            <w:tcBorders>
              <w:bottom w:val="single" w:sz="4" w:space="0" w:color="auto"/>
            </w:tcBorders>
            <w:vAlign w:val="center"/>
          </w:tcPr>
          <w:p w14:paraId="03F4A228"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Intervention</w:t>
            </w:r>
          </w:p>
        </w:tc>
        <w:tc>
          <w:tcPr>
            <w:tcW w:w="508" w:type="pct"/>
            <w:gridSpan w:val="2"/>
            <w:tcBorders>
              <w:bottom w:val="single" w:sz="4" w:space="0" w:color="auto"/>
            </w:tcBorders>
            <w:vAlign w:val="center"/>
          </w:tcPr>
          <w:p w14:paraId="5AFD9838"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36.0</w:t>
            </w:r>
          </w:p>
        </w:tc>
        <w:tc>
          <w:tcPr>
            <w:tcW w:w="447" w:type="pct"/>
            <w:tcBorders>
              <w:top w:val="nil"/>
              <w:bottom w:val="dotted" w:sz="4" w:space="0" w:color="auto"/>
            </w:tcBorders>
            <w:vAlign w:val="center"/>
          </w:tcPr>
          <w:p w14:paraId="4DC5855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0.37</w:t>
            </w:r>
          </w:p>
        </w:tc>
        <w:tc>
          <w:tcPr>
            <w:tcW w:w="305" w:type="pct"/>
            <w:tcBorders>
              <w:top w:val="nil"/>
              <w:bottom w:val="dotted" w:sz="4" w:space="0" w:color="auto"/>
            </w:tcBorders>
            <w:vAlign w:val="center"/>
          </w:tcPr>
          <w:p w14:paraId="2D9860A0"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c>
          <w:tcPr>
            <w:tcW w:w="602" w:type="pct"/>
            <w:tcBorders>
              <w:bottom w:val="single" w:sz="4" w:space="0" w:color="auto"/>
            </w:tcBorders>
            <w:vAlign w:val="center"/>
          </w:tcPr>
          <w:p w14:paraId="49BF98B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23.2</w:t>
            </w:r>
          </w:p>
        </w:tc>
        <w:tc>
          <w:tcPr>
            <w:tcW w:w="405" w:type="pct"/>
            <w:tcBorders>
              <w:top w:val="nil"/>
              <w:bottom w:val="dotted" w:sz="4" w:space="0" w:color="auto"/>
            </w:tcBorders>
            <w:vAlign w:val="center"/>
          </w:tcPr>
          <w:p w14:paraId="56518B7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0.47</w:t>
            </w:r>
          </w:p>
        </w:tc>
        <w:tc>
          <w:tcPr>
            <w:tcW w:w="306" w:type="pct"/>
            <w:tcBorders>
              <w:top w:val="nil"/>
              <w:bottom w:val="dotted" w:sz="4" w:space="0" w:color="auto"/>
            </w:tcBorders>
            <w:vAlign w:val="center"/>
          </w:tcPr>
          <w:p w14:paraId="1160A49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c>
          <w:tcPr>
            <w:tcW w:w="578" w:type="pct"/>
            <w:tcBorders>
              <w:bottom w:val="single" w:sz="4" w:space="0" w:color="auto"/>
            </w:tcBorders>
            <w:vAlign w:val="center"/>
          </w:tcPr>
          <w:p w14:paraId="4397AD9E"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16.4</w:t>
            </w:r>
          </w:p>
        </w:tc>
        <w:tc>
          <w:tcPr>
            <w:tcW w:w="423" w:type="pct"/>
            <w:tcBorders>
              <w:top w:val="nil"/>
              <w:bottom w:val="dotted" w:sz="4" w:space="0" w:color="auto"/>
            </w:tcBorders>
            <w:vAlign w:val="center"/>
          </w:tcPr>
          <w:p w14:paraId="2CEC620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1.16</w:t>
            </w:r>
          </w:p>
        </w:tc>
        <w:tc>
          <w:tcPr>
            <w:tcW w:w="310" w:type="pct"/>
            <w:tcBorders>
              <w:top w:val="nil"/>
              <w:bottom w:val="dotted" w:sz="4" w:space="0" w:color="auto"/>
            </w:tcBorders>
            <w:vAlign w:val="center"/>
          </w:tcPr>
          <w:p w14:paraId="0379D2BB"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Not</w:t>
            </w:r>
          </w:p>
        </w:tc>
      </w:tr>
      <w:tr w:rsidR="000C4977" w:rsidRPr="00870285" w14:paraId="0D5CD3A8"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dotted" w:sz="4" w:space="0" w:color="auto"/>
              <w:bottom w:val="single" w:sz="4" w:space="0" w:color="auto"/>
            </w:tcBorders>
          </w:tcPr>
          <w:p w14:paraId="5F6949A8" w14:textId="77777777"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p>
        </w:tc>
        <w:tc>
          <w:tcPr>
            <w:tcW w:w="463" w:type="pct"/>
            <w:tcBorders>
              <w:bottom w:val="single" w:sz="4" w:space="0" w:color="auto"/>
            </w:tcBorders>
            <w:vAlign w:val="center"/>
          </w:tcPr>
          <w:p w14:paraId="653B9C5A" w14:textId="313A8A05"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Control</w:t>
            </w:r>
          </w:p>
        </w:tc>
        <w:tc>
          <w:tcPr>
            <w:tcW w:w="508" w:type="pct"/>
            <w:gridSpan w:val="2"/>
            <w:tcBorders>
              <w:bottom w:val="single" w:sz="4" w:space="0" w:color="auto"/>
            </w:tcBorders>
            <w:vAlign w:val="center"/>
          </w:tcPr>
          <w:p w14:paraId="3AEA1F3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17.0</w:t>
            </w:r>
          </w:p>
        </w:tc>
        <w:tc>
          <w:tcPr>
            <w:tcW w:w="447" w:type="pct"/>
            <w:tcBorders>
              <w:top w:val="dotted" w:sz="4" w:space="0" w:color="auto"/>
              <w:bottom w:val="single" w:sz="4" w:space="0" w:color="auto"/>
            </w:tcBorders>
            <w:vAlign w:val="center"/>
          </w:tcPr>
          <w:p w14:paraId="42BD01E9"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(0.28, 0.48)</w:t>
            </w:r>
          </w:p>
        </w:tc>
        <w:tc>
          <w:tcPr>
            <w:tcW w:w="305" w:type="pct"/>
            <w:tcBorders>
              <w:top w:val="dotted" w:sz="4" w:space="0" w:color="auto"/>
              <w:bottom w:val="single" w:sz="4" w:space="0" w:color="auto"/>
            </w:tcBorders>
            <w:vAlign w:val="center"/>
          </w:tcPr>
          <w:p w14:paraId="67FF1B90"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c>
          <w:tcPr>
            <w:tcW w:w="602" w:type="pct"/>
            <w:tcBorders>
              <w:bottom w:val="single" w:sz="4" w:space="0" w:color="auto"/>
            </w:tcBorders>
            <w:vAlign w:val="center"/>
          </w:tcPr>
          <w:p w14:paraId="40D14DF0"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16.5</w:t>
            </w:r>
          </w:p>
        </w:tc>
        <w:tc>
          <w:tcPr>
            <w:tcW w:w="405" w:type="pct"/>
            <w:tcBorders>
              <w:top w:val="dotted" w:sz="4" w:space="0" w:color="auto"/>
              <w:bottom w:val="single" w:sz="4" w:space="0" w:color="auto"/>
            </w:tcBorders>
            <w:vAlign w:val="center"/>
          </w:tcPr>
          <w:p w14:paraId="38A7B5DF"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(0.33, 0.68)</w:t>
            </w:r>
          </w:p>
        </w:tc>
        <w:tc>
          <w:tcPr>
            <w:tcW w:w="306" w:type="pct"/>
            <w:tcBorders>
              <w:top w:val="dotted" w:sz="4" w:space="0" w:color="auto"/>
              <w:bottom w:val="single" w:sz="4" w:space="0" w:color="auto"/>
            </w:tcBorders>
            <w:vAlign w:val="center"/>
          </w:tcPr>
          <w:p w14:paraId="14F90302"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c>
          <w:tcPr>
            <w:tcW w:w="578" w:type="pct"/>
            <w:tcBorders>
              <w:bottom w:val="single" w:sz="4" w:space="0" w:color="auto"/>
            </w:tcBorders>
            <w:vAlign w:val="center"/>
          </w:tcPr>
          <w:p w14:paraId="2FF512C8"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16.5</w:t>
            </w:r>
          </w:p>
        </w:tc>
        <w:tc>
          <w:tcPr>
            <w:tcW w:w="423" w:type="pct"/>
            <w:tcBorders>
              <w:top w:val="dotted" w:sz="4" w:space="0" w:color="auto"/>
              <w:bottom w:val="single" w:sz="4" w:space="0" w:color="auto"/>
            </w:tcBorders>
            <w:vAlign w:val="center"/>
          </w:tcPr>
          <w:p w14:paraId="67DE5F3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(0.85, 1.61)</w:t>
            </w:r>
          </w:p>
        </w:tc>
        <w:tc>
          <w:tcPr>
            <w:tcW w:w="310" w:type="pct"/>
            <w:tcBorders>
              <w:top w:val="dotted" w:sz="4" w:space="0" w:color="auto"/>
              <w:bottom w:val="single" w:sz="4" w:space="0" w:color="auto"/>
            </w:tcBorders>
            <w:vAlign w:val="center"/>
          </w:tcPr>
          <w:p w14:paraId="58F6C127"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reported</w:t>
            </w:r>
          </w:p>
        </w:tc>
      </w:tr>
      <w:tr w:rsidR="000C4977" w:rsidRPr="00870285" w14:paraId="3D5EF650" w14:textId="77777777" w:rsidTr="00A91280">
        <w:tc>
          <w:tcPr>
            <w:cnfStyle w:val="001000000000" w:firstRow="0" w:lastRow="0" w:firstColumn="1" w:lastColumn="0" w:oddVBand="0" w:evenVBand="0" w:oddHBand="0" w:evenHBand="0" w:firstRowFirstColumn="0" w:firstRowLastColumn="0" w:lastRowFirstColumn="0" w:lastRowLastColumn="0"/>
            <w:tcW w:w="1116" w:type="pct"/>
            <w:gridSpan w:val="2"/>
            <w:tcBorders>
              <w:top w:val="single" w:sz="4" w:space="0" w:color="auto"/>
              <w:left w:val="single" w:sz="4" w:space="0" w:color="auto"/>
              <w:bottom w:val="single" w:sz="4" w:space="0" w:color="auto"/>
              <w:right w:val="nil"/>
            </w:tcBorders>
            <w:hideMark/>
          </w:tcPr>
          <w:p w14:paraId="3D308961" w14:textId="77777777" w:rsidR="000C4977" w:rsidRPr="00870285" w:rsidRDefault="000C4977" w:rsidP="000C4977">
            <w:pPr>
              <w:keepNext/>
              <w:widowControl w:val="0"/>
              <w:spacing w:before="0"/>
              <w:jc w:val="left"/>
              <w:rPr>
                <w:rFonts w:ascii="Arial Narrow" w:eastAsia="Times New Roman" w:hAnsi="Arial Narrow" w:cs="Times New Roman"/>
                <w:b/>
                <w:bCs/>
                <w:color w:val="000000" w:themeColor="text1"/>
                <w:szCs w:val="20"/>
                <w:lang w:eastAsia="zh-CN"/>
              </w:rPr>
            </w:pPr>
            <w:r w:rsidRPr="00870285">
              <w:rPr>
                <w:rFonts w:ascii="Arial Narrow" w:eastAsia="Times New Roman" w:hAnsi="Arial Narrow" w:cs="Times New Roman"/>
                <w:b/>
                <w:bCs/>
                <w:color w:val="000000" w:themeColor="text1"/>
                <w:szCs w:val="20"/>
                <w:lang w:eastAsia="zh-CN"/>
              </w:rPr>
              <w:t xml:space="preserve">Myriad </w:t>
            </w:r>
            <w:proofErr w:type="spellStart"/>
            <w:r w:rsidRPr="00870285">
              <w:rPr>
                <w:rFonts w:ascii="Arial Narrow" w:eastAsia="Times New Roman" w:hAnsi="Arial Narrow" w:cs="Times New Roman"/>
                <w:b/>
                <w:bCs/>
                <w:color w:val="000000" w:themeColor="text1"/>
                <w:szCs w:val="20"/>
                <w:lang w:eastAsia="zh-CN"/>
              </w:rPr>
              <w:t>myChoice</w:t>
            </w:r>
            <w:proofErr w:type="spellEnd"/>
            <w:r w:rsidRPr="00870285">
              <w:rPr>
                <w:rFonts w:ascii="Arial Narrow" w:eastAsia="Times New Roman" w:hAnsi="Arial Narrow" w:cs="Times New Roman"/>
                <w:b/>
                <w:bCs/>
                <w:color w:val="000000" w:themeColor="text1"/>
                <w:szCs w:val="20"/>
                <w:lang w:eastAsia="zh-CN"/>
              </w:rPr>
              <w:t xml:space="preserve"> </w:t>
            </w:r>
            <w:proofErr w:type="spellStart"/>
            <w:r w:rsidRPr="00870285">
              <w:rPr>
                <w:rFonts w:ascii="Arial Narrow" w:eastAsia="Times New Roman" w:hAnsi="Arial Narrow" w:cs="Times New Roman"/>
                <w:b/>
                <w:bCs/>
                <w:color w:val="000000" w:themeColor="text1"/>
                <w:szCs w:val="20"/>
                <w:lang w:eastAsia="zh-CN"/>
              </w:rPr>
              <w:t>CDx</w:t>
            </w:r>
            <w:proofErr w:type="spellEnd"/>
            <w:r w:rsidRPr="00870285">
              <w:rPr>
                <w:rFonts w:ascii="Arial Narrow" w:eastAsia="Times New Roman" w:hAnsi="Arial Narrow" w:cs="Times New Roman"/>
                <w:b/>
                <w:bCs/>
                <w:color w:val="000000" w:themeColor="text1"/>
                <w:szCs w:val="20"/>
                <w:lang w:eastAsia="zh-CN"/>
              </w:rPr>
              <w:t xml:space="preserve"> assay</w:t>
            </w:r>
          </w:p>
        </w:tc>
        <w:tc>
          <w:tcPr>
            <w:tcW w:w="415" w:type="pct"/>
            <w:tcBorders>
              <w:top w:val="single" w:sz="4" w:space="0" w:color="auto"/>
              <w:left w:val="nil"/>
              <w:bottom w:val="single" w:sz="4" w:space="0" w:color="auto"/>
              <w:right w:val="nil"/>
            </w:tcBorders>
          </w:tcPr>
          <w:p w14:paraId="0A1334AB"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40" w:type="pct"/>
            <w:gridSpan w:val="2"/>
            <w:tcBorders>
              <w:top w:val="single" w:sz="4" w:space="0" w:color="auto"/>
              <w:left w:val="nil"/>
              <w:bottom w:val="single" w:sz="4" w:space="0" w:color="auto"/>
              <w:right w:val="nil"/>
            </w:tcBorders>
          </w:tcPr>
          <w:p w14:paraId="1DD84337"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5" w:type="pct"/>
            <w:tcBorders>
              <w:top w:val="single" w:sz="4" w:space="0" w:color="auto"/>
              <w:left w:val="nil"/>
              <w:bottom w:val="single" w:sz="4" w:space="0" w:color="auto"/>
              <w:right w:val="nil"/>
            </w:tcBorders>
          </w:tcPr>
          <w:p w14:paraId="0C974636"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602" w:type="pct"/>
            <w:tcBorders>
              <w:top w:val="single" w:sz="4" w:space="0" w:color="auto"/>
              <w:left w:val="nil"/>
              <w:bottom w:val="single" w:sz="4" w:space="0" w:color="auto"/>
              <w:right w:val="nil"/>
            </w:tcBorders>
          </w:tcPr>
          <w:p w14:paraId="226D460F"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05" w:type="pct"/>
            <w:tcBorders>
              <w:top w:val="single" w:sz="4" w:space="0" w:color="auto"/>
              <w:left w:val="nil"/>
              <w:bottom w:val="single" w:sz="4" w:space="0" w:color="auto"/>
              <w:right w:val="nil"/>
            </w:tcBorders>
          </w:tcPr>
          <w:p w14:paraId="55256904"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6" w:type="pct"/>
            <w:tcBorders>
              <w:top w:val="single" w:sz="4" w:space="0" w:color="auto"/>
              <w:left w:val="nil"/>
              <w:bottom w:val="single" w:sz="4" w:space="0" w:color="auto"/>
              <w:right w:val="nil"/>
            </w:tcBorders>
          </w:tcPr>
          <w:p w14:paraId="173AA7CE"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78" w:type="pct"/>
            <w:tcBorders>
              <w:top w:val="single" w:sz="4" w:space="0" w:color="auto"/>
              <w:left w:val="nil"/>
              <w:bottom w:val="single" w:sz="4" w:space="0" w:color="auto"/>
              <w:right w:val="nil"/>
            </w:tcBorders>
          </w:tcPr>
          <w:p w14:paraId="40444C26"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23" w:type="pct"/>
            <w:tcBorders>
              <w:top w:val="single" w:sz="4" w:space="0" w:color="auto"/>
              <w:left w:val="nil"/>
              <w:bottom w:val="single" w:sz="4" w:space="0" w:color="auto"/>
              <w:right w:val="nil"/>
            </w:tcBorders>
          </w:tcPr>
          <w:p w14:paraId="172A1E21"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10" w:type="pct"/>
            <w:tcBorders>
              <w:top w:val="single" w:sz="4" w:space="0" w:color="auto"/>
              <w:left w:val="nil"/>
              <w:bottom w:val="single" w:sz="4" w:space="0" w:color="auto"/>
              <w:right w:val="single" w:sz="4" w:space="0" w:color="auto"/>
            </w:tcBorders>
          </w:tcPr>
          <w:p w14:paraId="45D2A70A"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870285" w14:paraId="371EFF94"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single" w:sz="4" w:space="0" w:color="auto"/>
              <w:left w:val="single" w:sz="4" w:space="0" w:color="auto"/>
              <w:bottom w:val="nil"/>
              <w:right w:val="single" w:sz="4" w:space="0" w:color="auto"/>
            </w:tcBorders>
            <w:hideMark/>
          </w:tcPr>
          <w:p w14:paraId="7F1C2011" w14:textId="0B3B65AD"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870285">
              <w:rPr>
                <w:rFonts w:ascii="Arial Narrow" w:eastAsia="Times New Roman" w:hAnsi="Arial Narrow" w:cs="Times New Roman"/>
                <w:color w:val="000000" w:themeColor="text1"/>
                <w:szCs w:val="20"/>
                <w:lang w:eastAsia="zh-CN"/>
              </w:rPr>
              <w:t>Gonzalez-</w:t>
            </w:r>
            <w:r w:rsidR="00BA699A" w:rsidRPr="00870285">
              <w:rPr>
                <w:rFonts w:ascii="Arial Narrow" w:eastAsia="Times New Roman" w:hAnsi="Arial Narrow" w:cs="Times New Roman"/>
                <w:color w:val="000000" w:themeColor="text1"/>
                <w:szCs w:val="20"/>
                <w:lang w:eastAsia="zh-CN"/>
              </w:rPr>
              <w:t>Martin</w:t>
            </w:r>
          </w:p>
        </w:tc>
        <w:tc>
          <w:tcPr>
            <w:tcW w:w="463" w:type="pct"/>
            <w:tcBorders>
              <w:top w:val="single" w:sz="4" w:space="0" w:color="auto"/>
              <w:left w:val="single" w:sz="4" w:space="0" w:color="auto"/>
              <w:bottom w:val="single" w:sz="4" w:space="0" w:color="auto"/>
              <w:right w:val="single" w:sz="4" w:space="0" w:color="auto"/>
            </w:tcBorders>
            <w:hideMark/>
          </w:tcPr>
          <w:p w14:paraId="7507378A" w14:textId="4DB30B69"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Intervention</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30EAA3A4"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22.1 (19.3, NE)</w:t>
            </w:r>
          </w:p>
        </w:tc>
        <w:tc>
          <w:tcPr>
            <w:tcW w:w="447" w:type="pct"/>
            <w:tcBorders>
              <w:top w:val="single" w:sz="4" w:space="0" w:color="auto"/>
              <w:left w:val="single" w:sz="4" w:space="0" w:color="auto"/>
              <w:bottom w:val="nil"/>
              <w:right w:val="single" w:sz="4" w:space="0" w:color="auto"/>
            </w:tcBorders>
            <w:vAlign w:val="center"/>
            <w:hideMark/>
          </w:tcPr>
          <w:p w14:paraId="3494A3D2"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0.40</w:t>
            </w:r>
          </w:p>
        </w:tc>
        <w:tc>
          <w:tcPr>
            <w:tcW w:w="305" w:type="pct"/>
            <w:tcBorders>
              <w:top w:val="single" w:sz="4" w:space="0" w:color="auto"/>
              <w:left w:val="single" w:sz="4" w:space="0" w:color="auto"/>
              <w:bottom w:val="nil"/>
              <w:right w:val="single" w:sz="4" w:space="0" w:color="auto"/>
            </w:tcBorders>
            <w:vAlign w:val="center"/>
            <w:hideMark/>
          </w:tcPr>
          <w:p w14:paraId="455D6F94"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&lt;0.001</w:t>
            </w:r>
          </w:p>
        </w:tc>
        <w:tc>
          <w:tcPr>
            <w:tcW w:w="602" w:type="pct"/>
            <w:tcBorders>
              <w:top w:val="single" w:sz="4" w:space="0" w:color="auto"/>
              <w:left w:val="single" w:sz="4" w:space="0" w:color="auto"/>
              <w:bottom w:val="single" w:sz="4" w:space="0" w:color="auto"/>
              <w:right w:val="single" w:sz="4" w:space="0" w:color="auto"/>
            </w:tcBorders>
            <w:vAlign w:val="center"/>
            <w:hideMark/>
          </w:tcPr>
          <w:p w14:paraId="2C8E54C3"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19.6 (13.6, NE)</w:t>
            </w:r>
          </w:p>
        </w:tc>
        <w:tc>
          <w:tcPr>
            <w:tcW w:w="405" w:type="pct"/>
            <w:tcBorders>
              <w:top w:val="single" w:sz="4" w:space="0" w:color="auto"/>
              <w:left w:val="single" w:sz="4" w:space="0" w:color="auto"/>
              <w:bottom w:val="nil"/>
              <w:right w:val="single" w:sz="4" w:space="0" w:color="auto"/>
            </w:tcBorders>
            <w:vAlign w:val="center"/>
            <w:hideMark/>
          </w:tcPr>
          <w:p w14:paraId="6B56881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0.50</w:t>
            </w:r>
          </w:p>
        </w:tc>
        <w:tc>
          <w:tcPr>
            <w:tcW w:w="306" w:type="pct"/>
            <w:tcBorders>
              <w:top w:val="single" w:sz="4" w:space="0" w:color="auto"/>
              <w:left w:val="single" w:sz="4" w:space="0" w:color="auto"/>
              <w:bottom w:val="nil"/>
              <w:right w:val="single" w:sz="4" w:space="0" w:color="auto"/>
            </w:tcBorders>
            <w:vAlign w:val="center"/>
            <w:hideMark/>
          </w:tcPr>
          <w:p w14:paraId="71AEDC19"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0.006</w:t>
            </w:r>
          </w:p>
        </w:tc>
        <w:tc>
          <w:tcPr>
            <w:tcW w:w="578" w:type="pct"/>
            <w:tcBorders>
              <w:top w:val="single" w:sz="4" w:space="0" w:color="auto"/>
              <w:left w:val="single" w:sz="4" w:space="0" w:color="auto"/>
              <w:bottom w:val="single" w:sz="4" w:space="0" w:color="auto"/>
              <w:right w:val="single" w:sz="4" w:space="0" w:color="auto"/>
            </w:tcBorders>
            <w:vAlign w:val="center"/>
            <w:hideMark/>
          </w:tcPr>
          <w:p w14:paraId="5C3EA8E3" w14:textId="7F11EB72"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8.1 (5.7,</w:t>
            </w:r>
            <w:r w:rsidR="004E394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9.4)</w:t>
            </w:r>
          </w:p>
        </w:tc>
        <w:tc>
          <w:tcPr>
            <w:tcW w:w="423" w:type="pct"/>
            <w:tcBorders>
              <w:top w:val="single" w:sz="4" w:space="0" w:color="auto"/>
              <w:left w:val="single" w:sz="4" w:space="0" w:color="auto"/>
              <w:bottom w:val="nil"/>
              <w:right w:val="single" w:sz="4" w:space="0" w:color="auto"/>
            </w:tcBorders>
            <w:vAlign w:val="center"/>
            <w:hideMark/>
          </w:tcPr>
          <w:p w14:paraId="6AE1E567"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0.68</w:t>
            </w:r>
          </w:p>
        </w:tc>
        <w:tc>
          <w:tcPr>
            <w:tcW w:w="310" w:type="pct"/>
            <w:tcBorders>
              <w:top w:val="single" w:sz="4" w:space="0" w:color="auto"/>
              <w:left w:val="single" w:sz="4" w:space="0" w:color="auto"/>
              <w:bottom w:val="nil"/>
              <w:right w:val="single" w:sz="4" w:space="0" w:color="auto"/>
            </w:tcBorders>
            <w:vAlign w:val="center"/>
            <w:hideMark/>
          </w:tcPr>
          <w:p w14:paraId="772A918F"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0.020</w:t>
            </w:r>
          </w:p>
        </w:tc>
      </w:tr>
      <w:tr w:rsidR="000C4977" w:rsidRPr="00870285" w14:paraId="083867E0"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nil"/>
              <w:left w:val="single" w:sz="4" w:space="0" w:color="auto"/>
              <w:bottom w:val="single" w:sz="4" w:space="0" w:color="auto"/>
              <w:right w:val="single" w:sz="4" w:space="0" w:color="auto"/>
            </w:tcBorders>
            <w:hideMark/>
          </w:tcPr>
          <w:p w14:paraId="3B3FA882" w14:textId="5B400CDA"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870285">
              <w:rPr>
                <w:rFonts w:ascii="Arial Narrow" w:eastAsia="Times New Roman" w:hAnsi="Arial Narrow" w:cs="Times New Roman"/>
                <w:color w:val="000000" w:themeColor="text1"/>
                <w:szCs w:val="20"/>
                <w:lang w:eastAsia="zh-CN"/>
              </w:rPr>
              <w:t>2019</w:t>
            </w:r>
          </w:p>
        </w:tc>
        <w:tc>
          <w:tcPr>
            <w:tcW w:w="463" w:type="pct"/>
            <w:tcBorders>
              <w:top w:val="single" w:sz="4" w:space="0" w:color="auto"/>
              <w:left w:val="single" w:sz="4" w:space="0" w:color="auto"/>
              <w:bottom w:val="single" w:sz="4" w:space="0" w:color="auto"/>
              <w:right w:val="single" w:sz="4" w:space="0" w:color="auto"/>
            </w:tcBorders>
            <w:hideMark/>
          </w:tcPr>
          <w:p w14:paraId="1430519B"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Control</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1CB75AA3" w14:textId="4ACF49CA"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10.9 (8.0,</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19.4)</w:t>
            </w:r>
          </w:p>
        </w:tc>
        <w:tc>
          <w:tcPr>
            <w:tcW w:w="447" w:type="pct"/>
            <w:tcBorders>
              <w:top w:val="nil"/>
              <w:left w:val="single" w:sz="4" w:space="0" w:color="auto"/>
              <w:bottom w:val="single" w:sz="4" w:space="0" w:color="auto"/>
              <w:right w:val="single" w:sz="4" w:space="0" w:color="auto"/>
            </w:tcBorders>
            <w:vAlign w:val="center"/>
            <w:hideMark/>
          </w:tcPr>
          <w:p w14:paraId="411CE2F3" w14:textId="1CF0910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(0.27,</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0.62)</w:t>
            </w:r>
          </w:p>
        </w:tc>
        <w:tc>
          <w:tcPr>
            <w:tcW w:w="305" w:type="pct"/>
            <w:tcBorders>
              <w:top w:val="nil"/>
              <w:left w:val="single" w:sz="4" w:space="0" w:color="auto"/>
              <w:bottom w:val="single" w:sz="4" w:space="0" w:color="auto"/>
              <w:right w:val="single" w:sz="4" w:space="0" w:color="auto"/>
            </w:tcBorders>
            <w:vAlign w:val="center"/>
          </w:tcPr>
          <w:p w14:paraId="0C3B65E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5DC1691E" w14:textId="0D4EA3DA"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8.2 (6.7,</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16.8)</w:t>
            </w:r>
          </w:p>
        </w:tc>
        <w:tc>
          <w:tcPr>
            <w:tcW w:w="405" w:type="pct"/>
            <w:tcBorders>
              <w:top w:val="nil"/>
              <w:left w:val="single" w:sz="4" w:space="0" w:color="auto"/>
              <w:bottom w:val="single" w:sz="4" w:space="0" w:color="auto"/>
              <w:right w:val="single" w:sz="4" w:space="0" w:color="auto"/>
            </w:tcBorders>
            <w:vAlign w:val="center"/>
            <w:hideMark/>
          </w:tcPr>
          <w:p w14:paraId="5FEA9D0E" w14:textId="1D828B65"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(0.31,</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0.83)</w:t>
            </w:r>
          </w:p>
        </w:tc>
        <w:tc>
          <w:tcPr>
            <w:tcW w:w="306" w:type="pct"/>
            <w:tcBorders>
              <w:top w:val="nil"/>
              <w:left w:val="single" w:sz="4" w:space="0" w:color="auto"/>
              <w:bottom w:val="single" w:sz="4" w:space="0" w:color="auto"/>
              <w:right w:val="single" w:sz="4" w:space="0" w:color="auto"/>
            </w:tcBorders>
            <w:vAlign w:val="center"/>
          </w:tcPr>
          <w:p w14:paraId="46981746"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53C1B591" w14:textId="1F4EEAFA"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5.4 (4.0,</w:t>
            </w:r>
            <w:r w:rsidR="004E394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7.3)</w:t>
            </w:r>
          </w:p>
        </w:tc>
        <w:tc>
          <w:tcPr>
            <w:tcW w:w="423" w:type="pct"/>
            <w:tcBorders>
              <w:top w:val="nil"/>
              <w:left w:val="single" w:sz="4" w:space="0" w:color="auto"/>
              <w:bottom w:val="single" w:sz="4" w:space="0" w:color="auto"/>
              <w:right w:val="single" w:sz="4" w:space="0" w:color="auto"/>
            </w:tcBorders>
            <w:vAlign w:val="center"/>
            <w:hideMark/>
          </w:tcPr>
          <w:p w14:paraId="495F4D0C" w14:textId="20EFB195"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(0.40,</w:t>
            </w:r>
            <w:r w:rsidR="00BA699A" w:rsidRPr="00870285">
              <w:rPr>
                <w:rFonts w:ascii="Arial Narrow" w:eastAsia="Times New Roman" w:hAnsi="Arial Narrow" w:cs="Times New Roman"/>
                <w:color w:val="000000" w:themeColor="text1"/>
                <w:sz w:val="20"/>
                <w:szCs w:val="20"/>
                <w:lang w:eastAsia="zh-CN"/>
              </w:rPr>
              <w:t xml:space="preserve"> </w:t>
            </w:r>
            <w:r w:rsidRPr="00870285">
              <w:rPr>
                <w:rFonts w:ascii="Arial Narrow" w:eastAsia="Times New Roman" w:hAnsi="Arial Narrow" w:cs="Times New Roman"/>
                <w:color w:val="000000" w:themeColor="text1"/>
                <w:sz w:val="20"/>
                <w:szCs w:val="20"/>
                <w:lang w:eastAsia="zh-CN"/>
              </w:rPr>
              <w:t>0.94)</w:t>
            </w:r>
          </w:p>
        </w:tc>
        <w:tc>
          <w:tcPr>
            <w:tcW w:w="310" w:type="pct"/>
            <w:tcBorders>
              <w:top w:val="nil"/>
              <w:left w:val="single" w:sz="4" w:space="0" w:color="auto"/>
              <w:bottom w:val="single" w:sz="4" w:space="0" w:color="auto"/>
              <w:right w:val="single" w:sz="4" w:space="0" w:color="auto"/>
            </w:tcBorders>
            <w:vAlign w:val="center"/>
          </w:tcPr>
          <w:p w14:paraId="681BA93D"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870285" w14:paraId="7A7D52D1" w14:textId="77777777" w:rsidTr="00A91280">
        <w:tc>
          <w:tcPr>
            <w:cnfStyle w:val="001000000000" w:firstRow="0" w:lastRow="0" w:firstColumn="1" w:lastColumn="0" w:oddVBand="0" w:evenVBand="0" w:oddHBand="0" w:evenHBand="0" w:firstRowFirstColumn="0" w:firstRowLastColumn="0" w:lastRowFirstColumn="0" w:lastRowLastColumn="0"/>
            <w:tcW w:w="1116" w:type="pct"/>
            <w:gridSpan w:val="2"/>
            <w:tcBorders>
              <w:top w:val="single" w:sz="4" w:space="0" w:color="auto"/>
              <w:left w:val="single" w:sz="4" w:space="0" w:color="auto"/>
              <w:bottom w:val="single" w:sz="4" w:space="0" w:color="auto"/>
              <w:right w:val="nil"/>
            </w:tcBorders>
            <w:hideMark/>
          </w:tcPr>
          <w:p w14:paraId="76F5A043" w14:textId="77777777" w:rsidR="000C4977" w:rsidRPr="00870285" w:rsidRDefault="000C4977" w:rsidP="000C4977">
            <w:pPr>
              <w:keepNext/>
              <w:widowControl w:val="0"/>
              <w:spacing w:before="0"/>
              <w:jc w:val="left"/>
              <w:rPr>
                <w:rFonts w:ascii="Arial Narrow" w:eastAsia="Times New Roman" w:hAnsi="Arial Narrow" w:cs="Times New Roman"/>
                <w:b/>
                <w:bCs/>
                <w:color w:val="000000" w:themeColor="text1"/>
                <w:szCs w:val="20"/>
                <w:lang w:eastAsia="zh-CN"/>
              </w:rPr>
            </w:pPr>
            <w:bookmarkStart w:id="52" w:name="_Hlk103554653"/>
            <w:r w:rsidRPr="00870285">
              <w:rPr>
                <w:rFonts w:ascii="Arial Narrow" w:eastAsia="Times New Roman" w:hAnsi="Arial Narrow" w:cs="Times New Roman"/>
                <w:b/>
                <w:bCs/>
                <w:color w:val="000000" w:themeColor="text1"/>
                <w:szCs w:val="20"/>
                <w:lang w:eastAsia="zh-CN"/>
              </w:rPr>
              <w:t>Foundation Medicine assay</w:t>
            </w:r>
          </w:p>
        </w:tc>
        <w:tc>
          <w:tcPr>
            <w:tcW w:w="415" w:type="pct"/>
            <w:tcBorders>
              <w:top w:val="single" w:sz="4" w:space="0" w:color="auto"/>
              <w:left w:val="nil"/>
              <w:bottom w:val="single" w:sz="4" w:space="0" w:color="auto"/>
              <w:right w:val="nil"/>
            </w:tcBorders>
          </w:tcPr>
          <w:p w14:paraId="48122AC4"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40" w:type="pct"/>
            <w:gridSpan w:val="2"/>
            <w:tcBorders>
              <w:top w:val="single" w:sz="4" w:space="0" w:color="auto"/>
              <w:left w:val="nil"/>
              <w:bottom w:val="single" w:sz="4" w:space="0" w:color="auto"/>
              <w:right w:val="nil"/>
            </w:tcBorders>
          </w:tcPr>
          <w:p w14:paraId="7BFF87ED"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5" w:type="pct"/>
            <w:tcBorders>
              <w:top w:val="single" w:sz="4" w:space="0" w:color="auto"/>
              <w:left w:val="nil"/>
              <w:bottom w:val="single" w:sz="4" w:space="0" w:color="auto"/>
              <w:right w:val="nil"/>
            </w:tcBorders>
          </w:tcPr>
          <w:p w14:paraId="150E906D"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602" w:type="pct"/>
            <w:tcBorders>
              <w:top w:val="single" w:sz="4" w:space="0" w:color="auto"/>
              <w:left w:val="nil"/>
              <w:bottom w:val="single" w:sz="4" w:space="0" w:color="auto"/>
              <w:right w:val="nil"/>
            </w:tcBorders>
          </w:tcPr>
          <w:p w14:paraId="6AC76CDA"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05" w:type="pct"/>
            <w:tcBorders>
              <w:top w:val="single" w:sz="4" w:space="0" w:color="auto"/>
              <w:left w:val="nil"/>
              <w:bottom w:val="single" w:sz="4" w:space="0" w:color="auto"/>
              <w:right w:val="nil"/>
            </w:tcBorders>
          </w:tcPr>
          <w:p w14:paraId="7FA7DD6E"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06" w:type="pct"/>
            <w:tcBorders>
              <w:top w:val="single" w:sz="4" w:space="0" w:color="auto"/>
              <w:left w:val="nil"/>
              <w:bottom w:val="single" w:sz="4" w:space="0" w:color="auto"/>
              <w:right w:val="nil"/>
            </w:tcBorders>
          </w:tcPr>
          <w:p w14:paraId="65E6B713"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578" w:type="pct"/>
            <w:tcBorders>
              <w:top w:val="single" w:sz="4" w:space="0" w:color="auto"/>
              <w:left w:val="nil"/>
              <w:bottom w:val="single" w:sz="4" w:space="0" w:color="auto"/>
              <w:right w:val="nil"/>
            </w:tcBorders>
          </w:tcPr>
          <w:p w14:paraId="5F0A4651"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423" w:type="pct"/>
            <w:tcBorders>
              <w:top w:val="single" w:sz="4" w:space="0" w:color="auto"/>
              <w:left w:val="nil"/>
              <w:bottom w:val="single" w:sz="4" w:space="0" w:color="auto"/>
              <w:right w:val="nil"/>
            </w:tcBorders>
          </w:tcPr>
          <w:p w14:paraId="28387947"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310" w:type="pct"/>
            <w:tcBorders>
              <w:top w:val="single" w:sz="4" w:space="0" w:color="auto"/>
              <w:left w:val="nil"/>
              <w:bottom w:val="single" w:sz="4" w:space="0" w:color="auto"/>
              <w:right w:val="single" w:sz="4" w:space="0" w:color="auto"/>
            </w:tcBorders>
          </w:tcPr>
          <w:p w14:paraId="19916932"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bookmarkEnd w:id="52"/>
      <w:tr w:rsidR="000C4977" w:rsidRPr="00870285" w14:paraId="13252D38"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single" w:sz="4" w:space="0" w:color="auto"/>
              <w:left w:val="single" w:sz="4" w:space="0" w:color="auto"/>
              <w:bottom w:val="nil"/>
              <w:right w:val="single" w:sz="4" w:space="0" w:color="auto"/>
            </w:tcBorders>
            <w:hideMark/>
          </w:tcPr>
          <w:p w14:paraId="34DF09D9" w14:textId="00B84244"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870285">
              <w:rPr>
                <w:rFonts w:ascii="Arial Narrow" w:eastAsia="Times New Roman" w:hAnsi="Arial Narrow" w:cs="Times New Roman"/>
                <w:color w:val="000000" w:themeColor="text1"/>
                <w:szCs w:val="20"/>
                <w:lang w:eastAsia="zh-CN"/>
              </w:rPr>
              <w:t>Coleman 2017</w:t>
            </w:r>
            <w:r w:rsidR="00BA699A" w:rsidRPr="00870285">
              <w:rPr>
                <w:rFonts w:ascii="Arial Narrow" w:eastAsia="Times New Roman" w:hAnsi="Arial Narrow" w:cs="Times New Roman"/>
                <w:color w:val="000000" w:themeColor="text1"/>
                <w:szCs w:val="20"/>
                <w:lang w:eastAsia="zh-CN"/>
              </w:rPr>
              <w:t xml:space="preserve"> </w:t>
            </w:r>
            <w:r w:rsidRPr="00870285">
              <w:rPr>
                <w:rFonts w:ascii="Arial Narrow" w:eastAsia="Times New Roman" w:hAnsi="Arial Narrow" w:cs="Times New Roman"/>
                <w:color w:val="000000" w:themeColor="text1"/>
                <w:szCs w:val="20"/>
                <w:vertAlign w:val="superscript"/>
              </w:rPr>
              <w:t>c</w:t>
            </w:r>
          </w:p>
        </w:tc>
        <w:tc>
          <w:tcPr>
            <w:tcW w:w="463" w:type="pct"/>
            <w:tcBorders>
              <w:top w:val="single" w:sz="4" w:space="0" w:color="auto"/>
              <w:left w:val="single" w:sz="4" w:space="0" w:color="auto"/>
              <w:bottom w:val="single" w:sz="4" w:space="0" w:color="auto"/>
              <w:right w:val="single" w:sz="4" w:space="0" w:color="auto"/>
            </w:tcBorders>
            <w:hideMark/>
          </w:tcPr>
          <w:p w14:paraId="6B898F4A"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Intervention</w:t>
            </w:r>
            <w:r w:rsidRPr="00870285">
              <w:rPr>
                <w:rFonts w:ascii="Arial Narrow" w:eastAsia="Times New Roman" w:hAnsi="Arial Narrow" w:cs="Times New Roman"/>
                <w:color w:val="000000" w:themeColor="text1"/>
                <w:sz w:val="20"/>
                <w:szCs w:val="20"/>
                <w:vertAlign w:val="superscript"/>
              </w:rPr>
              <w:t xml:space="preserve"> d</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174AF256"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13.6 months</w:t>
            </w:r>
          </w:p>
        </w:tc>
        <w:tc>
          <w:tcPr>
            <w:tcW w:w="447" w:type="pct"/>
            <w:tcBorders>
              <w:top w:val="single" w:sz="4" w:space="0" w:color="auto"/>
              <w:left w:val="single" w:sz="4" w:space="0" w:color="auto"/>
              <w:bottom w:val="nil"/>
              <w:right w:val="single" w:sz="4" w:space="0" w:color="auto"/>
            </w:tcBorders>
            <w:vAlign w:val="center"/>
            <w:hideMark/>
          </w:tcPr>
          <w:p w14:paraId="313F88D0"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0.32</w:t>
            </w:r>
          </w:p>
        </w:tc>
        <w:tc>
          <w:tcPr>
            <w:tcW w:w="305" w:type="pct"/>
            <w:tcBorders>
              <w:top w:val="single" w:sz="4" w:space="0" w:color="auto"/>
              <w:left w:val="single" w:sz="4" w:space="0" w:color="auto"/>
              <w:bottom w:val="nil"/>
              <w:right w:val="single" w:sz="4" w:space="0" w:color="auto"/>
            </w:tcBorders>
            <w:vAlign w:val="center"/>
            <w:hideMark/>
          </w:tcPr>
          <w:p w14:paraId="6D70568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&lt;0.0001</w:t>
            </w:r>
          </w:p>
        </w:tc>
        <w:tc>
          <w:tcPr>
            <w:tcW w:w="602" w:type="pct"/>
            <w:tcBorders>
              <w:top w:val="single" w:sz="4" w:space="0" w:color="auto"/>
              <w:left w:val="single" w:sz="4" w:space="0" w:color="auto"/>
              <w:bottom w:val="single" w:sz="4" w:space="0" w:color="auto"/>
              <w:right w:val="single" w:sz="4" w:space="0" w:color="auto"/>
            </w:tcBorders>
            <w:vAlign w:val="center"/>
            <w:hideMark/>
          </w:tcPr>
          <w:p w14:paraId="09B5218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NR</w:t>
            </w:r>
          </w:p>
        </w:tc>
        <w:tc>
          <w:tcPr>
            <w:tcW w:w="405" w:type="pct"/>
            <w:tcBorders>
              <w:top w:val="single" w:sz="4" w:space="0" w:color="auto"/>
              <w:left w:val="single" w:sz="4" w:space="0" w:color="auto"/>
              <w:bottom w:val="nil"/>
              <w:right w:val="single" w:sz="4" w:space="0" w:color="auto"/>
            </w:tcBorders>
            <w:vAlign w:val="center"/>
            <w:hideMark/>
          </w:tcPr>
          <w:p w14:paraId="04D4552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0.44</w:t>
            </w:r>
          </w:p>
        </w:tc>
        <w:tc>
          <w:tcPr>
            <w:tcW w:w="306" w:type="pct"/>
            <w:tcBorders>
              <w:top w:val="single" w:sz="4" w:space="0" w:color="auto"/>
              <w:left w:val="single" w:sz="4" w:space="0" w:color="auto"/>
              <w:bottom w:val="nil"/>
              <w:right w:val="single" w:sz="4" w:space="0" w:color="auto"/>
            </w:tcBorders>
            <w:vAlign w:val="center"/>
            <w:hideMark/>
          </w:tcPr>
          <w:p w14:paraId="60D428A3"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highlight w:val="yellow"/>
                <w:lang w:eastAsia="zh-CN"/>
              </w:rPr>
            </w:pPr>
            <w:r w:rsidRPr="00870285">
              <w:rPr>
                <w:rFonts w:ascii="Arial Narrow" w:eastAsia="Times New Roman" w:hAnsi="Arial Narrow" w:cs="Times New Roman"/>
                <w:i/>
                <w:iCs/>
                <w:color w:val="000000" w:themeColor="text1"/>
                <w:sz w:val="20"/>
                <w:szCs w:val="20"/>
                <w:lang w:eastAsia="zh-CN"/>
              </w:rPr>
              <w:t>&lt;0.0001</w:t>
            </w:r>
          </w:p>
        </w:tc>
        <w:tc>
          <w:tcPr>
            <w:tcW w:w="578" w:type="pct"/>
            <w:tcBorders>
              <w:top w:val="single" w:sz="4" w:space="0" w:color="auto"/>
              <w:left w:val="single" w:sz="4" w:space="0" w:color="auto"/>
              <w:bottom w:val="single" w:sz="4" w:space="0" w:color="auto"/>
              <w:right w:val="single" w:sz="4" w:space="0" w:color="auto"/>
            </w:tcBorders>
            <w:vAlign w:val="center"/>
            <w:hideMark/>
          </w:tcPr>
          <w:p w14:paraId="4627E322"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highlight w:val="yellow"/>
                <w:lang w:eastAsia="zh-CN"/>
              </w:rPr>
            </w:pPr>
            <w:r w:rsidRPr="00870285">
              <w:rPr>
                <w:rFonts w:ascii="Arial Narrow" w:eastAsia="Times New Roman" w:hAnsi="Arial Narrow" w:cs="Times New Roman"/>
                <w:i/>
                <w:iCs/>
                <w:color w:val="000000" w:themeColor="text1"/>
                <w:sz w:val="20"/>
                <w:szCs w:val="20"/>
                <w:lang w:eastAsia="zh-CN"/>
              </w:rPr>
              <w:t>NR</w:t>
            </w:r>
          </w:p>
        </w:tc>
        <w:tc>
          <w:tcPr>
            <w:tcW w:w="423" w:type="pct"/>
            <w:tcBorders>
              <w:top w:val="single" w:sz="4" w:space="0" w:color="auto"/>
              <w:left w:val="single" w:sz="4" w:space="0" w:color="auto"/>
              <w:bottom w:val="nil"/>
              <w:right w:val="single" w:sz="4" w:space="0" w:color="auto"/>
            </w:tcBorders>
            <w:vAlign w:val="center"/>
            <w:hideMark/>
          </w:tcPr>
          <w:p w14:paraId="03417B1A"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0.58</w:t>
            </w:r>
          </w:p>
        </w:tc>
        <w:tc>
          <w:tcPr>
            <w:tcW w:w="310" w:type="pct"/>
            <w:tcBorders>
              <w:top w:val="single" w:sz="4" w:space="0" w:color="auto"/>
              <w:left w:val="single" w:sz="4" w:space="0" w:color="auto"/>
              <w:bottom w:val="nil"/>
              <w:right w:val="single" w:sz="4" w:space="0" w:color="auto"/>
            </w:tcBorders>
            <w:vAlign w:val="center"/>
            <w:hideMark/>
          </w:tcPr>
          <w:p w14:paraId="021C4F9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0.0049</w:t>
            </w:r>
          </w:p>
        </w:tc>
      </w:tr>
      <w:tr w:rsidR="000C4977" w:rsidRPr="00870285" w14:paraId="51D92E7C" w14:textId="77777777" w:rsidTr="00A91280">
        <w:tc>
          <w:tcPr>
            <w:cnfStyle w:val="001000000000" w:firstRow="0" w:lastRow="0" w:firstColumn="1" w:lastColumn="0" w:oddVBand="0" w:evenVBand="0" w:oddHBand="0" w:evenHBand="0" w:firstRowFirstColumn="0" w:firstRowLastColumn="0" w:lastRowFirstColumn="0" w:lastRowLastColumn="0"/>
            <w:tcW w:w="653" w:type="pct"/>
            <w:tcBorders>
              <w:top w:val="nil"/>
              <w:left w:val="single" w:sz="4" w:space="0" w:color="auto"/>
              <w:bottom w:val="single" w:sz="4" w:space="0" w:color="auto"/>
              <w:right w:val="single" w:sz="4" w:space="0" w:color="auto"/>
            </w:tcBorders>
          </w:tcPr>
          <w:p w14:paraId="14448905" w14:textId="77777777" w:rsidR="000C4977" w:rsidRPr="00870285" w:rsidRDefault="000C4977" w:rsidP="000C4977">
            <w:pPr>
              <w:keepNext/>
              <w:widowControl w:val="0"/>
              <w:spacing w:before="0"/>
              <w:jc w:val="left"/>
              <w:rPr>
                <w:rFonts w:ascii="Arial Narrow" w:eastAsia="Times New Roman" w:hAnsi="Arial Narrow" w:cs="Times New Roman"/>
                <w:color w:val="000000" w:themeColor="text1"/>
                <w:szCs w:val="20"/>
                <w:lang w:eastAsia="zh-CN"/>
              </w:rPr>
            </w:pPr>
          </w:p>
        </w:tc>
        <w:tc>
          <w:tcPr>
            <w:tcW w:w="463" w:type="pct"/>
            <w:tcBorders>
              <w:top w:val="single" w:sz="4" w:space="0" w:color="auto"/>
              <w:left w:val="single" w:sz="4" w:space="0" w:color="auto"/>
              <w:bottom w:val="single" w:sz="4" w:space="0" w:color="auto"/>
              <w:right w:val="single" w:sz="4" w:space="0" w:color="auto"/>
            </w:tcBorders>
            <w:hideMark/>
          </w:tcPr>
          <w:p w14:paraId="24494234" w14:textId="77777777" w:rsidR="000C4977" w:rsidRPr="00870285" w:rsidRDefault="000C4977" w:rsidP="000C4977">
            <w:pPr>
              <w:keepNext/>
              <w:widowControl w:val="0"/>
              <w:spacing w:befor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870285">
              <w:rPr>
                <w:rFonts w:ascii="Arial Narrow" w:eastAsia="Times New Roman" w:hAnsi="Arial Narrow" w:cs="Times New Roman"/>
                <w:color w:val="000000" w:themeColor="text1"/>
                <w:sz w:val="20"/>
                <w:szCs w:val="20"/>
                <w:lang w:eastAsia="zh-CN"/>
              </w:rPr>
              <w:t xml:space="preserve">  Control</w:t>
            </w: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14:paraId="297D8DD1"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5.4 months</w:t>
            </w:r>
          </w:p>
        </w:tc>
        <w:tc>
          <w:tcPr>
            <w:tcW w:w="447" w:type="pct"/>
            <w:tcBorders>
              <w:top w:val="nil"/>
              <w:left w:val="single" w:sz="4" w:space="0" w:color="auto"/>
              <w:bottom w:val="single" w:sz="4" w:space="0" w:color="auto"/>
              <w:right w:val="single" w:sz="4" w:space="0" w:color="auto"/>
            </w:tcBorders>
            <w:vAlign w:val="center"/>
            <w:hideMark/>
          </w:tcPr>
          <w:p w14:paraId="50B652C8" w14:textId="7F8067B2"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(0.24,</w:t>
            </w:r>
            <w:r w:rsidR="00BA699A" w:rsidRPr="00870285">
              <w:rPr>
                <w:rFonts w:ascii="Arial Narrow" w:eastAsia="Times New Roman" w:hAnsi="Arial Narrow" w:cs="Times New Roman"/>
                <w:i/>
                <w:iCs/>
                <w:color w:val="000000" w:themeColor="text1"/>
                <w:sz w:val="20"/>
                <w:szCs w:val="20"/>
                <w:lang w:eastAsia="zh-CN"/>
              </w:rPr>
              <w:t xml:space="preserve"> </w:t>
            </w:r>
            <w:r w:rsidRPr="00870285">
              <w:rPr>
                <w:rFonts w:ascii="Arial Narrow" w:eastAsia="Times New Roman" w:hAnsi="Arial Narrow" w:cs="Times New Roman"/>
                <w:i/>
                <w:iCs/>
                <w:color w:val="000000" w:themeColor="text1"/>
                <w:sz w:val="20"/>
                <w:szCs w:val="20"/>
                <w:lang w:eastAsia="zh-CN"/>
              </w:rPr>
              <w:t>0.42)</w:t>
            </w:r>
          </w:p>
        </w:tc>
        <w:tc>
          <w:tcPr>
            <w:tcW w:w="305" w:type="pct"/>
            <w:tcBorders>
              <w:top w:val="nil"/>
              <w:left w:val="single" w:sz="4" w:space="0" w:color="auto"/>
              <w:bottom w:val="single" w:sz="4" w:space="0" w:color="auto"/>
              <w:right w:val="single" w:sz="4" w:space="0" w:color="auto"/>
            </w:tcBorders>
            <w:vAlign w:val="center"/>
          </w:tcPr>
          <w:p w14:paraId="7D92A3E9"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p>
        </w:tc>
        <w:tc>
          <w:tcPr>
            <w:tcW w:w="602" w:type="pct"/>
            <w:tcBorders>
              <w:top w:val="single" w:sz="4" w:space="0" w:color="auto"/>
              <w:left w:val="single" w:sz="4" w:space="0" w:color="auto"/>
              <w:bottom w:val="single" w:sz="4" w:space="0" w:color="auto"/>
              <w:right w:val="single" w:sz="4" w:space="0" w:color="auto"/>
            </w:tcBorders>
            <w:vAlign w:val="center"/>
            <w:hideMark/>
          </w:tcPr>
          <w:p w14:paraId="7DA71900"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NR</w:t>
            </w:r>
          </w:p>
        </w:tc>
        <w:tc>
          <w:tcPr>
            <w:tcW w:w="405" w:type="pct"/>
            <w:tcBorders>
              <w:top w:val="nil"/>
              <w:left w:val="single" w:sz="4" w:space="0" w:color="auto"/>
              <w:bottom w:val="single" w:sz="4" w:space="0" w:color="auto"/>
              <w:right w:val="single" w:sz="4" w:space="0" w:color="auto"/>
            </w:tcBorders>
            <w:vAlign w:val="center"/>
            <w:hideMark/>
          </w:tcPr>
          <w:p w14:paraId="0E7722D8" w14:textId="7C171B62"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(0.29,</w:t>
            </w:r>
            <w:r w:rsidR="00BA699A" w:rsidRPr="00870285">
              <w:rPr>
                <w:rFonts w:ascii="Arial Narrow" w:eastAsia="Times New Roman" w:hAnsi="Arial Narrow" w:cs="Times New Roman"/>
                <w:i/>
                <w:iCs/>
                <w:color w:val="000000" w:themeColor="text1"/>
                <w:sz w:val="20"/>
                <w:szCs w:val="20"/>
                <w:lang w:eastAsia="zh-CN"/>
              </w:rPr>
              <w:t xml:space="preserve"> </w:t>
            </w:r>
            <w:r w:rsidRPr="00870285">
              <w:rPr>
                <w:rFonts w:ascii="Arial Narrow" w:eastAsia="Times New Roman" w:hAnsi="Arial Narrow" w:cs="Times New Roman"/>
                <w:i/>
                <w:iCs/>
                <w:color w:val="000000" w:themeColor="text1"/>
                <w:sz w:val="20"/>
                <w:szCs w:val="20"/>
                <w:lang w:eastAsia="zh-CN"/>
              </w:rPr>
              <w:t>0.66)</w:t>
            </w:r>
          </w:p>
        </w:tc>
        <w:tc>
          <w:tcPr>
            <w:tcW w:w="306" w:type="pct"/>
            <w:tcBorders>
              <w:top w:val="nil"/>
              <w:left w:val="single" w:sz="4" w:space="0" w:color="auto"/>
              <w:bottom w:val="single" w:sz="4" w:space="0" w:color="auto"/>
              <w:right w:val="single" w:sz="4" w:space="0" w:color="auto"/>
            </w:tcBorders>
            <w:vAlign w:val="center"/>
          </w:tcPr>
          <w:p w14:paraId="0B80661B"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highlight w:val="yellow"/>
                <w:lang w:eastAsia="zh-CN"/>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57D9BEAC"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highlight w:val="yellow"/>
                <w:lang w:eastAsia="zh-CN"/>
              </w:rPr>
            </w:pPr>
            <w:r w:rsidRPr="00870285">
              <w:rPr>
                <w:rFonts w:ascii="Arial Narrow" w:eastAsia="Times New Roman" w:hAnsi="Arial Narrow" w:cs="Times New Roman"/>
                <w:i/>
                <w:iCs/>
                <w:color w:val="000000" w:themeColor="text1"/>
                <w:sz w:val="20"/>
                <w:szCs w:val="20"/>
                <w:lang w:eastAsia="zh-CN"/>
              </w:rPr>
              <w:t>NR</w:t>
            </w:r>
          </w:p>
        </w:tc>
        <w:tc>
          <w:tcPr>
            <w:tcW w:w="423" w:type="pct"/>
            <w:tcBorders>
              <w:top w:val="nil"/>
              <w:left w:val="single" w:sz="4" w:space="0" w:color="auto"/>
              <w:bottom w:val="single" w:sz="4" w:space="0" w:color="auto"/>
              <w:right w:val="single" w:sz="4" w:space="0" w:color="auto"/>
            </w:tcBorders>
            <w:vAlign w:val="center"/>
            <w:hideMark/>
          </w:tcPr>
          <w:p w14:paraId="5774B469" w14:textId="267C5D13"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870285">
              <w:rPr>
                <w:rFonts w:ascii="Arial Narrow" w:eastAsia="Times New Roman" w:hAnsi="Arial Narrow" w:cs="Times New Roman"/>
                <w:i/>
                <w:iCs/>
                <w:color w:val="000000" w:themeColor="text1"/>
                <w:sz w:val="20"/>
                <w:szCs w:val="20"/>
                <w:lang w:eastAsia="zh-CN"/>
              </w:rPr>
              <w:t>(0.40,</w:t>
            </w:r>
            <w:r w:rsidR="00BA699A" w:rsidRPr="00870285">
              <w:rPr>
                <w:rFonts w:ascii="Arial Narrow" w:eastAsia="Times New Roman" w:hAnsi="Arial Narrow" w:cs="Times New Roman"/>
                <w:i/>
                <w:iCs/>
                <w:color w:val="000000" w:themeColor="text1"/>
                <w:sz w:val="20"/>
                <w:szCs w:val="20"/>
                <w:lang w:eastAsia="zh-CN"/>
              </w:rPr>
              <w:t xml:space="preserve"> </w:t>
            </w:r>
            <w:r w:rsidRPr="00870285">
              <w:rPr>
                <w:rFonts w:ascii="Arial Narrow" w:eastAsia="Times New Roman" w:hAnsi="Arial Narrow" w:cs="Times New Roman"/>
                <w:i/>
                <w:iCs/>
                <w:color w:val="000000" w:themeColor="text1"/>
                <w:sz w:val="20"/>
                <w:szCs w:val="20"/>
                <w:lang w:eastAsia="zh-CN"/>
              </w:rPr>
              <w:t>0.85)</w:t>
            </w:r>
          </w:p>
        </w:tc>
        <w:tc>
          <w:tcPr>
            <w:tcW w:w="310" w:type="pct"/>
            <w:tcBorders>
              <w:top w:val="nil"/>
              <w:left w:val="single" w:sz="4" w:space="0" w:color="auto"/>
              <w:bottom w:val="single" w:sz="4" w:space="0" w:color="auto"/>
              <w:right w:val="single" w:sz="4" w:space="0" w:color="auto"/>
            </w:tcBorders>
            <w:vAlign w:val="center"/>
          </w:tcPr>
          <w:p w14:paraId="3339F783" w14:textId="77777777" w:rsidR="000C4977" w:rsidRPr="00870285"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p>
        </w:tc>
      </w:tr>
    </w:tbl>
    <w:p w14:paraId="13D93958" w14:textId="2817E46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proofErr w:type="spellStart"/>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 breast cancer gene mutation; </w:t>
      </w:r>
      <w:proofErr w:type="spellStart"/>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 xml:space="preserve"> = breast cancer gene wild type; HR = hazard ratio; HRD =</w:t>
      </w:r>
      <w:r w:rsidR="00D9058D">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homologous recombination deficiency; NE = not estimable; NR = not reported; PFS</w:t>
      </w:r>
      <w:r w:rsidR="00D9058D">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rPr>
        <w:t xml:space="preserve"> progression-free survival</w:t>
      </w:r>
    </w:p>
    <w:p w14:paraId="0F79A6D6" w14:textId="77F377AE"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a</w:t>
      </w:r>
      <w:r w:rsidRPr="000C4977">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lang w:eastAsia="zh-CN"/>
        </w:rPr>
        <w:t xml:space="preserve">Details for Coleman 2019 and PAOLA-1 using Myriad </w:t>
      </w:r>
      <w:proofErr w:type="spellStart"/>
      <w:r w:rsidRPr="000C4977">
        <w:rPr>
          <w:rFonts w:ascii="Arial Narrow" w:eastAsia="Times New Roman" w:hAnsi="Arial Narrow" w:cs="Arial"/>
          <w:snapToGrid w:val="0"/>
          <w:sz w:val="18"/>
          <w:szCs w:val="20"/>
          <w:lang w:eastAsia="zh-CN"/>
        </w:rPr>
        <w:t>myChoice</w:t>
      </w:r>
      <w:proofErr w:type="spellEnd"/>
      <w:r w:rsidRPr="000C4977">
        <w:rPr>
          <w:rFonts w:ascii="Arial Narrow" w:eastAsia="Times New Roman" w:hAnsi="Arial Narrow" w:cs="Arial"/>
          <w:snapToGrid w:val="0"/>
          <w:sz w:val="18"/>
          <w:szCs w:val="20"/>
          <w:lang w:eastAsia="zh-CN"/>
        </w:rPr>
        <w:t xml:space="preserve"> </w:t>
      </w:r>
      <w:proofErr w:type="spellStart"/>
      <w:r w:rsidRPr="000C4977">
        <w:rPr>
          <w:rFonts w:ascii="Arial Narrow" w:eastAsia="Times New Roman" w:hAnsi="Arial Narrow" w:cs="Arial"/>
          <w:snapToGrid w:val="0"/>
          <w:sz w:val="18"/>
          <w:szCs w:val="20"/>
          <w:lang w:eastAsia="zh-CN"/>
        </w:rPr>
        <w:t>CDx</w:t>
      </w:r>
      <w:proofErr w:type="spellEnd"/>
      <w:r w:rsidRPr="000C4977">
        <w:rPr>
          <w:rFonts w:ascii="Arial Narrow" w:eastAsia="Times New Roman" w:hAnsi="Arial Narrow" w:cs="Arial"/>
          <w:snapToGrid w:val="0"/>
          <w:sz w:val="18"/>
          <w:szCs w:val="20"/>
          <w:lang w:eastAsia="zh-CN"/>
        </w:rPr>
        <w:t xml:space="preserve"> were not presented in the table as results for the </w:t>
      </w:r>
      <w:proofErr w:type="spellStart"/>
      <w:r w:rsidRPr="000C4977">
        <w:rPr>
          <w:rFonts w:ascii="Arial Narrow" w:eastAsia="Times New Roman" w:hAnsi="Arial Narrow" w:cs="Arial"/>
          <w:snapToGrid w:val="0"/>
          <w:sz w:val="18"/>
          <w:szCs w:val="20"/>
          <w:lang w:eastAsia="zh-CN"/>
        </w:rPr>
        <w:t>HRD+</w:t>
      </w:r>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wt</w:t>
      </w:r>
      <w:proofErr w:type="spellEnd"/>
      <w:r w:rsidRPr="000C4977">
        <w:rPr>
          <w:rFonts w:ascii="Arial Narrow" w:eastAsia="Times New Roman" w:hAnsi="Arial Narrow" w:cs="Arial"/>
          <w:snapToGrid w:val="0"/>
          <w:sz w:val="18"/>
          <w:szCs w:val="20"/>
          <w:lang w:eastAsia="zh-CN"/>
        </w:rPr>
        <w:t xml:space="preserve"> and </w:t>
      </w:r>
      <w:proofErr w:type="spellStart"/>
      <w:r w:rsidRPr="000C4977">
        <w:rPr>
          <w:rFonts w:ascii="Arial Narrow" w:eastAsia="Times New Roman" w:hAnsi="Arial Narrow" w:cs="Arial"/>
          <w:snapToGrid w:val="0"/>
          <w:sz w:val="18"/>
          <w:szCs w:val="20"/>
          <w:lang w:eastAsia="zh-CN"/>
        </w:rPr>
        <w:t>HRD+</w:t>
      </w:r>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m</w:t>
      </w:r>
      <w:proofErr w:type="spellEnd"/>
      <w:r w:rsidRPr="000C4977">
        <w:rPr>
          <w:rFonts w:ascii="Arial Narrow" w:eastAsia="Times New Roman" w:hAnsi="Arial Narrow" w:cs="Arial"/>
          <w:snapToGrid w:val="0"/>
          <w:sz w:val="18"/>
          <w:szCs w:val="20"/>
          <w:lang w:eastAsia="zh-CN"/>
        </w:rPr>
        <w:t xml:space="preserve"> subpopulations were not reported.</w:t>
      </w:r>
    </w:p>
    <w:p w14:paraId="49020641" w14:textId="0CDCD9ED"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HRD+ </w:t>
      </w:r>
      <w:proofErr w:type="spellStart"/>
      <w:r w:rsidRPr="000C4977">
        <w:rPr>
          <w:rFonts w:ascii="Arial Narrow" w:eastAsia="Times New Roman" w:hAnsi="Arial Narrow" w:cs="Arial"/>
          <w:i/>
          <w:iCs/>
          <w:snapToGrid w:val="0"/>
          <w:sz w:val="18"/>
          <w:szCs w:val="20"/>
        </w:rPr>
        <w:t>BRCA</w:t>
      </w:r>
      <w:r w:rsidRPr="005B2AFE">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results reflect all HRD positive including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but does not explicitly exclude HRD positive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w:t>
      </w:r>
    </w:p>
    <w:p w14:paraId="6DB6D363"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c</w:t>
      </w:r>
      <w:r w:rsidRPr="000C4977">
        <w:rPr>
          <w:rFonts w:ascii="Arial Narrow" w:eastAsia="Times New Roman" w:hAnsi="Arial Narrow" w:cs="Arial"/>
          <w:snapToGrid w:val="0"/>
          <w:sz w:val="18"/>
          <w:szCs w:val="20"/>
        </w:rPr>
        <w:t xml:space="preserve"> HRD positive status determined by high-LOH above 16%</w:t>
      </w:r>
    </w:p>
    <w:p w14:paraId="19D86CC3"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 xml:space="preserve">d </w:t>
      </w:r>
      <w:r w:rsidRPr="000C4977">
        <w:rPr>
          <w:rFonts w:ascii="Arial Narrow" w:eastAsia="Times New Roman" w:hAnsi="Arial Narrow" w:cs="Arial"/>
          <w:snapToGrid w:val="0"/>
          <w:sz w:val="18"/>
          <w:szCs w:val="20"/>
        </w:rPr>
        <w:t>Intervention group received PARP inhibitor throughout (defined as chemotherapy plus PARP inhibitor followed by PARP inhibitor maintenance)</w:t>
      </w:r>
    </w:p>
    <w:p w14:paraId="1ED1289E" w14:textId="0656CBA6" w:rsidR="000C4977" w:rsidRPr="00BA699A" w:rsidRDefault="00BA699A" w:rsidP="00FC3969">
      <w:pPr>
        <w:keepNext/>
        <w:widowControl w:val="0"/>
        <w:spacing w:before="0" w:after="0"/>
        <w:contextualSpacing/>
        <w:rPr>
          <w:rFonts w:ascii="Arial Narrow" w:eastAsia="Times New Roman" w:hAnsi="Arial Narrow" w:cs="Arial"/>
          <w:i/>
          <w:iCs/>
          <w:snapToGrid w:val="0"/>
          <w:sz w:val="18"/>
          <w:szCs w:val="20"/>
        </w:rPr>
      </w:pPr>
      <w:r w:rsidRPr="00BA699A">
        <w:rPr>
          <w:rFonts w:ascii="Arial Narrow" w:eastAsia="Times New Roman" w:hAnsi="Arial Narrow" w:cs="Arial"/>
          <w:i/>
          <w:iCs/>
          <w:snapToGrid w:val="0"/>
          <w:sz w:val="18"/>
          <w:szCs w:val="20"/>
        </w:rPr>
        <w:t xml:space="preserve">Results </w:t>
      </w:r>
      <w:r w:rsidR="000C4977" w:rsidRPr="00BA699A">
        <w:rPr>
          <w:rFonts w:ascii="Arial Narrow" w:eastAsia="Times New Roman" w:hAnsi="Arial Narrow" w:cs="Arial"/>
          <w:i/>
          <w:iCs/>
          <w:snapToGrid w:val="0"/>
          <w:sz w:val="18"/>
          <w:szCs w:val="20"/>
        </w:rPr>
        <w:t>in italics indicate values extracted during evaluation as incorrect text was provided in the submission.</w:t>
      </w:r>
    </w:p>
    <w:p w14:paraId="590FFC94"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2.53, p121 of the submission.</w:t>
      </w:r>
    </w:p>
    <w:p w14:paraId="5559A908" w14:textId="77777777" w:rsidR="000C4977" w:rsidRPr="000C4977" w:rsidRDefault="000C4977" w:rsidP="000C4977"/>
    <w:p w14:paraId="6BB68DFE" w14:textId="77777777" w:rsidR="000C4977" w:rsidRPr="000C4977" w:rsidRDefault="000C4977" w:rsidP="000C4977">
      <w:pPr>
        <w:spacing w:before="0" w:after="0"/>
        <w:jc w:val="left"/>
        <w:sectPr w:rsidR="000C4977" w:rsidRPr="000C4977" w:rsidSect="00A91280">
          <w:pgSz w:w="16838" w:h="11906" w:orient="landscape"/>
          <w:pgMar w:top="1440" w:right="1440" w:bottom="1440" w:left="1440" w:header="708" w:footer="708" w:gutter="0"/>
          <w:cols w:space="720"/>
        </w:sectPr>
      </w:pPr>
    </w:p>
    <w:p w14:paraId="55722D4D" w14:textId="77777777" w:rsidR="000C4977" w:rsidRPr="000C4977" w:rsidRDefault="000C4977" w:rsidP="000C4977">
      <w:pPr>
        <w:spacing w:line="259" w:lineRule="auto"/>
        <w:jc w:val="left"/>
        <w:rPr>
          <w:lang w:eastAsia="zh-CN"/>
        </w:rPr>
      </w:pPr>
      <w:r w:rsidRPr="000C4977">
        <w:rPr>
          <w:lang w:eastAsia="zh-CN"/>
        </w:rPr>
        <w:lastRenderedPageBreak/>
        <w:t xml:space="preserve">Results for Coleman 2019 and PAOLA-1 using Myriad </w:t>
      </w:r>
      <w:proofErr w:type="spellStart"/>
      <w:r w:rsidRPr="000C4977">
        <w:rPr>
          <w:lang w:eastAsia="zh-CN"/>
        </w:rPr>
        <w:t>myChoice</w:t>
      </w:r>
      <w:proofErr w:type="spellEnd"/>
      <w:r w:rsidRPr="000C4977">
        <w:rPr>
          <w:lang w:eastAsia="zh-CN"/>
        </w:rPr>
        <w:t xml:space="preserve"> </w:t>
      </w:r>
      <w:proofErr w:type="spellStart"/>
      <w:r w:rsidRPr="000C4977">
        <w:rPr>
          <w:lang w:eastAsia="zh-CN"/>
        </w:rPr>
        <w:t>CDx</w:t>
      </w:r>
      <w:proofErr w:type="spellEnd"/>
      <w:r w:rsidRPr="000C4977">
        <w:rPr>
          <w:lang w:eastAsia="zh-CN"/>
        </w:rPr>
        <w:t xml:space="preserve"> were not presented in the table as results for the HRD positive </w:t>
      </w:r>
      <w:proofErr w:type="spellStart"/>
      <w:r w:rsidRPr="000C4977">
        <w:rPr>
          <w:i/>
          <w:iCs/>
          <w:lang w:eastAsia="zh-CN"/>
        </w:rPr>
        <w:t>BRCA</w:t>
      </w:r>
      <w:r w:rsidRPr="000C4977">
        <w:rPr>
          <w:lang w:eastAsia="zh-CN"/>
        </w:rPr>
        <w:t>wt</w:t>
      </w:r>
      <w:proofErr w:type="spellEnd"/>
      <w:r w:rsidRPr="000C4977">
        <w:rPr>
          <w:lang w:eastAsia="zh-CN"/>
        </w:rPr>
        <w:t xml:space="preserve"> and HRD positive </w:t>
      </w:r>
      <w:proofErr w:type="spellStart"/>
      <w:r w:rsidRPr="000C4977">
        <w:rPr>
          <w:i/>
          <w:iCs/>
          <w:lang w:eastAsia="zh-CN"/>
        </w:rPr>
        <w:t>BRCA</w:t>
      </w:r>
      <w:r w:rsidRPr="000C4977">
        <w:rPr>
          <w:lang w:eastAsia="zh-CN"/>
        </w:rPr>
        <w:t>m</w:t>
      </w:r>
      <w:proofErr w:type="spellEnd"/>
      <w:r w:rsidRPr="000C4977">
        <w:rPr>
          <w:lang w:eastAsia="zh-CN"/>
        </w:rPr>
        <w:t xml:space="preserve"> subpopulations were not reported. Instead:</w:t>
      </w:r>
    </w:p>
    <w:p w14:paraId="1840CFB2" w14:textId="77777777" w:rsidR="000C4977" w:rsidRPr="000C4977" w:rsidRDefault="000C4977" w:rsidP="000C4977">
      <w:pPr>
        <w:numPr>
          <w:ilvl w:val="0"/>
          <w:numId w:val="12"/>
        </w:numPr>
        <w:spacing w:after="120" w:line="259" w:lineRule="auto"/>
        <w:jc w:val="left"/>
        <w:rPr>
          <w:lang w:eastAsia="zh-CN"/>
        </w:rPr>
      </w:pPr>
      <w:r w:rsidRPr="000C4977">
        <w:rPr>
          <w:lang w:eastAsia="zh-CN"/>
        </w:rPr>
        <w:t xml:space="preserve">In Coleman 2019, results comparing treatment with veliparib versus the placebo arm for the HRD positive (PFS HR = 0.58, 95% CI 0.44, 0.76), the HRD negative (PFS HR = 0.81, 95% CI 0.60, 1.09) and the nonmutated </w:t>
      </w:r>
      <w:r w:rsidRPr="000C4977">
        <w:rPr>
          <w:i/>
          <w:lang w:eastAsia="zh-CN"/>
        </w:rPr>
        <w:t>BRCA</w:t>
      </w:r>
      <w:r w:rsidRPr="000C4977">
        <w:rPr>
          <w:lang w:eastAsia="zh-CN"/>
        </w:rPr>
        <w:t xml:space="preserve"> (PFS HR = 0.80, 95% CI 0.64, 1.00) sub-populations were provided.; and</w:t>
      </w:r>
    </w:p>
    <w:p w14:paraId="096CA8A6" w14:textId="4D6C82A7" w:rsidR="000C4977" w:rsidRPr="000C4977" w:rsidRDefault="000C4977" w:rsidP="000C4977">
      <w:pPr>
        <w:numPr>
          <w:ilvl w:val="0"/>
          <w:numId w:val="12"/>
        </w:numPr>
        <w:spacing w:after="120" w:line="259" w:lineRule="auto"/>
        <w:jc w:val="left"/>
        <w:rPr>
          <w:lang w:eastAsia="zh-CN"/>
        </w:rPr>
      </w:pPr>
      <w:r w:rsidRPr="000C4977">
        <w:rPr>
          <w:lang w:eastAsia="zh-CN"/>
        </w:rPr>
        <w:t xml:space="preserve">When using Myriad </w:t>
      </w:r>
      <w:proofErr w:type="spellStart"/>
      <w:r w:rsidRPr="000C4977">
        <w:rPr>
          <w:lang w:eastAsia="zh-CN"/>
        </w:rPr>
        <w:t>myChoice</w:t>
      </w:r>
      <w:proofErr w:type="spellEnd"/>
      <w:r w:rsidRPr="000C4977">
        <w:rPr>
          <w:lang w:eastAsia="zh-CN"/>
        </w:rPr>
        <w:t xml:space="preserve"> </w:t>
      </w:r>
      <w:proofErr w:type="spellStart"/>
      <w:r w:rsidRPr="000C4977">
        <w:rPr>
          <w:lang w:eastAsia="zh-CN"/>
        </w:rPr>
        <w:t>CDx</w:t>
      </w:r>
      <w:proofErr w:type="spellEnd"/>
      <w:r w:rsidRPr="000C4977">
        <w:rPr>
          <w:lang w:eastAsia="zh-CN"/>
        </w:rPr>
        <w:t xml:space="preserve"> and a GIS threshold of 42 to define HRD positivity for HRD in PAOLA-1 (as reported in the Myriad </w:t>
      </w:r>
      <w:proofErr w:type="spellStart"/>
      <w:r w:rsidRPr="000C4977">
        <w:rPr>
          <w:lang w:eastAsia="zh-CN"/>
        </w:rPr>
        <w:t>myChoice</w:t>
      </w:r>
      <w:proofErr w:type="spellEnd"/>
      <w:r w:rsidRPr="000C4977">
        <w:rPr>
          <w:lang w:eastAsia="zh-CN"/>
        </w:rPr>
        <w:t xml:space="preserve"> </w:t>
      </w:r>
      <w:proofErr w:type="spellStart"/>
      <w:r w:rsidRPr="000C4977">
        <w:rPr>
          <w:lang w:eastAsia="zh-CN"/>
        </w:rPr>
        <w:t>CDx</w:t>
      </w:r>
      <w:proofErr w:type="spellEnd"/>
      <w:r w:rsidRPr="000C4977">
        <w:rPr>
          <w:lang w:eastAsia="zh-CN"/>
        </w:rPr>
        <w:t xml:space="preserve"> technical document), the PFS HR in HRD positive tumours was 0.35 (95% CI 0.26, 0.48) and in HRD negative tumours it was 1.00 (0.75, 1.34).</w:t>
      </w:r>
    </w:p>
    <w:p w14:paraId="288E98A3" w14:textId="77777777" w:rsidR="000C4977" w:rsidRPr="00FF1136" w:rsidRDefault="000C4977" w:rsidP="000C4977">
      <w:pPr>
        <w:spacing w:line="259" w:lineRule="auto"/>
        <w:jc w:val="left"/>
      </w:pPr>
      <w:r w:rsidRPr="000C4977">
        <w:t xml:space="preserve">PAOLA-1 (using Myriad </w:t>
      </w:r>
      <w:proofErr w:type="spellStart"/>
      <w:r w:rsidRPr="000C4977">
        <w:t>myChoice</w:t>
      </w:r>
      <w:proofErr w:type="spellEnd"/>
      <w:r w:rsidRPr="000C4977">
        <w:t xml:space="preserve"> HRD plus) reported that patients with HRD positive </w:t>
      </w:r>
      <w:proofErr w:type="spellStart"/>
      <w:r w:rsidRPr="000C4977">
        <w:rPr>
          <w:i/>
          <w:iCs/>
        </w:rPr>
        <w:t>BRCA</w:t>
      </w:r>
      <w:r w:rsidRPr="000C4977">
        <w:t>wt</w:t>
      </w:r>
      <w:proofErr w:type="spellEnd"/>
      <w:r w:rsidRPr="000C4977">
        <w:t xml:space="preserve"> and HRD positive </w:t>
      </w:r>
      <w:proofErr w:type="spellStart"/>
      <w:r w:rsidRPr="000C4977">
        <w:rPr>
          <w:i/>
          <w:iCs/>
        </w:rPr>
        <w:t>BRCA</w:t>
      </w:r>
      <w:r w:rsidRPr="000C4977">
        <w:t>m</w:t>
      </w:r>
      <w:proofErr w:type="spellEnd"/>
      <w:r w:rsidRPr="000C4977">
        <w:t xml:space="preserve"> tumours had improved median PFS with </w:t>
      </w:r>
      <w:proofErr w:type="spellStart"/>
      <w:r w:rsidRPr="000C4977">
        <w:t>olaparib</w:t>
      </w:r>
      <w:proofErr w:type="spellEnd"/>
      <w:r w:rsidRPr="000C4977">
        <w:t xml:space="preserve"> plus bevacizumab compared to patients receiving placebo plus bevacizumab whereas in patients with HRD negative tumours PFS similar between the treatment arms, indicating that HRD positivity appears to be predictive of a response to </w:t>
      </w:r>
      <w:proofErr w:type="spellStart"/>
      <w:r w:rsidRPr="000C4977">
        <w:t>olaparib</w:t>
      </w:r>
      <w:proofErr w:type="spellEnd"/>
      <w:r w:rsidRPr="000C4977">
        <w:t>. However, HRD subgroups in PAOLA-1 were considered exploratory and were not included in the statistical analysis plan therefore results should be interpreted with caution.</w:t>
      </w:r>
    </w:p>
    <w:p w14:paraId="01825EC4" w14:textId="56DD2D50" w:rsidR="000C4977" w:rsidRPr="002B3741" w:rsidRDefault="000C4977" w:rsidP="000C4977">
      <w:pPr>
        <w:spacing w:line="259" w:lineRule="auto"/>
        <w:jc w:val="left"/>
      </w:pPr>
      <w:r w:rsidRPr="000C4977">
        <w:t xml:space="preserve">Results from the other studies however did not necessarily support the conclusion of PAOLA-1. For example, Gonzalez-Martin 2019 (which used a threshold of 42) reported that niraparib was effective in both HRD positive (PFS HR = 0.50, 95% CI 0.31, 0.83) and negative patients (PFS HR = 0.68, 95% CI 0.40, 0.94) though it was marginally more effective in the HRD positive population. Coleman 2017 (HRD positive status determined by high-LOH above 16%, second line study) reported that patients with HRD positive </w:t>
      </w:r>
      <w:proofErr w:type="spellStart"/>
      <w:r w:rsidRPr="000C4977">
        <w:rPr>
          <w:i/>
        </w:rPr>
        <w:t>BRCA</w:t>
      </w:r>
      <w:r w:rsidRPr="000C4977">
        <w:t>wt</w:t>
      </w:r>
      <w:proofErr w:type="spellEnd"/>
      <w:r w:rsidRPr="000C4977">
        <w:t xml:space="preserve"> tumours (PFS HR = 0.44, 95% CI 0.29, 0.66), HRD positive </w:t>
      </w:r>
      <w:proofErr w:type="spellStart"/>
      <w:r w:rsidRPr="000C4977">
        <w:rPr>
          <w:i/>
        </w:rPr>
        <w:t>BRCA</w:t>
      </w:r>
      <w:r w:rsidRPr="000C4977">
        <w:t>m</w:t>
      </w:r>
      <w:proofErr w:type="spellEnd"/>
      <w:r w:rsidRPr="000C4977">
        <w:t xml:space="preserve"> tumours (PFS HR = 0.32, 95% CI 0.24, 0.42) and HRD negative tumours (PFS HR = 0.58, 95% CI 0.40, 0.85) were all benefited by rucaparib treatment verses </w:t>
      </w:r>
      <w:r w:rsidRPr="002B3741">
        <w:t>placebo.</w:t>
      </w:r>
    </w:p>
    <w:p w14:paraId="017A2580" w14:textId="7E203E6F" w:rsidR="000C4977" w:rsidRPr="000C4977" w:rsidRDefault="000C4977" w:rsidP="000C4977">
      <w:pPr>
        <w:spacing w:line="259" w:lineRule="auto"/>
        <w:jc w:val="left"/>
      </w:pPr>
      <w:r w:rsidRPr="002B3741">
        <w:t xml:space="preserve">Overall, the commentary considered that not all studies supported the claim that HRD positivity was correlated with improved PFS with treatment with PARP inhibitors, with PAOLA-1 (using Myriad </w:t>
      </w:r>
      <w:proofErr w:type="spellStart"/>
      <w:r w:rsidRPr="002B3741">
        <w:t>myChoice</w:t>
      </w:r>
      <w:proofErr w:type="spellEnd"/>
      <w:r w:rsidRPr="002B3741">
        <w:t xml:space="preserve"> HRD plus classification) reporting the largest difference between HRD positive </w:t>
      </w:r>
      <w:proofErr w:type="spellStart"/>
      <w:r w:rsidRPr="002B3741">
        <w:rPr>
          <w:i/>
          <w:iCs/>
        </w:rPr>
        <w:t>BRCA</w:t>
      </w:r>
      <w:r w:rsidRPr="002B3741">
        <w:t>wt</w:t>
      </w:r>
      <w:proofErr w:type="spellEnd"/>
      <w:r w:rsidRPr="002B3741">
        <w:t xml:space="preserve"> (PFS HR = 0.43) and HRD negative patients (PFS HR = 1.00). Additionally, no evidence on the longitudinal accuracy using OS, which was likely more clinically relevant, was provided</w:t>
      </w:r>
      <w:r w:rsidRPr="000C4977">
        <w:t xml:space="preserve">. It is noted that OS results were not statistically significantly different between patients treated with </w:t>
      </w:r>
      <w:proofErr w:type="spellStart"/>
      <w:r w:rsidRPr="000C4977">
        <w:t>olaparib</w:t>
      </w:r>
      <w:proofErr w:type="spellEnd"/>
      <w:r w:rsidRPr="000C4977">
        <w:t xml:space="preserve"> plus bevacizumab compared to bevacizumab monotherapy in PAOLA-1 (OS HR = 0.84, 95% CI 0.46, 1.52) though it is acknowledged that the data is immature.</w:t>
      </w:r>
    </w:p>
    <w:p w14:paraId="45FD5DFE" w14:textId="77777777" w:rsidR="000C4977" w:rsidRPr="00FF1136" w:rsidRDefault="000C4977" w:rsidP="00105CF3">
      <w:pPr>
        <w:keepNext/>
        <w:keepLines/>
        <w:tabs>
          <w:tab w:val="left" w:pos="851"/>
        </w:tabs>
        <w:spacing w:before="360" w:after="200" w:line="259" w:lineRule="auto"/>
        <w:jc w:val="left"/>
        <w:outlineLvl w:val="3"/>
        <w:rPr>
          <w:rFonts w:ascii="Franklin Gothic Medium" w:eastAsiaTheme="majorEastAsia" w:hAnsi="Franklin Gothic Medium" w:cstheme="majorBidi"/>
          <w:szCs w:val="24"/>
        </w:rPr>
      </w:pPr>
      <w:bookmarkStart w:id="53" w:name="_Ref103673568"/>
      <w:r w:rsidRPr="00FF1136">
        <w:rPr>
          <w:rFonts w:ascii="Franklin Gothic Medium" w:eastAsiaTheme="majorEastAsia" w:hAnsi="Franklin Gothic Medium" w:cstheme="majorBidi"/>
          <w:szCs w:val="24"/>
        </w:rPr>
        <w:t>Prognostic evidence</w:t>
      </w:r>
      <w:bookmarkEnd w:id="53"/>
    </w:p>
    <w:p w14:paraId="240BAAFC" w14:textId="62CA29D7" w:rsidR="000C4977" w:rsidRPr="000C4977" w:rsidRDefault="000C4977" w:rsidP="000C4977">
      <w:pPr>
        <w:spacing w:line="259" w:lineRule="auto"/>
        <w:jc w:val="left"/>
      </w:pPr>
      <w:r w:rsidRPr="000C4977">
        <w:t>The submission identified seven ovarian cancer studies that investigated the prognostic impact of HRD, including five RCTs (PAOLA-1, Coleman 2017, Gonzalez-Martin 2019, Mirza 2016, VELIA) and two population-based cohort studies (</w:t>
      </w:r>
      <w:proofErr w:type="spellStart"/>
      <w:r w:rsidRPr="000C4977">
        <w:t>Hjortkjaer</w:t>
      </w:r>
      <w:proofErr w:type="spellEnd"/>
      <w:r w:rsidRPr="000C4977">
        <w:t xml:space="preserve"> 2019, </w:t>
      </w:r>
      <w:proofErr w:type="spellStart"/>
      <w:r w:rsidRPr="000C4977">
        <w:t>Lecuelle</w:t>
      </w:r>
      <w:proofErr w:type="spellEnd"/>
      <w:r w:rsidRPr="000C4977">
        <w:t xml:space="preserve"> 2021). </w:t>
      </w:r>
      <w:proofErr w:type="spellStart"/>
      <w:r w:rsidRPr="000C4977">
        <w:t>Hjortkjaer</w:t>
      </w:r>
      <w:proofErr w:type="spellEnd"/>
      <w:r w:rsidRPr="000C4977">
        <w:t xml:space="preserve"> 2019 and </w:t>
      </w:r>
      <w:proofErr w:type="spellStart"/>
      <w:r w:rsidRPr="000C4977">
        <w:t>Lecuelle</w:t>
      </w:r>
      <w:proofErr w:type="spellEnd"/>
      <w:r w:rsidRPr="000C4977">
        <w:t xml:space="preserve"> 2021 reported overall survival results by HRR mutation, </w:t>
      </w:r>
      <w:proofErr w:type="spellStart"/>
      <w:r w:rsidRPr="00042821">
        <w:rPr>
          <w:i/>
          <w:iCs/>
        </w:rPr>
        <w:t>BRCA</w:t>
      </w:r>
      <w:r w:rsidRPr="000C4977">
        <w:t>ness</w:t>
      </w:r>
      <w:proofErr w:type="spellEnd"/>
      <w:r w:rsidRPr="000C4977">
        <w:t xml:space="preserve"> phenotypes and germline </w:t>
      </w:r>
      <w:r w:rsidRPr="00F35E31">
        <w:rPr>
          <w:i/>
          <w:iCs/>
        </w:rPr>
        <w:t>BRCA</w:t>
      </w:r>
      <w:r w:rsidRPr="000C4977">
        <w:t xml:space="preserve"> status, and the relevance of these subgroups to the requested population (HRD positive </w:t>
      </w:r>
      <w:proofErr w:type="spellStart"/>
      <w:r w:rsidRPr="00FF1136">
        <w:rPr>
          <w:i/>
          <w:iCs/>
        </w:rPr>
        <w:t>BRCA</w:t>
      </w:r>
      <w:r w:rsidRPr="000C4977">
        <w:t>wt</w:t>
      </w:r>
      <w:proofErr w:type="spellEnd"/>
      <w:r w:rsidRPr="000C4977">
        <w:t>) was unclear, therefore these results have not been presented here but can be found in Table 2A.6 and 2A.7 of the commentary. The VELIA study appears to be the same as Coleman 2019 reported for the longitudinal study</w:t>
      </w:r>
      <w:r w:rsidRPr="000C4977">
        <w:rPr>
          <w:i/>
          <w:iCs/>
        </w:rPr>
        <w:t xml:space="preserve">. </w:t>
      </w:r>
      <w:r w:rsidR="009440A6">
        <w:fldChar w:fldCharType="begin"/>
      </w:r>
      <w:r w:rsidR="009440A6">
        <w:rPr>
          <w:i/>
          <w:iCs/>
        </w:rPr>
        <w:instrText xml:space="preserve"> REF _Ref111818372 \h </w:instrText>
      </w:r>
      <w:r w:rsidR="009440A6">
        <w:fldChar w:fldCharType="separate"/>
      </w:r>
      <w:r w:rsidR="00D8603B">
        <w:t xml:space="preserve">Table </w:t>
      </w:r>
      <w:r w:rsidR="00D8603B">
        <w:rPr>
          <w:noProof/>
        </w:rPr>
        <w:t>17</w:t>
      </w:r>
      <w:r w:rsidR="009440A6">
        <w:fldChar w:fldCharType="end"/>
      </w:r>
      <w:r w:rsidR="009440A6">
        <w:t xml:space="preserve"> </w:t>
      </w:r>
      <w:r w:rsidRPr="000C4977">
        <w:t>reports the median PFS from five out of the seven prognostic studies.</w:t>
      </w:r>
    </w:p>
    <w:p w14:paraId="107F5010" w14:textId="1D2D4C74" w:rsidR="009440A6" w:rsidRDefault="009440A6" w:rsidP="009440A6">
      <w:pPr>
        <w:pStyle w:val="Caption"/>
      </w:pPr>
      <w:bookmarkStart w:id="54" w:name="_Ref111818372"/>
      <w:r>
        <w:lastRenderedPageBreak/>
        <w:t xml:space="preserve">Table </w:t>
      </w:r>
      <w:fldSimple w:instr=" SEQ Table \* ARABIC ">
        <w:r w:rsidR="00D8603B">
          <w:rPr>
            <w:noProof/>
          </w:rPr>
          <w:t>17</w:t>
        </w:r>
      </w:fldSimple>
      <w:bookmarkEnd w:id="54"/>
      <w:r w:rsidR="00BE0DF9">
        <w:rPr>
          <w:noProof/>
        </w:rPr>
        <w:tab/>
      </w:r>
      <w:r w:rsidRPr="009440A6">
        <w:rPr>
          <w:bCs/>
          <w:iCs w:val="0"/>
        </w:rPr>
        <w:t>Summary of PFS according to tumour mutation in prognostic studies in patients receiving standard of care</w:t>
      </w:r>
    </w:p>
    <w:tbl>
      <w:tblPr>
        <w:tblStyle w:val="AZTable11"/>
        <w:tblW w:w="5000" w:type="pct"/>
        <w:tblLook w:val="04A0" w:firstRow="1" w:lastRow="0" w:firstColumn="1" w:lastColumn="0" w:noHBand="0" w:noVBand="1"/>
      </w:tblPr>
      <w:tblGrid>
        <w:gridCol w:w="1130"/>
        <w:gridCol w:w="867"/>
        <w:gridCol w:w="1260"/>
        <w:gridCol w:w="1134"/>
        <w:gridCol w:w="1183"/>
        <w:gridCol w:w="1150"/>
        <w:gridCol w:w="1149"/>
        <w:gridCol w:w="1143"/>
      </w:tblGrid>
      <w:tr w:rsidR="000C4977" w:rsidRPr="009440A6" w14:paraId="7A9D900B" w14:textId="77777777" w:rsidTr="00E15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399AAE25" w14:textId="77777777" w:rsidR="000C4977" w:rsidRPr="009440A6" w:rsidRDefault="000C4977" w:rsidP="000C4977">
            <w:pPr>
              <w:keepNext/>
              <w:keepLines/>
              <w:widowControl w:val="0"/>
              <w:spacing w:before="0"/>
              <w:jc w:val="center"/>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Study ID</w:t>
            </w:r>
          </w:p>
        </w:tc>
        <w:tc>
          <w:tcPr>
            <w:tcW w:w="481" w:type="pct"/>
            <w:tcBorders>
              <w:top w:val="single" w:sz="4" w:space="0" w:color="auto"/>
              <w:left w:val="single" w:sz="4" w:space="0" w:color="auto"/>
              <w:bottom w:val="single" w:sz="4" w:space="0" w:color="auto"/>
              <w:right w:val="single" w:sz="4" w:space="0" w:color="auto"/>
            </w:tcBorders>
            <w:hideMark/>
          </w:tcPr>
          <w:p w14:paraId="7E179DAD"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Setting</w:t>
            </w:r>
          </w:p>
        </w:tc>
        <w:tc>
          <w:tcPr>
            <w:tcW w:w="699" w:type="pct"/>
            <w:tcBorders>
              <w:top w:val="single" w:sz="4" w:space="0" w:color="auto"/>
              <w:left w:val="single" w:sz="4" w:space="0" w:color="auto"/>
              <w:bottom w:val="single" w:sz="4" w:space="0" w:color="auto"/>
              <w:right w:val="single" w:sz="4" w:space="0" w:color="auto"/>
            </w:tcBorders>
            <w:hideMark/>
          </w:tcPr>
          <w:p w14:paraId="6B08E6B0"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proofErr w:type="spellStart"/>
            <w:r w:rsidRPr="009440A6">
              <w:rPr>
                <w:rFonts w:ascii="Arial Narrow" w:eastAsia="Times New Roman" w:hAnsi="Arial Narrow" w:cs="Times New Roman"/>
                <w:i/>
                <w:iCs/>
                <w:color w:val="000000" w:themeColor="text1"/>
                <w:szCs w:val="20"/>
                <w:lang w:eastAsia="zh-CN"/>
              </w:rPr>
              <w:t>BRCA</w:t>
            </w:r>
            <w:r w:rsidRPr="009440A6">
              <w:rPr>
                <w:rFonts w:ascii="Arial Narrow" w:eastAsia="Times New Roman" w:hAnsi="Arial Narrow" w:cs="Times New Roman"/>
                <w:color w:val="000000" w:themeColor="text1"/>
                <w:szCs w:val="20"/>
                <w:lang w:eastAsia="zh-CN"/>
              </w:rPr>
              <w:t>m</w:t>
            </w:r>
            <w:proofErr w:type="spellEnd"/>
          </w:p>
        </w:tc>
        <w:tc>
          <w:tcPr>
            <w:tcW w:w="629" w:type="pct"/>
            <w:tcBorders>
              <w:top w:val="single" w:sz="4" w:space="0" w:color="auto"/>
              <w:left w:val="single" w:sz="4" w:space="0" w:color="auto"/>
              <w:bottom w:val="single" w:sz="4" w:space="0" w:color="auto"/>
              <w:right w:val="single" w:sz="4" w:space="0" w:color="auto"/>
            </w:tcBorders>
            <w:hideMark/>
          </w:tcPr>
          <w:p w14:paraId="4F86DD0E"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proofErr w:type="spellStart"/>
            <w:r w:rsidRPr="009440A6">
              <w:rPr>
                <w:rFonts w:ascii="Arial Narrow" w:eastAsia="Times New Roman" w:hAnsi="Arial Narrow" w:cs="Times New Roman"/>
                <w:i/>
                <w:iCs/>
                <w:color w:val="000000" w:themeColor="text1"/>
                <w:szCs w:val="20"/>
                <w:lang w:eastAsia="zh-CN"/>
              </w:rPr>
              <w:t>BRCA</w:t>
            </w:r>
            <w:r w:rsidRPr="009440A6">
              <w:rPr>
                <w:rFonts w:ascii="Arial Narrow" w:eastAsia="Times New Roman" w:hAnsi="Arial Narrow" w:cs="Times New Roman"/>
                <w:color w:val="000000" w:themeColor="text1"/>
                <w:szCs w:val="20"/>
                <w:lang w:eastAsia="zh-CN"/>
              </w:rPr>
              <w:t>wt</w:t>
            </w:r>
            <w:proofErr w:type="spellEnd"/>
          </w:p>
        </w:tc>
        <w:tc>
          <w:tcPr>
            <w:tcW w:w="656" w:type="pct"/>
            <w:tcBorders>
              <w:top w:val="single" w:sz="4" w:space="0" w:color="auto"/>
              <w:left w:val="single" w:sz="4" w:space="0" w:color="auto"/>
              <w:bottom w:val="single" w:sz="4" w:space="0" w:color="auto"/>
              <w:right w:val="single" w:sz="4" w:space="0" w:color="auto"/>
            </w:tcBorders>
            <w:hideMark/>
          </w:tcPr>
          <w:p w14:paraId="03DB4A51"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positive</w:t>
            </w:r>
          </w:p>
        </w:tc>
        <w:tc>
          <w:tcPr>
            <w:tcW w:w="638" w:type="pct"/>
            <w:tcBorders>
              <w:top w:val="single" w:sz="4" w:space="0" w:color="auto"/>
              <w:left w:val="single" w:sz="4" w:space="0" w:color="auto"/>
              <w:bottom w:val="single" w:sz="4" w:space="0" w:color="auto"/>
              <w:right w:val="single" w:sz="4" w:space="0" w:color="auto"/>
            </w:tcBorders>
            <w:hideMark/>
          </w:tcPr>
          <w:p w14:paraId="0EBEABF1"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positive</w:t>
            </w:r>
          </w:p>
          <w:p w14:paraId="43D6FDF7"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proofErr w:type="spellStart"/>
            <w:r w:rsidRPr="009440A6">
              <w:rPr>
                <w:rFonts w:ascii="Arial Narrow" w:eastAsia="Times New Roman" w:hAnsi="Arial Narrow" w:cs="Times New Roman"/>
                <w:i/>
                <w:iCs/>
                <w:color w:val="000000" w:themeColor="text1"/>
                <w:szCs w:val="20"/>
                <w:lang w:eastAsia="zh-CN"/>
              </w:rPr>
              <w:t>BRCA</w:t>
            </w:r>
            <w:r w:rsidRPr="009440A6">
              <w:rPr>
                <w:rFonts w:ascii="Arial Narrow" w:eastAsia="Times New Roman" w:hAnsi="Arial Narrow" w:cs="Times New Roman"/>
                <w:color w:val="000000" w:themeColor="text1"/>
                <w:szCs w:val="20"/>
                <w:lang w:eastAsia="zh-CN"/>
              </w:rPr>
              <w:t>m</w:t>
            </w:r>
            <w:proofErr w:type="spellEnd"/>
          </w:p>
        </w:tc>
        <w:tc>
          <w:tcPr>
            <w:tcW w:w="637" w:type="pct"/>
            <w:tcBorders>
              <w:top w:val="single" w:sz="4" w:space="0" w:color="auto"/>
              <w:left w:val="single" w:sz="4" w:space="0" w:color="auto"/>
              <w:bottom w:val="single" w:sz="4" w:space="0" w:color="auto"/>
              <w:right w:val="single" w:sz="4" w:space="0" w:color="auto"/>
            </w:tcBorders>
            <w:hideMark/>
          </w:tcPr>
          <w:p w14:paraId="29D9B629"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positive</w:t>
            </w:r>
          </w:p>
          <w:p w14:paraId="202E1D09"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proofErr w:type="spellStart"/>
            <w:r w:rsidRPr="009440A6">
              <w:rPr>
                <w:rFonts w:ascii="Arial Narrow" w:eastAsia="Times New Roman" w:hAnsi="Arial Narrow" w:cs="Times New Roman"/>
                <w:i/>
                <w:iCs/>
                <w:color w:val="000000" w:themeColor="text1"/>
                <w:szCs w:val="20"/>
                <w:lang w:eastAsia="zh-CN"/>
              </w:rPr>
              <w:t>BRCA</w:t>
            </w:r>
            <w:r w:rsidRPr="009440A6">
              <w:rPr>
                <w:rFonts w:ascii="Arial Narrow" w:eastAsia="Times New Roman" w:hAnsi="Arial Narrow" w:cs="Times New Roman"/>
                <w:color w:val="000000" w:themeColor="text1"/>
                <w:szCs w:val="20"/>
                <w:lang w:eastAsia="zh-CN"/>
              </w:rPr>
              <w:t>wt</w:t>
            </w:r>
            <w:proofErr w:type="spellEnd"/>
          </w:p>
        </w:tc>
        <w:tc>
          <w:tcPr>
            <w:tcW w:w="634" w:type="pct"/>
            <w:tcBorders>
              <w:top w:val="single" w:sz="4" w:space="0" w:color="auto"/>
              <w:left w:val="single" w:sz="4" w:space="0" w:color="auto"/>
              <w:bottom w:val="single" w:sz="4" w:space="0" w:color="auto"/>
              <w:right w:val="single" w:sz="4" w:space="0" w:color="auto"/>
            </w:tcBorders>
            <w:hideMark/>
          </w:tcPr>
          <w:p w14:paraId="241CA974" w14:textId="77777777" w:rsidR="000C4977" w:rsidRPr="009440A6"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HRD negative</w:t>
            </w:r>
          </w:p>
        </w:tc>
      </w:tr>
      <w:tr w:rsidR="000C4977" w:rsidRPr="009440A6" w14:paraId="06A973DF" w14:textId="77777777" w:rsidTr="00E15BE1">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vAlign w:val="center"/>
            <w:hideMark/>
          </w:tcPr>
          <w:p w14:paraId="09ABEC16" w14:textId="77777777" w:rsidR="000C4977" w:rsidRPr="009440A6"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PAOLA-1</w:t>
            </w:r>
          </w:p>
        </w:tc>
        <w:tc>
          <w:tcPr>
            <w:tcW w:w="481" w:type="pct"/>
            <w:tcBorders>
              <w:top w:val="single" w:sz="4" w:space="0" w:color="auto"/>
              <w:left w:val="single" w:sz="4" w:space="0" w:color="auto"/>
              <w:bottom w:val="single" w:sz="4" w:space="0" w:color="auto"/>
              <w:right w:val="single" w:sz="4" w:space="0" w:color="auto"/>
            </w:tcBorders>
            <w:vAlign w:val="center"/>
            <w:hideMark/>
          </w:tcPr>
          <w:p w14:paraId="238CC5A9"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First-line</w:t>
            </w:r>
          </w:p>
        </w:tc>
        <w:tc>
          <w:tcPr>
            <w:tcW w:w="699" w:type="pct"/>
            <w:tcBorders>
              <w:top w:val="single" w:sz="4" w:space="0" w:color="auto"/>
              <w:left w:val="single" w:sz="4" w:space="0" w:color="auto"/>
              <w:bottom w:val="single" w:sz="4" w:space="0" w:color="auto"/>
              <w:right w:val="single" w:sz="4" w:space="0" w:color="auto"/>
            </w:tcBorders>
            <w:vAlign w:val="center"/>
            <w:hideMark/>
          </w:tcPr>
          <w:p w14:paraId="6A87AAAD" w14:textId="075DB780"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vertAlign w:val="superscript"/>
                <w:lang w:eastAsia="zh-CN"/>
              </w:rPr>
            </w:pPr>
            <w:r w:rsidRPr="009440A6">
              <w:rPr>
                <w:rFonts w:ascii="Arial Narrow" w:eastAsia="Times New Roman" w:hAnsi="Arial Narrow" w:cs="Times New Roman"/>
                <w:color w:val="000000" w:themeColor="text1"/>
                <w:sz w:val="20"/>
                <w:szCs w:val="20"/>
                <w:lang w:eastAsia="zh-CN"/>
              </w:rPr>
              <w:t>21.7 months/</w:t>
            </w:r>
            <w:r w:rsidR="00E15BE1">
              <w:rPr>
                <w:rFonts w:ascii="Arial Narrow" w:eastAsia="Times New Roman" w:hAnsi="Arial Narrow" w:cs="Times New Roman"/>
                <w:color w:val="000000" w:themeColor="text1"/>
                <w:sz w:val="20"/>
                <w:szCs w:val="20"/>
                <w:lang w:eastAsia="zh-CN"/>
              </w:rPr>
              <w:t xml:space="preserve"> </w:t>
            </w:r>
            <w:r w:rsidRPr="009440A6">
              <w:rPr>
                <w:rFonts w:ascii="Arial Narrow" w:eastAsia="Times New Roman" w:hAnsi="Arial Narrow" w:cs="Times New Roman"/>
                <w:color w:val="000000" w:themeColor="text1"/>
                <w:sz w:val="20"/>
                <w:szCs w:val="20"/>
                <w:lang w:eastAsia="zh-CN"/>
              </w:rPr>
              <w:t>18.8 months</w:t>
            </w:r>
            <w:r w:rsidR="00776599" w:rsidRPr="009440A6">
              <w:rPr>
                <w:rFonts w:ascii="Arial Narrow" w:eastAsia="Times New Roman" w:hAnsi="Arial Narrow" w:cs="Times New Roman"/>
                <w:color w:val="000000" w:themeColor="text1"/>
                <w:sz w:val="20"/>
                <w:szCs w:val="20"/>
                <w:lang w:eastAsia="zh-CN"/>
              </w:rPr>
              <w:t xml:space="preserve"> </w:t>
            </w:r>
            <w:r w:rsidRPr="009440A6">
              <w:rPr>
                <w:rFonts w:ascii="Arial Narrow" w:eastAsia="Times New Roman" w:hAnsi="Arial Narrow" w:cs="Times New Roman"/>
                <w:color w:val="000000" w:themeColor="text1"/>
                <w:sz w:val="20"/>
                <w:szCs w:val="20"/>
                <w:vertAlign w:val="superscript"/>
                <w:lang w:eastAsia="zh-CN"/>
              </w:rPr>
              <w:t>a</w:t>
            </w:r>
          </w:p>
        </w:tc>
        <w:tc>
          <w:tcPr>
            <w:tcW w:w="629" w:type="pct"/>
            <w:tcBorders>
              <w:top w:val="single" w:sz="4" w:space="0" w:color="auto"/>
              <w:left w:val="single" w:sz="4" w:space="0" w:color="auto"/>
              <w:bottom w:val="single" w:sz="4" w:space="0" w:color="auto"/>
              <w:right w:val="single" w:sz="4" w:space="0" w:color="auto"/>
            </w:tcBorders>
            <w:vAlign w:val="center"/>
            <w:hideMark/>
          </w:tcPr>
          <w:p w14:paraId="71AB9738" w14:textId="0B303548" w:rsidR="000C4977" w:rsidRPr="009440A6" w:rsidRDefault="000C4977" w:rsidP="00E15BE1">
            <w:pPr>
              <w:keepNext/>
              <w:keepLines/>
              <w:widowControl w:val="0"/>
              <w:spacing w:before="0"/>
              <w:ind w:left="-113" w:right="-105"/>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vertAlign w:val="superscript"/>
                <w:lang w:eastAsia="zh-CN"/>
              </w:rPr>
            </w:pPr>
            <w:r w:rsidRPr="009440A6">
              <w:rPr>
                <w:rFonts w:ascii="Arial Narrow" w:eastAsia="Times New Roman" w:hAnsi="Arial Narrow" w:cs="Times New Roman"/>
                <w:color w:val="000000" w:themeColor="text1"/>
                <w:sz w:val="20"/>
                <w:szCs w:val="20"/>
                <w:lang w:eastAsia="zh-CN"/>
              </w:rPr>
              <w:t>16.4 months</w:t>
            </w:r>
            <w:r w:rsidR="00776599" w:rsidRPr="009440A6">
              <w:rPr>
                <w:rFonts w:ascii="Arial Narrow" w:eastAsia="Times New Roman" w:hAnsi="Arial Narrow" w:cs="Times New Roman"/>
                <w:color w:val="000000" w:themeColor="text1"/>
                <w:sz w:val="20"/>
                <w:szCs w:val="20"/>
                <w:lang w:eastAsia="zh-CN"/>
              </w:rPr>
              <w:t> </w:t>
            </w:r>
            <w:r w:rsidRPr="009440A6">
              <w:rPr>
                <w:rFonts w:ascii="Arial Narrow" w:eastAsia="Times New Roman" w:hAnsi="Arial Narrow" w:cs="Times New Roman"/>
                <w:color w:val="000000" w:themeColor="text1"/>
                <w:sz w:val="20"/>
                <w:szCs w:val="20"/>
                <w:vertAlign w:val="superscript"/>
                <w:lang w:eastAsia="zh-CN"/>
              </w:rPr>
              <w:t>a</w:t>
            </w:r>
          </w:p>
        </w:tc>
        <w:tc>
          <w:tcPr>
            <w:tcW w:w="656" w:type="pct"/>
            <w:tcBorders>
              <w:top w:val="single" w:sz="4" w:space="0" w:color="auto"/>
              <w:left w:val="single" w:sz="4" w:space="0" w:color="auto"/>
              <w:bottom w:val="single" w:sz="4" w:space="0" w:color="auto"/>
              <w:right w:val="single" w:sz="4" w:space="0" w:color="auto"/>
            </w:tcBorders>
            <w:vAlign w:val="center"/>
            <w:hideMark/>
          </w:tcPr>
          <w:p w14:paraId="5ED54085"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17.7 months</w:t>
            </w:r>
          </w:p>
        </w:tc>
        <w:tc>
          <w:tcPr>
            <w:tcW w:w="638" w:type="pct"/>
            <w:tcBorders>
              <w:top w:val="single" w:sz="4" w:space="0" w:color="auto"/>
              <w:left w:val="single" w:sz="4" w:space="0" w:color="auto"/>
              <w:bottom w:val="single" w:sz="4" w:space="0" w:color="auto"/>
              <w:right w:val="single" w:sz="4" w:space="0" w:color="auto"/>
            </w:tcBorders>
            <w:vAlign w:val="center"/>
            <w:hideMark/>
          </w:tcPr>
          <w:p w14:paraId="36190DDA"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7" w:type="pct"/>
            <w:tcBorders>
              <w:top w:val="single" w:sz="4" w:space="0" w:color="auto"/>
              <w:left w:val="single" w:sz="4" w:space="0" w:color="auto"/>
              <w:bottom w:val="single" w:sz="4" w:space="0" w:color="auto"/>
              <w:right w:val="single" w:sz="4" w:space="0" w:color="auto"/>
            </w:tcBorders>
            <w:vAlign w:val="center"/>
            <w:hideMark/>
          </w:tcPr>
          <w:p w14:paraId="7A352E5F"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16.6 months</w:t>
            </w:r>
          </w:p>
        </w:tc>
        <w:tc>
          <w:tcPr>
            <w:tcW w:w="634" w:type="pct"/>
            <w:tcBorders>
              <w:top w:val="single" w:sz="4" w:space="0" w:color="auto"/>
              <w:left w:val="single" w:sz="4" w:space="0" w:color="auto"/>
              <w:bottom w:val="single" w:sz="4" w:space="0" w:color="auto"/>
              <w:right w:val="single" w:sz="4" w:space="0" w:color="auto"/>
            </w:tcBorders>
            <w:vAlign w:val="center"/>
            <w:hideMark/>
          </w:tcPr>
          <w:p w14:paraId="6540EBF8"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16.2 months</w:t>
            </w:r>
          </w:p>
        </w:tc>
      </w:tr>
      <w:tr w:rsidR="000C4977" w:rsidRPr="009440A6" w14:paraId="6B8E6BFF" w14:textId="77777777" w:rsidTr="00E15BE1">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2DCEDF45" w14:textId="77777777" w:rsidR="000C4977" w:rsidRPr="009440A6"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Coleman 2017</w:t>
            </w:r>
          </w:p>
        </w:tc>
        <w:tc>
          <w:tcPr>
            <w:tcW w:w="481" w:type="pct"/>
            <w:tcBorders>
              <w:top w:val="single" w:sz="4" w:space="0" w:color="auto"/>
              <w:left w:val="single" w:sz="4" w:space="0" w:color="auto"/>
              <w:bottom w:val="single" w:sz="4" w:space="0" w:color="auto"/>
              <w:right w:val="single" w:sz="4" w:space="0" w:color="auto"/>
            </w:tcBorders>
            <w:vAlign w:val="center"/>
            <w:hideMark/>
          </w:tcPr>
          <w:p w14:paraId="745828D0"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PSR</w:t>
            </w:r>
          </w:p>
        </w:tc>
        <w:tc>
          <w:tcPr>
            <w:tcW w:w="699" w:type="pct"/>
            <w:tcBorders>
              <w:top w:val="single" w:sz="4" w:space="0" w:color="auto"/>
              <w:left w:val="single" w:sz="4" w:space="0" w:color="auto"/>
              <w:bottom w:val="single" w:sz="4" w:space="0" w:color="auto"/>
              <w:right w:val="single" w:sz="4" w:space="0" w:color="auto"/>
            </w:tcBorders>
            <w:vAlign w:val="center"/>
            <w:hideMark/>
          </w:tcPr>
          <w:p w14:paraId="7522B017"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5.4 months</w:t>
            </w:r>
          </w:p>
        </w:tc>
        <w:tc>
          <w:tcPr>
            <w:tcW w:w="629" w:type="pct"/>
            <w:tcBorders>
              <w:top w:val="single" w:sz="4" w:space="0" w:color="auto"/>
              <w:left w:val="single" w:sz="4" w:space="0" w:color="auto"/>
              <w:bottom w:val="single" w:sz="4" w:space="0" w:color="auto"/>
              <w:right w:val="single" w:sz="4" w:space="0" w:color="auto"/>
            </w:tcBorders>
            <w:vAlign w:val="center"/>
            <w:hideMark/>
          </w:tcPr>
          <w:p w14:paraId="4ECA5E5C"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NR</w:t>
            </w:r>
          </w:p>
        </w:tc>
        <w:tc>
          <w:tcPr>
            <w:tcW w:w="656" w:type="pct"/>
            <w:tcBorders>
              <w:top w:val="single" w:sz="4" w:space="0" w:color="auto"/>
              <w:left w:val="single" w:sz="4" w:space="0" w:color="auto"/>
              <w:bottom w:val="single" w:sz="4" w:space="0" w:color="auto"/>
              <w:right w:val="single" w:sz="4" w:space="0" w:color="auto"/>
            </w:tcBorders>
            <w:vAlign w:val="center"/>
            <w:hideMark/>
          </w:tcPr>
          <w:p w14:paraId="4492E0F0"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8" w:type="pct"/>
            <w:tcBorders>
              <w:top w:val="single" w:sz="4" w:space="0" w:color="auto"/>
              <w:left w:val="single" w:sz="4" w:space="0" w:color="auto"/>
              <w:bottom w:val="single" w:sz="4" w:space="0" w:color="auto"/>
              <w:right w:val="single" w:sz="4" w:space="0" w:color="auto"/>
            </w:tcBorders>
            <w:vAlign w:val="center"/>
            <w:hideMark/>
          </w:tcPr>
          <w:p w14:paraId="51CC3825"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7" w:type="pct"/>
            <w:tcBorders>
              <w:top w:val="single" w:sz="4" w:space="0" w:color="auto"/>
              <w:left w:val="single" w:sz="4" w:space="0" w:color="auto"/>
              <w:bottom w:val="single" w:sz="4" w:space="0" w:color="auto"/>
              <w:right w:val="single" w:sz="4" w:space="0" w:color="auto"/>
            </w:tcBorders>
            <w:vAlign w:val="center"/>
            <w:hideMark/>
          </w:tcPr>
          <w:p w14:paraId="2292BEEE"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5.4 months</w:t>
            </w:r>
          </w:p>
        </w:tc>
        <w:tc>
          <w:tcPr>
            <w:tcW w:w="634" w:type="pct"/>
            <w:tcBorders>
              <w:top w:val="single" w:sz="4" w:space="0" w:color="auto"/>
              <w:left w:val="single" w:sz="4" w:space="0" w:color="auto"/>
              <w:bottom w:val="single" w:sz="4" w:space="0" w:color="auto"/>
              <w:right w:val="single" w:sz="4" w:space="0" w:color="auto"/>
            </w:tcBorders>
            <w:vAlign w:val="center"/>
            <w:hideMark/>
          </w:tcPr>
          <w:p w14:paraId="72B381FB"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5.4 months</w:t>
            </w:r>
          </w:p>
        </w:tc>
      </w:tr>
      <w:tr w:rsidR="000C4977" w:rsidRPr="009440A6" w14:paraId="12C2592D" w14:textId="77777777" w:rsidTr="00E15BE1">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51D2128B" w14:textId="77777777" w:rsidR="000C4977" w:rsidRPr="009440A6"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González-Martín 2019</w:t>
            </w:r>
          </w:p>
        </w:tc>
        <w:tc>
          <w:tcPr>
            <w:tcW w:w="481" w:type="pct"/>
            <w:tcBorders>
              <w:top w:val="single" w:sz="4" w:space="0" w:color="auto"/>
              <w:left w:val="single" w:sz="4" w:space="0" w:color="auto"/>
              <w:bottom w:val="single" w:sz="4" w:space="0" w:color="auto"/>
              <w:right w:val="single" w:sz="4" w:space="0" w:color="auto"/>
            </w:tcBorders>
            <w:vAlign w:val="center"/>
            <w:hideMark/>
          </w:tcPr>
          <w:p w14:paraId="031E308C"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First-line</w:t>
            </w:r>
          </w:p>
        </w:tc>
        <w:tc>
          <w:tcPr>
            <w:tcW w:w="699" w:type="pct"/>
            <w:tcBorders>
              <w:top w:val="single" w:sz="4" w:space="0" w:color="auto"/>
              <w:left w:val="single" w:sz="4" w:space="0" w:color="auto"/>
              <w:bottom w:val="single" w:sz="4" w:space="0" w:color="auto"/>
              <w:right w:val="single" w:sz="4" w:space="0" w:color="auto"/>
            </w:tcBorders>
            <w:vAlign w:val="center"/>
            <w:hideMark/>
          </w:tcPr>
          <w:p w14:paraId="38391A5D"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29" w:type="pct"/>
            <w:tcBorders>
              <w:top w:val="single" w:sz="4" w:space="0" w:color="auto"/>
              <w:left w:val="single" w:sz="4" w:space="0" w:color="auto"/>
              <w:bottom w:val="single" w:sz="4" w:space="0" w:color="auto"/>
              <w:right w:val="single" w:sz="4" w:space="0" w:color="auto"/>
            </w:tcBorders>
            <w:vAlign w:val="center"/>
            <w:hideMark/>
          </w:tcPr>
          <w:p w14:paraId="01B541C6"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NR</w:t>
            </w:r>
          </w:p>
        </w:tc>
        <w:tc>
          <w:tcPr>
            <w:tcW w:w="656" w:type="pct"/>
            <w:tcBorders>
              <w:top w:val="single" w:sz="4" w:space="0" w:color="auto"/>
              <w:left w:val="single" w:sz="4" w:space="0" w:color="auto"/>
              <w:bottom w:val="single" w:sz="4" w:space="0" w:color="auto"/>
              <w:right w:val="single" w:sz="4" w:space="0" w:color="auto"/>
            </w:tcBorders>
            <w:vAlign w:val="center"/>
            <w:hideMark/>
          </w:tcPr>
          <w:p w14:paraId="21A90733"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8" w:type="pct"/>
            <w:tcBorders>
              <w:top w:val="single" w:sz="4" w:space="0" w:color="auto"/>
              <w:left w:val="single" w:sz="4" w:space="0" w:color="auto"/>
              <w:bottom w:val="single" w:sz="4" w:space="0" w:color="auto"/>
              <w:right w:val="single" w:sz="4" w:space="0" w:color="auto"/>
            </w:tcBorders>
            <w:vAlign w:val="center"/>
            <w:hideMark/>
          </w:tcPr>
          <w:p w14:paraId="6C85E0D5"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10.9 months</w:t>
            </w:r>
          </w:p>
        </w:tc>
        <w:tc>
          <w:tcPr>
            <w:tcW w:w="637" w:type="pct"/>
            <w:tcBorders>
              <w:top w:val="single" w:sz="4" w:space="0" w:color="auto"/>
              <w:left w:val="single" w:sz="4" w:space="0" w:color="auto"/>
              <w:bottom w:val="single" w:sz="4" w:space="0" w:color="auto"/>
              <w:right w:val="single" w:sz="4" w:space="0" w:color="auto"/>
            </w:tcBorders>
            <w:vAlign w:val="center"/>
            <w:hideMark/>
          </w:tcPr>
          <w:p w14:paraId="670F29C9"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8.2 months</w:t>
            </w:r>
          </w:p>
        </w:tc>
        <w:tc>
          <w:tcPr>
            <w:tcW w:w="634" w:type="pct"/>
            <w:tcBorders>
              <w:top w:val="single" w:sz="4" w:space="0" w:color="auto"/>
              <w:left w:val="single" w:sz="4" w:space="0" w:color="auto"/>
              <w:bottom w:val="single" w:sz="4" w:space="0" w:color="auto"/>
              <w:right w:val="single" w:sz="4" w:space="0" w:color="auto"/>
            </w:tcBorders>
            <w:vAlign w:val="center"/>
            <w:hideMark/>
          </w:tcPr>
          <w:p w14:paraId="4BC2FF20"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5.4 months</w:t>
            </w:r>
          </w:p>
        </w:tc>
      </w:tr>
      <w:tr w:rsidR="000C4977" w:rsidRPr="009440A6" w14:paraId="1A860978" w14:textId="77777777" w:rsidTr="00E15BE1">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44E3D210" w14:textId="77777777" w:rsidR="000C4977" w:rsidRPr="009440A6"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Mirza 2016</w:t>
            </w:r>
          </w:p>
        </w:tc>
        <w:tc>
          <w:tcPr>
            <w:tcW w:w="481" w:type="pct"/>
            <w:tcBorders>
              <w:top w:val="single" w:sz="4" w:space="0" w:color="auto"/>
              <w:left w:val="single" w:sz="4" w:space="0" w:color="auto"/>
              <w:bottom w:val="single" w:sz="4" w:space="0" w:color="auto"/>
              <w:right w:val="single" w:sz="4" w:space="0" w:color="auto"/>
            </w:tcBorders>
            <w:vAlign w:val="center"/>
            <w:hideMark/>
          </w:tcPr>
          <w:p w14:paraId="72FE8AEC"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PSR</w:t>
            </w:r>
          </w:p>
        </w:tc>
        <w:tc>
          <w:tcPr>
            <w:tcW w:w="699" w:type="pct"/>
            <w:tcBorders>
              <w:top w:val="single" w:sz="4" w:space="0" w:color="auto"/>
              <w:left w:val="single" w:sz="4" w:space="0" w:color="auto"/>
              <w:bottom w:val="single" w:sz="4" w:space="0" w:color="auto"/>
              <w:right w:val="single" w:sz="4" w:space="0" w:color="auto"/>
            </w:tcBorders>
            <w:vAlign w:val="center"/>
            <w:hideMark/>
          </w:tcPr>
          <w:p w14:paraId="2A247B25"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5.5 months</w:t>
            </w:r>
          </w:p>
        </w:tc>
        <w:tc>
          <w:tcPr>
            <w:tcW w:w="629" w:type="pct"/>
            <w:tcBorders>
              <w:top w:val="single" w:sz="4" w:space="0" w:color="auto"/>
              <w:left w:val="single" w:sz="4" w:space="0" w:color="auto"/>
              <w:bottom w:val="single" w:sz="4" w:space="0" w:color="auto"/>
              <w:right w:val="single" w:sz="4" w:space="0" w:color="auto"/>
            </w:tcBorders>
            <w:vAlign w:val="center"/>
            <w:hideMark/>
          </w:tcPr>
          <w:p w14:paraId="5494F436"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3.9 months</w:t>
            </w:r>
          </w:p>
        </w:tc>
        <w:tc>
          <w:tcPr>
            <w:tcW w:w="656" w:type="pct"/>
            <w:tcBorders>
              <w:top w:val="single" w:sz="4" w:space="0" w:color="auto"/>
              <w:left w:val="single" w:sz="4" w:space="0" w:color="auto"/>
              <w:bottom w:val="single" w:sz="4" w:space="0" w:color="auto"/>
              <w:right w:val="single" w:sz="4" w:space="0" w:color="auto"/>
            </w:tcBorders>
            <w:vAlign w:val="center"/>
            <w:hideMark/>
          </w:tcPr>
          <w:p w14:paraId="7169972D"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8" w:type="pct"/>
            <w:tcBorders>
              <w:top w:val="single" w:sz="4" w:space="0" w:color="auto"/>
              <w:left w:val="single" w:sz="4" w:space="0" w:color="auto"/>
              <w:bottom w:val="single" w:sz="4" w:space="0" w:color="auto"/>
              <w:right w:val="single" w:sz="4" w:space="0" w:color="auto"/>
            </w:tcBorders>
            <w:vAlign w:val="center"/>
            <w:hideMark/>
          </w:tcPr>
          <w:p w14:paraId="7AD99833"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11 months</w:t>
            </w:r>
          </w:p>
        </w:tc>
        <w:tc>
          <w:tcPr>
            <w:tcW w:w="637" w:type="pct"/>
            <w:tcBorders>
              <w:top w:val="single" w:sz="4" w:space="0" w:color="auto"/>
              <w:left w:val="single" w:sz="4" w:space="0" w:color="auto"/>
              <w:bottom w:val="single" w:sz="4" w:space="0" w:color="auto"/>
              <w:right w:val="single" w:sz="4" w:space="0" w:color="auto"/>
            </w:tcBorders>
            <w:vAlign w:val="center"/>
            <w:hideMark/>
          </w:tcPr>
          <w:p w14:paraId="08B0CA4D"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3.7 months</w:t>
            </w:r>
          </w:p>
        </w:tc>
        <w:tc>
          <w:tcPr>
            <w:tcW w:w="634" w:type="pct"/>
            <w:tcBorders>
              <w:top w:val="single" w:sz="4" w:space="0" w:color="auto"/>
              <w:left w:val="single" w:sz="4" w:space="0" w:color="auto"/>
              <w:bottom w:val="single" w:sz="4" w:space="0" w:color="auto"/>
              <w:right w:val="single" w:sz="4" w:space="0" w:color="auto"/>
            </w:tcBorders>
            <w:vAlign w:val="center"/>
            <w:hideMark/>
          </w:tcPr>
          <w:p w14:paraId="014DA380"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3.8 months</w:t>
            </w:r>
          </w:p>
        </w:tc>
      </w:tr>
      <w:tr w:rsidR="000C4977" w:rsidRPr="009440A6" w14:paraId="6B68AAA1" w14:textId="77777777" w:rsidTr="00E15BE1">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hideMark/>
          </w:tcPr>
          <w:p w14:paraId="2325FB44" w14:textId="77777777" w:rsidR="000C4977" w:rsidRPr="009440A6"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9440A6">
              <w:rPr>
                <w:rFonts w:ascii="Arial Narrow" w:eastAsia="Times New Roman" w:hAnsi="Arial Narrow" w:cs="Times New Roman"/>
                <w:color w:val="000000" w:themeColor="text1"/>
                <w:szCs w:val="20"/>
                <w:lang w:eastAsia="zh-CN"/>
              </w:rPr>
              <w:t>VELIA</w:t>
            </w:r>
          </w:p>
        </w:tc>
        <w:tc>
          <w:tcPr>
            <w:tcW w:w="481" w:type="pct"/>
            <w:tcBorders>
              <w:top w:val="single" w:sz="4" w:space="0" w:color="auto"/>
              <w:left w:val="single" w:sz="4" w:space="0" w:color="auto"/>
              <w:bottom w:val="single" w:sz="4" w:space="0" w:color="auto"/>
              <w:right w:val="single" w:sz="4" w:space="0" w:color="auto"/>
            </w:tcBorders>
            <w:vAlign w:val="center"/>
            <w:hideMark/>
          </w:tcPr>
          <w:p w14:paraId="0325274D"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First-line</w:t>
            </w:r>
          </w:p>
        </w:tc>
        <w:tc>
          <w:tcPr>
            <w:tcW w:w="699" w:type="pct"/>
            <w:tcBorders>
              <w:top w:val="single" w:sz="4" w:space="0" w:color="auto"/>
              <w:left w:val="single" w:sz="4" w:space="0" w:color="auto"/>
              <w:bottom w:val="single" w:sz="4" w:space="0" w:color="auto"/>
              <w:right w:val="single" w:sz="4" w:space="0" w:color="auto"/>
            </w:tcBorders>
            <w:vAlign w:val="center"/>
            <w:hideMark/>
          </w:tcPr>
          <w:p w14:paraId="43616AA9"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22.0 months</w:t>
            </w:r>
          </w:p>
        </w:tc>
        <w:tc>
          <w:tcPr>
            <w:tcW w:w="629" w:type="pct"/>
            <w:tcBorders>
              <w:top w:val="single" w:sz="4" w:space="0" w:color="auto"/>
              <w:left w:val="single" w:sz="4" w:space="0" w:color="auto"/>
              <w:bottom w:val="single" w:sz="4" w:space="0" w:color="auto"/>
              <w:right w:val="single" w:sz="4" w:space="0" w:color="auto"/>
            </w:tcBorders>
            <w:vAlign w:val="center"/>
            <w:hideMark/>
          </w:tcPr>
          <w:p w14:paraId="0B45A1A4"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15.1 months</w:t>
            </w:r>
          </w:p>
        </w:tc>
        <w:tc>
          <w:tcPr>
            <w:tcW w:w="656" w:type="pct"/>
            <w:tcBorders>
              <w:top w:val="single" w:sz="4" w:space="0" w:color="auto"/>
              <w:left w:val="single" w:sz="4" w:space="0" w:color="auto"/>
              <w:bottom w:val="single" w:sz="4" w:space="0" w:color="auto"/>
              <w:right w:val="single" w:sz="4" w:space="0" w:color="auto"/>
            </w:tcBorders>
            <w:vAlign w:val="center"/>
            <w:hideMark/>
          </w:tcPr>
          <w:p w14:paraId="0956C0E9" w14:textId="77777777" w:rsidR="000C4977" w:rsidRPr="009440A6" w:rsidRDefault="000C4977" w:rsidP="00E15BE1">
            <w:pPr>
              <w:keepNext/>
              <w:keepLines/>
              <w:widowControl w:val="0"/>
              <w:spacing w:before="0"/>
              <w:ind w:left="-104" w:right="-54"/>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20.5 months</w:t>
            </w:r>
            <w:r w:rsidRPr="009440A6">
              <w:rPr>
                <w:rFonts w:ascii="Arial Narrow" w:eastAsia="Times New Roman" w:hAnsi="Arial Narrow" w:cs="Times New Roman"/>
                <w:color w:val="000000" w:themeColor="text1"/>
                <w:sz w:val="20"/>
                <w:szCs w:val="20"/>
                <w:vertAlign w:val="superscript"/>
                <w:lang w:eastAsia="zh-CN"/>
              </w:rPr>
              <w:t xml:space="preserve"> b</w:t>
            </w:r>
          </w:p>
        </w:tc>
        <w:tc>
          <w:tcPr>
            <w:tcW w:w="638" w:type="pct"/>
            <w:tcBorders>
              <w:top w:val="single" w:sz="4" w:space="0" w:color="auto"/>
              <w:left w:val="single" w:sz="4" w:space="0" w:color="auto"/>
              <w:bottom w:val="single" w:sz="4" w:space="0" w:color="auto"/>
              <w:right w:val="single" w:sz="4" w:space="0" w:color="auto"/>
            </w:tcBorders>
            <w:vAlign w:val="center"/>
            <w:hideMark/>
          </w:tcPr>
          <w:p w14:paraId="60336430"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Not reported</w:t>
            </w:r>
          </w:p>
        </w:tc>
        <w:tc>
          <w:tcPr>
            <w:tcW w:w="637" w:type="pct"/>
            <w:tcBorders>
              <w:top w:val="single" w:sz="4" w:space="0" w:color="auto"/>
              <w:left w:val="single" w:sz="4" w:space="0" w:color="auto"/>
              <w:bottom w:val="single" w:sz="4" w:space="0" w:color="auto"/>
              <w:right w:val="single" w:sz="4" w:space="0" w:color="auto"/>
            </w:tcBorders>
            <w:vAlign w:val="center"/>
            <w:hideMark/>
          </w:tcPr>
          <w:p w14:paraId="2E977276"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19.8 months</w:t>
            </w:r>
          </w:p>
        </w:tc>
        <w:tc>
          <w:tcPr>
            <w:tcW w:w="634" w:type="pct"/>
            <w:tcBorders>
              <w:top w:val="single" w:sz="4" w:space="0" w:color="auto"/>
              <w:left w:val="single" w:sz="4" w:space="0" w:color="auto"/>
              <w:bottom w:val="single" w:sz="4" w:space="0" w:color="auto"/>
              <w:right w:val="single" w:sz="4" w:space="0" w:color="auto"/>
            </w:tcBorders>
            <w:vAlign w:val="center"/>
            <w:hideMark/>
          </w:tcPr>
          <w:p w14:paraId="030ED75D" w14:textId="77777777" w:rsidR="000C4977" w:rsidRPr="009440A6"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9440A6">
              <w:rPr>
                <w:rFonts w:ascii="Arial Narrow" w:eastAsia="Times New Roman" w:hAnsi="Arial Narrow" w:cs="Times New Roman"/>
                <w:color w:val="000000" w:themeColor="text1"/>
                <w:sz w:val="20"/>
                <w:szCs w:val="20"/>
                <w:lang w:eastAsia="zh-CN"/>
              </w:rPr>
              <w:t>11.5 months</w:t>
            </w:r>
          </w:p>
        </w:tc>
      </w:tr>
    </w:tbl>
    <w:p w14:paraId="2966C3E6" w14:textId="0DB4F956"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vertAlign w:val="superscript"/>
          <w:lang w:eastAsia="zh-CN"/>
        </w:rPr>
        <w:t>a</w:t>
      </w:r>
      <w:r w:rsidRPr="000C4977">
        <w:rPr>
          <w:rFonts w:ascii="Arial Narrow" w:eastAsia="Times New Roman" w:hAnsi="Arial Narrow" w:cs="Arial"/>
          <w:snapToGrid w:val="0"/>
          <w:sz w:val="18"/>
          <w:szCs w:val="20"/>
          <w:lang w:eastAsia="zh-CN"/>
        </w:rPr>
        <w:t xml:space="preserve"> Differs depending on whether NGS classification or Myriad </w:t>
      </w:r>
      <w:proofErr w:type="spellStart"/>
      <w:r w:rsidRPr="000C4977">
        <w:rPr>
          <w:rFonts w:ascii="Arial Narrow" w:eastAsia="Times New Roman" w:hAnsi="Arial Narrow" w:cs="Arial"/>
          <w:snapToGrid w:val="0"/>
          <w:sz w:val="18"/>
          <w:szCs w:val="20"/>
          <w:lang w:eastAsia="zh-CN"/>
        </w:rPr>
        <w:t>myChoice</w:t>
      </w:r>
      <w:proofErr w:type="spellEnd"/>
      <w:r w:rsidRPr="000C4977">
        <w:rPr>
          <w:rFonts w:ascii="Arial Narrow" w:eastAsia="Times New Roman" w:hAnsi="Arial Narrow" w:cs="Arial"/>
          <w:snapToGrid w:val="0"/>
          <w:sz w:val="18"/>
          <w:szCs w:val="20"/>
          <w:lang w:eastAsia="zh-CN"/>
        </w:rPr>
        <w:t xml:space="preserve"> HRD plus assay was used. For </w:t>
      </w:r>
      <w:proofErr w:type="spellStart"/>
      <w:r w:rsidRPr="000C4977">
        <w:rPr>
          <w:rFonts w:ascii="Arial Narrow" w:eastAsia="Times New Roman" w:hAnsi="Arial Narrow" w:cs="Arial"/>
          <w:i/>
          <w:iCs/>
          <w:snapToGrid w:val="0"/>
          <w:sz w:val="18"/>
          <w:szCs w:val="20"/>
          <w:lang w:eastAsia="zh-CN"/>
        </w:rPr>
        <w:t>BRCA</w:t>
      </w:r>
      <w:r w:rsidRPr="005B2AFE">
        <w:rPr>
          <w:rFonts w:ascii="Arial Narrow" w:eastAsia="Times New Roman" w:hAnsi="Arial Narrow" w:cs="Arial"/>
          <w:snapToGrid w:val="0"/>
          <w:sz w:val="18"/>
          <w:szCs w:val="20"/>
          <w:lang w:eastAsia="zh-CN"/>
        </w:rPr>
        <w:t>m</w:t>
      </w:r>
      <w:proofErr w:type="spellEnd"/>
      <w:r w:rsidR="00E15BE1">
        <w:rPr>
          <w:rFonts w:ascii="Arial Narrow" w:eastAsia="Times New Roman" w:hAnsi="Arial Narrow" w:cs="Arial"/>
          <w:snapToGrid w:val="0"/>
          <w:sz w:val="18"/>
          <w:szCs w:val="20"/>
          <w:lang w:eastAsia="zh-CN"/>
        </w:rPr>
        <w:t xml:space="preserve">, </w:t>
      </w:r>
      <w:r w:rsidRPr="000C4977">
        <w:rPr>
          <w:rFonts w:ascii="Arial Narrow" w:eastAsia="Times New Roman" w:hAnsi="Arial Narrow" w:cs="Arial"/>
          <w:snapToGrid w:val="0"/>
          <w:sz w:val="18"/>
          <w:szCs w:val="20"/>
          <w:lang w:eastAsia="zh-CN"/>
        </w:rPr>
        <w:t>the C</w:t>
      </w:r>
      <w:r w:rsidR="00E15BE1">
        <w:rPr>
          <w:rFonts w:ascii="Arial Narrow" w:eastAsia="Times New Roman" w:hAnsi="Arial Narrow" w:cs="Arial"/>
          <w:snapToGrid w:val="0"/>
          <w:sz w:val="18"/>
          <w:szCs w:val="20"/>
          <w:lang w:eastAsia="zh-CN"/>
        </w:rPr>
        <w:t xml:space="preserve">linical </w:t>
      </w:r>
      <w:r w:rsidRPr="000C4977">
        <w:rPr>
          <w:rFonts w:ascii="Arial Narrow" w:eastAsia="Times New Roman" w:hAnsi="Arial Narrow" w:cs="Arial"/>
          <w:snapToGrid w:val="0"/>
          <w:sz w:val="18"/>
          <w:szCs w:val="20"/>
          <w:lang w:eastAsia="zh-CN"/>
        </w:rPr>
        <w:t>S</w:t>
      </w:r>
      <w:r w:rsidR="00E15BE1">
        <w:rPr>
          <w:rFonts w:ascii="Arial Narrow" w:eastAsia="Times New Roman" w:hAnsi="Arial Narrow" w:cs="Arial"/>
          <w:snapToGrid w:val="0"/>
          <w:sz w:val="18"/>
          <w:szCs w:val="20"/>
          <w:lang w:eastAsia="zh-CN"/>
        </w:rPr>
        <w:t xml:space="preserve">tudy </w:t>
      </w:r>
      <w:r w:rsidRPr="000C4977">
        <w:rPr>
          <w:rFonts w:ascii="Arial Narrow" w:eastAsia="Times New Roman" w:hAnsi="Arial Narrow" w:cs="Arial"/>
          <w:snapToGrid w:val="0"/>
          <w:sz w:val="18"/>
          <w:szCs w:val="20"/>
          <w:lang w:eastAsia="zh-CN"/>
        </w:rPr>
        <w:t>R</w:t>
      </w:r>
      <w:r w:rsidR="00E15BE1">
        <w:rPr>
          <w:rFonts w:ascii="Arial Narrow" w:eastAsia="Times New Roman" w:hAnsi="Arial Narrow" w:cs="Arial"/>
          <w:snapToGrid w:val="0"/>
          <w:sz w:val="18"/>
          <w:szCs w:val="20"/>
          <w:lang w:eastAsia="zh-CN"/>
        </w:rPr>
        <w:t xml:space="preserve">eport </w:t>
      </w:r>
      <w:r w:rsidRPr="000C4977">
        <w:rPr>
          <w:rFonts w:ascii="Arial Narrow" w:eastAsia="Times New Roman" w:hAnsi="Arial Narrow" w:cs="Arial"/>
          <w:snapToGrid w:val="0"/>
          <w:sz w:val="18"/>
          <w:szCs w:val="20"/>
          <w:lang w:eastAsia="zh-CN"/>
        </w:rPr>
        <w:t>reported a median PFS of 18.8 months (n=77) and Ray-</w:t>
      </w:r>
      <w:proofErr w:type="spellStart"/>
      <w:r w:rsidRPr="000C4977">
        <w:rPr>
          <w:rFonts w:ascii="Arial Narrow" w:eastAsia="Times New Roman" w:hAnsi="Arial Narrow" w:cs="Arial"/>
          <w:snapToGrid w:val="0"/>
          <w:sz w:val="18"/>
          <w:szCs w:val="20"/>
          <w:lang w:eastAsia="zh-CN"/>
        </w:rPr>
        <w:t>Coquard</w:t>
      </w:r>
      <w:proofErr w:type="spellEnd"/>
      <w:r w:rsidRPr="000C4977">
        <w:rPr>
          <w:rFonts w:ascii="Arial Narrow" w:eastAsia="Times New Roman" w:hAnsi="Arial Narrow" w:cs="Arial"/>
          <w:snapToGrid w:val="0"/>
          <w:sz w:val="18"/>
          <w:szCs w:val="20"/>
          <w:lang w:eastAsia="zh-CN"/>
        </w:rPr>
        <w:t xml:space="preserve"> 2019 reported a median of 21.7 months (n=80).</w:t>
      </w:r>
    </w:p>
    <w:p w14:paraId="66761E34"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vertAlign w:val="superscript"/>
          <w:lang w:eastAsia="zh-CN"/>
        </w:rPr>
        <w:t>b</w:t>
      </w:r>
      <w:r w:rsidRPr="000C4977">
        <w:rPr>
          <w:rFonts w:ascii="Arial Narrow" w:eastAsia="Times New Roman" w:hAnsi="Arial Narrow" w:cs="Arial"/>
          <w:snapToGrid w:val="0"/>
          <w:sz w:val="18"/>
          <w:szCs w:val="20"/>
          <w:lang w:eastAsia="zh-CN"/>
        </w:rPr>
        <w:t xml:space="preserve"> HRD cohort consisted of all patients in the </w:t>
      </w:r>
      <w:proofErr w:type="spellStart"/>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m</w:t>
      </w:r>
      <w:proofErr w:type="spellEnd"/>
      <w:r w:rsidRPr="000C4977">
        <w:rPr>
          <w:rFonts w:ascii="Arial Narrow" w:eastAsia="Times New Roman" w:hAnsi="Arial Narrow" w:cs="Arial"/>
          <w:snapToGrid w:val="0"/>
          <w:sz w:val="18"/>
          <w:szCs w:val="20"/>
          <w:lang w:eastAsia="zh-CN"/>
        </w:rPr>
        <w:t xml:space="preserve"> cohort plus all patients with HRD tumours</w:t>
      </w:r>
    </w:p>
    <w:p w14:paraId="5C718DF3" w14:textId="52FFF64C"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proofErr w:type="spellStart"/>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m</w:t>
      </w:r>
      <w:proofErr w:type="spellEnd"/>
      <w:r w:rsidRPr="000C4977">
        <w:rPr>
          <w:rFonts w:ascii="Arial Narrow" w:eastAsia="Times New Roman" w:hAnsi="Arial Narrow" w:cs="Arial"/>
          <w:i/>
          <w:iCs/>
          <w:snapToGrid w:val="0"/>
          <w:sz w:val="18"/>
          <w:szCs w:val="20"/>
          <w:lang w:eastAsia="zh-CN"/>
        </w:rPr>
        <w:t xml:space="preserve"> </w:t>
      </w:r>
      <w:r w:rsidRPr="000C4977">
        <w:rPr>
          <w:rFonts w:ascii="Arial Narrow" w:eastAsia="Times New Roman" w:hAnsi="Arial Narrow" w:cs="Arial"/>
          <w:snapToGrid w:val="0"/>
          <w:sz w:val="18"/>
          <w:szCs w:val="20"/>
          <w:lang w:eastAsia="zh-CN"/>
        </w:rPr>
        <w:t xml:space="preserve">= breast cancer gene mutation; </w:t>
      </w:r>
      <w:proofErr w:type="spellStart"/>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wt</w:t>
      </w:r>
      <w:proofErr w:type="spellEnd"/>
      <w:r w:rsidRPr="000C4977">
        <w:rPr>
          <w:rFonts w:ascii="Arial Narrow" w:eastAsia="Times New Roman" w:hAnsi="Arial Narrow" w:cs="Arial"/>
          <w:snapToGrid w:val="0"/>
          <w:sz w:val="18"/>
          <w:szCs w:val="20"/>
          <w:lang w:eastAsia="zh-CN"/>
        </w:rPr>
        <w:t xml:space="preserve"> = breast cancer gene wild type; HRD = homologous recombination deficiency; </w:t>
      </w:r>
      <w:r w:rsidR="00E15BE1" w:rsidRPr="000C4977">
        <w:rPr>
          <w:rFonts w:ascii="Arial Narrow" w:eastAsia="Times New Roman" w:hAnsi="Arial Narrow" w:cs="Arial"/>
          <w:snapToGrid w:val="0"/>
          <w:sz w:val="18"/>
          <w:szCs w:val="20"/>
          <w:lang w:eastAsia="zh-CN"/>
        </w:rPr>
        <w:t xml:space="preserve">NGS </w:t>
      </w:r>
      <w:r w:rsidR="00E15BE1">
        <w:rPr>
          <w:rFonts w:ascii="Arial Narrow" w:eastAsia="Times New Roman" w:hAnsi="Arial Narrow" w:cs="Arial"/>
          <w:snapToGrid w:val="0"/>
          <w:sz w:val="18"/>
          <w:szCs w:val="20"/>
          <w:lang w:eastAsia="zh-CN"/>
        </w:rPr>
        <w:t xml:space="preserve">= next generation sequencing; PFS = progression-free survival; </w:t>
      </w:r>
      <w:r w:rsidRPr="000C4977">
        <w:rPr>
          <w:rFonts w:ascii="Arial Narrow" w:eastAsia="Times New Roman" w:hAnsi="Arial Narrow" w:cs="Arial"/>
          <w:snapToGrid w:val="0"/>
          <w:sz w:val="18"/>
          <w:szCs w:val="20"/>
          <w:lang w:eastAsia="zh-CN"/>
        </w:rPr>
        <w:t>PSR = platinum-sensitive recurrent</w:t>
      </w:r>
    </w:p>
    <w:p w14:paraId="0B5F940C" w14:textId="77777777" w:rsidR="000C4977" w:rsidRPr="000C4977" w:rsidRDefault="000C4977" w:rsidP="00FC3969">
      <w:pPr>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Source: Table 2.29, p80 of the submission</w:t>
      </w:r>
    </w:p>
    <w:p w14:paraId="6CBF51FF" w14:textId="347FDB81" w:rsidR="000C4977" w:rsidRPr="000C4977" w:rsidRDefault="000C4977" w:rsidP="000C4977">
      <w:pPr>
        <w:spacing w:line="259" w:lineRule="auto"/>
        <w:jc w:val="left"/>
      </w:pPr>
      <w:r w:rsidRPr="000C4977">
        <w:t xml:space="preserve">The median PFS in </w:t>
      </w:r>
      <w:proofErr w:type="spellStart"/>
      <w:r w:rsidRPr="00FF1136">
        <w:rPr>
          <w:i/>
          <w:iCs/>
        </w:rPr>
        <w:t>BRCA</w:t>
      </w:r>
      <w:r w:rsidRPr="000C4977">
        <w:t>wt</w:t>
      </w:r>
      <w:proofErr w:type="spellEnd"/>
      <w:r w:rsidRPr="000C4977">
        <w:t xml:space="preserve"> and </w:t>
      </w:r>
      <w:proofErr w:type="spellStart"/>
      <w:r w:rsidRPr="00FF1136">
        <w:rPr>
          <w:i/>
          <w:iCs/>
        </w:rPr>
        <w:t>BRCA</w:t>
      </w:r>
      <w:r w:rsidRPr="000C4977">
        <w:t>m</w:t>
      </w:r>
      <w:proofErr w:type="spellEnd"/>
      <w:r w:rsidRPr="000C4977">
        <w:t xml:space="preserve"> patients differed in PAOLA-1 in the CSR, which reported </w:t>
      </w:r>
      <w:r w:rsidRPr="00F35E31">
        <w:rPr>
          <w:i/>
          <w:iCs/>
        </w:rPr>
        <w:t>BRCA</w:t>
      </w:r>
      <w:r w:rsidRPr="000C4977">
        <w:t xml:space="preserve"> status using the Myriad </w:t>
      </w:r>
      <w:proofErr w:type="spellStart"/>
      <w:r w:rsidRPr="000C4977">
        <w:t>myChoice</w:t>
      </w:r>
      <w:proofErr w:type="spellEnd"/>
      <w:r w:rsidRPr="000C4977">
        <w:t xml:space="preserve"> HRD plus assay, with the publication Ray-</w:t>
      </w:r>
      <w:proofErr w:type="spellStart"/>
      <w:r w:rsidRPr="000C4977">
        <w:t>Coquard</w:t>
      </w:r>
      <w:proofErr w:type="spellEnd"/>
      <w:r w:rsidRPr="000C4977">
        <w:t xml:space="preserve"> 2019, which used one of two NGS testing methods. The commentary considered differences could represent a testing accuracy issue with regards to accuracy for </w:t>
      </w:r>
      <w:r w:rsidRPr="00F35E31">
        <w:rPr>
          <w:i/>
          <w:iCs/>
        </w:rPr>
        <w:t>BRCA</w:t>
      </w:r>
      <w:r w:rsidRPr="000C4977">
        <w:t xml:space="preserve"> testing and in determining </w:t>
      </w:r>
      <w:proofErr w:type="gramStart"/>
      <w:r w:rsidRPr="000C4977">
        <w:t>whether or not</w:t>
      </w:r>
      <w:proofErr w:type="gramEnd"/>
      <w:r w:rsidRPr="000C4977">
        <w:t xml:space="preserve"> a patient should be treated with </w:t>
      </w:r>
      <w:proofErr w:type="spellStart"/>
      <w:r w:rsidRPr="000C4977">
        <w:t>olaparib</w:t>
      </w:r>
      <w:proofErr w:type="spellEnd"/>
      <w:r w:rsidRPr="000C4977">
        <w:t xml:space="preserve"> monotherapy or bevacizumab monotherapy (if they were HRD negative). As the composite HRD/</w:t>
      </w:r>
      <w:r w:rsidRPr="00F35E31">
        <w:rPr>
          <w:i/>
          <w:iCs/>
        </w:rPr>
        <w:t>BRCA</w:t>
      </w:r>
      <w:r w:rsidRPr="000C4977">
        <w:t xml:space="preserve"> status was only determined by the Myriad </w:t>
      </w:r>
      <w:proofErr w:type="spellStart"/>
      <w:r w:rsidRPr="000C4977">
        <w:t>myChoice</w:t>
      </w:r>
      <w:proofErr w:type="spellEnd"/>
      <w:r w:rsidRPr="000C4977">
        <w:t xml:space="preserve"> HRD plus assay</w:t>
      </w:r>
      <w:r w:rsidR="006E64CE">
        <w:t>, the commentary considered that</w:t>
      </w:r>
      <w:r w:rsidRPr="000C4977">
        <w:t xml:space="preserve"> this also d</w:t>
      </w:r>
      <w:r w:rsidR="00212C56">
        <w:t>id</w:t>
      </w:r>
      <w:r w:rsidRPr="000C4977">
        <w:t xml:space="preserve"> not affect the interpretation of the differences in PFS in the HRD subgroups.</w:t>
      </w:r>
    </w:p>
    <w:p w14:paraId="02B981FA" w14:textId="57553FC4" w:rsidR="000C4977" w:rsidRPr="00105CF3" w:rsidRDefault="000C4977" w:rsidP="000C4977">
      <w:pPr>
        <w:spacing w:line="259" w:lineRule="auto"/>
        <w:jc w:val="left"/>
        <w:rPr>
          <w:bCs/>
          <w:lang w:eastAsia="zh-CN"/>
        </w:rPr>
      </w:pPr>
      <w:r w:rsidRPr="000C4977">
        <w:rPr>
          <w:lang w:eastAsia="zh-CN"/>
        </w:rPr>
        <w:t xml:space="preserve">The magnitude of PFS results across studies varied widely. HRD positive </w:t>
      </w:r>
      <w:proofErr w:type="spellStart"/>
      <w:r w:rsidRPr="00FF1136">
        <w:rPr>
          <w:i/>
          <w:iCs/>
          <w:lang w:eastAsia="zh-CN"/>
        </w:rPr>
        <w:t>BRCA</w:t>
      </w:r>
      <w:r w:rsidRPr="000C4977">
        <w:rPr>
          <w:lang w:eastAsia="zh-CN"/>
        </w:rPr>
        <w:t>wt</w:t>
      </w:r>
      <w:proofErr w:type="spellEnd"/>
      <w:r w:rsidRPr="000C4977">
        <w:rPr>
          <w:lang w:eastAsia="zh-CN"/>
        </w:rPr>
        <w:t xml:space="preserve"> patients had PFS durations of 3.8 months (Mirza 2016) to 19.8 months (VELIA study), and the studies were also inconsistent in suggesting whether there was a difference in PFS between HRD positive </w:t>
      </w:r>
      <w:proofErr w:type="spellStart"/>
      <w:r w:rsidRPr="00FF1136">
        <w:rPr>
          <w:i/>
          <w:iCs/>
          <w:lang w:eastAsia="zh-CN"/>
        </w:rPr>
        <w:t>BRCA</w:t>
      </w:r>
      <w:r w:rsidRPr="000C4977">
        <w:rPr>
          <w:lang w:eastAsia="zh-CN"/>
        </w:rPr>
        <w:t>wt</w:t>
      </w:r>
      <w:proofErr w:type="spellEnd"/>
      <w:r w:rsidRPr="000C4977">
        <w:rPr>
          <w:lang w:eastAsia="zh-CN"/>
        </w:rPr>
        <w:t xml:space="preserve"> and HRD negative patients, with PAOLA-1, Coleman 2017 and Mirza 2016 suggesting no difference but Gonzalez-Martin 2019 and the VELIA study suggesting longer median PFS in HRD positive </w:t>
      </w:r>
      <w:proofErr w:type="spellStart"/>
      <w:r w:rsidRPr="00FF1136">
        <w:rPr>
          <w:i/>
          <w:iCs/>
          <w:lang w:eastAsia="zh-CN"/>
        </w:rPr>
        <w:t>BRCA</w:t>
      </w:r>
      <w:r w:rsidRPr="000C4977">
        <w:rPr>
          <w:lang w:eastAsia="zh-CN"/>
        </w:rPr>
        <w:t>wt</w:t>
      </w:r>
      <w:proofErr w:type="spellEnd"/>
      <w:r w:rsidRPr="000C4977">
        <w:rPr>
          <w:lang w:eastAsia="zh-CN"/>
        </w:rPr>
        <w:t xml:space="preserve"> patents compared to HRD negative patients. Ideally, investigation of prognostic validity of the requested biomarker would require demonstration of the prognostic validity of tumours being HRD positive </w:t>
      </w:r>
      <w:proofErr w:type="spellStart"/>
      <w:r w:rsidRPr="00FF1136">
        <w:rPr>
          <w:i/>
          <w:iCs/>
          <w:lang w:eastAsia="zh-CN"/>
        </w:rPr>
        <w:t>BRCA</w:t>
      </w:r>
      <w:r w:rsidRPr="000C4977">
        <w:rPr>
          <w:lang w:eastAsia="zh-CN"/>
        </w:rPr>
        <w:t>wt</w:t>
      </w:r>
      <w:proofErr w:type="spellEnd"/>
      <w:r w:rsidRPr="000C4977">
        <w:rPr>
          <w:lang w:eastAsia="zh-CN"/>
        </w:rPr>
        <w:t xml:space="preserve"> vs its complement (HRD positive </w:t>
      </w:r>
      <w:proofErr w:type="spellStart"/>
      <w:r w:rsidRPr="00FF1136">
        <w:rPr>
          <w:i/>
          <w:iCs/>
          <w:lang w:eastAsia="zh-CN"/>
        </w:rPr>
        <w:t>BRCA</w:t>
      </w:r>
      <w:r w:rsidRPr="000C4977">
        <w:rPr>
          <w:lang w:eastAsia="zh-CN"/>
        </w:rPr>
        <w:t>m</w:t>
      </w:r>
      <w:proofErr w:type="spellEnd"/>
      <w:r w:rsidRPr="000C4977">
        <w:rPr>
          <w:lang w:eastAsia="zh-CN"/>
        </w:rPr>
        <w:t xml:space="preserve"> plus HRD negative). While no evidence was available specifically for the complement population, the commentary considered that there was evidence to support the prognostic effect of patients with HGEOC having HRD positive </w:t>
      </w:r>
      <w:proofErr w:type="spellStart"/>
      <w:r w:rsidRPr="00FF1136">
        <w:rPr>
          <w:i/>
          <w:iCs/>
          <w:lang w:eastAsia="zh-CN"/>
        </w:rPr>
        <w:t>BRCA</w:t>
      </w:r>
      <w:r w:rsidRPr="000C4977">
        <w:rPr>
          <w:lang w:eastAsia="zh-CN"/>
        </w:rPr>
        <w:t>wt</w:t>
      </w:r>
      <w:proofErr w:type="spellEnd"/>
      <w:r w:rsidRPr="000C4977">
        <w:rPr>
          <w:lang w:eastAsia="zh-CN"/>
        </w:rPr>
        <w:t xml:space="preserve"> tumours vs a HRD negative population based on PFS results as demonstrated by González-Martín 2019.</w:t>
      </w:r>
    </w:p>
    <w:p w14:paraId="21BBFB4F" w14:textId="7C7C29AD" w:rsidR="000C4977" w:rsidRPr="00FF1136" w:rsidRDefault="000C4977" w:rsidP="00105CF3">
      <w:pPr>
        <w:keepNext/>
        <w:keepLines/>
        <w:tabs>
          <w:tab w:val="left" w:pos="851"/>
        </w:tabs>
        <w:spacing w:before="360" w:after="200" w:line="259" w:lineRule="auto"/>
        <w:jc w:val="left"/>
        <w:outlineLvl w:val="3"/>
        <w:rPr>
          <w:rFonts w:ascii="Franklin Gothic Medium" w:eastAsiaTheme="majorEastAsia" w:hAnsi="Franklin Gothic Medium" w:cstheme="majorBidi"/>
          <w:szCs w:val="24"/>
        </w:rPr>
      </w:pPr>
      <w:r w:rsidRPr="00FF1136">
        <w:rPr>
          <w:rFonts w:ascii="Franklin Gothic Medium" w:eastAsiaTheme="majorEastAsia" w:hAnsi="Franklin Gothic Medium" w:cstheme="majorBidi"/>
          <w:szCs w:val="24"/>
        </w:rPr>
        <w:t>Predictive evidence</w:t>
      </w:r>
    </w:p>
    <w:p w14:paraId="43A4D4FA" w14:textId="388283FD" w:rsidR="000C4977" w:rsidRPr="000C4977" w:rsidRDefault="000C4977" w:rsidP="000C4977">
      <w:pPr>
        <w:spacing w:line="259" w:lineRule="auto"/>
        <w:jc w:val="left"/>
      </w:pPr>
      <w:r w:rsidRPr="000C4977">
        <w:t xml:space="preserve">The PAOLA-1 trial provides the pivotal clinical data used to support the use of </w:t>
      </w:r>
      <w:proofErr w:type="spellStart"/>
      <w:r w:rsidRPr="000C4977">
        <w:t>olaparib</w:t>
      </w:r>
      <w:proofErr w:type="spellEnd"/>
      <w:r w:rsidRPr="000C4977">
        <w:t xml:space="preserve"> plus bevacizumab versus placebo plus bevacizumab for the treatment of patients with HGEOC, with PBS listing requested specifically in the subpopulation of patients whose tumours are HRD positive </w:t>
      </w:r>
      <w:proofErr w:type="spellStart"/>
      <w:r w:rsidRPr="000C4977">
        <w:rPr>
          <w:i/>
          <w:iCs/>
        </w:rPr>
        <w:t>BRCA</w:t>
      </w:r>
      <w:r w:rsidRPr="000C4977">
        <w:t>wt</w:t>
      </w:r>
      <w:proofErr w:type="spellEnd"/>
      <w:r w:rsidRPr="000C4977">
        <w:t xml:space="preserve">. The clinical utility standard for determining HRD and </w:t>
      </w:r>
      <w:r w:rsidRPr="000C4977">
        <w:rPr>
          <w:i/>
          <w:iCs/>
        </w:rPr>
        <w:t>BRCA</w:t>
      </w:r>
      <w:r w:rsidRPr="000C4977">
        <w:t xml:space="preserve"> status as per the MSAC Guidelines is the Myriad </w:t>
      </w:r>
      <w:proofErr w:type="spellStart"/>
      <w:r w:rsidRPr="000C4977">
        <w:t>myChoice</w:t>
      </w:r>
      <w:proofErr w:type="spellEnd"/>
      <w:r w:rsidRPr="000C4977">
        <w:t xml:space="preserve"> HRD plus assay, as was used in PAOLA-1 with a threshold of ≥42 determining HRD positivity.</w:t>
      </w:r>
    </w:p>
    <w:p w14:paraId="5284E1D9" w14:textId="6929C3F5" w:rsidR="00AE7C51" w:rsidRDefault="00AE7C51" w:rsidP="00AE7C51">
      <w:pPr>
        <w:pStyle w:val="Caption"/>
      </w:pPr>
      <w:r>
        <w:lastRenderedPageBreak/>
        <w:t xml:space="preserve">Table </w:t>
      </w:r>
      <w:fldSimple w:instr=" SEQ Table \* ARABIC ">
        <w:r w:rsidR="00D8603B">
          <w:rPr>
            <w:noProof/>
          </w:rPr>
          <w:t>18</w:t>
        </w:r>
      </w:fldSimple>
      <w:r w:rsidR="00BE0DF9">
        <w:rPr>
          <w:noProof/>
        </w:rPr>
        <w:tab/>
      </w:r>
      <w:r w:rsidRPr="00AE7C51">
        <w:rPr>
          <w:bCs/>
          <w:iCs w:val="0"/>
        </w:rPr>
        <w:t>PAOLA-1 PFS results for FAS and by retrospectively determined HRD status (DCO1 and DCO2)</w:t>
      </w:r>
    </w:p>
    <w:tbl>
      <w:tblPr>
        <w:tblStyle w:val="PBACtabl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2268"/>
        <w:gridCol w:w="2387"/>
      </w:tblGrid>
      <w:tr w:rsidR="000C4977" w:rsidRPr="00AE7C51" w14:paraId="1EEBE5D9"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1B303924" w14:textId="77777777" w:rsidR="000C4977" w:rsidRPr="00AE7C51" w:rsidRDefault="000C4977" w:rsidP="000C4977">
            <w:pPr>
              <w:keepNext/>
              <w:keepLines/>
              <w:widowControl w:val="0"/>
              <w:spacing w:before="0"/>
              <w:jc w:val="center"/>
              <w:rPr>
                <w:rFonts w:ascii="Arial Narrow" w:eastAsia="Times New Roman" w:hAnsi="Arial Narrow" w:cs="Times New Roman"/>
                <w:bCs/>
                <w:color w:val="000000" w:themeColor="text1"/>
                <w:szCs w:val="20"/>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40CE3BC" w14:textId="77777777" w:rsidR="000C4977" w:rsidRPr="00AE7C51"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AE7C51">
              <w:rPr>
                <w:rFonts w:ascii="Arial Narrow" w:eastAsia="Times New Roman" w:hAnsi="Arial Narrow" w:cs="Times New Roman"/>
                <w:bCs/>
                <w:color w:val="000000" w:themeColor="text1"/>
                <w:szCs w:val="20"/>
                <w:lang w:eastAsia="zh-CN"/>
              </w:rPr>
              <w:t xml:space="preserve">Ola + </w:t>
            </w:r>
            <w:proofErr w:type="spellStart"/>
            <w:r w:rsidRPr="00AE7C51">
              <w:rPr>
                <w:rFonts w:ascii="Arial Narrow" w:eastAsia="Times New Roman" w:hAnsi="Arial Narrow" w:cs="Times New Roman"/>
                <w:bCs/>
                <w:color w:val="000000" w:themeColor="text1"/>
                <w:szCs w:val="20"/>
                <w:lang w:eastAsia="zh-CN"/>
              </w:rPr>
              <w:t>beva</w:t>
            </w:r>
            <w:proofErr w:type="spellEnd"/>
          </w:p>
          <w:p w14:paraId="1D896BFB" w14:textId="77777777" w:rsidR="000C4977" w:rsidRPr="00AE7C51"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AE7C51">
              <w:rPr>
                <w:rFonts w:ascii="Arial Narrow" w:eastAsia="Times New Roman" w:hAnsi="Arial Narrow" w:cs="Times New Roman"/>
                <w:bCs/>
                <w:color w:val="000000" w:themeColor="text1"/>
                <w:szCs w:val="20"/>
                <w:lang w:eastAsia="zh-CN"/>
              </w:rPr>
              <w:t>N=537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C003701" w14:textId="77777777" w:rsidR="000C4977" w:rsidRPr="00AE7C51"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proofErr w:type="spellStart"/>
            <w:r w:rsidRPr="00AE7C51">
              <w:rPr>
                <w:rFonts w:ascii="Arial Narrow" w:eastAsia="Times New Roman" w:hAnsi="Arial Narrow" w:cs="Times New Roman"/>
                <w:bCs/>
                <w:color w:val="000000" w:themeColor="text1"/>
                <w:szCs w:val="20"/>
                <w:lang w:eastAsia="zh-CN"/>
              </w:rPr>
              <w:t>Pbo</w:t>
            </w:r>
            <w:proofErr w:type="spellEnd"/>
            <w:r w:rsidRPr="00AE7C51">
              <w:rPr>
                <w:rFonts w:ascii="Arial Narrow" w:eastAsia="Times New Roman" w:hAnsi="Arial Narrow" w:cs="Times New Roman"/>
                <w:bCs/>
                <w:color w:val="000000" w:themeColor="text1"/>
                <w:szCs w:val="20"/>
                <w:lang w:eastAsia="zh-CN"/>
              </w:rPr>
              <w:t xml:space="preserve"> + </w:t>
            </w:r>
            <w:proofErr w:type="spellStart"/>
            <w:r w:rsidRPr="00AE7C51">
              <w:rPr>
                <w:rFonts w:ascii="Arial Narrow" w:eastAsia="Times New Roman" w:hAnsi="Arial Narrow" w:cs="Times New Roman"/>
                <w:bCs/>
                <w:color w:val="000000" w:themeColor="text1"/>
                <w:szCs w:val="20"/>
                <w:lang w:eastAsia="zh-CN"/>
              </w:rPr>
              <w:t>beva</w:t>
            </w:r>
            <w:proofErr w:type="spellEnd"/>
          </w:p>
          <w:p w14:paraId="6F4AEB64" w14:textId="77777777" w:rsidR="000C4977" w:rsidRPr="00AE7C51"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AE7C51">
              <w:rPr>
                <w:rFonts w:ascii="Arial Narrow" w:eastAsia="Times New Roman" w:hAnsi="Arial Narrow" w:cs="Times New Roman"/>
                <w:bCs/>
                <w:color w:val="000000" w:themeColor="text1"/>
                <w:szCs w:val="20"/>
                <w:lang w:eastAsia="zh-CN"/>
              </w:rPr>
              <w:t>N=269</w:t>
            </w: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14:paraId="283546DA" w14:textId="77777777" w:rsidR="000C4977" w:rsidRPr="00AE7C51" w:rsidRDefault="000C4977" w:rsidP="000C4977">
            <w:pPr>
              <w:keepNext/>
              <w:keepLines/>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themeColor="text1"/>
                <w:szCs w:val="20"/>
                <w:lang w:eastAsia="zh-CN"/>
              </w:rPr>
            </w:pPr>
            <w:r w:rsidRPr="00AE7C51">
              <w:rPr>
                <w:rFonts w:ascii="Arial Narrow" w:eastAsia="Times New Roman" w:hAnsi="Arial Narrow" w:cs="Times New Roman"/>
                <w:bCs/>
                <w:color w:val="000000" w:themeColor="text1"/>
                <w:szCs w:val="20"/>
                <w:lang w:eastAsia="zh-CN"/>
              </w:rPr>
              <w:t>HR for disease progression or death (95% CI)</w:t>
            </w:r>
          </w:p>
        </w:tc>
      </w:tr>
      <w:tr w:rsidR="000C4977" w:rsidRPr="00AE7C51" w14:paraId="7FD2372E"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5ADD88B4" w14:textId="2A777350"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Data </w:t>
            </w:r>
            <w:r w:rsidR="00EB0C59" w:rsidRPr="00AE7C51">
              <w:rPr>
                <w:rFonts w:ascii="Arial Narrow" w:eastAsia="Times New Roman" w:hAnsi="Arial Narrow" w:cs="Times New Roman"/>
                <w:b/>
                <w:bCs/>
                <w:color w:val="000000" w:themeColor="text1"/>
                <w:szCs w:val="20"/>
                <w:lang w:eastAsia="zh-CN"/>
              </w:rPr>
              <w:t>c</w:t>
            </w:r>
            <w:r w:rsidRPr="00AE7C51">
              <w:rPr>
                <w:rFonts w:ascii="Arial Narrow" w:eastAsia="Times New Roman" w:hAnsi="Arial Narrow" w:cs="Times New Roman"/>
                <w:b/>
                <w:bCs/>
                <w:color w:val="000000" w:themeColor="text1"/>
                <w:szCs w:val="20"/>
                <w:lang w:eastAsia="zh-CN"/>
              </w:rPr>
              <w:t>ut-off 1</w:t>
            </w:r>
          </w:p>
        </w:tc>
      </w:tr>
      <w:tr w:rsidR="000C4977" w:rsidRPr="00AE7C51" w14:paraId="7CCA4719"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3E9BDF17" w14:textId="77777777"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FAS</w:t>
            </w:r>
          </w:p>
        </w:tc>
      </w:tr>
      <w:tr w:rsidR="000C4977" w:rsidRPr="00AE7C51" w14:paraId="6686CEB1"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71690CD"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37BDF91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22.1 months</w:t>
            </w:r>
          </w:p>
        </w:tc>
        <w:tc>
          <w:tcPr>
            <w:tcW w:w="2268" w:type="dxa"/>
            <w:tcBorders>
              <w:top w:val="single" w:sz="4" w:space="0" w:color="auto"/>
              <w:left w:val="single" w:sz="4" w:space="0" w:color="auto"/>
              <w:bottom w:val="single" w:sz="4" w:space="0" w:color="auto"/>
              <w:right w:val="single" w:sz="4" w:space="0" w:color="auto"/>
            </w:tcBorders>
            <w:hideMark/>
          </w:tcPr>
          <w:p w14:paraId="0E09C17F"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16.6 months</w:t>
            </w:r>
          </w:p>
        </w:tc>
        <w:tc>
          <w:tcPr>
            <w:tcW w:w="2387" w:type="dxa"/>
            <w:tcBorders>
              <w:top w:val="single" w:sz="4" w:space="0" w:color="auto"/>
              <w:left w:val="single" w:sz="4" w:space="0" w:color="auto"/>
              <w:bottom w:val="single" w:sz="4" w:space="0" w:color="auto"/>
              <w:right w:val="single" w:sz="4" w:space="0" w:color="auto"/>
            </w:tcBorders>
            <w:hideMark/>
          </w:tcPr>
          <w:p w14:paraId="2750EC52"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0.59 (0.49, 0.72)</w:t>
            </w:r>
          </w:p>
        </w:tc>
      </w:tr>
      <w:tr w:rsidR="000C4977" w:rsidRPr="00AE7C51" w14:paraId="4A9A2833"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CB45263"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0CC983FF"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280/537 (52.1)</w:t>
            </w:r>
          </w:p>
        </w:tc>
        <w:tc>
          <w:tcPr>
            <w:tcW w:w="2268" w:type="dxa"/>
            <w:tcBorders>
              <w:top w:val="single" w:sz="4" w:space="0" w:color="auto"/>
              <w:left w:val="single" w:sz="4" w:space="0" w:color="auto"/>
              <w:bottom w:val="single" w:sz="4" w:space="0" w:color="auto"/>
              <w:right w:val="single" w:sz="4" w:space="0" w:color="auto"/>
            </w:tcBorders>
            <w:hideMark/>
          </w:tcPr>
          <w:p w14:paraId="29D993EC"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194/269 (72.1)</w:t>
            </w:r>
          </w:p>
        </w:tc>
        <w:tc>
          <w:tcPr>
            <w:tcW w:w="2387" w:type="dxa"/>
            <w:tcBorders>
              <w:top w:val="single" w:sz="4" w:space="0" w:color="auto"/>
              <w:left w:val="single" w:sz="4" w:space="0" w:color="auto"/>
              <w:bottom w:val="single" w:sz="4" w:space="0" w:color="auto"/>
              <w:right w:val="single" w:sz="4" w:space="0" w:color="auto"/>
            </w:tcBorders>
          </w:tcPr>
          <w:p w14:paraId="1B0C86C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37AC8BFE"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17050C10" w14:textId="77777777"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HRD positive </w:t>
            </w:r>
            <w:proofErr w:type="spellStart"/>
            <w:r w:rsidRPr="00AE7C51">
              <w:rPr>
                <w:rFonts w:ascii="Arial Narrow" w:eastAsia="Times New Roman" w:hAnsi="Arial Narrow" w:cs="Times New Roman"/>
                <w:b/>
                <w:bCs/>
                <w:i/>
                <w:iCs/>
                <w:color w:val="000000" w:themeColor="text1"/>
                <w:szCs w:val="20"/>
                <w:lang w:eastAsia="zh-CN"/>
              </w:rPr>
              <w:t>BRCA</w:t>
            </w:r>
            <w:r w:rsidRPr="00AE7C51">
              <w:rPr>
                <w:rFonts w:ascii="Arial Narrow" w:eastAsia="Times New Roman" w:hAnsi="Arial Narrow" w:cs="Times New Roman"/>
                <w:b/>
                <w:bCs/>
                <w:color w:val="000000" w:themeColor="text1"/>
                <w:szCs w:val="20"/>
                <w:lang w:eastAsia="zh-CN"/>
              </w:rPr>
              <w:t>wt</w:t>
            </w:r>
            <w:proofErr w:type="spellEnd"/>
            <w:r w:rsidRPr="00AE7C51">
              <w:rPr>
                <w:rFonts w:ascii="Arial Narrow" w:eastAsia="Times New Roman" w:hAnsi="Arial Narrow" w:cs="Times New Roman"/>
                <w:b/>
                <w:bCs/>
                <w:color w:val="000000" w:themeColor="text1"/>
                <w:szCs w:val="20"/>
                <w:lang w:eastAsia="zh-CN"/>
              </w:rPr>
              <w:t xml:space="preserve"> (subgroup of interest)</w:t>
            </w:r>
          </w:p>
        </w:tc>
      </w:tr>
      <w:tr w:rsidR="000C4977" w:rsidRPr="00AE7C51" w14:paraId="417C132A"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183625E"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58619AD8"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28.1 months</w:t>
            </w:r>
          </w:p>
        </w:tc>
        <w:tc>
          <w:tcPr>
            <w:tcW w:w="2268" w:type="dxa"/>
            <w:tcBorders>
              <w:top w:val="single" w:sz="4" w:space="0" w:color="auto"/>
              <w:left w:val="single" w:sz="4" w:space="0" w:color="auto"/>
              <w:bottom w:val="single" w:sz="4" w:space="0" w:color="auto"/>
              <w:right w:val="single" w:sz="4" w:space="0" w:color="auto"/>
            </w:tcBorders>
            <w:hideMark/>
          </w:tcPr>
          <w:p w14:paraId="337E437C"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16.6 months</w:t>
            </w:r>
          </w:p>
        </w:tc>
        <w:tc>
          <w:tcPr>
            <w:tcW w:w="2387" w:type="dxa"/>
            <w:tcBorders>
              <w:top w:val="single" w:sz="4" w:space="0" w:color="auto"/>
              <w:left w:val="single" w:sz="4" w:space="0" w:color="auto"/>
              <w:bottom w:val="single" w:sz="4" w:space="0" w:color="auto"/>
              <w:right w:val="single" w:sz="4" w:space="0" w:color="auto"/>
            </w:tcBorders>
            <w:hideMark/>
          </w:tcPr>
          <w:p w14:paraId="0DEFBEEC" w14:textId="1A470F58"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0.43 (0.28,</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0.66)</w:t>
            </w:r>
          </w:p>
        </w:tc>
      </w:tr>
      <w:tr w:rsidR="000C4977" w:rsidRPr="00AE7C51" w14:paraId="5570BCCA"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4FF80B46"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79D54E2C"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43/97 (44.3)</w:t>
            </w:r>
          </w:p>
        </w:tc>
        <w:tc>
          <w:tcPr>
            <w:tcW w:w="2268" w:type="dxa"/>
            <w:tcBorders>
              <w:top w:val="single" w:sz="4" w:space="0" w:color="auto"/>
              <w:left w:val="single" w:sz="4" w:space="0" w:color="auto"/>
              <w:bottom w:val="single" w:sz="4" w:space="0" w:color="auto"/>
              <w:right w:val="single" w:sz="4" w:space="0" w:color="auto"/>
            </w:tcBorders>
            <w:hideMark/>
          </w:tcPr>
          <w:p w14:paraId="0724F4B6"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40/55 (72.7)</w:t>
            </w:r>
          </w:p>
        </w:tc>
        <w:tc>
          <w:tcPr>
            <w:tcW w:w="2387" w:type="dxa"/>
            <w:tcBorders>
              <w:top w:val="single" w:sz="4" w:space="0" w:color="auto"/>
              <w:left w:val="single" w:sz="4" w:space="0" w:color="auto"/>
              <w:bottom w:val="single" w:sz="4" w:space="0" w:color="auto"/>
              <w:right w:val="single" w:sz="4" w:space="0" w:color="auto"/>
            </w:tcBorders>
          </w:tcPr>
          <w:p w14:paraId="2FCC8E02"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7691E564"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610777F5" w14:textId="5DD987FF"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HRD positive </w:t>
            </w:r>
            <w:proofErr w:type="spellStart"/>
            <w:r w:rsidRPr="00AE7C51">
              <w:rPr>
                <w:rFonts w:ascii="Arial Narrow" w:eastAsia="Times New Roman" w:hAnsi="Arial Narrow" w:cs="Times New Roman"/>
                <w:b/>
                <w:bCs/>
                <w:color w:val="000000" w:themeColor="text1"/>
                <w:szCs w:val="20"/>
                <w:lang w:eastAsia="zh-CN"/>
              </w:rPr>
              <w:t>tumours</w:t>
            </w:r>
            <w:proofErr w:type="spellEnd"/>
            <w:r w:rsidR="00776599" w:rsidRPr="00AE7C51">
              <w:rPr>
                <w:rFonts w:ascii="Arial Narrow" w:eastAsia="Times New Roman" w:hAnsi="Arial Narrow" w:cs="Times New Roman"/>
                <w:b/>
                <w:bCs/>
                <w:color w:val="000000" w:themeColor="text1"/>
                <w:szCs w:val="20"/>
                <w:lang w:eastAsia="zh-CN"/>
              </w:rPr>
              <w:t xml:space="preserve"> </w:t>
            </w:r>
            <w:r w:rsidRPr="00AE7C51">
              <w:rPr>
                <w:rFonts w:ascii="Arial Narrow" w:eastAsia="Times New Roman" w:hAnsi="Arial Narrow" w:cs="Times New Roman"/>
                <w:color w:val="000000" w:themeColor="text1"/>
                <w:szCs w:val="20"/>
                <w:vertAlign w:val="superscript"/>
                <w:lang w:eastAsia="zh-CN"/>
              </w:rPr>
              <w:t>a</w:t>
            </w:r>
          </w:p>
        </w:tc>
      </w:tr>
      <w:tr w:rsidR="000C4977" w:rsidRPr="00AE7C51" w14:paraId="0C5BBB47"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61A230A"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43BF1E42"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37.2 months</w:t>
            </w:r>
          </w:p>
        </w:tc>
        <w:tc>
          <w:tcPr>
            <w:tcW w:w="2268" w:type="dxa"/>
            <w:tcBorders>
              <w:top w:val="single" w:sz="4" w:space="0" w:color="auto"/>
              <w:left w:val="single" w:sz="4" w:space="0" w:color="auto"/>
              <w:bottom w:val="single" w:sz="4" w:space="0" w:color="auto"/>
              <w:right w:val="single" w:sz="4" w:space="0" w:color="auto"/>
            </w:tcBorders>
            <w:hideMark/>
          </w:tcPr>
          <w:p w14:paraId="15F8ABD6"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17.7 months</w:t>
            </w:r>
          </w:p>
        </w:tc>
        <w:tc>
          <w:tcPr>
            <w:tcW w:w="2387" w:type="dxa"/>
            <w:tcBorders>
              <w:top w:val="single" w:sz="4" w:space="0" w:color="auto"/>
              <w:left w:val="single" w:sz="4" w:space="0" w:color="auto"/>
              <w:bottom w:val="single" w:sz="4" w:space="0" w:color="auto"/>
              <w:right w:val="single" w:sz="4" w:space="0" w:color="auto"/>
            </w:tcBorders>
            <w:hideMark/>
          </w:tcPr>
          <w:p w14:paraId="7FE4ECC2" w14:textId="332466EE"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0.33 (0.25,</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0.45)</w:t>
            </w:r>
          </w:p>
        </w:tc>
      </w:tr>
      <w:tr w:rsidR="000C4977" w:rsidRPr="00AE7C51" w14:paraId="22F06353"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362C3C61"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5A1527CF"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87/255 (34.1)</w:t>
            </w:r>
          </w:p>
        </w:tc>
        <w:tc>
          <w:tcPr>
            <w:tcW w:w="2268" w:type="dxa"/>
            <w:tcBorders>
              <w:top w:val="single" w:sz="4" w:space="0" w:color="auto"/>
              <w:left w:val="single" w:sz="4" w:space="0" w:color="auto"/>
              <w:bottom w:val="single" w:sz="4" w:space="0" w:color="auto"/>
              <w:right w:val="single" w:sz="4" w:space="0" w:color="auto"/>
            </w:tcBorders>
            <w:hideMark/>
          </w:tcPr>
          <w:p w14:paraId="78A5107B"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92/132 (69.7)</w:t>
            </w:r>
          </w:p>
        </w:tc>
        <w:tc>
          <w:tcPr>
            <w:tcW w:w="2387" w:type="dxa"/>
            <w:tcBorders>
              <w:top w:val="single" w:sz="4" w:space="0" w:color="auto"/>
              <w:left w:val="single" w:sz="4" w:space="0" w:color="auto"/>
              <w:bottom w:val="single" w:sz="4" w:space="0" w:color="auto"/>
              <w:right w:val="single" w:sz="4" w:space="0" w:color="auto"/>
            </w:tcBorders>
          </w:tcPr>
          <w:p w14:paraId="6F76282E"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7666C077"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7B1F2F4E" w14:textId="77777777"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HRD negative </w:t>
            </w:r>
            <w:proofErr w:type="spellStart"/>
            <w:r w:rsidRPr="00AE7C51">
              <w:rPr>
                <w:rFonts w:ascii="Arial Narrow" w:eastAsia="Times New Roman" w:hAnsi="Arial Narrow" w:cs="Times New Roman"/>
                <w:b/>
                <w:bCs/>
                <w:color w:val="000000" w:themeColor="text1"/>
                <w:szCs w:val="20"/>
                <w:lang w:eastAsia="zh-CN"/>
              </w:rPr>
              <w:t>tumours</w:t>
            </w:r>
            <w:proofErr w:type="spellEnd"/>
          </w:p>
        </w:tc>
      </w:tr>
      <w:tr w:rsidR="000C4977" w:rsidRPr="00AE7C51" w14:paraId="5C119B8A" w14:textId="77777777" w:rsidTr="00A91280">
        <w:trPr>
          <w:trHeight w:val="7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EF27C41"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1795C08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16.6 months</w:t>
            </w:r>
          </w:p>
        </w:tc>
        <w:tc>
          <w:tcPr>
            <w:tcW w:w="2268" w:type="dxa"/>
            <w:tcBorders>
              <w:top w:val="single" w:sz="4" w:space="0" w:color="auto"/>
              <w:left w:val="single" w:sz="4" w:space="0" w:color="auto"/>
              <w:bottom w:val="single" w:sz="4" w:space="0" w:color="auto"/>
              <w:right w:val="single" w:sz="4" w:space="0" w:color="auto"/>
            </w:tcBorders>
            <w:hideMark/>
          </w:tcPr>
          <w:p w14:paraId="6707B8A2"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16.2 months</w:t>
            </w:r>
          </w:p>
        </w:tc>
        <w:tc>
          <w:tcPr>
            <w:tcW w:w="2387" w:type="dxa"/>
            <w:tcBorders>
              <w:top w:val="single" w:sz="4" w:space="0" w:color="auto"/>
              <w:left w:val="single" w:sz="4" w:space="0" w:color="auto"/>
              <w:bottom w:val="single" w:sz="4" w:space="0" w:color="auto"/>
              <w:right w:val="single" w:sz="4" w:space="0" w:color="auto"/>
            </w:tcBorders>
            <w:hideMark/>
          </w:tcPr>
          <w:p w14:paraId="2E430488" w14:textId="168D88A3"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1.00 (0.75,</w:t>
            </w:r>
            <w:r w:rsidR="004E394A" w:rsidRPr="00AE7C51">
              <w:rPr>
                <w:rFonts w:ascii="Arial Narrow" w:eastAsia="Times New Roman" w:hAnsi="Arial Narrow" w:cs="Times New Roman"/>
                <w:color w:val="000000" w:themeColor="text1"/>
                <w:sz w:val="20"/>
                <w:szCs w:val="20"/>
                <w:lang w:eastAsia="zh-CN"/>
              </w:rPr>
              <w:t xml:space="preserve"> </w:t>
            </w:r>
            <w:r w:rsidRPr="00AE7C51">
              <w:rPr>
                <w:rFonts w:ascii="Arial Narrow" w:eastAsia="Times New Roman" w:hAnsi="Arial Narrow" w:cs="Times New Roman"/>
                <w:color w:val="000000" w:themeColor="text1"/>
                <w:sz w:val="20"/>
                <w:szCs w:val="20"/>
                <w:lang w:eastAsia="zh-CN"/>
              </w:rPr>
              <w:t>1.35)</w:t>
            </w:r>
          </w:p>
        </w:tc>
      </w:tr>
      <w:tr w:rsidR="000C4977" w:rsidRPr="00AE7C51" w14:paraId="5130B9EF"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2A88D793"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5EC2DF18"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145/192 (75.5)</w:t>
            </w:r>
          </w:p>
        </w:tc>
        <w:tc>
          <w:tcPr>
            <w:tcW w:w="2268" w:type="dxa"/>
            <w:tcBorders>
              <w:top w:val="single" w:sz="4" w:space="0" w:color="auto"/>
              <w:left w:val="single" w:sz="4" w:space="0" w:color="auto"/>
              <w:bottom w:val="single" w:sz="4" w:space="0" w:color="auto"/>
              <w:right w:val="single" w:sz="4" w:space="0" w:color="auto"/>
            </w:tcBorders>
            <w:hideMark/>
          </w:tcPr>
          <w:p w14:paraId="74F57A8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66/85 (77.6)</w:t>
            </w:r>
          </w:p>
        </w:tc>
        <w:tc>
          <w:tcPr>
            <w:tcW w:w="2387" w:type="dxa"/>
            <w:tcBorders>
              <w:top w:val="single" w:sz="4" w:space="0" w:color="auto"/>
              <w:left w:val="single" w:sz="4" w:space="0" w:color="auto"/>
              <w:bottom w:val="single" w:sz="4" w:space="0" w:color="auto"/>
              <w:right w:val="single" w:sz="4" w:space="0" w:color="auto"/>
            </w:tcBorders>
          </w:tcPr>
          <w:p w14:paraId="0869781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75DD57CB"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5559ECC6" w14:textId="77777777"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proofErr w:type="spellStart"/>
            <w:r w:rsidRPr="00AE7C51">
              <w:rPr>
                <w:rFonts w:ascii="Arial Narrow" w:eastAsia="Times New Roman" w:hAnsi="Arial Narrow" w:cs="Times New Roman"/>
                <w:b/>
                <w:bCs/>
                <w:color w:val="000000" w:themeColor="text1"/>
                <w:szCs w:val="20"/>
                <w:lang w:eastAsia="zh-CN"/>
              </w:rPr>
              <w:t>Tumour</w:t>
            </w:r>
            <w:proofErr w:type="spellEnd"/>
            <w:r w:rsidRPr="00AE7C51">
              <w:rPr>
                <w:rFonts w:ascii="Arial Narrow" w:eastAsia="Times New Roman" w:hAnsi="Arial Narrow" w:cs="Times New Roman"/>
                <w:b/>
                <w:bCs/>
                <w:color w:val="000000" w:themeColor="text1"/>
                <w:szCs w:val="20"/>
                <w:lang w:eastAsia="zh-CN"/>
              </w:rPr>
              <w:t xml:space="preserve"> </w:t>
            </w:r>
            <w:proofErr w:type="spellStart"/>
            <w:r w:rsidRPr="00AE7C51">
              <w:rPr>
                <w:rFonts w:ascii="Arial Narrow" w:eastAsia="Times New Roman" w:hAnsi="Arial Narrow" w:cs="Times New Roman"/>
                <w:b/>
                <w:bCs/>
                <w:i/>
                <w:iCs/>
                <w:color w:val="000000" w:themeColor="text1"/>
                <w:szCs w:val="20"/>
                <w:lang w:eastAsia="zh-CN"/>
              </w:rPr>
              <w:t>BRCA</w:t>
            </w:r>
            <w:r w:rsidRPr="005B2AFE">
              <w:rPr>
                <w:rFonts w:ascii="Arial Narrow" w:eastAsia="Times New Roman" w:hAnsi="Arial Narrow" w:cs="Times New Roman"/>
                <w:b/>
                <w:bCs/>
                <w:color w:val="000000" w:themeColor="text1"/>
                <w:szCs w:val="20"/>
                <w:lang w:eastAsia="zh-CN"/>
              </w:rPr>
              <w:t>m</w:t>
            </w:r>
            <w:proofErr w:type="spellEnd"/>
          </w:p>
        </w:tc>
      </w:tr>
      <w:tr w:rsidR="000C4977" w:rsidRPr="00AE7C51" w14:paraId="55D55AE0"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477E0E37"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49F43D6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37.2 months</w:t>
            </w:r>
          </w:p>
        </w:tc>
        <w:tc>
          <w:tcPr>
            <w:tcW w:w="2268" w:type="dxa"/>
            <w:tcBorders>
              <w:top w:val="single" w:sz="4" w:space="0" w:color="auto"/>
              <w:left w:val="single" w:sz="4" w:space="0" w:color="auto"/>
              <w:bottom w:val="single" w:sz="4" w:space="0" w:color="auto"/>
              <w:right w:val="single" w:sz="4" w:space="0" w:color="auto"/>
            </w:tcBorders>
            <w:hideMark/>
          </w:tcPr>
          <w:p w14:paraId="39E4881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18.8 months</w:t>
            </w:r>
          </w:p>
        </w:tc>
        <w:tc>
          <w:tcPr>
            <w:tcW w:w="2387" w:type="dxa"/>
            <w:tcBorders>
              <w:top w:val="single" w:sz="4" w:space="0" w:color="auto"/>
              <w:left w:val="single" w:sz="4" w:space="0" w:color="auto"/>
              <w:bottom w:val="single" w:sz="4" w:space="0" w:color="auto"/>
              <w:right w:val="single" w:sz="4" w:space="0" w:color="auto"/>
            </w:tcBorders>
            <w:hideMark/>
          </w:tcPr>
          <w:p w14:paraId="0F449A05" w14:textId="4EBF9654"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0.28 (0.19,</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0.42)</w:t>
            </w:r>
          </w:p>
        </w:tc>
      </w:tr>
      <w:tr w:rsidR="000C4977" w:rsidRPr="00AE7C51" w14:paraId="7B512F2B"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750C31E4"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6FE2F4F5"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44/158 (27.8)</w:t>
            </w:r>
          </w:p>
        </w:tc>
        <w:tc>
          <w:tcPr>
            <w:tcW w:w="2268" w:type="dxa"/>
            <w:tcBorders>
              <w:top w:val="single" w:sz="4" w:space="0" w:color="auto"/>
              <w:left w:val="single" w:sz="4" w:space="0" w:color="auto"/>
              <w:bottom w:val="single" w:sz="4" w:space="0" w:color="auto"/>
              <w:right w:val="single" w:sz="4" w:space="0" w:color="auto"/>
            </w:tcBorders>
            <w:hideMark/>
          </w:tcPr>
          <w:p w14:paraId="70DC420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52/77 (67.5)</w:t>
            </w:r>
          </w:p>
        </w:tc>
        <w:tc>
          <w:tcPr>
            <w:tcW w:w="2387" w:type="dxa"/>
            <w:tcBorders>
              <w:top w:val="single" w:sz="4" w:space="0" w:color="auto"/>
              <w:left w:val="single" w:sz="4" w:space="0" w:color="auto"/>
              <w:bottom w:val="single" w:sz="4" w:space="0" w:color="auto"/>
              <w:right w:val="single" w:sz="4" w:space="0" w:color="auto"/>
            </w:tcBorders>
          </w:tcPr>
          <w:p w14:paraId="4CDDFD74"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2485263B"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748B7144" w14:textId="77777777" w:rsidR="000C4977" w:rsidRPr="00AE7C51" w:rsidRDefault="000C4977" w:rsidP="000C4977">
            <w:pPr>
              <w:keepNext/>
              <w:keepLines/>
              <w:widowControl w:val="0"/>
              <w:spacing w:before="0"/>
              <w:jc w:val="left"/>
              <w:rPr>
                <w:rFonts w:ascii="Arial Narrow" w:eastAsia="Times New Roman" w:hAnsi="Arial Narrow" w:cs="Times New Roman"/>
                <w:b/>
                <w:bCs/>
                <w:i/>
                <w:iCs/>
                <w:color w:val="000000" w:themeColor="text1"/>
                <w:szCs w:val="20"/>
                <w:lang w:eastAsia="zh-CN"/>
              </w:rPr>
            </w:pPr>
            <w:proofErr w:type="spellStart"/>
            <w:r w:rsidRPr="00AE7C51">
              <w:rPr>
                <w:rFonts w:ascii="Arial Narrow" w:eastAsia="Times New Roman" w:hAnsi="Arial Narrow" w:cs="Times New Roman"/>
                <w:b/>
                <w:bCs/>
                <w:i/>
                <w:iCs/>
                <w:color w:val="000000" w:themeColor="text1"/>
                <w:szCs w:val="20"/>
                <w:lang w:eastAsia="zh-CN"/>
              </w:rPr>
              <w:t>Tumour</w:t>
            </w:r>
            <w:proofErr w:type="spellEnd"/>
            <w:r w:rsidRPr="00AE7C51">
              <w:rPr>
                <w:rFonts w:ascii="Arial Narrow" w:eastAsia="Times New Roman" w:hAnsi="Arial Narrow" w:cs="Times New Roman"/>
                <w:b/>
                <w:bCs/>
                <w:i/>
                <w:iCs/>
                <w:color w:val="000000" w:themeColor="text1"/>
                <w:szCs w:val="20"/>
                <w:lang w:eastAsia="zh-CN"/>
              </w:rPr>
              <w:t xml:space="preserve"> </w:t>
            </w:r>
            <w:proofErr w:type="spellStart"/>
            <w:r w:rsidRPr="00AE7C51">
              <w:rPr>
                <w:rFonts w:ascii="Arial Narrow" w:eastAsia="Times New Roman" w:hAnsi="Arial Narrow" w:cs="Times New Roman"/>
                <w:b/>
                <w:bCs/>
                <w:i/>
                <w:iCs/>
                <w:color w:val="000000" w:themeColor="text1"/>
                <w:szCs w:val="20"/>
                <w:lang w:eastAsia="zh-CN"/>
              </w:rPr>
              <w:t>BRCA</w:t>
            </w:r>
            <w:r w:rsidRPr="00082946">
              <w:rPr>
                <w:rFonts w:ascii="Arial Narrow" w:eastAsia="Times New Roman" w:hAnsi="Arial Narrow" w:cs="Times New Roman"/>
                <w:b/>
                <w:bCs/>
                <w:color w:val="000000" w:themeColor="text1"/>
                <w:szCs w:val="20"/>
                <w:lang w:eastAsia="zh-CN"/>
              </w:rPr>
              <w:t>wt</w:t>
            </w:r>
            <w:proofErr w:type="spellEnd"/>
          </w:p>
        </w:tc>
      </w:tr>
      <w:tr w:rsidR="000C4977" w:rsidRPr="00AE7C51" w14:paraId="2A45C598"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231867E6" w14:textId="77777777" w:rsidR="000C4977" w:rsidRPr="00AE7C51" w:rsidRDefault="000C4977" w:rsidP="000C4977">
            <w:pPr>
              <w:keepNext/>
              <w:keepLines/>
              <w:widowControl w:val="0"/>
              <w:spacing w:before="0"/>
              <w:jc w:val="left"/>
              <w:rPr>
                <w:rFonts w:ascii="Arial Narrow" w:eastAsia="Times New Roman" w:hAnsi="Arial Narrow" w:cs="Times New Roman"/>
                <w:i/>
                <w:iCs/>
                <w:color w:val="000000" w:themeColor="text1"/>
                <w:szCs w:val="20"/>
                <w:lang w:eastAsia="zh-CN"/>
              </w:rPr>
            </w:pPr>
            <w:r w:rsidRPr="00AE7C51">
              <w:rPr>
                <w:rFonts w:ascii="Arial Narrow" w:eastAsia="Times New Roman" w:hAnsi="Arial Narrow" w:cs="Times New Roman"/>
                <w:i/>
                <w:iCs/>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7A569A73"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18.2 months</w:t>
            </w:r>
          </w:p>
        </w:tc>
        <w:tc>
          <w:tcPr>
            <w:tcW w:w="2268" w:type="dxa"/>
            <w:tcBorders>
              <w:top w:val="single" w:sz="4" w:space="0" w:color="auto"/>
              <w:left w:val="single" w:sz="4" w:space="0" w:color="auto"/>
              <w:bottom w:val="single" w:sz="4" w:space="0" w:color="auto"/>
              <w:right w:val="single" w:sz="4" w:space="0" w:color="auto"/>
            </w:tcBorders>
            <w:hideMark/>
          </w:tcPr>
          <w:p w14:paraId="67701AF2"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16.4 months</w:t>
            </w:r>
          </w:p>
        </w:tc>
        <w:tc>
          <w:tcPr>
            <w:tcW w:w="2387" w:type="dxa"/>
            <w:tcBorders>
              <w:top w:val="single" w:sz="4" w:space="0" w:color="auto"/>
              <w:left w:val="single" w:sz="4" w:space="0" w:color="auto"/>
              <w:bottom w:val="single" w:sz="4" w:space="0" w:color="auto"/>
              <w:right w:val="single" w:sz="4" w:space="0" w:color="auto"/>
            </w:tcBorders>
            <w:hideMark/>
          </w:tcPr>
          <w:p w14:paraId="52C6A8C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i/>
                <w:iCs/>
                <w:color w:val="000000" w:themeColor="text1"/>
                <w:sz w:val="20"/>
                <w:szCs w:val="20"/>
                <w:lang w:eastAsia="zh-CN"/>
              </w:rPr>
            </w:pPr>
            <w:r w:rsidRPr="00AE7C51">
              <w:rPr>
                <w:rFonts w:ascii="Arial Narrow" w:eastAsia="Times New Roman" w:hAnsi="Arial Narrow" w:cs="Times New Roman"/>
                <w:b/>
                <w:bCs/>
                <w:i/>
                <w:iCs/>
                <w:color w:val="000000" w:themeColor="text1"/>
                <w:sz w:val="20"/>
                <w:szCs w:val="20"/>
                <w:lang w:eastAsia="zh-CN"/>
              </w:rPr>
              <w:t>0.77 (0.62, 0.96)</w:t>
            </w:r>
          </w:p>
        </w:tc>
      </w:tr>
      <w:tr w:rsidR="000C4977" w:rsidRPr="00AE7C51" w14:paraId="265B95AF"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1BA0FE4" w14:textId="77777777" w:rsidR="000C4977" w:rsidRPr="00AE7C51" w:rsidRDefault="000C4977" w:rsidP="000C4977">
            <w:pPr>
              <w:keepNext/>
              <w:keepLines/>
              <w:widowControl w:val="0"/>
              <w:spacing w:before="0"/>
              <w:jc w:val="left"/>
              <w:rPr>
                <w:rFonts w:ascii="Arial Narrow" w:eastAsia="Times New Roman" w:hAnsi="Arial Narrow" w:cs="Times New Roman"/>
                <w:i/>
                <w:iCs/>
                <w:color w:val="000000" w:themeColor="text1"/>
                <w:szCs w:val="20"/>
                <w:lang w:eastAsia="zh-CN"/>
              </w:rPr>
            </w:pPr>
            <w:r w:rsidRPr="00AE7C51">
              <w:rPr>
                <w:rFonts w:ascii="Arial Narrow" w:eastAsia="Times New Roman" w:hAnsi="Arial Narrow" w:cs="Times New Roman"/>
                <w:i/>
                <w:iCs/>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6A007617"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223/346 (64.5)</w:t>
            </w:r>
          </w:p>
        </w:tc>
        <w:tc>
          <w:tcPr>
            <w:tcW w:w="2268" w:type="dxa"/>
            <w:tcBorders>
              <w:top w:val="single" w:sz="4" w:space="0" w:color="auto"/>
              <w:left w:val="single" w:sz="4" w:space="0" w:color="auto"/>
              <w:bottom w:val="single" w:sz="4" w:space="0" w:color="auto"/>
              <w:right w:val="single" w:sz="4" w:space="0" w:color="auto"/>
            </w:tcBorders>
            <w:hideMark/>
          </w:tcPr>
          <w:p w14:paraId="2EBF4F83"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130/174 (74.7)</w:t>
            </w:r>
          </w:p>
        </w:tc>
        <w:tc>
          <w:tcPr>
            <w:tcW w:w="2387" w:type="dxa"/>
            <w:tcBorders>
              <w:top w:val="single" w:sz="4" w:space="0" w:color="auto"/>
              <w:left w:val="single" w:sz="4" w:space="0" w:color="auto"/>
              <w:bottom w:val="single" w:sz="4" w:space="0" w:color="auto"/>
              <w:right w:val="single" w:sz="4" w:space="0" w:color="auto"/>
            </w:tcBorders>
          </w:tcPr>
          <w:p w14:paraId="7C5A116E"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p>
        </w:tc>
      </w:tr>
      <w:tr w:rsidR="000C4977" w:rsidRPr="00AE7C51" w14:paraId="2885B527"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228A23A2" w14:textId="77777777" w:rsidR="000C4977" w:rsidRPr="00AE7C51" w:rsidRDefault="000C4977" w:rsidP="000C4977">
            <w:pPr>
              <w:keepNext/>
              <w:keepLines/>
              <w:widowControl w:val="0"/>
              <w:spacing w:before="0"/>
              <w:jc w:val="left"/>
              <w:rPr>
                <w:rFonts w:ascii="Arial Narrow" w:eastAsia="Times New Roman" w:hAnsi="Arial Narrow" w:cs="Times New Roman"/>
                <w:b/>
                <w:bCs/>
                <w:i/>
                <w:iCs/>
                <w:color w:val="000000" w:themeColor="text1"/>
                <w:szCs w:val="20"/>
                <w:lang w:eastAsia="zh-CN"/>
              </w:rPr>
            </w:pPr>
            <w:r w:rsidRPr="00AE7C51">
              <w:rPr>
                <w:rFonts w:ascii="Arial Narrow" w:eastAsia="Times New Roman" w:hAnsi="Arial Narrow" w:cs="Times New Roman"/>
                <w:b/>
                <w:bCs/>
                <w:i/>
                <w:iCs/>
                <w:color w:val="000000" w:themeColor="text1"/>
                <w:szCs w:val="20"/>
                <w:lang w:eastAsia="zh-CN"/>
              </w:rPr>
              <w:t>HRD unknown</w:t>
            </w:r>
          </w:p>
        </w:tc>
      </w:tr>
      <w:tr w:rsidR="000C4977" w:rsidRPr="00AE7C51" w14:paraId="56D223FF"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2C834E98" w14:textId="77777777" w:rsidR="000C4977" w:rsidRPr="00AE7C51" w:rsidRDefault="000C4977" w:rsidP="000C4977">
            <w:pPr>
              <w:keepNext/>
              <w:keepLines/>
              <w:widowControl w:val="0"/>
              <w:spacing w:before="0"/>
              <w:jc w:val="left"/>
              <w:rPr>
                <w:rFonts w:ascii="Arial Narrow" w:eastAsia="Times New Roman" w:hAnsi="Arial Narrow" w:cs="Times New Roman"/>
                <w:i/>
                <w:iCs/>
                <w:color w:val="000000" w:themeColor="text1"/>
                <w:szCs w:val="20"/>
                <w:lang w:eastAsia="zh-CN"/>
              </w:rPr>
            </w:pPr>
            <w:r w:rsidRPr="00AE7C51">
              <w:rPr>
                <w:rFonts w:ascii="Arial Narrow" w:eastAsia="Times New Roman" w:hAnsi="Arial Narrow" w:cs="Times New Roman"/>
                <w:i/>
                <w:iCs/>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446AE44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NR</w:t>
            </w:r>
          </w:p>
        </w:tc>
        <w:tc>
          <w:tcPr>
            <w:tcW w:w="2268" w:type="dxa"/>
            <w:tcBorders>
              <w:top w:val="single" w:sz="4" w:space="0" w:color="auto"/>
              <w:left w:val="single" w:sz="4" w:space="0" w:color="auto"/>
              <w:bottom w:val="single" w:sz="4" w:space="0" w:color="auto"/>
              <w:right w:val="single" w:sz="4" w:space="0" w:color="auto"/>
            </w:tcBorders>
            <w:hideMark/>
          </w:tcPr>
          <w:p w14:paraId="53C34C95"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NR</w:t>
            </w:r>
          </w:p>
        </w:tc>
        <w:tc>
          <w:tcPr>
            <w:tcW w:w="2387" w:type="dxa"/>
            <w:tcBorders>
              <w:top w:val="single" w:sz="4" w:space="0" w:color="auto"/>
              <w:left w:val="single" w:sz="4" w:space="0" w:color="auto"/>
              <w:bottom w:val="single" w:sz="4" w:space="0" w:color="auto"/>
              <w:right w:val="single" w:sz="4" w:space="0" w:color="auto"/>
            </w:tcBorders>
            <w:hideMark/>
          </w:tcPr>
          <w:p w14:paraId="065DC819"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0.71 (0.46, 1.10)</w:t>
            </w:r>
          </w:p>
        </w:tc>
      </w:tr>
      <w:tr w:rsidR="000C4977" w:rsidRPr="00AE7C51" w14:paraId="07E68912"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56BBE153" w14:textId="77777777" w:rsidR="000C4977" w:rsidRPr="00AE7C51" w:rsidRDefault="000C4977" w:rsidP="000C4977">
            <w:pPr>
              <w:keepNext/>
              <w:keepLines/>
              <w:widowControl w:val="0"/>
              <w:spacing w:before="0"/>
              <w:jc w:val="left"/>
              <w:rPr>
                <w:rFonts w:ascii="Arial Narrow" w:eastAsia="Times New Roman" w:hAnsi="Arial Narrow" w:cs="Times New Roman"/>
                <w:i/>
                <w:iCs/>
                <w:color w:val="000000" w:themeColor="text1"/>
                <w:szCs w:val="20"/>
                <w:lang w:eastAsia="zh-CN"/>
              </w:rPr>
            </w:pPr>
            <w:r w:rsidRPr="00AE7C51">
              <w:rPr>
                <w:rFonts w:ascii="Arial Narrow" w:eastAsia="Times New Roman" w:hAnsi="Arial Narrow" w:cs="Times New Roman"/>
                <w:i/>
                <w:iCs/>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00C01861"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NR/90</w:t>
            </w:r>
          </w:p>
        </w:tc>
        <w:tc>
          <w:tcPr>
            <w:tcW w:w="2268" w:type="dxa"/>
            <w:tcBorders>
              <w:top w:val="single" w:sz="4" w:space="0" w:color="auto"/>
              <w:left w:val="single" w:sz="4" w:space="0" w:color="auto"/>
              <w:bottom w:val="single" w:sz="4" w:space="0" w:color="auto"/>
              <w:right w:val="single" w:sz="4" w:space="0" w:color="auto"/>
            </w:tcBorders>
            <w:hideMark/>
          </w:tcPr>
          <w:p w14:paraId="6473F1F1"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r w:rsidRPr="00AE7C51">
              <w:rPr>
                <w:rFonts w:ascii="Arial Narrow" w:eastAsia="Times New Roman" w:hAnsi="Arial Narrow" w:cs="Times New Roman"/>
                <w:i/>
                <w:iCs/>
                <w:color w:val="000000" w:themeColor="text1"/>
                <w:sz w:val="20"/>
                <w:szCs w:val="20"/>
                <w:lang w:eastAsia="zh-CN"/>
              </w:rPr>
              <w:t>NR/52</w:t>
            </w:r>
          </w:p>
        </w:tc>
        <w:tc>
          <w:tcPr>
            <w:tcW w:w="2387" w:type="dxa"/>
            <w:tcBorders>
              <w:top w:val="single" w:sz="4" w:space="0" w:color="auto"/>
              <w:left w:val="single" w:sz="4" w:space="0" w:color="auto"/>
              <w:bottom w:val="single" w:sz="4" w:space="0" w:color="auto"/>
              <w:right w:val="single" w:sz="4" w:space="0" w:color="auto"/>
            </w:tcBorders>
          </w:tcPr>
          <w:p w14:paraId="4F1586F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color w:val="000000" w:themeColor="text1"/>
                <w:sz w:val="20"/>
                <w:szCs w:val="20"/>
                <w:lang w:eastAsia="zh-CN"/>
              </w:rPr>
            </w:pPr>
          </w:p>
        </w:tc>
      </w:tr>
      <w:tr w:rsidR="000C4977" w:rsidRPr="00AE7C51" w14:paraId="57AAE1B8"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32252FE3" w14:textId="577ACB50"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Data </w:t>
            </w:r>
            <w:r w:rsidR="006255E8" w:rsidRPr="00AE7C51">
              <w:rPr>
                <w:rFonts w:ascii="Arial Narrow" w:eastAsia="Times New Roman" w:hAnsi="Arial Narrow" w:cs="Times New Roman"/>
                <w:b/>
                <w:bCs/>
                <w:color w:val="000000" w:themeColor="text1"/>
                <w:szCs w:val="20"/>
                <w:lang w:eastAsia="zh-CN"/>
              </w:rPr>
              <w:t>c</w:t>
            </w:r>
            <w:r w:rsidRPr="00AE7C51">
              <w:rPr>
                <w:rFonts w:ascii="Arial Narrow" w:eastAsia="Times New Roman" w:hAnsi="Arial Narrow" w:cs="Times New Roman"/>
                <w:b/>
                <w:bCs/>
                <w:color w:val="000000" w:themeColor="text1"/>
                <w:szCs w:val="20"/>
                <w:lang w:eastAsia="zh-CN"/>
              </w:rPr>
              <w:t>ut-off 2</w:t>
            </w:r>
            <w:r w:rsidRPr="00AE7C51">
              <w:rPr>
                <w:rFonts w:ascii="Arial Narrow" w:eastAsia="Times New Roman" w:hAnsi="Arial Narrow" w:cs="Times New Roman"/>
                <w:color w:val="000000" w:themeColor="text1"/>
                <w:szCs w:val="20"/>
                <w:vertAlign w:val="superscript"/>
                <w:lang w:eastAsia="zh-CN"/>
              </w:rPr>
              <w:t>b</w:t>
            </w:r>
          </w:p>
        </w:tc>
      </w:tr>
      <w:tr w:rsidR="000C4977" w:rsidRPr="00AE7C51" w14:paraId="552E8FDB"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tcPr>
          <w:p w14:paraId="51A229E8" w14:textId="7D43297C"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 All HRD tested population</w:t>
            </w:r>
            <w:r w:rsidR="00776599" w:rsidRPr="00AE7C51">
              <w:rPr>
                <w:rFonts w:ascii="Arial Narrow" w:eastAsia="Times New Roman" w:hAnsi="Arial Narrow" w:cs="Times New Roman"/>
                <w:b/>
                <w:bCs/>
                <w:color w:val="000000" w:themeColor="text1"/>
                <w:szCs w:val="20"/>
                <w:lang w:eastAsia="zh-CN"/>
              </w:rPr>
              <w:t xml:space="preserve"> </w:t>
            </w:r>
            <w:r w:rsidRPr="00AE7C51">
              <w:rPr>
                <w:rFonts w:ascii="Arial Narrow" w:eastAsia="Times New Roman" w:hAnsi="Arial Narrow" w:cs="Times New Roman"/>
                <w:b/>
                <w:bCs/>
                <w:color w:val="000000" w:themeColor="text1"/>
                <w:szCs w:val="20"/>
                <w:vertAlign w:val="superscript"/>
                <w:lang w:eastAsia="zh-CN"/>
              </w:rPr>
              <w:t>c</w:t>
            </w:r>
          </w:p>
        </w:tc>
      </w:tr>
      <w:tr w:rsidR="000C4977" w:rsidRPr="00AE7C51" w14:paraId="61F6F4B0"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7651B7F2"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 (95% CI)</w:t>
            </w:r>
          </w:p>
        </w:tc>
        <w:tc>
          <w:tcPr>
            <w:tcW w:w="2268" w:type="dxa"/>
            <w:tcBorders>
              <w:top w:val="single" w:sz="4" w:space="0" w:color="auto"/>
              <w:left w:val="single" w:sz="4" w:space="0" w:color="auto"/>
              <w:bottom w:val="single" w:sz="4" w:space="0" w:color="auto"/>
              <w:right w:val="single" w:sz="4" w:space="0" w:color="auto"/>
            </w:tcBorders>
          </w:tcPr>
          <w:p w14:paraId="380AB4A1"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23.1 months (22.0,27.4)</w:t>
            </w:r>
          </w:p>
        </w:tc>
        <w:tc>
          <w:tcPr>
            <w:tcW w:w="2268" w:type="dxa"/>
            <w:tcBorders>
              <w:top w:val="single" w:sz="4" w:space="0" w:color="auto"/>
              <w:left w:val="single" w:sz="4" w:space="0" w:color="auto"/>
              <w:bottom w:val="single" w:sz="4" w:space="0" w:color="auto"/>
              <w:right w:val="single" w:sz="4" w:space="0" w:color="auto"/>
            </w:tcBorders>
          </w:tcPr>
          <w:p w14:paraId="0DC045C1" w14:textId="37AB3B5C"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16.7 months (15.8,</w:t>
            </w:r>
            <w:r w:rsidR="004E394A" w:rsidRPr="00AE7C51">
              <w:rPr>
                <w:rFonts w:ascii="Arial Narrow" w:eastAsia="Times New Roman" w:hAnsi="Arial Narrow" w:cs="Times New Roman"/>
                <w:color w:val="000000" w:themeColor="text1"/>
                <w:sz w:val="20"/>
                <w:szCs w:val="20"/>
                <w:lang w:eastAsia="zh-CN"/>
              </w:rPr>
              <w:t xml:space="preserve"> </w:t>
            </w:r>
            <w:r w:rsidRPr="00AE7C51">
              <w:rPr>
                <w:rFonts w:ascii="Arial Narrow" w:eastAsia="Times New Roman" w:hAnsi="Arial Narrow" w:cs="Times New Roman"/>
                <w:color w:val="000000" w:themeColor="text1"/>
                <w:sz w:val="20"/>
                <w:szCs w:val="20"/>
                <w:lang w:eastAsia="zh-CN"/>
              </w:rPr>
              <w:t>18.8)</w:t>
            </w:r>
          </w:p>
        </w:tc>
        <w:tc>
          <w:tcPr>
            <w:tcW w:w="2387" w:type="dxa"/>
            <w:tcBorders>
              <w:top w:val="single" w:sz="4" w:space="0" w:color="auto"/>
              <w:left w:val="single" w:sz="4" w:space="0" w:color="auto"/>
              <w:bottom w:val="single" w:sz="4" w:space="0" w:color="auto"/>
              <w:right w:val="single" w:sz="4" w:space="0" w:color="auto"/>
            </w:tcBorders>
          </w:tcPr>
          <w:p w14:paraId="2440B89C" w14:textId="26F6E870"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0.62 (0.51,</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0.75)</w:t>
            </w:r>
          </w:p>
        </w:tc>
      </w:tr>
      <w:tr w:rsidR="000C4977" w:rsidRPr="00AE7C51" w14:paraId="49BE4785"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5A15F0BB"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tcPr>
          <w:p w14:paraId="16C12C40"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276/447 (61.7)</w:t>
            </w:r>
          </w:p>
        </w:tc>
        <w:tc>
          <w:tcPr>
            <w:tcW w:w="2268" w:type="dxa"/>
            <w:tcBorders>
              <w:top w:val="single" w:sz="4" w:space="0" w:color="auto"/>
              <w:left w:val="single" w:sz="4" w:space="0" w:color="auto"/>
              <w:bottom w:val="single" w:sz="4" w:space="0" w:color="auto"/>
              <w:right w:val="single" w:sz="4" w:space="0" w:color="auto"/>
            </w:tcBorders>
          </w:tcPr>
          <w:p w14:paraId="0BCB3F76"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172/217 (79.3)</w:t>
            </w:r>
          </w:p>
        </w:tc>
        <w:tc>
          <w:tcPr>
            <w:tcW w:w="2387" w:type="dxa"/>
            <w:tcBorders>
              <w:top w:val="single" w:sz="4" w:space="0" w:color="auto"/>
              <w:left w:val="single" w:sz="4" w:space="0" w:color="auto"/>
              <w:bottom w:val="single" w:sz="4" w:space="0" w:color="auto"/>
              <w:right w:val="single" w:sz="4" w:space="0" w:color="auto"/>
            </w:tcBorders>
          </w:tcPr>
          <w:p w14:paraId="0F4E4BCA"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2C0C47C2"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tcPr>
          <w:p w14:paraId="23CA8991"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b/>
                <w:bCs/>
                <w:color w:val="000000" w:themeColor="text1"/>
                <w:szCs w:val="20"/>
                <w:lang w:eastAsia="zh-CN"/>
              </w:rPr>
              <w:t xml:space="preserve">HRD positive </w:t>
            </w:r>
            <w:proofErr w:type="spellStart"/>
            <w:r w:rsidRPr="00AE7C51">
              <w:rPr>
                <w:rFonts w:ascii="Arial Narrow" w:eastAsia="Times New Roman" w:hAnsi="Arial Narrow" w:cs="Times New Roman"/>
                <w:b/>
                <w:bCs/>
                <w:i/>
                <w:iCs/>
                <w:color w:val="000000" w:themeColor="text1"/>
                <w:szCs w:val="20"/>
                <w:lang w:eastAsia="zh-CN"/>
              </w:rPr>
              <w:t>BRCA</w:t>
            </w:r>
            <w:r w:rsidRPr="00AE7C51">
              <w:rPr>
                <w:rFonts w:ascii="Arial Narrow" w:eastAsia="Times New Roman" w:hAnsi="Arial Narrow" w:cs="Times New Roman"/>
                <w:b/>
                <w:bCs/>
                <w:color w:val="000000" w:themeColor="text1"/>
                <w:szCs w:val="20"/>
                <w:lang w:eastAsia="zh-CN"/>
              </w:rPr>
              <w:t>wt</w:t>
            </w:r>
            <w:proofErr w:type="spellEnd"/>
            <w:r w:rsidRPr="00AE7C51">
              <w:rPr>
                <w:rFonts w:ascii="Arial Narrow" w:eastAsia="Times New Roman" w:hAnsi="Arial Narrow" w:cs="Times New Roman"/>
                <w:b/>
                <w:bCs/>
                <w:color w:val="000000" w:themeColor="text1"/>
                <w:szCs w:val="20"/>
                <w:lang w:eastAsia="zh-CN"/>
              </w:rPr>
              <w:t xml:space="preserve"> (subgroup of interest)</w:t>
            </w:r>
          </w:p>
        </w:tc>
      </w:tr>
      <w:tr w:rsidR="000C4977" w:rsidRPr="00AE7C51" w14:paraId="0B93D363"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6E29AD46"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tcPr>
          <w:p w14:paraId="4FE9416D"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30.0 months</w:t>
            </w:r>
          </w:p>
        </w:tc>
        <w:tc>
          <w:tcPr>
            <w:tcW w:w="2268" w:type="dxa"/>
            <w:tcBorders>
              <w:top w:val="single" w:sz="4" w:space="0" w:color="auto"/>
              <w:left w:val="single" w:sz="4" w:space="0" w:color="auto"/>
              <w:bottom w:val="single" w:sz="4" w:space="0" w:color="auto"/>
              <w:right w:val="single" w:sz="4" w:space="0" w:color="auto"/>
            </w:tcBorders>
          </w:tcPr>
          <w:p w14:paraId="427FDB1F"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16.6 months</w:t>
            </w:r>
          </w:p>
        </w:tc>
        <w:tc>
          <w:tcPr>
            <w:tcW w:w="2387" w:type="dxa"/>
            <w:tcBorders>
              <w:top w:val="single" w:sz="4" w:space="0" w:color="auto"/>
              <w:left w:val="single" w:sz="4" w:space="0" w:color="auto"/>
              <w:bottom w:val="single" w:sz="4" w:space="0" w:color="auto"/>
              <w:right w:val="single" w:sz="4" w:space="0" w:color="auto"/>
            </w:tcBorders>
          </w:tcPr>
          <w:p w14:paraId="3E061D03" w14:textId="693FD4F2"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0.44 (0.29,</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0.66)</w:t>
            </w:r>
          </w:p>
        </w:tc>
      </w:tr>
      <w:tr w:rsidR="000C4977" w:rsidRPr="00AE7C51" w14:paraId="5E82E785"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tcPr>
          <w:p w14:paraId="41212188"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tcPr>
          <w:p w14:paraId="2F102A76"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51/97 (52.6)</w:t>
            </w:r>
          </w:p>
        </w:tc>
        <w:tc>
          <w:tcPr>
            <w:tcW w:w="2268" w:type="dxa"/>
            <w:tcBorders>
              <w:top w:val="single" w:sz="4" w:space="0" w:color="auto"/>
              <w:left w:val="single" w:sz="4" w:space="0" w:color="auto"/>
              <w:bottom w:val="single" w:sz="4" w:space="0" w:color="auto"/>
              <w:right w:val="single" w:sz="4" w:space="0" w:color="auto"/>
            </w:tcBorders>
          </w:tcPr>
          <w:p w14:paraId="1A39B25B"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45/55 (81.8)</w:t>
            </w:r>
          </w:p>
        </w:tc>
        <w:tc>
          <w:tcPr>
            <w:tcW w:w="2387" w:type="dxa"/>
            <w:tcBorders>
              <w:top w:val="single" w:sz="4" w:space="0" w:color="auto"/>
              <w:left w:val="single" w:sz="4" w:space="0" w:color="auto"/>
              <w:bottom w:val="single" w:sz="4" w:space="0" w:color="auto"/>
              <w:right w:val="single" w:sz="4" w:space="0" w:color="auto"/>
            </w:tcBorders>
          </w:tcPr>
          <w:p w14:paraId="327C1D75"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AE7C51" w14:paraId="0900348C"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auto"/>
              <w:left w:val="single" w:sz="4" w:space="0" w:color="auto"/>
              <w:bottom w:val="single" w:sz="4" w:space="0" w:color="auto"/>
              <w:right w:val="single" w:sz="4" w:space="0" w:color="auto"/>
            </w:tcBorders>
            <w:hideMark/>
          </w:tcPr>
          <w:p w14:paraId="5EF8C73C" w14:textId="77777777" w:rsidR="000C4977" w:rsidRPr="00AE7C51" w:rsidRDefault="000C4977" w:rsidP="000C4977">
            <w:pPr>
              <w:keepNext/>
              <w:keepLines/>
              <w:widowControl w:val="0"/>
              <w:spacing w:before="0"/>
              <w:jc w:val="left"/>
              <w:rPr>
                <w:rFonts w:ascii="Arial Narrow" w:eastAsia="Times New Roman" w:hAnsi="Arial Narrow" w:cs="Times New Roman"/>
                <w:b/>
                <w:bCs/>
                <w:color w:val="000000" w:themeColor="text1"/>
                <w:szCs w:val="20"/>
                <w:lang w:eastAsia="zh-CN"/>
              </w:rPr>
            </w:pPr>
            <w:r w:rsidRPr="00AE7C51">
              <w:rPr>
                <w:rFonts w:ascii="Arial Narrow" w:eastAsia="Times New Roman" w:hAnsi="Arial Narrow" w:cs="Times New Roman"/>
                <w:b/>
                <w:bCs/>
                <w:color w:val="000000" w:themeColor="text1"/>
                <w:szCs w:val="20"/>
                <w:lang w:eastAsia="zh-CN"/>
              </w:rPr>
              <w:t>HRD positive</w:t>
            </w:r>
          </w:p>
        </w:tc>
      </w:tr>
      <w:tr w:rsidR="000C4977" w:rsidRPr="00AE7C51" w14:paraId="5131106B"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7EC99FA"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Median PFS</w:t>
            </w:r>
          </w:p>
        </w:tc>
        <w:tc>
          <w:tcPr>
            <w:tcW w:w="2268" w:type="dxa"/>
            <w:tcBorders>
              <w:top w:val="single" w:sz="4" w:space="0" w:color="auto"/>
              <w:left w:val="single" w:sz="4" w:space="0" w:color="auto"/>
              <w:bottom w:val="single" w:sz="4" w:space="0" w:color="auto"/>
              <w:right w:val="single" w:sz="4" w:space="0" w:color="auto"/>
            </w:tcBorders>
            <w:hideMark/>
          </w:tcPr>
          <w:p w14:paraId="7ADBF1B8"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42.6 months</w:t>
            </w:r>
          </w:p>
        </w:tc>
        <w:tc>
          <w:tcPr>
            <w:tcW w:w="2268" w:type="dxa"/>
            <w:tcBorders>
              <w:top w:val="single" w:sz="4" w:space="0" w:color="auto"/>
              <w:left w:val="single" w:sz="4" w:space="0" w:color="auto"/>
              <w:bottom w:val="single" w:sz="4" w:space="0" w:color="auto"/>
              <w:right w:val="single" w:sz="4" w:space="0" w:color="auto"/>
            </w:tcBorders>
            <w:hideMark/>
          </w:tcPr>
          <w:p w14:paraId="62D5213E"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17.6 months</w:t>
            </w:r>
          </w:p>
        </w:tc>
        <w:tc>
          <w:tcPr>
            <w:tcW w:w="2387" w:type="dxa"/>
            <w:tcBorders>
              <w:top w:val="single" w:sz="4" w:space="0" w:color="auto"/>
              <w:left w:val="single" w:sz="4" w:space="0" w:color="auto"/>
              <w:bottom w:val="single" w:sz="4" w:space="0" w:color="auto"/>
              <w:right w:val="single" w:sz="4" w:space="0" w:color="auto"/>
            </w:tcBorders>
            <w:hideMark/>
          </w:tcPr>
          <w:p w14:paraId="25693C0A" w14:textId="50D933F6"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themeColor="text1"/>
                <w:sz w:val="20"/>
                <w:szCs w:val="20"/>
                <w:lang w:eastAsia="zh-CN"/>
              </w:rPr>
            </w:pPr>
            <w:r w:rsidRPr="00AE7C51">
              <w:rPr>
                <w:rFonts w:ascii="Arial Narrow" w:eastAsia="Times New Roman" w:hAnsi="Arial Narrow" w:cs="Times New Roman"/>
                <w:b/>
                <w:bCs/>
                <w:color w:val="000000" w:themeColor="text1"/>
                <w:sz w:val="20"/>
                <w:szCs w:val="20"/>
                <w:lang w:eastAsia="zh-CN"/>
              </w:rPr>
              <w:t>0.38 (0.29</w:t>
            </w:r>
            <w:r w:rsidR="004E394A" w:rsidRPr="00AE7C51">
              <w:rPr>
                <w:rFonts w:ascii="Arial Narrow" w:eastAsia="Times New Roman" w:hAnsi="Arial Narrow" w:cs="Times New Roman"/>
                <w:b/>
                <w:bCs/>
                <w:color w:val="000000" w:themeColor="text1"/>
                <w:sz w:val="20"/>
                <w:szCs w:val="20"/>
                <w:lang w:eastAsia="zh-CN"/>
              </w:rPr>
              <w:t xml:space="preserve"> </w:t>
            </w:r>
            <w:r w:rsidRPr="00AE7C51">
              <w:rPr>
                <w:rFonts w:ascii="Arial Narrow" w:eastAsia="Times New Roman" w:hAnsi="Arial Narrow" w:cs="Times New Roman"/>
                <w:b/>
                <w:bCs/>
                <w:color w:val="000000" w:themeColor="text1"/>
                <w:sz w:val="20"/>
                <w:szCs w:val="20"/>
                <w:lang w:eastAsia="zh-CN"/>
              </w:rPr>
              <w:t>,0.50)</w:t>
            </w:r>
          </w:p>
        </w:tc>
      </w:tr>
      <w:tr w:rsidR="000C4977" w:rsidRPr="00AE7C51" w14:paraId="585F1150" w14:textId="77777777" w:rsidTr="00A91280">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hideMark/>
          </w:tcPr>
          <w:p w14:paraId="624FA8F8" w14:textId="77777777" w:rsidR="000C4977" w:rsidRPr="00AE7C51" w:rsidRDefault="000C4977" w:rsidP="000C4977">
            <w:pPr>
              <w:keepNext/>
              <w:keepLines/>
              <w:widowControl w:val="0"/>
              <w:spacing w:before="0"/>
              <w:jc w:val="left"/>
              <w:rPr>
                <w:rFonts w:ascii="Arial Narrow" w:eastAsia="Times New Roman" w:hAnsi="Arial Narrow" w:cs="Times New Roman"/>
                <w:color w:val="000000" w:themeColor="text1"/>
                <w:szCs w:val="20"/>
                <w:lang w:eastAsia="zh-CN"/>
              </w:rPr>
            </w:pPr>
            <w:r w:rsidRPr="00AE7C51">
              <w:rPr>
                <w:rFonts w:ascii="Arial Narrow" w:eastAsia="Times New Roman" w:hAnsi="Arial Narrow" w:cs="Times New Roman"/>
                <w:color w:val="000000" w:themeColor="text1"/>
                <w:szCs w:val="20"/>
                <w:lang w:eastAsia="zh-CN"/>
              </w:rPr>
              <w:t xml:space="preserve">  Events, n/N (%)</w:t>
            </w:r>
          </w:p>
        </w:tc>
        <w:tc>
          <w:tcPr>
            <w:tcW w:w="2268" w:type="dxa"/>
            <w:tcBorders>
              <w:top w:val="single" w:sz="4" w:space="0" w:color="auto"/>
              <w:left w:val="single" w:sz="4" w:space="0" w:color="auto"/>
              <w:bottom w:val="single" w:sz="4" w:space="0" w:color="auto"/>
              <w:right w:val="single" w:sz="4" w:space="0" w:color="auto"/>
            </w:tcBorders>
            <w:hideMark/>
          </w:tcPr>
          <w:p w14:paraId="2512129A"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115/255 (45.1)</w:t>
            </w:r>
          </w:p>
        </w:tc>
        <w:tc>
          <w:tcPr>
            <w:tcW w:w="2268" w:type="dxa"/>
            <w:tcBorders>
              <w:top w:val="single" w:sz="4" w:space="0" w:color="auto"/>
              <w:left w:val="single" w:sz="4" w:space="0" w:color="auto"/>
              <w:bottom w:val="single" w:sz="4" w:space="0" w:color="auto"/>
              <w:right w:val="single" w:sz="4" w:space="0" w:color="auto"/>
            </w:tcBorders>
            <w:hideMark/>
          </w:tcPr>
          <w:p w14:paraId="416075FC"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AE7C51">
              <w:rPr>
                <w:rFonts w:ascii="Arial Narrow" w:eastAsia="Times New Roman" w:hAnsi="Arial Narrow" w:cs="Times New Roman"/>
                <w:color w:val="000000" w:themeColor="text1"/>
                <w:sz w:val="20"/>
                <w:szCs w:val="20"/>
                <w:lang w:eastAsia="zh-CN"/>
              </w:rPr>
              <w:t>100/132 (75.8)</w:t>
            </w:r>
          </w:p>
        </w:tc>
        <w:tc>
          <w:tcPr>
            <w:tcW w:w="2387" w:type="dxa"/>
            <w:tcBorders>
              <w:top w:val="single" w:sz="4" w:space="0" w:color="auto"/>
              <w:left w:val="single" w:sz="4" w:space="0" w:color="auto"/>
              <w:bottom w:val="single" w:sz="4" w:space="0" w:color="auto"/>
              <w:right w:val="single" w:sz="4" w:space="0" w:color="auto"/>
            </w:tcBorders>
          </w:tcPr>
          <w:p w14:paraId="2C9B2ECC" w14:textId="77777777" w:rsidR="000C4977" w:rsidRPr="00AE7C51" w:rsidRDefault="000C4977" w:rsidP="000C4977">
            <w:pPr>
              <w:keepNext/>
              <w:keepLines/>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bl>
    <w:p w14:paraId="522815A9"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proofErr w:type="spellStart"/>
      <w:r w:rsidRPr="000C4977">
        <w:rPr>
          <w:rFonts w:ascii="Arial Narrow" w:eastAsia="Times New Roman" w:hAnsi="Arial Narrow" w:cs="Arial"/>
          <w:snapToGrid w:val="0"/>
          <w:sz w:val="18"/>
          <w:szCs w:val="20"/>
        </w:rPr>
        <w:t>Beva</w:t>
      </w:r>
      <w:proofErr w:type="spellEnd"/>
      <w:r w:rsidRPr="000C4977">
        <w:rPr>
          <w:rFonts w:ascii="Arial Narrow" w:eastAsia="Times New Roman" w:hAnsi="Arial Narrow" w:cs="Arial"/>
          <w:snapToGrid w:val="0"/>
          <w:sz w:val="18"/>
          <w:szCs w:val="20"/>
        </w:rPr>
        <w:t xml:space="preserve"> = bevacizumab;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 breast cancer gene mutation;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 xml:space="preserve"> = breast cancer gene wild type; FAS = full analysis set; HR = hazard ratio; HRD = homologous recombination deficiency; Ola = </w:t>
      </w:r>
      <w:proofErr w:type="spellStart"/>
      <w:r w:rsidRPr="000C4977">
        <w:rPr>
          <w:rFonts w:ascii="Arial Narrow" w:eastAsia="Times New Roman" w:hAnsi="Arial Narrow" w:cs="Arial"/>
          <w:snapToGrid w:val="0"/>
          <w:sz w:val="18"/>
          <w:szCs w:val="20"/>
        </w:rPr>
        <w:t>olaparib</w:t>
      </w:r>
      <w:proofErr w:type="spellEnd"/>
      <w:r w:rsidRPr="000C4977">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Pbo</w:t>
      </w:r>
      <w:proofErr w:type="spellEnd"/>
      <w:r w:rsidRPr="000C4977">
        <w:rPr>
          <w:rFonts w:ascii="Arial Narrow" w:eastAsia="Times New Roman" w:hAnsi="Arial Narrow" w:cs="Arial"/>
          <w:snapToGrid w:val="0"/>
          <w:sz w:val="18"/>
          <w:szCs w:val="20"/>
        </w:rPr>
        <w:t xml:space="preserve"> = placebo</w:t>
      </w:r>
    </w:p>
    <w:p w14:paraId="66D3C7F0"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proofErr w:type="spellStart"/>
      <w:r w:rsidRPr="000C4977">
        <w:rPr>
          <w:rFonts w:ascii="Arial Narrow" w:eastAsia="Times New Roman" w:hAnsi="Arial Narrow" w:cs="Arial"/>
          <w:snapToGrid w:val="0"/>
          <w:sz w:val="18"/>
          <w:szCs w:val="20"/>
          <w:vertAlign w:val="superscript"/>
        </w:rPr>
        <w:t>a</w:t>
      </w:r>
      <w:proofErr w:type="spellEnd"/>
      <w:r w:rsidRPr="000C4977">
        <w:rPr>
          <w:rFonts w:ascii="Arial Narrow" w:eastAsia="Times New Roman" w:hAnsi="Arial Narrow" w:cs="Arial"/>
          <w:snapToGrid w:val="0"/>
          <w:sz w:val="18"/>
          <w:szCs w:val="20"/>
        </w:rPr>
        <w:t xml:space="preserve"> Includes patients with tumour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w:t>
      </w:r>
    </w:p>
    <w:p w14:paraId="65AA3055" w14:textId="26A663B2"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w:t>
      </w:r>
      <w:r w:rsidRPr="000C4977">
        <w:rPr>
          <w:rFonts w:ascii="Arial Narrow" w:eastAsia="Times New Roman" w:hAnsi="Arial Narrow" w:cs="Arial"/>
          <w:snapToGrid w:val="0"/>
          <w:sz w:val="18"/>
          <w:szCs w:val="20"/>
          <w:lang w:eastAsia="zh-CN"/>
        </w:rPr>
        <w:t>Table 2.84, p183 of the submission referred to the source “PAOLA-1 CSR Addendum 1” for DC</w:t>
      </w:r>
      <w:r w:rsidR="006255E8">
        <w:rPr>
          <w:rFonts w:ascii="Arial Narrow" w:eastAsia="Times New Roman" w:hAnsi="Arial Narrow" w:cs="Arial"/>
          <w:snapToGrid w:val="0"/>
          <w:sz w:val="18"/>
          <w:szCs w:val="20"/>
          <w:lang w:eastAsia="zh-CN"/>
        </w:rPr>
        <w:t>O</w:t>
      </w:r>
      <w:r w:rsidRPr="000C4977">
        <w:rPr>
          <w:rFonts w:ascii="Arial Narrow" w:eastAsia="Times New Roman" w:hAnsi="Arial Narrow" w:cs="Arial"/>
          <w:snapToGrid w:val="0"/>
          <w:sz w:val="18"/>
          <w:szCs w:val="20"/>
          <w:lang w:eastAsia="zh-CN"/>
        </w:rPr>
        <w:t xml:space="preserve">2 data. </w:t>
      </w:r>
      <w:r w:rsidRPr="000C4977">
        <w:rPr>
          <w:rFonts w:ascii="Arial Narrow" w:eastAsia="Times New Roman" w:hAnsi="Arial Narrow" w:cs="Arial"/>
          <w:i/>
          <w:iCs/>
          <w:snapToGrid w:val="0"/>
          <w:sz w:val="18"/>
          <w:szCs w:val="20"/>
          <w:lang w:eastAsia="zh-CN"/>
        </w:rPr>
        <w:t>This reference was incomplete. The PFS DC</w:t>
      </w:r>
      <w:r w:rsidR="006255E8">
        <w:rPr>
          <w:rFonts w:ascii="Arial Narrow" w:eastAsia="Times New Roman" w:hAnsi="Arial Narrow" w:cs="Arial"/>
          <w:i/>
          <w:iCs/>
          <w:snapToGrid w:val="0"/>
          <w:sz w:val="18"/>
          <w:szCs w:val="20"/>
          <w:lang w:eastAsia="zh-CN"/>
        </w:rPr>
        <w:t>O</w:t>
      </w:r>
      <w:r w:rsidRPr="000C4977">
        <w:rPr>
          <w:rFonts w:ascii="Arial Narrow" w:eastAsia="Times New Roman" w:hAnsi="Arial Narrow" w:cs="Arial"/>
          <w:i/>
          <w:iCs/>
          <w:snapToGrid w:val="0"/>
          <w:sz w:val="18"/>
          <w:szCs w:val="20"/>
          <w:lang w:eastAsia="zh-CN"/>
        </w:rPr>
        <w:t xml:space="preserve">2 efficacy results could not </w:t>
      </w:r>
      <w:proofErr w:type="gramStart"/>
      <w:r w:rsidRPr="000C4977">
        <w:rPr>
          <w:rFonts w:ascii="Arial Narrow" w:eastAsia="Times New Roman" w:hAnsi="Arial Narrow" w:cs="Arial"/>
          <w:i/>
          <w:iCs/>
          <w:snapToGrid w:val="0"/>
          <w:sz w:val="18"/>
          <w:szCs w:val="20"/>
          <w:lang w:eastAsia="zh-CN"/>
        </w:rPr>
        <w:t>be located in</w:t>
      </w:r>
      <w:proofErr w:type="gramEnd"/>
      <w:r w:rsidRPr="000C4977">
        <w:rPr>
          <w:rFonts w:ascii="Arial Narrow" w:eastAsia="Times New Roman" w:hAnsi="Arial Narrow" w:cs="Arial"/>
          <w:i/>
          <w:iCs/>
          <w:snapToGrid w:val="0"/>
          <w:sz w:val="18"/>
          <w:szCs w:val="20"/>
          <w:lang w:eastAsia="zh-CN"/>
        </w:rPr>
        <w:t xml:space="preserve"> the CSR and could not be verified.</w:t>
      </w:r>
    </w:p>
    <w:p w14:paraId="4D0D072B"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vertAlign w:val="superscript"/>
          <w:lang w:eastAsia="zh-CN"/>
        </w:rPr>
        <w:t xml:space="preserve">c </w:t>
      </w:r>
      <w:r w:rsidRPr="000C4977">
        <w:rPr>
          <w:rFonts w:ascii="Arial Narrow" w:eastAsia="Times New Roman" w:hAnsi="Arial Narrow" w:cs="Arial"/>
          <w:snapToGrid w:val="0"/>
          <w:sz w:val="18"/>
          <w:szCs w:val="20"/>
          <w:lang w:eastAsia="zh-CN"/>
        </w:rPr>
        <w:t>All HRD tested patients constituted 82% of the overall PAOLA-1 population.</w:t>
      </w:r>
    </w:p>
    <w:p w14:paraId="07D8D1BE" w14:textId="77777777" w:rsidR="000C4977" w:rsidRPr="00F84405" w:rsidRDefault="000C4977" w:rsidP="000C4977">
      <w:pPr>
        <w:keepNext/>
        <w:keepLines/>
        <w:widowControl w:val="0"/>
        <w:spacing w:before="0" w:after="0"/>
        <w:contextualSpacing/>
        <w:rPr>
          <w:rFonts w:ascii="Arial Narrow" w:eastAsia="Times New Roman" w:hAnsi="Arial Narrow" w:cs="Arial"/>
          <w:i/>
          <w:iCs/>
          <w:snapToGrid w:val="0"/>
          <w:sz w:val="18"/>
          <w:szCs w:val="20"/>
          <w:lang w:eastAsia="zh-CN"/>
        </w:rPr>
      </w:pPr>
      <w:r w:rsidRPr="00F84405">
        <w:rPr>
          <w:rFonts w:ascii="Arial Narrow" w:eastAsia="Times New Roman" w:hAnsi="Arial Narrow" w:cs="Arial"/>
          <w:i/>
          <w:iCs/>
          <w:snapToGrid w:val="0"/>
          <w:sz w:val="18"/>
          <w:szCs w:val="20"/>
          <w:lang w:eastAsia="zh-CN"/>
        </w:rPr>
        <w:t>Text in italics indicate values extracted during evaluation.</w:t>
      </w:r>
    </w:p>
    <w:p w14:paraId="23F326B0"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Bold text indicates statistically significant differences between treatment groups.</w:t>
      </w:r>
    </w:p>
    <w:p w14:paraId="421FFE69" w14:textId="77777777" w:rsidR="000C4977" w:rsidRPr="000C4977" w:rsidRDefault="000C4977" w:rsidP="00EB0C59">
      <w:pPr>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Source: Tables 2.70, 2.83 and 2.84, p162 and 164 of the submission, Table 38, p142 of the CSR, Table 2, p12 1658 ratified PICO.</w:t>
      </w:r>
    </w:p>
    <w:p w14:paraId="606FDF21"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lang w:eastAsia="zh-CN"/>
        </w:rPr>
      </w:pPr>
    </w:p>
    <w:p w14:paraId="0555C6C0" w14:textId="2A4FC117" w:rsidR="00AE7C51" w:rsidRPr="00AE7C51" w:rsidRDefault="00AE7C51" w:rsidP="00AE7C51">
      <w:pPr>
        <w:pStyle w:val="Caption"/>
        <w:jc w:val="both"/>
        <w:rPr>
          <w:bCs/>
        </w:rPr>
      </w:pPr>
      <w:r>
        <w:lastRenderedPageBreak/>
        <w:t xml:space="preserve">Figure </w:t>
      </w:r>
      <w:bookmarkStart w:id="55" w:name="_Hlk111818934"/>
      <w:r>
        <w:fldChar w:fldCharType="begin"/>
      </w:r>
      <w:r>
        <w:instrText xml:space="preserve"> SEQ Figure \* ARABIC </w:instrText>
      </w:r>
      <w:r>
        <w:fldChar w:fldCharType="separate"/>
      </w:r>
      <w:r w:rsidR="00D8603B">
        <w:rPr>
          <w:noProof/>
        </w:rPr>
        <w:t>8</w:t>
      </w:r>
      <w:r>
        <w:fldChar w:fldCharType="end"/>
      </w:r>
      <w:bookmarkEnd w:id="55"/>
      <w:r w:rsidR="00BE0DF9">
        <w:tab/>
      </w:r>
      <w:r w:rsidRPr="00AE7C51">
        <w:rPr>
          <w:bCs/>
          <w:iCs w:val="0"/>
        </w:rPr>
        <w:t>K</w:t>
      </w:r>
      <w:r w:rsidR="00C1285A">
        <w:rPr>
          <w:bCs/>
          <w:iCs w:val="0"/>
        </w:rPr>
        <w:t>aplan-</w:t>
      </w:r>
      <w:r w:rsidRPr="00AE7C51">
        <w:rPr>
          <w:bCs/>
          <w:iCs w:val="0"/>
        </w:rPr>
        <w:t>M</w:t>
      </w:r>
      <w:r w:rsidR="00C1285A">
        <w:rPr>
          <w:bCs/>
          <w:iCs w:val="0"/>
        </w:rPr>
        <w:t>eier</w:t>
      </w:r>
      <w:r w:rsidRPr="00AE7C51">
        <w:rPr>
          <w:bCs/>
          <w:iCs w:val="0"/>
        </w:rPr>
        <w:t xml:space="preserve"> </w:t>
      </w:r>
      <w:r w:rsidR="00C1285A">
        <w:rPr>
          <w:bCs/>
          <w:iCs w:val="0"/>
        </w:rPr>
        <w:t>plots</w:t>
      </w:r>
      <w:r w:rsidRPr="00AE7C51">
        <w:rPr>
          <w:bCs/>
          <w:iCs w:val="0"/>
        </w:rPr>
        <w:t xml:space="preserve"> of investigator assessed PFS, FAS (DCO1)</w:t>
      </w:r>
    </w:p>
    <w:p w14:paraId="47A2B124" w14:textId="77777777"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noProof/>
          <w:sz w:val="20"/>
          <w:szCs w:val="18"/>
          <w:lang w:eastAsia="en-AU"/>
        </w:rPr>
        <w:drawing>
          <wp:inline distT="0" distB="0" distL="0" distR="0" wp14:anchorId="4AB3ECA5" wp14:editId="28774729">
            <wp:extent cx="5731510" cy="2938780"/>
            <wp:effectExtent l="0" t="0" r="2540" b="0"/>
            <wp:docPr id="44" name="Picture 44" descr="Figure 8 Kaplan-Meier plots of investigator assessed PFS, FAS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igure 8 Kaplan-Meier plots of investigator assessed PFS, FAS (DCO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938780"/>
                    </a:xfrm>
                    <a:prstGeom prst="rect">
                      <a:avLst/>
                    </a:prstGeom>
                    <a:noFill/>
                    <a:ln>
                      <a:noFill/>
                    </a:ln>
                  </pic:spPr>
                </pic:pic>
              </a:graphicData>
            </a:graphic>
          </wp:inline>
        </w:drawing>
      </w:r>
    </w:p>
    <w:p w14:paraId="4772900A" w14:textId="4F798584" w:rsidR="000C4977" w:rsidRPr="000C4977" w:rsidRDefault="000C4977" w:rsidP="00FF1136">
      <w:pPr>
        <w:keepNext/>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DCO1 = data cut-off 1; FAS = full analysis set; PFS = progression-free survival</w:t>
      </w:r>
    </w:p>
    <w:p w14:paraId="110CA0EF" w14:textId="75B22676" w:rsidR="000C4977" w:rsidRDefault="000C4977" w:rsidP="000C4977">
      <w:pPr>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Source: Figure 2.13, p163 of the submission</w:t>
      </w:r>
    </w:p>
    <w:p w14:paraId="4E7A774D" w14:textId="77777777" w:rsidR="00FF1136" w:rsidRPr="000C4977" w:rsidRDefault="00FF1136" w:rsidP="000C4977">
      <w:pPr>
        <w:widowControl w:val="0"/>
        <w:spacing w:before="0" w:after="0"/>
        <w:contextualSpacing/>
        <w:rPr>
          <w:rFonts w:ascii="Arial Narrow" w:eastAsia="Times New Roman" w:hAnsi="Arial Narrow" w:cs="Arial"/>
          <w:snapToGrid w:val="0"/>
          <w:sz w:val="18"/>
          <w:szCs w:val="20"/>
          <w:lang w:eastAsia="zh-CN"/>
        </w:rPr>
      </w:pPr>
    </w:p>
    <w:p w14:paraId="44CFCA58" w14:textId="6ED72A2A"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t xml:space="preserve">Figure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Figure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9</w:t>
      </w:r>
      <w:r w:rsidRPr="000C4977">
        <w:rPr>
          <w:rFonts w:ascii="Arial Narrow" w:hAnsi="Arial Narrow"/>
          <w:b/>
          <w:iCs/>
          <w:noProof/>
          <w:sz w:val="20"/>
          <w:szCs w:val="18"/>
        </w:rPr>
        <w:fldChar w:fldCharType="end"/>
      </w:r>
      <w:r w:rsidR="0007550F">
        <w:rPr>
          <w:rFonts w:ascii="Arial Narrow" w:hAnsi="Arial Narrow"/>
          <w:b/>
          <w:iCs/>
          <w:noProof/>
          <w:sz w:val="20"/>
          <w:szCs w:val="18"/>
        </w:rPr>
        <w:tab/>
      </w:r>
      <w:r w:rsidRPr="000C4977">
        <w:rPr>
          <w:rFonts w:ascii="Arial Narrow" w:hAnsi="Arial Narrow"/>
          <w:b/>
          <w:iCs/>
          <w:sz w:val="20"/>
          <w:szCs w:val="18"/>
        </w:rPr>
        <w:t>K</w:t>
      </w:r>
      <w:r w:rsidR="00C1285A">
        <w:rPr>
          <w:rFonts w:ascii="Arial Narrow" w:hAnsi="Arial Narrow"/>
          <w:b/>
          <w:iCs/>
          <w:sz w:val="20"/>
          <w:szCs w:val="18"/>
        </w:rPr>
        <w:t>aplan-</w:t>
      </w:r>
      <w:r w:rsidRPr="000C4977">
        <w:rPr>
          <w:rFonts w:ascii="Arial Narrow" w:hAnsi="Arial Narrow"/>
          <w:b/>
          <w:iCs/>
          <w:sz w:val="20"/>
          <w:szCs w:val="18"/>
        </w:rPr>
        <w:t>M</w:t>
      </w:r>
      <w:r w:rsidR="00C1285A">
        <w:rPr>
          <w:rFonts w:ascii="Arial Narrow" w:hAnsi="Arial Narrow"/>
          <w:b/>
          <w:iCs/>
          <w:sz w:val="20"/>
          <w:szCs w:val="18"/>
        </w:rPr>
        <w:t>eier</w:t>
      </w:r>
      <w:r w:rsidRPr="000C4977">
        <w:rPr>
          <w:rFonts w:ascii="Arial Narrow" w:hAnsi="Arial Narrow"/>
          <w:b/>
          <w:iCs/>
          <w:sz w:val="20"/>
          <w:szCs w:val="18"/>
        </w:rPr>
        <w:t xml:space="preserve"> </w:t>
      </w:r>
      <w:r w:rsidR="00C1285A">
        <w:rPr>
          <w:rFonts w:ascii="Arial Narrow" w:hAnsi="Arial Narrow"/>
          <w:b/>
          <w:iCs/>
          <w:sz w:val="20"/>
          <w:szCs w:val="18"/>
        </w:rPr>
        <w:t>plots</w:t>
      </w:r>
      <w:r w:rsidRPr="000C4977">
        <w:rPr>
          <w:rFonts w:ascii="Arial Narrow" w:hAnsi="Arial Narrow"/>
          <w:b/>
          <w:iCs/>
          <w:sz w:val="20"/>
          <w:szCs w:val="18"/>
        </w:rPr>
        <w:t xml:space="preserve"> of PFS among patients with HRD positive </w:t>
      </w:r>
      <w:proofErr w:type="spellStart"/>
      <w:r w:rsidRPr="000C4977">
        <w:rPr>
          <w:rFonts w:ascii="Arial Narrow" w:hAnsi="Arial Narrow"/>
          <w:b/>
          <w:i/>
          <w:iCs/>
          <w:sz w:val="20"/>
          <w:szCs w:val="18"/>
        </w:rPr>
        <w:t>BRCA</w:t>
      </w:r>
      <w:r w:rsidRPr="000C4977">
        <w:rPr>
          <w:rFonts w:ascii="Arial Narrow" w:hAnsi="Arial Narrow"/>
          <w:b/>
          <w:iCs/>
          <w:sz w:val="20"/>
          <w:szCs w:val="18"/>
        </w:rPr>
        <w:t>wt</w:t>
      </w:r>
      <w:proofErr w:type="spellEnd"/>
      <w:r w:rsidRPr="000C4977">
        <w:rPr>
          <w:rFonts w:ascii="Arial Narrow" w:hAnsi="Arial Narrow"/>
          <w:b/>
          <w:iCs/>
          <w:sz w:val="20"/>
          <w:szCs w:val="18"/>
        </w:rPr>
        <w:t xml:space="preserve"> tumours (DCO1)</w:t>
      </w:r>
    </w:p>
    <w:p w14:paraId="72925BD8" w14:textId="77777777" w:rsidR="000C4977" w:rsidRPr="000C4977" w:rsidRDefault="000C4977" w:rsidP="000C4977">
      <w:pPr>
        <w:jc w:val="right"/>
      </w:pPr>
      <w:r w:rsidRPr="000C4977">
        <w:rPr>
          <w:noProof/>
          <w:lang w:eastAsia="en-AU"/>
        </w:rPr>
        <w:drawing>
          <wp:inline distT="0" distB="0" distL="0" distR="0" wp14:anchorId="1B8B242F" wp14:editId="0CA8115A">
            <wp:extent cx="5511225" cy="3377863"/>
            <wp:effectExtent l="0" t="0" r="0" b="0"/>
            <wp:docPr id="35" name="Picture 35" descr="Figure 9 Kaplan-Meier plots of PFS among patients with HRD positive BRCAwt tumours (D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9 Kaplan-Meier plots of PFS among patients with HRD positive BRCAwt tumours (DCO1)"/>
                    <pic:cNvPicPr/>
                  </pic:nvPicPr>
                  <pic:blipFill>
                    <a:blip r:embed="rId21"/>
                    <a:stretch>
                      <a:fillRect/>
                    </a:stretch>
                  </pic:blipFill>
                  <pic:spPr>
                    <a:xfrm>
                      <a:off x="0" y="0"/>
                      <a:ext cx="5563724" cy="3410040"/>
                    </a:xfrm>
                    <a:prstGeom prst="rect">
                      <a:avLst/>
                    </a:prstGeom>
                  </pic:spPr>
                </pic:pic>
              </a:graphicData>
            </a:graphic>
          </wp:inline>
        </w:drawing>
      </w:r>
    </w:p>
    <w:p w14:paraId="73DA716A" w14:textId="04040754" w:rsidR="000C4977" w:rsidRPr="000C4977" w:rsidRDefault="000C4977" w:rsidP="00EB0C59">
      <w:pPr>
        <w:keepNext/>
        <w:widowControl w:val="0"/>
        <w:spacing w:before="0" w:after="0"/>
        <w:contextualSpacing/>
        <w:rPr>
          <w:rFonts w:ascii="Arial Narrow" w:eastAsia="Times New Roman" w:hAnsi="Arial Narrow" w:cs="Arial"/>
          <w:snapToGrid w:val="0"/>
          <w:sz w:val="18"/>
          <w:szCs w:val="20"/>
          <w:lang w:eastAsia="zh-CN"/>
        </w:rPr>
      </w:pPr>
      <w:proofErr w:type="spellStart"/>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wt</w:t>
      </w:r>
      <w:proofErr w:type="spellEnd"/>
      <w:r w:rsidRPr="000C4977">
        <w:rPr>
          <w:rFonts w:ascii="Arial Narrow" w:eastAsia="Times New Roman" w:hAnsi="Arial Narrow" w:cs="Arial"/>
          <w:snapToGrid w:val="0"/>
          <w:sz w:val="18"/>
          <w:szCs w:val="20"/>
          <w:lang w:eastAsia="zh-CN"/>
        </w:rPr>
        <w:t xml:space="preserve"> = breast cancer gene wild type; </w:t>
      </w:r>
      <w:r w:rsidR="006255E8" w:rsidRPr="000C4977">
        <w:rPr>
          <w:rFonts w:ascii="Arial Narrow" w:eastAsia="Times New Roman" w:hAnsi="Arial Narrow" w:cs="Arial"/>
          <w:snapToGrid w:val="0"/>
          <w:sz w:val="18"/>
          <w:szCs w:val="20"/>
          <w:lang w:eastAsia="zh-CN"/>
        </w:rPr>
        <w:t xml:space="preserve">DCO1 = data cut-off 1; </w:t>
      </w:r>
      <w:r w:rsidRPr="000C4977">
        <w:rPr>
          <w:rFonts w:ascii="Arial Narrow" w:eastAsia="Times New Roman" w:hAnsi="Arial Narrow" w:cs="Arial"/>
          <w:snapToGrid w:val="0"/>
          <w:sz w:val="18"/>
          <w:szCs w:val="20"/>
          <w:lang w:eastAsia="zh-CN"/>
        </w:rPr>
        <w:t>HRD = homologous recombination deficiency; PFS = progression-free survival</w:t>
      </w:r>
    </w:p>
    <w:p w14:paraId="1E3DEAC4"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Source: Figure 2.20, p184 of the submission</w:t>
      </w:r>
    </w:p>
    <w:p w14:paraId="48643366" w14:textId="1D49742E" w:rsidR="000C4977" w:rsidRPr="00105CF3" w:rsidRDefault="000C4977" w:rsidP="000C4977">
      <w:pPr>
        <w:spacing w:line="259" w:lineRule="auto"/>
        <w:jc w:val="left"/>
      </w:pPr>
      <w:r w:rsidRPr="00105CF3">
        <w:t xml:space="preserve">The commentary noted that differences in the PFS results for the </w:t>
      </w:r>
      <w:proofErr w:type="spellStart"/>
      <w:r w:rsidRPr="005B2AFE">
        <w:rPr>
          <w:i/>
          <w:iCs/>
        </w:rPr>
        <w:t>BRCA</w:t>
      </w:r>
      <w:r w:rsidRPr="00105CF3">
        <w:t>wt</w:t>
      </w:r>
      <w:proofErr w:type="spellEnd"/>
      <w:r w:rsidRPr="00105CF3">
        <w:t xml:space="preserve"> and </w:t>
      </w:r>
      <w:proofErr w:type="spellStart"/>
      <w:r w:rsidRPr="005B2AFE">
        <w:rPr>
          <w:i/>
          <w:iCs/>
        </w:rPr>
        <w:t>BRCA</w:t>
      </w:r>
      <w:r w:rsidRPr="00105CF3">
        <w:t>m</w:t>
      </w:r>
      <w:proofErr w:type="spellEnd"/>
      <w:r w:rsidRPr="00105CF3">
        <w:t xml:space="preserve"> subgroups were observed when comparing the clinical study report (CSR) (with these results also presented in the submission), which were classified using the Myriad </w:t>
      </w:r>
      <w:proofErr w:type="spellStart"/>
      <w:r w:rsidRPr="00105CF3">
        <w:t>myChoice</w:t>
      </w:r>
      <w:proofErr w:type="spellEnd"/>
      <w:r w:rsidRPr="00105CF3">
        <w:t xml:space="preserve"> HRD plus assay, with the Ray-</w:t>
      </w:r>
      <w:proofErr w:type="spellStart"/>
      <w:r w:rsidRPr="00105CF3">
        <w:t>Coquard</w:t>
      </w:r>
      <w:proofErr w:type="spellEnd"/>
      <w:r w:rsidRPr="00105CF3">
        <w:t xml:space="preserve"> 2019 publication, which was classified using NGS)</w:t>
      </w:r>
      <w:r w:rsidR="0077413E">
        <w:t xml:space="preserve"> </w:t>
      </w:r>
      <w:r w:rsidRPr="00105CF3">
        <w:t>(see table below).</w:t>
      </w:r>
      <w:r w:rsidRPr="000C4977">
        <w:rPr>
          <w:i/>
          <w:iCs/>
        </w:rPr>
        <w:t xml:space="preserve"> </w:t>
      </w:r>
      <w:r w:rsidRPr="00105CF3">
        <w:t>The commentary requested the sponsor to explain this discrepancy</w:t>
      </w:r>
      <w:r w:rsidRPr="002F0BC8">
        <w:t>.</w:t>
      </w:r>
    </w:p>
    <w:p w14:paraId="4714B3DC" w14:textId="73523618"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lastRenderedPageBreak/>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19</w:t>
      </w:r>
      <w:r w:rsidRPr="000C4977">
        <w:rPr>
          <w:rFonts w:ascii="Arial Narrow" w:hAnsi="Arial Narrow"/>
          <w:b/>
          <w:iCs/>
          <w:noProof/>
          <w:sz w:val="20"/>
          <w:szCs w:val="18"/>
        </w:rPr>
        <w:fldChar w:fldCharType="end"/>
      </w:r>
      <w:r w:rsidRPr="000C4977">
        <w:rPr>
          <w:rFonts w:ascii="Arial Narrow" w:hAnsi="Arial Narrow"/>
          <w:b/>
          <w:iCs/>
          <w:sz w:val="20"/>
          <w:szCs w:val="18"/>
        </w:rPr>
        <w:tab/>
        <w:t xml:space="preserve">PFS by </w:t>
      </w:r>
      <w:r w:rsidRPr="000C4977">
        <w:rPr>
          <w:rFonts w:ascii="Arial Narrow" w:hAnsi="Arial Narrow"/>
          <w:b/>
          <w:i/>
          <w:iCs/>
          <w:sz w:val="20"/>
          <w:szCs w:val="18"/>
        </w:rPr>
        <w:t>BRCA</w:t>
      </w:r>
      <w:r w:rsidRPr="000C4977">
        <w:rPr>
          <w:rFonts w:ascii="Arial Narrow" w:hAnsi="Arial Narrow"/>
          <w:b/>
          <w:iCs/>
          <w:sz w:val="20"/>
          <w:szCs w:val="18"/>
        </w:rPr>
        <w:t xml:space="preserve"> status in PAOLA-1 CSR and Ray-</w:t>
      </w:r>
      <w:proofErr w:type="spellStart"/>
      <w:r w:rsidRPr="000C4977">
        <w:rPr>
          <w:rFonts w:ascii="Arial Narrow" w:hAnsi="Arial Narrow"/>
          <w:b/>
          <w:iCs/>
          <w:sz w:val="20"/>
          <w:szCs w:val="18"/>
        </w:rPr>
        <w:t>Coquard</w:t>
      </w:r>
      <w:proofErr w:type="spellEnd"/>
      <w:r w:rsidRPr="000C4977">
        <w:rPr>
          <w:rFonts w:ascii="Arial Narrow" w:hAnsi="Arial Narrow"/>
          <w:b/>
          <w:iCs/>
          <w:sz w:val="20"/>
          <w:szCs w:val="18"/>
        </w:rPr>
        <w:t xml:space="preserve"> 2019</w:t>
      </w:r>
    </w:p>
    <w:tbl>
      <w:tblPr>
        <w:tblStyle w:val="PBACtable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417"/>
        <w:gridCol w:w="992"/>
        <w:gridCol w:w="1418"/>
        <w:gridCol w:w="1701"/>
        <w:gridCol w:w="1417"/>
      </w:tblGrid>
      <w:tr w:rsidR="000C4977" w:rsidRPr="00AE7C51" w14:paraId="3BB8590D"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vAlign w:val="center"/>
          </w:tcPr>
          <w:p w14:paraId="0044D6AB" w14:textId="77777777" w:rsidR="000C4977" w:rsidRPr="00AE7C51" w:rsidRDefault="000C4977" w:rsidP="000C4977">
            <w:pPr>
              <w:keepNext/>
              <w:keepLines/>
              <w:spacing w:before="0"/>
              <w:jc w:val="left"/>
              <w:rPr>
                <w:rFonts w:ascii="Arial Narrow" w:hAnsi="Arial Narrow"/>
                <w:szCs w:val="20"/>
              </w:rPr>
            </w:pPr>
            <w:r w:rsidRPr="00AE7C51">
              <w:rPr>
                <w:rFonts w:ascii="Arial Narrow" w:hAnsi="Arial Narrow"/>
                <w:szCs w:val="20"/>
              </w:rPr>
              <w:t>Source</w:t>
            </w:r>
          </w:p>
        </w:tc>
        <w:tc>
          <w:tcPr>
            <w:tcW w:w="2410" w:type="dxa"/>
            <w:gridSpan w:val="2"/>
            <w:shd w:val="clear" w:color="auto" w:fill="auto"/>
            <w:vAlign w:val="center"/>
          </w:tcPr>
          <w:p w14:paraId="6BEC0621" w14:textId="77777777" w:rsidR="000C4977" w:rsidRPr="00AE7C51" w:rsidRDefault="000C4977" w:rsidP="000C4977">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AE7C51">
              <w:rPr>
                <w:rFonts w:ascii="Arial Narrow" w:hAnsi="Arial Narrow"/>
                <w:szCs w:val="20"/>
              </w:rPr>
              <w:t>Olaparib + bevacizumab</w:t>
            </w:r>
          </w:p>
        </w:tc>
        <w:tc>
          <w:tcPr>
            <w:tcW w:w="2410" w:type="dxa"/>
            <w:gridSpan w:val="2"/>
            <w:shd w:val="clear" w:color="auto" w:fill="auto"/>
            <w:vAlign w:val="center"/>
          </w:tcPr>
          <w:p w14:paraId="58B4200B" w14:textId="77777777" w:rsidR="000C4977" w:rsidRPr="00AE7C51" w:rsidRDefault="000C4977" w:rsidP="000C4977">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AE7C51">
              <w:rPr>
                <w:rFonts w:ascii="Arial Narrow" w:hAnsi="Arial Narrow"/>
                <w:szCs w:val="20"/>
              </w:rPr>
              <w:t>Placebo + bevacizumab</w:t>
            </w:r>
          </w:p>
        </w:tc>
        <w:tc>
          <w:tcPr>
            <w:tcW w:w="1701" w:type="dxa"/>
            <w:vMerge w:val="restart"/>
            <w:shd w:val="clear" w:color="auto" w:fill="auto"/>
            <w:vAlign w:val="center"/>
          </w:tcPr>
          <w:p w14:paraId="113E1832" w14:textId="77777777" w:rsidR="000C4977" w:rsidRPr="00AE7C51" w:rsidRDefault="000C4977" w:rsidP="000C4977">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AE7C51">
              <w:rPr>
                <w:rFonts w:ascii="Arial Narrow" w:hAnsi="Arial Narrow"/>
                <w:szCs w:val="20"/>
              </w:rPr>
              <w:t>HR for disease progression or death (95% CI)</w:t>
            </w:r>
          </w:p>
        </w:tc>
        <w:tc>
          <w:tcPr>
            <w:tcW w:w="1417" w:type="dxa"/>
            <w:vMerge w:val="restart"/>
            <w:shd w:val="clear" w:color="auto" w:fill="auto"/>
            <w:vAlign w:val="center"/>
          </w:tcPr>
          <w:p w14:paraId="1632F39C" w14:textId="77777777" w:rsidR="000C4977" w:rsidRPr="00AE7C51" w:rsidRDefault="000C4977" w:rsidP="000C4977">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AE7C51">
              <w:rPr>
                <w:rFonts w:ascii="Arial Narrow" w:hAnsi="Arial Narrow"/>
                <w:szCs w:val="20"/>
              </w:rPr>
              <w:t>Total patients classified</w:t>
            </w:r>
          </w:p>
        </w:tc>
      </w:tr>
      <w:tr w:rsidR="000C4977" w:rsidRPr="00AE7C51" w14:paraId="29F104FC" w14:textId="77777777" w:rsidTr="00A91280">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14:paraId="2A3D1619" w14:textId="77777777" w:rsidR="000C4977" w:rsidRPr="00AE7C51" w:rsidRDefault="000C4977" w:rsidP="000C4977">
            <w:pPr>
              <w:keepNext/>
              <w:keepLines/>
              <w:spacing w:before="0"/>
              <w:rPr>
                <w:rFonts w:ascii="Arial Narrow" w:hAnsi="Arial Narrow"/>
                <w:szCs w:val="20"/>
              </w:rPr>
            </w:pPr>
          </w:p>
        </w:tc>
        <w:tc>
          <w:tcPr>
            <w:tcW w:w="993" w:type="dxa"/>
            <w:shd w:val="clear" w:color="auto" w:fill="auto"/>
            <w:vAlign w:val="center"/>
          </w:tcPr>
          <w:p w14:paraId="048596C6"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AE7C51">
              <w:rPr>
                <w:rFonts w:ascii="Arial Narrow" w:hAnsi="Arial Narrow"/>
                <w:b/>
                <w:bCs/>
                <w:sz w:val="20"/>
                <w:szCs w:val="20"/>
              </w:rPr>
              <w:t>Median PFS</w:t>
            </w:r>
          </w:p>
        </w:tc>
        <w:tc>
          <w:tcPr>
            <w:tcW w:w="1417" w:type="dxa"/>
            <w:vAlign w:val="center"/>
          </w:tcPr>
          <w:p w14:paraId="13F5EDAB"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AE7C51">
              <w:rPr>
                <w:rFonts w:ascii="Arial Narrow" w:hAnsi="Arial Narrow"/>
                <w:b/>
                <w:bCs/>
                <w:sz w:val="20"/>
                <w:szCs w:val="20"/>
              </w:rPr>
              <w:t>n/N (%)</w:t>
            </w:r>
          </w:p>
        </w:tc>
        <w:tc>
          <w:tcPr>
            <w:tcW w:w="992" w:type="dxa"/>
            <w:shd w:val="clear" w:color="auto" w:fill="auto"/>
            <w:vAlign w:val="center"/>
          </w:tcPr>
          <w:p w14:paraId="5CAB7463"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AE7C51">
              <w:rPr>
                <w:rFonts w:ascii="Arial Narrow" w:hAnsi="Arial Narrow"/>
                <w:b/>
                <w:bCs/>
                <w:sz w:val="20"/>
                <w:szCs w:val="20"/>
              </w:rPr>
              <w:t>Median PFS</w:t>
            </w:r>
          </w:p>
        </w:tc>
        <w:tc>
          <w:tcPr>
            <w:tcW w:w="1418" w:type="dxa"/>
            <w:vAlign w:val="center"/>
          </w:tcPr>
          <w:p w14:paraId="389CEDCE"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AE7C51">
              <w:rPr>
                <w:rFonts w:ascii="Arial Narrow" w:hAnsi="Arial Narrow"/>
                <w:b/>
                <w:bCs/>
                <w:sz w:val="20"/>
                <w:szCs w:val="20"/>
              </w:rPr>
              <w:t>n/N (%)</w:t>
            </w:r>
          </w:p>
        </w:tc>
        <w:tc>
          <w:tcPr>
            <w:tcW w:w="1701" w:type="dxa"/>
            <w:vMerge/>
            <w:shd w:val="clear" w:color="auto" w:fill="auto"/>
          </w:tcPr>
          <w:p w14:paraId="775BCAA1" w14:textId="77777777" w:rsidR="000C4977" w:rsidRPr="00AE7C51" w:rsidRDefault="000C4977" w:rsidP="000C4977">
            <w:pPr>
              <w:keepNext/>
              <w:keepLines/>
              <w:spacing w:before="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417" w:type="dxa"/>
            <w:vMerge/>
            <w:shd w:val="clear" w:color="auto" w:fill="auto"/>
          </w:tcPr>
          <w:p w14:paraId="177977AE" w14:textId="77777777" w:rsidR="000C4977" w:rsidRPr="00AE7C51" w:rsidRDefault="000C4977" w:rsidP="000C4977">
            <w:pPr>
              <w:keepNext/>
              <w:keepLines/>
              <w:spacing w:before="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0C4977" w:rsidRPr="00AE7C51" w14:paraId="58B80340" w14:textId="77777777" w:rsidTr="00A9128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auto"/>
            <w:vAlign w:val="center"/>
          </w:tcPr>
          <w:p w14:paraId="1E5908EC" w14:textId="77777777" w:rsidR="000C4977" w:rsidRPr="00AE7C51" w:rsidRDefault="000C4977" w:rsidP="000C4977">
            <w:pPr>
              <w:keepNext/>
              <w:keepLines/>
              <w:spacing w:before="0"/>
              <w:jc w:val="left"/>
              <w:rPr>
                <w:rFonts w:ascii="Arial Narrow" w:hAnsi="Arial Narrow"/>
                <w:szCs w:val="20"/>
              </w:rPr>
            </w:pPr>
            <w:r w:rsidRPr="00AE7C51">
              <w:rPr>
                <w:rFonts w:ascii="Arial Narrow" w:hAnsi="Arial Narrow"/>
                <w:szCs w:val="20"/>
              </w:rPr>
              <w:t>PAOLA-1 CSR (</w:t>
            </w:r>
            <w:r w:rsidRPr="00AE7C51">
              <w:rPr>
                <w:rFonts w:ascii="Arial Narrow" w:hAnsi="Arial Narrow"/>
                <w:i/>
                <w:iCs/>
                <w:szCs w:val="20"/>
              </w:rPr>
              <w:t>BRCA</w:t>
            </w:r>
            <w:r w:rsidRPr="00AE7C51">
              <w:rPr>
                <w:rFonts w:ascii="Arial Narrow" w:hAnsi="Arial Narrow"/>
                <w:szCs w:val="20"/>
              </w:rPr>
              <w:t xml:space="preserve"> status by Myriad </w:t>
            </w:r>
            <w:proofErr w:type="spellStart"/>
            <w:r w:rsidRPr="00AE7C51">
              <w:rPr>
                <w:rFonts w:ascii="Arial Narrow" w:hAnsi="Arial Narrow"/>
                <w:szCs w:val="20"/>
              </w:rPr>
              <w:t>myChoice</w:t>
            </w:r>
            <w:proofErr w:type="spellEnd"/>
            <w:r w:rsidRPr="00AE7C51">
              <w:rPr>
                <w:rFonts w:ascii="Arial Narrow" w:hAnsi="Arial Narrow"/>
                <w:szCs w:val="20"/>
              </w:rPr>
              <w:t xml:space="preserve">) </w:t>
            </w:r>
          </w:p>
        </w:tc>
      </w:tr>
      <w:tr w:rsidR="000C4977" w:rsidRPr="00AE7C51" w14:paraId="65B6A87F" w14:textId="77777777" w:rsidTr="00A91280">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14:paraId="26618CF6" w14:textId="77777777" w:rsidR="000C4977" w:rsidRPr="00AE7C51" w:rsidRDefault="000C4977" w:rsidP="000C4977">
            <w:pPr>
              <w:keepNext/>
              <w:keepLines/>
              <w:spacing w:before="0"/>
              <w:jc w:val="left"/>
              <w:rPr>
                <w:rFonts w:ascii="Arial Narrow" w:hAnsi="Arial Narrow"/>
                <w:szCs w:val="20"/>
              </w:rPr>
            </w:pPr>
            <w:proofErr w:type="spellStart"/>
            <w:r w:rsidRPr="00AE7C51">
              <w:rPr>
                <w:rFonts w:ascii="Arial Narrow" w:hAnsi="Arial Narrow"/>
                <w:i/>
                <w:iCs/>
                <w:szCs w:val="20"/>
              </w:rPr>
              <w:t>BRCA</w:t>
            </w:r>
            <w:r w:rsidRPr="00AE7C51">
              <w:rPr>
                <w:rFonts w:ascii="Arial Narrow" w:hAnsi="Arial Narrow"/>
                <w:szCs w:val="20"/>
              </w:rPr>
              <w:t>m</w:t>
            </w:r>
            <w:proofErr w:type="spellEnd"/>
          </w:p>
        </w:tc>
        <w:tc>
          <w:tcPr>
            <w:tcW w:w="993" w:type="dxa"/>
            <w:shd w:val="clear" w:color="auto" w:fill="auto"/>
            <w:vAlign w:val="center"/>
          </w:tcPr>
          <w:p w14:paraId="076983A0"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37.2 months</w:t>
            </w:r>
          </w:p>
        </w:tc>
        <w:tc>
          <w:tcPr>
            <w:tcW w:w="1417" w:type="dxa"/>
            <w:vAlign w:val="center"/>
          </w:tcPr>
          <w:p w14:paraId="75EB44D3"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44/158 (27.8)</w:t>
            </w:r>
          </w:p>
        </w:tc>
        <w:tc>
          <w:tcPr>
            <w:tcW w:w="992" w:type="dxa"/>
            <w:shd w:val="clear" w:color="auto" w:fill="auto"/>
            <w:vAlign w:val="center"/>
          </w:tcPr>
          <w:p w14:paraId="5DBC393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18.8 months</w:t>
            </w:r>
          </w:p>
        </w:tc>
        <w:tc>
          <w:tcPr>
            <w:tcW w:w="1418" w:type="dxa"/>
            <w:vAlign w:val="center"/>
          </w:tcPr>
          <w:p w14:paraId="18EC598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52/77 (67.5)</w:t>
            </w:r>
          </w:p>
        </w:tc>
        <w:tc>
          <w:tcPr>
            <w:tcW w:w="1701" w:type="dxa"/>
            <w:shd w:val="clear" w:color="auto" w:fill="auto"/>
            <w:vAlign w:val="center"/>
          </w:tcPr>
          <w:p w14:paraId="3E33B316"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b/>
                <w:bCs/>
                <w:sz w:val="20"/>
                <w:szCs w:val="20"/>
                <w:lang w:eastAsia="zh-CN"/>
              </w:rPr>
              <w:t>0.28 (0.19,0.42)</w:t>
            </w:r>
          </w:p>
        </w:tc>
        <w:tc>
          <w:tcPr>
            <w:tcW w:w="1417" w:type="dxa"/>
            <w:vAlign w:val="center"/>
          </w:tcPr>
          <w:p w14:paraId="606A366C"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lang w:eastAsia="zh-CN"/>
              </w:rPr>
            </w:pPr>
            <w:r w:rsidRPr="00AE7C51">
              <w:rPr>
                <w:rFonts w:ascii="Arial Narrow" w:hAnsi="Arial Narrow"/>
                <w:b/>
                <w:bCs/>
                <w:sz w:val="20"/>
                <w:szCs w:val="20"/>
                <w:lang w:eastAsia="zh-CN"/>
              </w:rPr>
              <w:t>235</w:t>
            </w:r>
          </w:p>
        </w:tc>
      </w:tr>
      <w:tr w:rsidR="000C4977" w:rsidRPr="00AE7C51" w14:paraId="3461ED89" w14:textId="77777777" w:rsidTr="00A91280">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14:paraId="2B6AF31E" w14:textId="77777777" w:rsidR="000C4977" w:rsidRPr="00AE7C51" w:rsidRDefault="000C4977" w:rsidP="000C4977">
            <w:pPr>
              <w:keepNext/>
              <w:keepLines/>
              <w:spacing w:before="0"/>
              <w:jc w:val="left"/>
              <w:rPr>
                <w:rFonts w:ascii="Arial Narrow" w:hAnsi="Arial Narrow"/>
                <w:szCs w:val="20"/>
              </w:rPr>
            </w:pPr>
            <w:proofErr w:type="spellStart"/>
            <w:r w:rsidRPr="00AE7C51">
              <w:rPr>
                <w:rFonts w:ascii="Arial Narrow" w:hAnsi="Arial Narrow"/>
                <w:i/>
                <w:iCs/>
                <w:szCs w:val="20"/>
              </w:rPr>
              <w:t>BRCA</w:t>
            </w:r>
            <w:r w:rsidRPr="00AE7C51">
              <w:rPr>
                <w:rFonts w:ascii="Arial Narrow" w:hAnsi="Arial Narrow"/>
                <w:szCs w:val="20"/>
              </w:rPr>
              <w:t>wt</w:t>
            </w:r>
            <w:proofErr w:type="spellEnd"/>
          </w:p>
        </w:tc>
        <w:tc>
          <w:tcPr>
            <w:tcW w:w="993" w:type="dxa"/>
            <w:shd w:val="clear" w:color="auto" w:fill="auto"/>
            <w:vAlign w:val="center"/>
          </w:tcPr>
          <w:p w14:paraId="40FD9DB7"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18.2 months</w:t>
            </w:r>
          </w:p>
        </w:tc>
        <w:tc>
          <w:tcPr>
            <w:tcW w:w="1417" w:type="dxa"/>
            <w:vAlign w:val="center"/>
          </w:tcPr>
          <w:p w14:paraId="5C984AD3"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223/346 (64.5)</w:t>
            </w:r>
          </w:p>
        </w:tc>
        <w:tc>
          <w:tcPr>
            <w:tcW w:w="992" w:type="dxa"/>
            <w:shd w:val="clear" w:color="auto" w:fill="auto"/>
            <w:vAlign w:val="center"/>
          </w:tcPr>
          <w:p w14:paraId="597B5638"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16.4 months</w:t>
            </w:r>
          </w:p>
        </w:tc>
        <w:tc>
          <w:tcPr>
            <w:tcW w:w="1418" w:type="dxa"/>
            <w:vAlign w:val="center"/>
          </w:tcPr>
          <w:p w14:paraId="6BA78CD1"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sz w:val="20"/>
                <w:szCs w:val="20"/>
              </w:rPr>
              <w:t>130/174 (74.7)</w:t>
            </w:r>
          </w:p>
        </w:tc>
        <w:tc>
          <w:tcPr>
            <w:tcW w:w="1701" w:type="dxa"/>
            <w:shd w:val="clear" w:color="auto" w:fill="auto"/>
            <w:vAlign w:val="center"/>
          </w:tcPr>
          <w:p w14:paraId="15D20C0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AE7C51">
              <w:rPr>
                <w:rFonts w:ascii="Arial Narrow" w:hAnsi="Arial Narrow"/>
                <w:b/>
                <w:bCs/>
                <w:i/>
                <w:iCs/>
                <w:sz w:val="20"/>
                <w:szCs w:val="20"/>
                <w:lang w:eastAsia="zh-CN"/>
              </w:rPr>
              <w:t>0.77 (0.62, 0.96)</w:t>
            </w:r>
          </w:p>
        </w:tc>
        <w:tc>
          <w:tcPr>
            <w:tcW w:w="1417" w:type="dxa"/>
            <w:vAlign w:val="center"/>
          </w:tcPr>
          <w:p w14:paraId="36249481"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sz w:val="20"/>
                <w:szCs w:val="20"/>
                <w:lang w:eastAsia="zh-CN"/>
              </w:rPr>
            </w:pPr>
            <w:r w:rsidRPr="00AE7C51">
              <w:rPr>
                <w:rFonts w:ascii="Arial Narrow" w:hAnsi="Arial Narrow"/>
                <w:b/>
                <w:bCs/>
                <w:i/>
                <w:iCs/>
                <w:sz w:val="20"/>
                <w:szCs w:val="20"/>
                <w:lang w:eastAsia="zh-CN"/>
              </w:rPr>
              <w:t>520</w:t>
            </w:r>
          </w:p>
        </w:tc>
      </w:tr>
      <w:tr w:rsidR="000C4977" w:rsidRPr="00AE7C51" w14:paraId="263C75C0" w14:textId="77777777" w:rsidTr="00A9128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auto"/>
            <w:vAlign w:val="center"/>
          </w:tcPr>
          <w:p w14:paraId="2BE25DFD" w14:textId="77777777" w:rsidR="000C4977" w:rsidRPr="00AE7C51" w:rsidRDefault="000C4977" w:rsidP="000C4977">
            <w:pPr>
              <w:keepNext/>
              <w:keepLines/>
              <w:spacing w:before="0"/>
              <w:jc w:val="left"/>
              <w:rPr>
                <w:rFonts w:ascii="Arial Narrow" w:hAnsi="Arial Narrow"/>
                <w:szCs w:val="20"/>
              </w:rPr>
            </w:pPr>
            <w:r w:rsidRPr="00AE7C51">
              <w:rPr>
                <w:rFonts w:ascii="Arial Narrow" w:hAnsi="Arial Narrow"/>
                <w:szCs w:val="20"/>
              </w:rPr>
              <w:t>Ray-</w:t>
            </w:r>
            <w:proofErr w:type="spellStart"/>
            <w:r w:rsidRPr="00AE7C51">
              <w:rPr>
                <w:rFonts w:ascii="Arial Narrow" w:hAnsi="Arial Narrow"/>
                <w:szCs w:val="20"/>
              </w:rPr>
              <w:t>Coquard</w:t>
            </w:r>
            <w:proofErr w:type="spellEnd"/>
            <w:r w:rsidRPr="00AE7C51">
              <w:rPr>
                <w:rFonts w:ascii="Arial Narrow" w:hAnsi="Arial Narrow"/>
                <w:szCs w:val="20"/>
              </w:rPr>
              <w:t xml:space="preserve"> 2019 (</w:t>
            </w:r>
            <w:r w:rsidRPr="00AE7C51">
              <w:rPr>
                <w:rFonts w:ascii="Arial Narrow" w:hAnsi="Arial Narrow"/>
                <w:i/>
                <w:iCs/>
                <w:szCs w:val="20"/>
              </w:rPr>
              <w:t>BRCA</w:t>
            </w:r>
            <w:r w:rsidRPr="00AE7C51">
              <w:rPr>
                <w:rFonts w:ascii="Arial Narrow" w:hAnsi="Arial Narrow"/>
                <w:szCs w:val="20"/>
              </w:rPr>
              <w:t xml:space="preserve"> status by NGS)</w:t>
            </w:r>
          </w:p>
        </w:tc>
      </w:tr>
      <w:tr w:rsidR="000C4977" w:rsidRPr="00AE7C51" w14:paraId="1F9EDB76" w14:textId="77777777" w:rsidTr="00A91280">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14:paraId="787DFB1F" w14:textId="77777777" w:rsidR="000C4977" w:rsidRPr="00AE7C51" w:rsidRDefault="000C4977" w:rsidP="000C4977">
            <w:pPr>
              <w:keepNext/>
              <w:keepLines/>
              <w:spacing w:before="0"/>
              <w:jc w:val="left"/>
              <w:rPr>
                <w:rFonts w:ascii="Arial Narrow" w:hAnsi="Arial Narrow"/>
                <w:szCs w:val="20"/>
              </w:rPr>
            </w:pPr>
            <w:proofErr w:type="spellStart"/>
            <w:r w:rsidRPr="00AE7C51">
              <w:rPr>
                <w:rFonts w:ascii="Arial Narrow" w:hAnsi="Arial Narrow"/>
                <w:i/>
                <w:iCs/>
                <w:szCs w:val="20"/>
              </w:rPr>
              <w:t>BRCA</w:t>
            </w:r>
            <w:r w:rsidRPr="00AE7C51">
              <w:rPr>
                <w:rFonts w:ascii="Arial Narrow" w:hAnsi="Arial Narrow"/>
                <w:szCs w:val="20"/>
              </w:rPr>
              <w:t>m</w:t>
            </w:r>
            <w:proofErr w:type="spellEnd"/>
          </w:p>
        </w:tc>
        <w:tc>
          <w:tcPr>
            <w:tcW w:w="993" w:type="dxa"/>
            <w:shd w:val="clear" w:color="auto" w:fill="auto"/>
            <w:vAlign w:val="center"/>
          </w:tcPr>
          <w:p w14:paraId="1417D331"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37.2 months</w:t>
            </w:r>
          </w:p>
        </w:tc>
        <w:tc>
          <w:tcPr>
            <w:tcW w:w="1417" w:type="dxa"/>
            <w:vAlign w:val="center"/>
          </w:tcPr>
          <w:p w14:paraId="710DCD3F"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41/157 (26)</w:t>
            </w:r>
          </w:p>
        </w:tc>
        <w:tc>
          <w:tcPr>
            <w:tcW w:w="992" w:type="dxa"/>
            <w:shd w:val="clear" w:color="auto" w:fill="auto"/>
            <w:vAlign w:val="center"/>
          </w:tcPr>
          <w:p w14:paraId="3987F0E9"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21.7 months</w:t>
            </w:r>
          </w:p>
        </w:tc>
        <w:tc>
          <w:tcPr>
            <w:tcW w:w="1418" w:type="dxa"/>
            <w:vAlign w:val="center"/>
          </w:tcPr>
          <w:p w14:paraId="2F31DA69"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49/80 (61)</w:t>
            </w:r>
          </w:p>
        </w:tc>
        <w:tc>
          <w:tcPr>
            <w:tcW w:w="1701" w:type="dxa"/>
            <w:shd w:val="clear" w:color="auto" w:fill="auto"/>
            <w:vAlign w:val="center"/>
          </w:tcPr>
          <w:p w14:paraId="2694B7B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sz w:val="20"/>
                <w:szCs w:val="20"/>
              </w:rPr>
            </w:pPr>
            <w:r w:rsidRPr="00AE7C51">
              <w:rPr>
                <w:rFonts w:ascii="Arial Narrow" w:hAnsi="Arial Narrow"/>
                <w:b/>
                <w:bCs/>
                <w:i/>
                <w:iCs/>
                <w:sz w:val="20"/>
                <w:szCs w:val="20"/>
              </w:rPr>
              <w:t>0.31 (0.20, 0.47)</w:t>
            </w:r>
          </w:p>
        </w:tc>
        <w:tc>
          <w:tcPr>
            <w:tcW w:w="1417" w:type="dxa"/>
            <w:vAlign w:val="center"/>
          </w:tcPr>
          <w:p w14:paraId="32591C49"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sz w:val="20"/>
                <w:szCs w:val="20"/>
              </w:rPr>
            </w:pPr>
            <w:r w:rsidRPr="00AE7C51">
              <w:rPr>
                <w:rFonts w:ascii="Arial Narrow" w:hAnsi="Arial Narrow"/>
                <w:b/>
                <w:bCs/>
                <w:i/>
                <w:iCs/>
                <w:sz w:val="20"/>
                <w:szCs w:val="20"/>
              </w:rPr>
              <w:t>237</w:t>
            </w:r>
          </w:p>
        </w:tc>
      </w:tr>
      <w:tr w:rsidR="000C4977" w:rsidRPr="00AE7C51" w14:paraId="1737EA3C" w14:textId="77777777" w:rsidTr="00A91280">
        <w:tc>
          <w:tcPr>
            <w:cnfStyle w:val="001000000000" w:firstRow="0" w:lastRow="0" w:firstColumn="1" w:lastColumn="0" w:oddVBand="0" w:evenVBand="0" w:oddHBand="0" w:evenHBand="0" w:firstRowFirstColumn="0" w:firstRowLastColumn="0" w:lastRowFirstColumn="0" w:lastRowLastColumn="0"/>
            <w:tcW w:w="1129" w:type="dxa"/>
            <w:shd w:val="clear" w:color="auto" w:fill="auto"/>
            <w:vAlign w:val="center"/>
          </w:tcPr>
          <w:p w14:paraId="2C560786" w14:textId="77777777" w:rsidR="000C4977" w:rsidRPr="00AE7C51" w:rsidRDefault="000C4977" w:rsidP="000C4977">
            <w:pPr>
              <w:keepNext/>
              <w:keepLines/>
              <w:spacing w:before="0"/>
              <w:jc w:val="left"/>
              <w:rPr>
                <w:rFonts w:ascii="Arial Narrow" w:hAnsi="Arial Narrow"/>
                <w:szCs w:val="20"/>
              </w:rPr>
            </w:pPr>
            <w:proofErr w:type="spellStart"/>
            <w:r w:rsidRPr="00AE7C51">
              <w:rPr>
                <w:rFonts w:ascii="Arial Narrow" w:hAnsi="Arial Narrow"/>
                <w:i/>
                <w:iCs/>
                <w:szCs w:val="20"/>
              </w:rPr>
              <w:t>BRCA</w:t>
            </w:r>
            <w:r w:rsidRPr="00AE7C51">
              <w:rPr>
                <w:rFonts w:ascii="Arial Narrow" w:hAnsi="Arial Narrow"/>
                <w:szCs w:val="20"/>
              </w:rPr>
              <w:t>wt</w:t>
            </w:r>
            <w:proofErr w:type="spellEnd"/>
          </w:p>
        </w:tc>
        <w:tc>
          <w:tcPr>
            <w:tcW w:w="993" w:type="dxa"/>
            <w:shd w:val="clear" w:color="auto" w:fill="auto"/>
            <w:vAlign w:val="center"/>
          </w:tcPr>
          <w:p w14:paraId="7B6B685B"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18.9 months</w:t>
            </w:r>
          </w:p>
        </w:tc>
        <w:tc>
          <w:tcPr>
            <w:tcW w:w="1417" w:type="dxa"/>
            <w:vAlign w:val="center"/>
          </w:tcPr>
          <w:p w14:paraId="628F729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239/380 (63)</w:t>
            </w:r>
          </w:p>
        </w:tc>
        <w:tc>
          <w:tcPr>
            <w:tcW w:w="992" w:type="dxa"/>
            <w:shd w:val="clear" w:color="auto" w:fill="auto"/>
            <w:vAlign w:val="center"/>
          </w:tcPr>
          <w:p w14:paraId="342C6E6A"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16.0 months</w:t>
            </w:r>
          </w:p>
        </w:tc>
        <w:tc>
          <w:tcPr>
            <w:tcW w:w="1418" w:type="dxa"/>
            <w:vAlign w:val="center"/>
          </w:tcPr>
          <w:p w14:paraId="2794A4A3"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20"/>
                <w:szCs w:val="20"/>
              </w:rPr>
            </w:pPr>
            <w:r w:rsidRPr="00AE7C51">
              <w:rPr>
                <w:rFonts w:ascii="Arial Narrow" w:hAnsi="Arial Narrow"/>
                <w:i/>
                <w:iCs/>
                <w:sz w:val="20"/>
                <w:szCs w:val="20"/>
              </w:rPr>
              <w:t>145/189 (77)</w:t>
            </w:r>
          </w:p>
        </w:tc>
        <w:tc>
          <w:tcPr>
            <w:tcW w:w="1701" w:type="dxa"/>
            <w:shd w:val="clear" w:color="auto" w:fill="auto"/>
            <w:vAlign w:val="center"/>
          </w:tcPr>
          <w:p w14:paraId="0C7CC9AD"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sz w:val="20"/>
                <w:szCs w:val="20"/>
              </w:rPr>
            </w:pPr>
            <w:r w:rsidRPr="00AE7C51">
              <w:rPr>
                <w:rFonts w:ascii="Arial Narrow" w:hAnsi="Arial Narrow"/>
                <w:b/>
                <w:bCs/>
                <w:i/>
                <w:iCs/>
                <w:sz w:val="20"/>
                <w:szCs w:val="20"/>
              </w:rPr>
              <w:t>0.71 (0.58, 0.88)</w:t>
            </w:r>
          </w:p>
        </w:tc>
        <w:tc>
          <w:tcPr>
            <w:tcW w:w="1417" w:type="dxa"/>
            <w:vAlign w:val="center"/>
          </w:tcPr>
          <w:p w14:paraId="2A5197C3" w14:textId="77777777" w:rsidR="000C4977" w:rsidRPr="00AE7C51" w:rsidRDefault="000C4977" w:rsidP="000C4977">
            <w:pPr>
              <w:keepNext/>
              <w:keepLines/>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iCs/>
                <w:sz w:val="20"/>
                <w:szCs w:val="20"/>
              </w:rPr>
            </w:pPr>
            <w:r w:rsidRPr="00AE7C51">
              <w:rPr>
                <w:rFonts w:ascii="Arial Narrow" w:hAnsi="Arial Narrow"/>
                <w:b/>
                <w:bCs/>
                <w:i/>
                <w:iCs/>
                <w:sz w:val="20"/>
                <w:szCs w:val="20"/>
              </w:rPr>
              <w:t>569</w:t>
            </w:r>
          </w:p>
        </w:tc>
      </w:tr>
    </w:tbl>
    <w:p w14:paraId="5721C3D5" w14:textId="168072F1" w:rsidR="000C4977" w:rsidRPr="000C4977" w:rsidRDefault="000C4977" w:rsidP="00EB0C59">
      <w:pPr>
        <w:keepNext/>
        <w:widowControl w:val="0"/>
        <w:spacing w:before="0" w:after="360" w:line="269" w:lineRule="auto"/>
        <w:contextualSpacing/>
        <w:jc w:val="left"/>
        <w:rPr>
          <w:rFonts w:ascii="Arial Narrow" w:eastAsia="Times New Roman" w:hAnsi="Arial Narrow" w:cs="Arial"/>
          <w:snapToGrid w:val="0"/>
          <w:sz w:val="18"/>
          <w:szCs w:val="20"/>
        </w:rPr>
      </w:pP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 breast cancer gene; CI = confidence interval; HR = hazard ratio; NGS = next generation sequencing; PFS = progression</w:t>
      </w:r>
      <w:r w:rsidR="00D9058D">
        <w:rPr>
          <w:rFonts w:ascii="Arial Narrow" w:eastAsia="Times New Roman" w:hAnsi="Arial Narrow" w:cs="Arial"/>
          <w:snapToGrid w:val="0"/>
          <w:sz w:val="18"/>
          <w:szCs w:val="20"/>
        </w:rPr>
        <w:t>-</w:t>
      </w:r>
      <w:r w:rsidRPr="000C4977">
        <w:rPr>
          <w:rFonts w:ascii="Arial Narrow" w:eastAsia="Times New Roman" w:hAnsi="Arial Narrow" w:cs="Arial"/>
          <w:snapToGrid w:val="0"/>
          <w:sz w:val="18"/>
          <w:szCs w:val="20"/>
        </w:rPr>
        <w:t>free survival</w:t>
      </w:r>
    </w:p>
    <w:p w14:paraId="72A866AB" w14:textId="1407902A" w:rsidR="000C4977" w:rsidRPr="000C4977" w:rsidRDefault="000C4977" w:rsidP="000C4977">
      <w:pPr>
        <w:widowControl w:val="0"/>
        <w:spacing w:before="0" w:after="120"/>
        <w:jc w:val="left"/>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Source: </w:t>
      </w:r>
      <w:r w:rsidRPr="000C4977">
        <w:rPr>
          <w:rFonts w:ascii="Arial Narrow" w:eastAsia="Times New Roman" w:hAnsi="Arial Narrow" w:cs="Arial"/>
          <w:snapToGrid w:val="0"/>
          <w:sz w:val="18"/>
          <w:szCs w:val="20"/>
          <w:lang w:eastAsia="zh-CN"/>
        </w:rPr>
        <w:t>Table 38, p142 of the CSR, Ray-</w:t>
      </w:r>
      <w:proofErr w:type="spellStart"/>
      <w:r w:rsidRPr="000C4977">
        <w:rPr>
          <w:rFonts w:ascii="Arial Narrow" w:eastAsia="Times New Roman" w:hAnsi="Arial Narrow" w:cs="Arial"/>
          <w:snapToGrid w:val="0"/>
          <w:sz w:val="18"/>
          <w:szCs w:val="20"/>
          <w:lang w:eastAsia="zh-CN"/>
        </w:rPr>
        <w:t>Coquard</w:t>
      </w:r>
      <w:proofErr w:type="spellEnd"/>
      <w:r w:rsidRPr="000C4977">
        <w:rPr>
          <w:rFonts w:ascii="Arial Narrow" w:eastAsia="Times New Roman" w:hAnsi="Arial Narrow" w:cs="Arial"/>
          <w:snapToGrid w:val="0"/>
          <w:sz w:val="18"/>
          <w:szCs w:val="20"/>
          <w:lang w:eastAsia="zh-CN"/>
        </w:rPr>
        <w:t xml:space="preserve"> 2019</w:t>
      </w:r>
    </w:p>
    <w:p w14:paraId="4177A8C7" w14:textId="25FAD943" w:rsidR="000C4977" w:rsidRPr="00540733" w:rsidRDefault="000C4977" w:rsidP="000C4977">
      <w:pPr>
        <w:spacing w:line="259" w:lineRule="auto"/>
        <w:jc w:val="left"/>
        <w:rPr>
          <w:lang w:eastAsia="zh-CN"/>
        </w:rPr>
      </w:pPr>
      <w:r w:rsidRPr="00105CF3">
        <w:rPr>
          <w:lang w:eastAsia="zh-CN"/>
        </w:rPr>
        <w:t xml:space="preserve">The commentary noted that there were differences in the PFS results by </w:t>
      </w:r>
      <w:r w:rsidRPr="00EB0C59">
        <w:rPr>
          <w:i/>
          <w:iCs/>
          <w:lang w:eastAsia="zh-CN"/>
        </w:rPr>
        <w:t>BRCA</w:t>
      </w:r>
      <w:r w:rsidRPr="00105CF3">
        <w:rPr>
          <w:lang w:eastAsia="zh-CN"/>
        </w:rPr>
        <w:t xml:space="preserve"> status depending on whether the Myriad </w:t>
      </w:r>
      <w:proofErr w:type="spellStart"/>
      <w:r w:rsidRPr="00105CF3">
        <w:rPr>
          <w:lang w:eastAsia="zh-CN"/>
        </w:rPr>
        <w:t>myChoice</w:t>
      </w:r>
      <w:proofErr w:type="spellEnd"/>
      <w:r w:rsidRPr="00105CF3">
        <w:rPr>
          <w:lang w:eastAsia="zh-CN"/>
        </w:rPr>
        <w:t xml:space="preserve"> HRD plus classification was used (as presented in the submission) or if NGS classification was used, as reported by Ray-</w:t>
      </w:r>
      <w:proofErr w:type="spellStart"/>
      <w:r w:rsidRPr="00105CF3">
        <w:rPr>
          <w:lang w:eastAsia="zh-CN"/>
        </w:rPr>
        <w:t>Coquard</w:t>
      </w:r>
      <w:proofErr w:type="spellEnd"/>
      <w:r w:rsidRPr="00105CF3">
        <w:rPr>
          <w:lang w:eastAsia="zh-CN"/>
        </w:rPr>
        <w:t xml:space="preserve"> 2019. In Ray-</w:t>
      </w:r>
      <w:proofErr w:type="spellStart"/>
      <w:r w:rsidRPr="00105CF3">
        <w:rPr>
          <w:lang w:eastAsia="zh-CN"/>
        </w:rPr>
        <w:t>Coquard</w:t>
      </w:r>
      <w:proofErr w:type="spellEnd"/>
      <w:r w:rsidRPr="00105CF3">
        <w:rPr>
          <w:lang w:eastAsia="zh-CN"/>
        </w:rPr>
        <w:t xml:space="preserve"> 2019, the PFS HR for </w:t>
      </w:r>
      <w:proofErr w:type="spellStart"/>
      <w:r w:rsidRPr="00EB0C59">
        <w:rPr>
          <w:i/>
          <w:iCs/>
          <w:lang w:eastAsia="zh-CN"/>
        </w:rPr>
        <w:t>BRCA</w:t>
      </w:r>
      <w:r w:rsidRPr="00105CF3">
        <w:rPr>
          <w:lang w:eastAsia="zh-CN"/>
        </w:rPr>
        <w:t>m</w:t>
      </w:r>
      <w:proofErr w:type="spellEnd"/>
      <w:r w:rsidRPr="00105CF3">
        <w:rPr>
          <w:lang w:eastAsia="zh-CN"/>
        </w:rPr>
        <w:t xml:space="preserve"> was 0.31 (95%CI 0.20, 0.47) and for </w:t>
      </w:r>
      <w:proofErr w:type="spellStart"/>
      <w:r w:rsidRPr="00EB0C59">
        <w:rPr>
          <w:i/>
          <w:iCs/>
          <w:lang w:eastAsia="zh-CN"/>
        </w:rPr>
        <w:t>BRCA</w:t>
      </w:r>
      <w:r w:rsidRPr="00105CF3">
        <w:rPr>
          <w:lang w:eastAsia="zh-CN"/>
        </w:rPr>
        <w:t>wt</w:t>
      </w:r>
      <w:proofErr w:type="spellEnd"/>
      <w:r w:rsidRPr="00105CF3">
        <w:rPr>
          <w:lang w:eastAsia="zh-CN"/>
        </w:rPr>
        <w:t xml:space="preserve"> was 0.71 (95%CI 0.58, 0.88). </w:t>
      </w:r>
      <w:r w:rsidRPr="00540733">
        <w:rPr>
          <w:lang w:eastAsia="zh-CN"/>
        </w:rPr>
        <w:t>However</w:t>
      </w:r>
      <w:r w:rsidR="0077413E">
        <w:rPr>
          <w:lang w:eastAsia="zh-CN"/>
        </w:rPr>
        <w:t>,</w:t>
      </w:r>
      <w:r w:rsidRPr="00540733">
        <w:rPr>
          <w:lang w:eastAsia="zh-CN"/>
        </w:rPr>
        <w:t xml:space="preserve"> the commentary considered that it was unclear whether the difference was clinical</w:t>
      </w:r>
      <w:r w:rsidR="00105CF3" w:rsidRPr="00540733">
        <w:rPr>
          <w:lang w:eastAsia="zh-CN"/>
        </w:rPr>
        <w:t>ly</w:t>
      </w:r>
      <w:r w:rsidRPr="00540733">
        <w:rPr>
          <w:lang w:eastAsia="zh-CN"/>
        </w:rPr>
        <w:t xml:space="preserve"> significant.</w:t>
      </w:r>
    </w:p>
    <w:p w14:paraId="6E970774" w14:textId="069FECAE" w:rsidR="000C4977" w:rsidRPr="000C4977" w:rsidRDefault="000C4977" w:rsidP="000C4977">
      <w:pPr>
        <w:spacing w:line="259" w:lineRule="auto"/>
        <w:jc w:val="left"/>
      </w:pPr>
      <w:r w:rsidRPr="00540733">
        <w:rPr>
          <w:lang w:eastAsia="zh-CN"/>
        </w:rPr>
        <w:t>The OS results available for PAOLA-1 were not yet considered mature (37.6% maturity)</w:t>
      </w:r>
      <w:r w:rsidRPr="00540733">
        <w:t>. A summary is shown in the table below along with the OS K</w:t>
      </w:r>
      <w:r w:rsidR="00C1285A" w:rsidRPr="00540733">
        <w:t>aplan-</w:t>
      </w:r>
      <w:r w:rsidRPr="00540733">
        <w:t>M</w:t>
      </w:r>
      <w:r w:rsidR="00C1285A" w:rsidRPr="00540733">
        <w:t>eier</w:t>
      </w:r>
      <w:r w:rsidRPr="00540733">
        <w:t xml:space="preserve"> plots for the FAS and for the HRD positive </w:t>
      </w:r>
      <w:proofErr w:type="spellStart"/>
      <w:r w:rsidRPr="00540733">
        <w:rPr>
          <w:i/>
          <w:iCs/>
        </w:rPr>
        <w:t>BRCA</w:t>
      </w:r>
      <w:r w:rsidRPr="00540733">
        <w:t>wt</w:t>
      </w:r>
      <w:proofErr w:type="spellEnd"/>
      <w:r w:rsidRPr="00540733">
        <w:t xml:space="preserve"> subgroup, which showed a wide confidence interval with no true separation between the two treatment arms.</w:t>
      </w:r>
    </w:p>
    <w:p w14:paraId="3305D19F" w14:textId="271D792A" w:rsidR="000C4977" w:rsidRPr="000C4977" w:rsidRDefault="009326C6"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20</w:t>
      </w:r>
      <w:r w:rsidRPr="000C4977">
        <w:rPr>
          <w:rFonts w:ascii="Arial Narrow" w:hAnsi="Arial Narrow"/>
          <w:b/>
          <w:iCs/>
          <w:noProof/>
          <w:sz w:val="20"/>
          <w:szCs w:val="18"/>
        </w:rPr>
        <w:fldChar w:fldCharType="end"/>
      </w:r>
      <w:r w:rsidR="000C4977" w:rsidRPr="000C4977">
        <w:rPr>
          <w:rFonts w:ascii="Arial Narrow" w:hAnsi="Arial Narrow"/>
          <w:b/>
          <w:iCs/>
          <w:sz w:val="20"/>
          <w:szCs w:val="18"/>
        </w:rPr>
        <w:tab/>
        <w:t>PAOLA-1 OS according to tumour variant (DCO2)</w:t>
      </w:r>
      <w:r w:rsidR="000C4977" w:rsidRPr="000C4977">
        <w:rPr>
          <w:rFonts w:ascii="Arial Narrow" w:hAnsi="Arial Narrow"/>
          <w:b/>
          <w:iCs/>
          <w:sz w:val="20"/>
          <w:szCs w:val="18"/>
          <w:vertAlign w:val="superscript"/>
          <w:lang w:eastAsia="zh-CN"/>
        </w:rPr>
        <w:t xml:space="preserve"> a</w:t>
      </w:r>
    </w:p>
    <w:tbl>
      <w:tblPr>
        <w:tblStyle w:val="PBACtabl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13"/>
        <w:gridCol w:w="2213"/>
        <w:gridCol w:w="2214"/>
      </w:tblGrid>
      <w:tr w:rsidR="000C4977" w:rsidRPr="004329CF" w14:paraId="0282AF93"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shd w:val="clear" w:color="auto" w:fill="auto"/>
          </w:tcPr>
          <w:p w14:paraId="01478A92" w14:textId="77777777" w:rsidR="000C4977" w:rsidRPr="004329CF" w:rsidRDefault="000C4977" w:rsidP="000C4977">
            <w:pPr>
              <w:keepNext/>
              <w:widowControl w:val="0"/>
              <w:spacing w:before="0"/>
              <w:jc w:val="center"/>
              <w:rPr>
                <w:rFonts w:ascii="Arial Narrow" w:eastAsia="Times New Roman" w:hAnsi="Arial Narrow" w:cs="Times New Roman"/>
                <w:color w:val="000000" w:themeColor="text1"/>
                <w:szCs w:val="20"/>
                <w:lang w:eastAsia="zh-CN"/>
              </w:rPr>
            </w:pP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14:paraId="309BB34B" w14:textId="77777777" w:rsidR="000C4977" w:rsidRPr="004329CF"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Ola + </w:t>
            </w:r>
            <w:proofErr w:type="spellStart"/>
            <w:r w:rsidRPr="004329CF">
              <w:rPr>
                <w:rFonts w:ascii="Arial Narrow" w:eastAsia="Times New Roman" w:hAnsi="Arial Narrow" w:cs="Times New Roman"/>
                <w:color w:val="000000" w:themeColor="text1"/>
                <w:szCs w:val="20"/>
                <w:lang w:eastAsia="zh-CN"/>
              </w:rPr>
              <w:t>beva</w:t>
            </w:r>
            <w:proofErr w:type="spellEnd"/>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14:paraId="603A1D2F" w14:textId="149B70D0" w:rsidR="000C4977" w:rsidRPr="004329CF"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Cs w:val="20"/>
                <w:lang w:eastAsia="zh-CN"/>
              </w:rPr>
            </w:pPr>
            <w:proofErr w:type="spellStart"/>
            <w:r w:rsidRPr="004329CF">
              <w:rPr>
                <w:rFonts w:ascii="Arial Narrow" w:eastAsia="Times New Roman" w:hAnsi="Arial Narrow" w:cs="Times New Roman"/>
                <w:color w:val="000000" w:themeColor="text1"/>
                <w:szCs w:val="20"/>
                <w:lang w:eastAsia="zh-CN"/>
              </w:rPr>
              <w:t>Pbo</w:t>
            </w:r>
            <w:proofErr w:type="spellEnd"/>
            <w:r w:rsidRPr="004329CF">
              <w:rPr>
                <w:rFonts w:ascii="Arial Narrow" w:eastAsia="Times New Roman" w:hAnsi="Arial Narrow" w:cs="Times New Roman"/>
                <w:color w:val="000000" w:themeColor="text1"/>
                <w:szCs w:val="20"/>
                <w:lang w:eastAsia="zh-CN"/>
              </w:rPr>
              <w:t xml:space="preserve"> + </w:t>
            </w:r>
            <w:proofErr w:type="spellStart"/>
            <w:r w:rsidRPr="004329CF">
              <w:rPr>
                <w:rFonts w:ascii="Arial Narrow" w:eastAsia="Times New Roman" w:hAnsi="Arial Narrow" w:cs="Times New Roman"/>
                <w:color w:val="000000" w:themeColor="text1"/>
                <w:szCs w:val="20"/>
                <w:lang w:eastAsia="zh-CN"/>
              </w:rPr>
              <w:t>beva</w:t>
            </w:r>
            <w:proofErr w:type="spellEnd"/>
            <w:r w:rsidR="00776599" w:rsidRPr="004329CF">
              <w:rPr>
                <w:rFonts w:ascii="Arial Narrow" w:eastAsia="Times New Roman" w:hAnsi="Arial Narrow" w:cs="Times New Roman"/>
                <w:color w:val="000000" w:themeColor="text1"/>
                <w:szCs w:val="20"/>
                <w:lang w:eastAsia="zh-CN"/>
              </w:rPr>
              <w:t xml:space="preserve"> </w:t>
            </w:r>
            <w:r w:rsidRPr="004329CF">
              <w:rPr>
                <w:rFonts w:ascii="Arial Narrow" w:eastAsia="Times New Roman" w:hAnsi="Arial Narrow" w:cs="Times New Roman"/>
                <w:color w:val="000000" w:themeColor="text1"/>
                <w:szCs w:val="20"/>
                <w:vertAlign w:val="superscript"/>
                <w:lang w:eastAsia="zh-CN"/>
              </w:rPr>
              <w:t>b</w:t>
            </w:r>
          </w:p>
        </w:tc>
        <w:tc>
          <w:tcPr>
            <w:tcW w:w="2214" w:type="dxa"/>
            <w:tcBorders>
              <w:top w:val="single" w:sz="4" w:space="0" w:color="auto"/>
              <w:left w:val="single" w:sz="4" w:space="0" w:color="auto"/>
              <w:bottom w:val="single" w:sz="4" w:space="0" w:color="auto"/>
              <w:right w:val="single" w:sz="4" w:space="0" w:color="auto"/>
            </w:tcBorders>
            <w:shd w:val="clear" w:color="auto" w:fill="auto"/>
            <w:hideMark/>
          </w:tcPr>
          <w:p w14:paraId="307E90B8" w14:textId="77777777" w:rsidR="000C4977" w:rsidRPr="004329CF" w:rsidRDefault="000C4977" w:rsidP="000C4977">
            <w:pPr>
              <w:keepNext/>
              <w:widowControl w:val="0"/>
              <w:spacing w:before="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lang w:eastAsia="zh-CN"/>
              </w:rPr>
            </w:pPr>
            <w:proofErr w:type="spellStart"/>
            <w:r w:rsidRPr="65106A7D">
              <w:rPr>
                <w:rFonts w:ascii="Arial Narrow" w:eastAsia="Times New Roman" w:hAnsi="Arial Narrow" w:cs="Times New Roman"/>
                <w:color w:val="000000" w:themeColor="text1"/>
                <w:lang w:eastAsia="zh-CN"/>
              </w:rPr>
              <w:t>HR</w:t>
            </w:r>
            <w:r w:rsidRPr="65106A7D">
              <w:rPr>
                <w:rFonts w:ascii="Arial Narrow" w:eastAsia="Times New Roman" w:hAnsi="Arial Narrow" w:cs="Times New Roman"/>
                <w:color w:val="000000" w:themeColor="text1"/>
                <w:vertAlign w:val="superscript"/>
                <w:lang w:eastAsia="zh-CN"/>
              </w:rPr>
              <w:t>c</w:t>
            </w:r>
            <w:proofErr w:type="spellEnd"/>
            <w:r w:rsidRPr="65106A7D">
              <w:rPr>
                <w:rFonts w:ascii="Arial Narrow" w:eastAsia="Times New Roman" w:hAnsi="Arial Narrow" w:cs="Times New Roman"/>
                <w:color w:val="000000" w:themeColor="text1"/>
                <w:lang w:eastAsia="zh-CN"/>
              </w:rPr>
              <w:t xml:space="preserve"> (95% CI)</w:t>
            </w:r>
          </w:p>
        </w:tc>
      </w:tr>
      <w:tr w:rsidR="000C4977" w:rsidRPr="004329CF" w14:paraId="217066E6"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A964DE0" w14:textId="77777777" w:rsidR="000C4977" w:rsidRPr="004329CF" w:rsidRDefault="000C4977" w:rsidP="000C4977">
            <w:pPr>
              <w:keepNext/>
              <w:widowControl w:val="0"/>
              <w:spacing w:before="0"/>
              <w:jc w:val="left"/>
              <w:rPr>
                <w:rFonts w:ascii="Arial Narrow" w:eastAsia="Times New Roman" w:hAnsi="Arial Narrow" w:cs="Times New Roman"/>
                <w:b/>
                <w:color w:val="000000" w:themeColor="text1"/>
                <w:szCs w:val="20"/>
                <w:lang w:eastAsia="zh-CN"/>
              </w:rPr>
            </w:pPr>
            <w:r w:rsidRPr="004329CF">
              <w:rPr>
                <w:rFonts w:ascii="Arial Narrow" w:eastAsia="Times New Roman" w:hAnsi="Arial Narrow" w:cs="Times New Roman"/>
                <w:b/>
                <w:color w:val="000000" w:themeColor="text1"/>
                <w:szCs w:val="20"/>
                <w:lang w:eastAsia="zh-CN"/>
              </w:rPr>
              <w:t>FAS</w:t>
            </w:r>
          </w:p>
        </w:tc>
        <w:tc>
          <w:tcPr>
            <w:tcW w:w="2213" w:type="dxa"/>
            <w:tcBorders>
              <w:top w:val="single" w:sz="4" w:space="0" w:color="auto"/>
              <w:left w:val="single" w:sz="4" w:space="0" w:color="auto"/>
              <w:bottom w:val="single" w:sz="4" w:space="0" w:color="auto"/>
              <w:right w:val="single" w:sz="4" w:space="0" w:color="auto"/>
            </w:tcBorders>
            <w:vAlign w:val="center"/>
          </w:tcPr>
          <w:p w14:paraId="2336826A"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2213" w:type="dxa"/>
            <w:tcBorders>
              <w:top w:val="single" w:sz="4" w:space="0" w:color="auto"/>
              <w:left w:val="single" w:sz="4" w:space="0" w:color="auto"/>
              <w:bottom w:val="single" w:sz="4" w:space="0" w:color="auto"/>
              <w:right w:val="single" w:sz="4" w:space="0" w:color="auto"/>
            </w:tcBorders>
            <w:vAlign w:val="center"/>
          </w:tcPr>
          <w:p w14:paraId="7D35E689"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2214" w:type="dxa"/>
            <w:tcBorders>
              <w:top w:val="single" w:sz="4" w:space="0" w:color="auto"/>
              <w:left w:val="single" w:sz="4" w:space="0" w:color="auto"/>
              <w:bottom w:val="single" w:sz="4" w:space="0" w:color="auto"/>
              <w:right w:val="single" w:sz="4" w:space="0" w:color="auto"/>
            </w:tcBorders>
            <w:vAlign w:val="center"/>
          </w:tcPr>
          <w:p w14:paraId="17DA014B"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4329CF" w14:paraId="0CA3FFBB"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7028586C"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vAlign w:val="center"/>
            <w:hideMark/>
          </w:tcPr>
          <w:p w14:paraId="56D52364"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NR</w:t>
            </w:r>
          </w:p>
        </w:tc>
        <w:tc>
          <w:tcPr>
            <w:tcW w:w="2213" w:type="dxa"/>
            <w:tcBorders>
              <w:top w:val="single" w:sz="4" w:space="0" w:color="auto"/>
              <w:left w:val="single" w:sz="4" w:space="0" w:color="auto"/>
              <w:bottom w:val="single" w:sz="4" w:space="0" w:color="auto"/>
              <w:right w:val="single" w:sz="4" w:space="0" w:color="auto"/>
            </w:tcBorders>
            <w:vAlign w:val="center"/>
            <w:hideMark/>
          </w:tcPr>
          <w:p w14:paraId="49BB8C6B"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45.8 (43.2, NR)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3B06BD96"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0.93 (0.74,1.18)</w:t>
            </w:r>
          </w:p>
        </w:tc>
      </w:tr>
      <w:tr w:rsidR="000C4977" w:rsidRPr="004329CF" w14:paraId="50C645B4"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0A96736A"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vAlign w:val="center"/>
            <w:hideMark/>
          </w:tcPr>
          <w:p w14:paraId="48D6721D"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195/537 (36.3)</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5E49CBF"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108/269 (40.1)</w:t>
            </w:r>
          </w:p>
        </w:tc>
        <w:tc>
          <w:tcPr>
            <w:tcW w:w="2214" w:type="dxa"/>
            <w:tcBorders>
              <w:top w:val="single" w:sz="4" w:space="0" w:color="auto"/>
              <w:left w:val="single" w:sz="4" w:space="0" w:color="auto"/>
              <w:bottom w:val="single" w:sz="4" w:space="0" w:color="auto"/>
              <w:right w:val="single" w:sz="4" w:space="0" w:color="auto"/>
            </w:tcBorders>
            <w:vAlign w:val="center"/>
            <w:hideMark/>
          </w:tcPr>
          <w:p w14:paraId="0E5E3FE7"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p=0.5631</w:t>
            </w:r>
          </w:p>
        </w:tc>
      </w:tr>
      <w:tr w:rsidR="000C4977" w:rsidRPr="004329CF" w14:paraId="494101E5"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16CDA7D" w14:textId="77777777" w:rsidR="000C4977" w:rsidRPr="004329CF" w:rsidRDefault="000C4977" w:rsidP="000C4977">
            <w:pPr>
              <w:keepNext/>
              <w:widowControl w:val="0"/>
              <w:spacing w:before="0"/>
              <w:jc w:val="left"/>
              <w:rPr>
                <w:rFonts w:ascii="Arial Narrow" w:eastAsia="Times New Roman" w:hAnsi="Arial Narrow" w:cs="Times New Roman"/>
                <w:b/>
                <w:color w:val="000000" w:themeColor="text1"/>
                <w:szCs w:val="20"/>
                <w:lang w:eastAsia="zh-CN"/>
              </w:rPr>
            </w:pPr>
            <w:r w:rsidRPr="004329CF">
              <w:rPr>
                <w:rFonts w:ascii="Arial Narrow" w:eastAsia="Times New Roman" w:hAnsi="Arial Narrow" w:cs="Times New Roman"/>
                <w:b/>
                <w:color w:val="000000" w:themeColor="text1"/>
                <w:szCs w:val="20"/>
                <w:lang w:eastAsia="zh-CN"/>
              </w:rPr>
              <w:t>ITT HRD tested population</w:t>
            </w:r>
          </w:p>
        </w:tc>
        <w:tc>
          <w:tcPr>
            <w:tcW w:w="2213" w:type="dxa"/>
            <w:tcBorders>
              <w:top w:val="single" w:sz="4" w:space="0" w:color="auto"/>
              <w:left w:val="single" w:sz="4" w:space="0" w:color="auto"/>
              <w:bottom w:val="single" w:sz="4" w:space="0" w:color="auto"/>
              <w:right w:val="single" w:sz="4" w:space="0" w:color="auto"/>
            </w:tcBorders>
            <w:vAlign w:val="center"/>
          </w:tcPr>
          <w:p w14:paraId="2806CDEB"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2213" w:type="dxa"/>
            <w:tcBorders>
              <w:top w:val="single" w:sz="4" w:space="0" w:color="auto"/>
              <w:left w:val="single" w:sz="4" w:space="0" w:color="auto"/>
              <w:bottom w:val="single" w:sz="4" w:space="0" w:color="auto"/>
              <w:right w:val="single" w:sz="4" w:space="0" w:color="auto"/>
            </w:tcBorders>
            <w:vAlign w:val="center"/>
          </w:tcPr>
          <w:p w14:paraId="2816886A"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c>
          <w:tcPr>
            <w:tcW w:w="2214" w:type="dxa"/>
            <w:tcBorders>
              <w:top w:val="single" w:sz="4" w:space="0" w:color="auto"/>
              <w:left w:val="single" w:sz="4" w:space="0" w:color="auto"/>
              <w:bottom w:val="single" w:sz="4" w:space="0" w:color="auto"/>
              <w:right w:val="single" w:sz="4" w:space="0" w:color="auto"/>
            </w:tcBorders>
            <w:vAlign w:val="center"/>
          </w:tcPr>
          <w:p w14:paraId="037C0E66"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4329CF" w14:paraId="4FF7F7AE"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5DF299C9"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vAlign w:val="center"/>
            <w:hideMark/>
          </w:tcPr>
          <w:p w14:paraId="3F02ADEE"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NR</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4D74B3E"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45.8 (43.2, NR)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326E63D0"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0.91 (0.70,1.19)</w:t>
            </w:r>
          </w:p>
        </w:tc>
      </w:tr>
      <w:tr w:rsidR="000C4977" w:rsidRPr="004329CF" w14:paraId="43B0A109"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76E5B53C"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566B5A2"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156/447 (34.9)</w:t>
            </w:r>
          </w:p>
        </w:tc>
        <w:tc>
          <w:tcPr>
            <w:tcW w:w="2213" w:type="dxa"/>
            <w:tcBorders>
              <w:top w:val="single" w:sz="4" w:space="0" w:color="auto"/>
              <w:left w:val="single" w:sz="4" w:space="0" w:color="auto"/>
              <w:bottom w:val="single" w:sz="4" w:space="0" w:color="auto"/>
              <w:right w:val="single" w:sz="4" w:space="0" w:color="auto"/>
            </w:tcBorders>
            <w:vAlign w:val="center"/>
            <w:hideMark/>
          </w:tcPr>
          <w:p w14:paraId="3052E4FD"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86/217 (39.6)</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7278F47"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p=0.4833</w:t>
            </w:r>
          </w:p>
        </w:tc>
      </w:tr>
      <w:tr w:rsidR="000C4977" w:rsidRPr="004329CF" w14:paraId="0334DFEA"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A1EB50D" w14:textId="77777777" w:rsidR="000C4977" w:rsidRPr="004329CF" w:rsidRDefault="000C4977" w:rsidP="000C4977">
            <w:pPr>
              <w:keepNext/>
              <w:widowControl w:val="0"/>
              <w:spacing w:before="0"/>
              <w:jc w:val="left"/>
              <w:rPr>
                <w:rFonts w:ascii="Arial Narrow" w:eastAsia="Times New Roman" w:hAnsi="Arial Narrow" w:cs="Times New Roman"/>
                <w:b/>
                <w:color w:val="000000" w:themeColor="text1"/>
                <w:szCs w:val="20"/>
                <w:lang w:eastAsia="zh-CN"/>
              </w:rPr>
            </w:pPr>
            <w:r w:rsidRPr="004329CF">
              <w:rPr>
                <w:rFonts w:ascii="Arial Narrow" w:eastAsia="Times New Roman" w:hAnsi="Arial Narrow" w:cs="Times New Roman"/>
                <w:b/>
                <w:color w:val="000000" w:themeColor="text1"/>
                <w:szCs w:val="20"/>
                <w:lang w:eastAsia="zh-CN"/>
              </w:rPr>
              <w:t xml:space="preserve">HRD positive </w:t>
            </w:r>
            <w:proofErr w:type="spellStart"/>
            <w:r w:rsidRPr="004329CF">
              <w:rPr>
                <w:rFonts w:ascii="Arial Narrow" w:eastAsia="Times New Roman" w:hAnsi="Arial Narrow" w:cs="Times New Roman"/>
                <w:b/>
                <w:i/>
                <w:iCs/>
                <w:color w:val="000000" w:themeColor="text1"/>
                <w:szCs w:val="20"/>
                <w:lang w:eastAsia="zh-CN"/>
              </w:rPr>
              <w:t>BRCA</w:t>
            </w:r>
            <w:r w:rsidRPr="004329CF">
              <w:rPr>
                <w:rFonts w:ascii="Arial Narrow" w:eastAsia="Times New Roman" w:hAnsi="Arial Narrow" w:cs="Times New Roman"/>
                <w:b/>
                <w:color w:val="000000" w:themeColor="text1"/>
                <w:szCs w:val="20"/>
                <w:lang w:eastAsia="zh-CN"/>
              </w:rPr>
              <w:t>wt</w:t>
            </w:r>
            <w:proofErr w:type="spellEnd"/>
          </w:p>
        </w:tc>
        <w:tc>
          <w:tcPr>
            <w:tcW w:w="2213" w:type="dxa"/>
            <w:tcBorders>
              <w:top w:val="single" w:sz="4" w:space="0" w:color="auto"/>
              <w:left w:val="single" w:sz="4" w:space="0" w:color="auto"/>
              <w:bottom w:val="single" w:sz="4" w:space="0" w:color="auto"/>
              <w:right w:val="single" w:sz="4" w:space="0" w:color="auto"/>
            </w:tcBorders>
            <w:vAlign w:val="center"/>
          </w:tcPr>
          <w:p w14:paraId="3714AB4F"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c>
          <w:tcPr>
            <w:tcW w:w="2213" w:type="dxa"/>
            <w:tcBorders>
              <w:top w:val="single" w:sz="4" w:space="0" w:color="auto"/>
              <w:left w:val="single" w:sz="4" w:space="0" w:color="auto"/>
              <w:bottom w:val="single" w:sz="4" w:space="0" w:color="auto"/>
              <w:right w:val="single" w:sz="4" w:space="0" w:color="auto"/>
            </w:tcBorders>
            <w:vAlign w:val="center"/>
          </w:tcPr>
          <w:p w14:paraId="2EFCCBA5"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c>
          <w:tcPr>
            <w:tcW w:w="2214" w:type="dxa"/>
            <w:tcBorders>
              <w:top w:val="single" w:sz="4" w:space="0" w:color="auto"/>
              <w:left w:val="single" w:sz="4" w:space="0" w:color="auto"/>
              <w:bottom w:val="single" w:sz="4" w:space="0" w:color="auto"/>
              <w:right w:val="single" w:sz="4" w:space="0" w:color="auto"/>
            </w:tcBorders>
            <w:vAlign w:val="center"/>
          </w:tcPr>
          <w:p w14:paraId="331D3988"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r>
      <w:tr w:rsidR="000C4977" w:rsidRPr="004329CF" w14:paraId="16FABD3D"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1E7ECEC1"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vAlign w:val="center"/>
            <w:hideMark/>
          </w:tcPr>
          <w:p w14:paraId="01CE852E"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NR</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AD7EFA1"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45.8</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910DCFD"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0.84 (0.46,1.52)</w:t>
            </w:r>
          </w:p>
        </w:tc>
      </w:tr>
      <w:tr w:rsidR="000C4977" w:rsidRPr="004329CF" w14:paraId="5F898C48"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2C3A9338"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vAlign w:val="center"/>
            <w:hideMark/>
          </w:tcPr>
          <w:p w14:paraId="5E2E9ED0"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30/97 (30.9)</w:t>
            </w:r>
          </w:p>
        </w:tc>
        <w:tc>
          <w:tcPr>
            <w:tcW w:w="2213" w:type="dxa"/>
            <w:tcBorders>
              <w:top w:val="single" w:sz="4" w:space="0" w:color="auto"/>
              <w:left w:val="single" w:sz="4" w:space="0" w:color="auto"/>
              <w:bottom w:val="single" w:sz="4" w:space="0" w:color="auto"/>
              <w:right w:val="single" w:sz="4" w:space="0" w:color="auto"/>
            </w:tcBorders>
            <w:vAlign w:val="center"/>
            <w:hideMark/>
          </w:tcPr>
          <w:p w14:paraId="3D8F78BD"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19/55 (34.5)</w:t>
            </w:r>
          </w:p>
        </w:tc>
        <w:tc>
          <w:tcPr>
            <w:tcW w:w="2214" w:type="dxa"/>
            <w:tcBorders>
              <w:top w:val="single" w:sz="4" w:space="0" w:color="auto"/>
              <w:left w:val="single" w:sz="4" w:space="0" w:color="auto"/>
              <w:bottom w:val="single" w:sz="4" w:space="0" w:color="auto"/>
              <w:right w:val="single" w:sz="4" w:space="0" w:color="auto"/>
            </w:tcBorders>
            <w:vAlign w:val="center"/>
          </w:tcPr>
          <w:p w14:paraId="4417C912"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r w:rsidR="000C4977" w:rsidRPr="004329CF" w14:paraId="0C3F022C"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3AD790B4" w14:textId="77777777" w:rsidR="000C4977" w:rsidRPr="004329CF" w:rsidRDefault="000C4977" w:rsidP="000C4977">
            <w:pPr>
              <w:keepNext/>
              <w:widowControl w:val="0"/>
              <w:spacing w:before="0"/>
              <w:jc w:val="left"/>
              <w:rPr>
                <w:rFonts w:ascii="Arial Narrow" w:eastAsia="Times New Roman" w:hAnsi="Arial Narrow" w:cs="Times New Roman"/>
                <w:b/>
                <w:color w:val="000000" w:themeColor="text1"/>
                <w:szCs w:val="20"/>
                <w:vertAlign w:val="superscript"/>
                <w:lang w:eastAsia="zh-CN"/>
              </w:rPr>
            </w:pPr>
            <w:r w:rsidRPr="004329CF">
              <w:rPr>
                <w:rFonts w:ascii="Arial Narrow" w:eastAsia="Times New Roman" w:hAnsi="Arial Narrow" w:cs="Times New Roman"/>
                <w:b/>
                <w:color w:val="000000" w:themeColor="text1"/>
                <w:szCs w:val="20"/>
                <w:lang w:eastAsia="zh-CN"/>
              </w:rPr>
              <w:t>HRD positive</w:t>
            </w:r>
          </w:p>
        </w:tc>
        <w:tc>
          <w:tcPr>
            <w:tcW w:w="2213" w:type="dxa"/>
            <w:tcBorders>
              <w:top w:val="single" w:sz="4" w:space="0" w:color="auto"/>
              <w:left w:val="single" w:sz="4" w:space="0" w:color="auto"/>
              <w:bottom w:val="single" w:sz="4" w:space="0" w:color="auto"/>
              <w:right w:val="single" w:sz="4" w:space="0" w:color="auto"/>
            </w:tcBorders>
            <w:vAlign w:val="center"/>
          </w:tcPr>
          <w:p w14:paraId="7AD72E77"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c>
          <w:tcPr>
            <w:tcW w:w="2213" w:type="dxa"/>
            <w:tcBorders>
              <w:top w:val="single" w:sz="4" w:space="0" w:color="auto"/>
              <w:left w:val="single" w:sz="4" w:space="0" w:color="auto"/>
              <w:bottom w:val="single" w:sz="4" w:space="0" w:color="auto"/>
              <w:right w:val="single" w:sz="4" w:space="0" w:color="auto"/>
            </w:tcBorders>
            <w:vAlign w:val="center"/>
          </w:tcPr>
          <w:p w14:paraId="2C1E8CB5"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c>
          <w:tcPr>
            <w:tcW w:w="2214" w:type="dxa"/>
            <w:tcBorders>
              <w:top w:val="single" w:sz="4" w:space="0" w:color="auto"/>
              <w:left w:val="single" w:sz="4" w:space="0" w:color="auto"/>
              <w:bottom w:val="single" w:sz="4" w:space="0" w:color="auto"/>
              <w:right w:val="single" w:sz="4" w:space="0" w:color="auto"/>
            </w:tcBorders>
            <w:vAlign w:val="center"/>
          </w:tcPr>
          <w:p w14:paraId="2B08D0CD"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themeColor="text1"/>
                <w:sz w:val="20"/>
                <w:szCs w:val="20"/>
                <w:lang w:eastAsia="zh-CN"/>
              </w:rPr>
            </w:pPr>
          </w:p>
        </w:tc>
      </w:tr>
      <w:tr w:rsidR="000C4977" w:rsidRPr="004329CF" w14:paraId="60063A13"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8430037"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Median OS</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D6C1A97"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NR</w:t>
            </w:r>
          </w:p>
        </w:tc>
        <w:tc>
          <w:tcPr>
            <w:tcW w:w="2213" w:type="dxa"/>
            <w:tcBorders>
              <w:top w:val="single" w:sz="4" w:space="0" w:color="auto"/>
              <w:left w:val="single" w:sz="4" w:space="0" w:color="auto"/>
              <w:bottom w:val="single" w:sz="4" w:space="0" w:color="auto"/>
              <w:right w:val="single" w:sz="4" w:space="0" w:color="auto"/>
            </w:tcBorders>
            <w:vAlign w:val="center"/>
            <w:hideMark/>
          </w:tcPr>
          <w:p w14:paraId="6745002C"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NR</w:t>
            </w:r>
          </w:p>
        </w:tc>
        <w:tc>
          <w:tcPr>
            <w:tcW w:w="2214" w:type="dxa"/>
            <w:tcBorders>
              <w:top w:val="single" w:sz="4" w:space="0" w:color="auto"/>
              <w:left w:val="single" w:sz="4" w:space="0" w:color="auto"/>
              <w:bottom w:val="single" w:sz="4" w:space="0" w:color="auto"/>
              <w:right w:val="single" w:sz="4" w:space="0" w:color="auto"/>
            </w:tcBorders>
            <w:vAlign w:val="center"/>
            <w:hideMark/>
          </w:tcPr>
          <w:p w14:paraId="5D2498C9"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0.70 (0.47,1.04)</w:t>
            </w:r>
          </w:p>
        </w:tc>
      </w:tr>
      <w:tr w:rsidR="000C4977" w:rsidRPr="004329CF" w14:paraId="29A2E62C" w14:textId="77777777" w:rsidTr="00A91280">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hideMark/>
          </w:tcPr>
          <w:p w14:paraId="69EEC9AF" w14:textId="77777777" w:rsidR="000C4977" w:rsidRPr="004329CF" w:rsidRDefault="000C4977" w:rsidP="000C4977">
            <w:pPr>
              <w:keepNext/>
              <w:widowControl w:val="0"/>
              <w:spacing w:before="0"/>
              <w:jc w:val="left"/>
              <w:rPr>
                <w:rFonts w:ascii="Arial Narrow" w:eastAsia="Times New Roman" w:hAnsi="Arial Narrow" w:cs="Times New Roman"/>
                <w:color w:val="000000" w:themeColor="text1"/>
                <w:szCs w:val="20"/>
                <w:lang w:eastAsia="zh-CN"/>
              </w:rPr>
            </w:pPr>
            <w:r w:rsidRPr="004329CF">
              <w:rPr>
                <w:rFonts w:ascii="Arial Narrow" w:eastAsia="Times New Roman" w:hAnsi="Arial Narrow" w:cs="Times New Roman"/>
                <w:color w:val="000000" w:themeColor="text1"/>
                <w:szCs w:val="20"/>
                <w:lang w:eastAsia="zh-CN"/>
              </w:rPr>
              <w:t xml:space="preserve">  Events, n/N (%)</w:t>
            </w:r>
          </w:p>
        </w:tc>
        <w:tc>
          <w:tcPr>
            <w:tcW w:w="2213" w:type="dxa"/>
            <w:tcBorders>
              <w:top w:val="single" w:sz="4" w:space="0" w:color="auto"/>
              <w:left w:val="single" w:sz="4" w:space="0" w:color="auto"/>
              <w:bottom w:val="single" w:sz="4" w:space="0" w:color="auto"/>
              <w:right w:val="single" w:sz="4" w:space="0" w:color="auto"/>
            </w:tcBorders>
            <w:vAlign w:val="center"/>
            <w:hideMark/>
          </w:tcPr>
          <w:p w14:paraId="08BC362A"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61/255 (23.9)</w:t>
            </w:r>
          </w:p>
        </w:tc>
        <w:tc>
          <w:tcPr>
            <w:tcW w:w="2213" w:type="dxa"/>
            <w:tcBorders>
              <w:top w:val="single" w:sz="4" w:space="0" w:color="auto"/>
              <w:left w:val="single" w:sz="4" w:space="0" w:color="auto"/>
              <w:bottom w:val="single" w:sz="4" w:space="0" w:color="auto"/>
              <w:right w:val="single" w:sz="4" w:space="0" w:color="auto"/>
            </w:tcBorders>
            <w:vAlign w:val="center"/>
            <w:hideMark/>
          </w:tcPr>
          <w:p w14:paraId="377698D7"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r w:rsidRPr="004329CF">
              <w:rPr>
                <w:rFonts w:ascii="Arial Narrow" w:eastAsia="Times New Roman" w:hAnsi="Arial Narrow" w:cs="Times New Roman"/>
                <w:color w:val="000000" w:themeColor="text1"/>
                <w:sz w:val="20"/>
                <w:szCs w:val="20"/>
                <w:lang w:eastAsia="zh-CN"/>
              </w:rPr>
              <w:t>42/132 (31.8)</w:t>
            </w:r>
          </w:p>
        </w:tc>
        <w:tc>
          <w:tcPr>
            <w:tcW w:w="2214" w:type="dxa"/>
            <w:tcBorders>
              <w:top w:val="single" w:sz="4" w:space="0" w:color="auto"/>
              <w:left w:val="single" w:sz="4" w:space="0" w:color="auto"/>
              <w:bottom w:val="single" w:sz="4" w:space="0" w:color="auto"/>
              <w:right w:val="single" w:sz="4" w:space="0" w:color="auto"/>
            </w:tcBorders>
            <w:vAlign w:val="center"/>
          </w:tcPr>
          <w:p w14:paraId="5BD230B1" w14:textId="77777777" w:rsidR="000C4977" w:rsidRPr="004329CF" w:rsidRDefault="000C4977" w:rsidP="000C4977">
            <w:pPr>
              <w:keepNext/>
              <w:widowControl w:val="0"/>
              <w:spacing w:befor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lang w:eastAsia="zh-CN"/>
              </w:rPr>
            </w:pPr>
          </w:p>
        </w:tc>
      </w:tr>
    </w:tbl>
    <w:p w14:paraId="6964E0BA" w14:textId="77777777" w:rsidR="000C4977" w:rsidRPr="000C4977" w:rsidRDefault="000C4977" w:rsidP="00FF1136">
      <w:pPr>
        <w:keepNext/>
        <w:widowControl w:val="0"/>
        <w:spacing w:before="0" w:after="0"/>
        <w:contextualSpacing/>
        <w:rPr>
          <w:rFonts w:ascii="Arial Narrow" w:eastAsia="Times New Roman" w:hAnsi="Arial Narrow" w:cs="Arial"/>
          <w:snapToGrid w:val="0"/>
          <w:sz w:val="18"/>
          <w:szCs w:val="20"/>
        </w:rPr>
      </w:pPr>
      <w:proofErr w:type="spellStart"/>
      <w:r w:rsidRPr="000C4977">
        <w:rPr>
          <w:rFonts w:ascii="Arial Narrow" w:eastAsia="Times New Roman" w:hAnsi="Arial Narrow" w:cs="Arial"/>
          <w:snapToGrid w:val="0"/>
          <w:sz w:val="18"/>
          <w:szCs w:val="20"/>
        </w:rPr>
        <w:t>Beva</w:t>
      </w:r>
      <w:proofErr w:type="spellEnd"/>
      <w:r w:rsidRPr="000C4977">
        <w:rPr>
          <w:rFonts w:ascii="Arial Narrow" w:eastAsia="Times New Roman" w:hAnsi="Arial Narrow" w:cs="Arial"/>
          <w:snapToGrid w:val="0"/>
          <w:sz w:val="18"/>
          <w:szCs w:val="20"/>
        </w:rPr>
        <w:t xml:space="preserve"> = bevacizumab;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wt</w:t>
      </w:r>
      <w:proofErr w:type="spellEnd"/>
      <w:r w:rsidRPr="000C4977">
        <w:rPr>
          <w:rFonts w:ascii="Arial Narrow" w:eastAsia="Times New Roman" w:hAnsi="Arial Narrow" w:cs="Arial"/>
          <w:snapToGrid w:val="0"/>
          <w:sz w:val="18"/>
          <w:szCs w:val="20"/>
        </w:rPr>
        <w:t xml:space="preserve"> = breast cancer gene wild type; FAS = full analysis set; HR = hazard ratio; HRD = homologous recombination deficiency; NR = not reached; Ola = </w:t>
      </w:r>
      <w:proofErr w:type="spellStart"/>
      <w:r w:rsidRPr="000C4977">
        <w:rPr>
          <w:rFonts w:ascii="Arial Narrow" w:eastAsia="Times New Roman" w:hAnsi="Arial Narrow" w:cs="Arial"/>
          <w:snapToGrid w:val="0"/>
          <w:sz w:val="18"/>
          <w:szCs w:val="20"/>
        </w:rPr>
        <w:t>olaparib</w:t>
      </w:r>
      <w:proofErr w:type="spellEnd"/>
      <w:r w:rsidRPr="000C4977">
        <w:rPr>
          <w:rFonts w:ascii="Arial Narrow" w:eastAsia="Times New Roman" w:hAnsi="Arial Narrow" w:cs="Arial"/>
          <w:snapToGrid w:val="0"/>
          <w:sz w:val="18"/>
          <w:szCs w:val="20"/>
        </w:rPr>
        <w:t xml:space="preserve">; </w:t>
      </w:r>
      <w:proofErr w:type="spellStart"/>
      <w:r w:rsidRPr="000C4977">
        <w:rPr>
          <w:rFonts w:ascii="Arial Narrow" w:eastAsia="Times New Roman" w:hAnsi="Arial Narrow" w:cs="Arial"/>
          <w:snapToGrid w:val="0"/>
          <w:sz w:val="18"/>
          <w:szCs w:val="20"/>
        </w:rPr>
        <w:t>Pbo</w:t>
      </w:r>
      <w:proofErr w:type="spellEnd"/>
      <w:r w:rsidRPr="000C4977">
        <w:rPr>
          <w:rFonts w:ascii="Arial Narrow" w:eastAsia="Times New Roman" w:hAnsi="Arial Narrow" w:cs="Arial"/>
          <w:snapToGrid w:val="0"/>
          <w:sz w:val="18"/>
          <w:szCs w:val="20"/>
        </w:rPr>
        <w:t xml:space="preserve"> = placebo</w:t>
      </w:r>
    </w:p>
    <w:p w14:paraId="5E0E28FE" w14:textId="3844BBE1" w:rsidR="000C4977" w:rsidRPr="000C4977" w:rsidRDefault="000C4977" w:rsidP="00FF1136">
      <w:pPr>
        <w:keepNext/>
        <w:widowControl w:val="0"/>
        <w:spacing w:before="0" w:after="0"/>
        <w:contextualSpacing/>
        <w:rPr>
          <w:rFonts w:ascii="Arial Narrow" w:eastAsia="Times New Roman" w:hAnsi="Arial Narrow" w:cs="Arial"/>
          <w:i/>
          <w:iCs/>
          <w:snapToGrid w:val="0"/>
          <w:sz w:val="18"/>
          <w:szCs w:val="20"/>
        </w:rPr>
      </w:pPr>
      <w:r w:rsidRPr="000C4977">
        <w:rPr>
          <w:rFonts w:ascii="Arial Narrow" w:eastAsia="Times New Roman" w:hAnsi="Arial Narrow" w:cs="Arial"/>
          <w:snapToGrid w:val="0"/>
          <w:sz w:val="18"/>
          <w:szCs w:val="20"/>
          <w:vertAlign w:val="superscript"/>
        </w:rPr>
        <w:t>a</w:t>
      </w:r>
      <w:r w:rsidRPr="000C4977">
        <w:rPr>
          <w:rFonts w:ascii="Arial Narrow" w:eastAsia="Times New Roman" w:hAnsi="Arial Narrow" w:cs="Arial"/>
          <w:snapToGrid w:val="0"/>
          <w:sz w:val="18"/>
          <w:szCs w:val="20"/>
        </w:rPr>
        <w:t xml:space="preserve"> Table 2.90, p191 of the submission referred to the source “PAOLA-1 CSR Addendum 1”. </w:t>
      </w:r>
      <w:r w:rsidRPr="000C4977">
        <w:rPr>
          <w:rFonts w:ascii="Arial Narrow" w:eastAsia="Times New Roman" w:hAnsi="Arial Narrow" w:cs="Arial"/>
          <w:i/>
          <w:iCs/>
          <w:snapToGrid w:val="0"/>
          <w:sz w:val="18"/>
          <w:szCs w:val="20"/>
        </w:rPr>
        <w:t xml:space="preserve">This reference was incomplete. The subgroup results for OS provided in the submission could not </w:t>
      </w:r>
      <w:proofErr w:type="gramStart"/>
      <w:r w:rsidRPr="000C4977">
        <w:rPr>
          <w:rFonts w:ascii="Arial Narrow" w:eastAsia="Times New Roman" w:hAnsi="Arial Narrow" w:cs="Arial"/>
          <w:i/>
          <w:iCs/>
          <w:snapToGrid w:val="0"/>
          <w:sz w:val="18"/>
          <w:szCs w:val="20"/>
        </w:rPr>
        <w:t>be located in</w:t>
      </w:r>
      <w:proofErr w:type="gramEnd"/>
      <w:r w:rsidRPr="000C4977">
        <w:rPr>
          <w:rFonts w:ascii="Arial Narrow" w:eastAsia="Times New Roman" w:hAnsi="Arial Narrow" w:cs="Arial"/>
          <w:i/>
          <w:iCs/>
          <w:snapToGrid w:val="0"/>
          <w:sz w:val="18"/>
          <w:szCs w:val="20"/>
        </w:rPr>
        <w:t xml:space="preserve"> the C</w:t>
      </w:r>
      <w:r w:rsidR="00F84405">
        <w:rPr>
          <w:rFonts w:ascii="Arial Narrow" w:eastAsia="Times New Roman" w:hAnsi="Arial Narrow" w:cs="Arial"/>
          <w:i/>
          <w:iCs/>
          <w:snapToGrid w:val="0"/>
          <w:sz w:val="18"/>
          <w:szCs w:val="20"/>
        </w:rPr>
        <w:t xml:space="preserve">linical </w:t>
      </w:r>
      <w:r w:rsidRPr="000C4977">
        <w:rPr>
          <w:rFonts w:ascii="Arial Narrow" w:eastAsia="Times New Roman" w:hAnsi="Arial Narrow" w:cs="Arial"/>
          <w:i/>
          <w:iCs/>
          <w:snapToGrid w:val="0"/>
          <w:sz w:val="18"/>
          <w:szCs w:val="20"/>
        </w:rPr>
        <w:t>S</w:t>
      </w:r>
      <w:r w:rsidR="00F84405">
        <w:rPr>
          <w:rFonts w:ascii="Arial Narrow" w:eastAsia="Times New Roman" w:hAnsi="Arial Narrow" w:cs="Arial"/>
          <w:i/>
          <w:iCs/>
          <w:snapToGrid w:val="0"/>
          <w:sz w:val="18"/>
          <w:szCs w:val="20"/>
        </w:rPr>
        <w:t xml:space="preserve">tudy </w:t>
      </w:r>
      <w:r w:rsidRPr="000C4977">
        <w:rPr>
          <w:rFonts w:ascii="Arial Narrow" w:eastAsia="Times New Roman" w:hAnsi="Arial Narrow" w:cs="Arial"/>
          <w:i/>
          <w:iCs/>
          <w:snapToGrid w:val="0"/>
          <w:sz w:val="18"/>
          <w:szCs w:val="20"/>
        </w:rPr>
        <w:t>R</w:t>
      </w:r>
      <w:r w:rsidR="00F84405">
        <w:rPr>
          <w:rFonts w:ascii="Arial Narrow" w:eastAsia="Times New Roman" w:hAnsi="Arial Narrow" w:cs="Arial"/>
          <w:i/>
          <w:iCs/>
          <w:snapToGrid w:val="0"/>
          <w:sz w:val="18"/>
          <w:szCs w:val="20"/>
        </w:rPr>
        <w:t>eport</w:t>
      </w:r>
      <w:r w:rsidRPr="000C4977">
        <w:rPr>
          <w:rFonts w:ascii="Arial Narrow" w:eastAsia="Times New Roman" w:hAnsi="Arial Narrow" w:cs="Arial"/>
          <w:i/>
          <w:iCs/>
          <w:snapToGrid w:val="0"/>
          <w:sz w:val="18"/>
          <w:szCs w:val="20"/>
        </w:rPr>
        <w:t xml:space="preserve"> and could not be verified</w:t>
      </w:r>
      <w:r w:rsidR="00F84405">
        <w:rPr>
          <w:rFonts w:ascii="Arial Narrow" w:eastAsia="Times New Roman" w:hAnsi="Arial Narrow" w:cs="Arial"/>
          <w:i/>
          <w:iCs/>
          <w:snapToGrid w:val="0"/>
          <w:sz w:val="18"/>
          <w:szCs w:val="20"/>
        </w:rPr>
        <w:t xml:space="preserve"> for the commentary</w:t>
      </w:r>
      <w:r w:rsidRPr="000C4977">
        <w:rPr>
          <w:rFonts w:ascii="Arial Narrow" w:eastAsia="Times New Roman" w:hAnsi="Arial Narrow" w:cs="Arial"/>
          <w:i/>
          <w:iCs/>
          <w:snapToGrid w:val="0"/>
          <w:sz w:val="18"/>
          <w:szCs w:val="20"/>
        </w:rPr>
        <w:t>.</w:t>
      </w:r>
    </w:p>
    <w:p w14:paraId="604787EA" w14:textId="77777777" w:rsidR="000C4977" w:rsidRPr="000C4977" w:rsidRDefault="000C4977" w:rsidP="00FF1136">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It was unclear how median OS could have been reached in the bevacizumab plus placebo arm already given that fewer than 50% of patients have died, and the reported median OS in the bevacizumab plus placebo arm was likely unreliable.</w:t>
      </w:r>
    </w:p>
    <w:p w14:paraId="33360E93" w14:textId="77777777" w:rsidR="000C4977" w:rsidRPr="000C4977" w:rsidRDefault="000C4977" w:rsidP="00FF1136">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c</w:t>
      </w:r>
      <w:r w:rsidRPr="000C4977">
        <w:rPr>
          <w:rFonts w:ascii="Arial Narrow" w:eastAsia="Times New Roman" w:hAnsi="Arial Narrow" w:cs="Arial"/>
          <w:snapToGrid w:val="0"/>
          <w:sz w:val="18"/>
          <w:szCs w:val="20"/>
        </w:rPr>
        <w:t xml:space="preserve"> estimated from a stratified Cox Proportional Hazards model stratified by first-line treatment outcome and tumour </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status</w:t>
      </w:r>
    </w:p>
    <w:p w14:paraId="3BD9ECD4"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Source: Tables 2.73 and 2.90, p167 and 191 of the submission </w:t>
      </w:r>
    </w:p>
    <w:p w14:paraId="325F492C"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p>
    <w:p w14:paraId="0C86F3C1" w14:textId="02526443" w:rsidR="000C4977" w:rsidRPr="000C4977" w:rsidRDefault="000C4977" w:rsidP="373443CE">
      <w:pPr>
        <w:keepNext/>
        <w:spacing w:before="0" w:after="0"/>
        <w:contextualSpacing/>
        <w:rPr>
          <w:rFonts w:ascii="Arial Narrow" w:hAnsi="Arial Narrow"/>
          <w:b/>
          <w:bCs/>
          <w:sz w:val="20"/>
          <w:szCs w:val="20"/>
        </w:rPr>
      </w:pPr>
      <w:r w:rsidRPr="373443CE">
        <w:rPr>
          <w:rFonts w:ascii="Arial Narrow" w:hAnsi="Arial Narrow"/>
          <w:b/>
          <w:bCs/>
          <w:sz w:val="20"/>
          <w:szCs w:val="20"/>
        </w:rPr>
        <w:lastRenderedPageBreak/>
        <w:t xml:space="preserve">Figure </w:t>
      </w:r>
      <w:r w:rsidRPr="373443CE">
        <w:rPr>
          <w:rFonts w:ascii="Arial Narrow" w:hAnsi="Arial Narrow"/>
          <w:b/>
          <w:bCs/>
          <w:sz w:val="20"/>
          <w:szCs w:val="20"/>
        </w:rPr>
        <w:fldChar w:fldCharType="begin"/>
      </w:r>
      <w:r w:rsidRPr="373443CE">
        <w:rPr>
          <w:rFonts w:ascii="Arial Narrow" w:hAnsi="Arial Narrow"/>
          <w:b/>
          <w:bCs/>
          <w:sz w:val="20"/>
          <w:szCs w:val="20"/>
        </w:rPr>
        <w:instrText xml:space="preserve"> SEQ Figure \* ARABIC </w:instrText>
      </w:r>
      <w:r w:rsidRPr="373443CE">
        <w:rPr>
          <w:rFonts w:ascii="Arial Narrow" w:hAnsi="Arial Narrow"/>
          <w:b/>
          <w:bCs/>
          <w:sz w:val="20"/>
          <w:szCs w:val="20"/>
        </w:rPr>
        <w:fldChar w:fldCharType="separate"/>
      </w:r>
      <w:r w:rsidR="00D8603B" w:rsidRPr="373443CE">
        <w:rPr>
          <w:rFonts w:ascii="Arial Narrow" w:hAnsi="Arial Narrow"/>
          <w:b/>
          <w:bCs/>
          <w:noProof/>
          <w:sz w:val="20"/>
          <w:szCs w:val="20"/>
        </w:rPr>
        <w:t>10</w:t>
      </w:r>
      <w:r w:rsidRPr="373443CE">
        <w:rPr>
          <w:rFonts w:ascii="Arial Narrow" w:hAnsi="Arial Narrow"/>
          <w:b/>
          <w:bCs/>
          <w:noProof/>
          <w:sz w:val="20"/>
          <w:szCs w:val="20"/>
        </w:rPr>
        <w:fldChar w:fldCharType="end"/>
      </w:r>
      <w:r>
        <w:tab/>
      </w:r>
      <w:r w:rsidRPr="373443CE">
        <w:rPr>
          <w:rFonts w:ascii="Arial Narrow" w:hAnsi="Arial Narrow"/>
          <w:b/>
          <w:bCs/>
          <w:sz w:val="20"/>
          <w:szCs w:val="20"/>
        </w:rPr>
        <w:t>PAOLA-</w:t>
      </w:r>
      <w:r w:rsidR="004E7388" w:rsidRPr="373443CE">
        <w:rPr>
          <w:rFonts w:ascii="Arial Narrow" w:hAnsi="Arial Narrow"/>
          <w:b/>
          <w:bCs/>
          <w:sz w:val="20"/>
          <w:szCs w:val="20"/>
        </w:rPr>
        <w:t xml:space="preserve">1 overall survival Kaplan-Meier </w:t>
      </w:r>
      <w:r w:rsidRPr="373443CE">
        <w:rPr>
          <w:rFonts w:ascii="Arial Narrow" w:hAnsi="Arial Narrow"/>
          <w:b/>
          <w:bCs/>
          <w:sz w:val="20"/>
          <w:szCs w:val="20"/>
        </w:rPr>
        <w:t>plot</w:t>
      </w:r>
      <w:r w:rsidR="004E7388" w:rsidRPr="373443CE">
        <w:rPr>
          <w:rFonts w:ascii="Arial Narrow" w:hAnsi="Arial Narrow"/>
          <w:b/>
          <w:bCs/>
          <w:sz w:val="20"/>
          <w:szCs w:val="20"/>
        </w:rPr>
        <w:t>s</w:t>
      </w:r>
      <w:r w:rsidRPr="373443CE">
        <w:rPr>
          <w:rFonts w:ascii="Arial Narrow" w:hAnsi="Arial Narrow"/>
          <w:b/>
          <w:bCs/>
          <w:sz w:val="20"/>
          <w:szCs w:val="20"/>
        </w:rPr>
        <w:t>, FAS (DC</w:t>
      </w:r>
      <w:r w:rsidR="006255E8" w:rsidRPr="373443CE">
        <w:rPr>
          <w:rFonts w:ascii="Arial Narrow" w:hAnsi="Arial Narrow"/>
          <w:b/>
          <w:bCs/>
          <w:sz w:val="20"/>
          <w:szCs w:val="20"/>
        </w:rPr>
        <w:t>O</w:t>
      </w:r>
      <w:r w:rsidRPr="373443CE">
        <w:rPr>
          <w:rFonts w:ascii="Arial Narrow" w:hAnsi="Arial Narrow"/>
          <w:b/>
          <w:bCs/>
          <w:sz w:val="20"/>
          <w:szCs w:val="20"/>
        </w:rPr>
        <w:t>2)</w:t>
      </w:r>
    </w:p>
    <w:p w14:paraId="6D2C2A06" w14:textId="21476810" w:rsidR="000C4977" w:rsidRPr="000C4977" w:rsidRDefault="000C4977" w:rsidP="00FF1136">
      <w:pPr>
        <w:keepNext/>
        <w:widowControl w:val="0"/>
        <w:spacing w:before="0" w:after="0"/>
        <w:contextualSpacing/>
        <w:rPr>
          <w:rFonts w:ascii="Arial Narrow" w:eastAsia="Times New Roman" w:hAnsi="Arial Narrow" w:cs="Arial"/>
          <w:snapToGrid w:val="0"/>
          <w:sz w:val="18"/>
          <w:szCs w:val="20"/>
        </w:rPr>
      </w:pPr>
      <w:r w:rsidRPr="000C4977">
        <w:rPr>
          <w:noProof/>
          <w:lang w:eastAsia="en-AU"/>
        </w:rPr>
        <w:drawing>
          <wp:inline distT="0" distB="0" distL="0" distR="0" wp14:anchorId="19434FA2" wp14:editId="6EC43DF1">
            <wp:extent cx="5702593" cy="3733992"/>
            <wp:effectExtent l="0" t="0" r="0" b="0"/>
            <wp:docPr id="79" name="Picture 79" descr="Figure 10 PAOLA-1 overall survival Kaplan-Meier plots, FAS (D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Figure 10 PAOLA-1 overall survival Kaplan-Meier plots, FAS (DCO2)"/>
                    <pic:cNvPicPr/>
                  </pic:nvPicPr>
                  <pic:blipFill>
                    <a:blip r:embed="rId22"/>
                    <a:stretch>
                      <a:fillRect/>
                    </a:stretch>
                  </pic:blipFill>
                  <pic:spPr>
                    <a:xfrm>
                      <a:off x="0" y="0"/>
                      <a:ext cx="5702593" cy="3733992"/>
                    </a:xfrm>
                    <a:prstGeom prst="rect">
                      <a:avLst/>
                    </a:prstGeom>
                  </pic:spPr>
                </pic:pic>
              </a:graphicData>
            </a:graphic>
          </wp:inline>
        </w:drawing>
      </w:r>
      <w:proofErr w:type="gramStart"/>
      <w:r w:rsidR="00A8205F" w:rsidRPr="00B97B49">
        <w:rPr>
          <w:color w:val="000000"/>
          <w:spacing w:val="22"/>
          <w:w w:val="50"/>
          <w:shd w:val="solid" w:color="000000" w:fill="000000"/>
          <w:fitText w:val="232" w:id="-1450962164"/>
          <w14:textFill>
            <w14:solidFill>
              <w14:srgbClr w14:val="000000">
                <w14:alpha w14:val="100000"/>
              </w14:srgbClr>
            </w14:solidFill>
          </w14:textFill>
        </w:rPr>
        <w:t xml:space="preserve">|  </w:t>
      </w:r>
      <w:r w:rsidR="00A8205F" w:rsidRPr="00B97B49">
        <w:rPr>
          <w:color w:val="000000"/>
          <w:spacing w:val="2"/>
          <w:w w:val="50"/>
          <w:shd w:val="solid" w:color="000000" w:fill="000000"/>
          <w:fitText w:val="232" w:id="-1450962164"/>
          <w14:textFill>
            <w14:solidFill>
              <w14:srgbClr w14:val="000000">
                <w14:alpha w14:val="100000"/>
              </w14:srgbClr>
            </w14:solidFill>
          </w14:textFill>
        </w:rPr>
        <w:t>|</w:t>
      </w:r>
      <w:proofErr w:type="gramEnd"/>
      <w:r w:rsidRPr="000C4977">
        <w:rPr>
          <w:rFonts w:ascii="Arial Narrow" w:eastAsia="Times New Roman" w:hAnsi="Arial Narrow" w:cs="Arial"/>
          <w:snapToGrid w:val="0"/>
          <w:sz w:val="18"/>
          <w:szCs w:val="20"/>
        </w:rPr>
        <w:t>DCO2 = data cut-off 2; FAS = full analysis set</w:t>
      </w:r>
    </w:p>
    <w:p w14:paraId="52550D68"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Figure 2.16, p167 of the submission</w:t>
      </w:r>
    </w:p>
    <w:p w14:paraId="519D930D"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p>
    <w:p w14:paraId="251F3669" w14:textId="2653DD6A" w:rsidR="000C4977" w:rsidRPr="000C4977" w:rsidRDefault="000C4977" w:rsidP="373443CE">
      <w:pPr>
        <w:keepNext/>
        <w:spacing w:before="0" w:after="0"/>
        <w:contextualSpacing/>
        <w:rPr>
          <w:rFonts w:ascii="Arial Narrow" w:hAnsi="Arial Narrow"/>
          <w:b/>
          <w:bCs/>
          <w:sz w:val="20"/>
          <w:szCs w:val="20"/>
        </w:rPr>
      </w:pPr>
      <w:r w:rsidRPr="373443CE">
        <w:rPr>
          <w:rFonts w:ascii="Arial Narrow" w:hAnsi="Arial Narrow"/>
          <w:b/>
          <w:bCs/>
          <w:sz w:val="20"/>
          <w:szCs w:val="20"/>
        </w:rPr>
        <w:t xml:space="preserve">Figure </w:t>
      </w:r>
      <w:r w:rsidRPr="373443CE">
        <w:rPr>
          <w:rFonts w:ascii="Arial Narrow" w:hAnsi="Arial Narrow"/>
          <w:b/>
          <w:bCs/>
          <w:sz w:val="20"/>
          <w:szCs w:val="20"/>
        </w:rPr>
        <w:fldChar w:fldCharType="begin"/>
      </w:r>
      <w:r w:rsidRPr="373443CE">
        <w:rPr>
          <w:rFonts w:ascii="Arial Narrow" w:hAnsi="Arial Narrow"/>
          <w:b/>
          <w:bCs/>
          <w:sz w:val="20"/>
          <w:szCs w:val="20"/>
        </w:rPr>
        <w:instrText xml:space="preserve"> SEQ Figure \* ARABIC </w:instrText>
      </w:r>
      <w:r w:rsidRPr="373443CE">
        <w:rPr>
          <w:rFonts w:ascii="Arial Narrow" w:hAnsi="Arial Narrow"/>
          <w:b/>
          <w:bCs/>
          <w:sz w:val="20"/>
          <w:szCs w:val="20"/>
        </w:rPr>
        <w:fldChar w:fldCharType="separate"/>
      </w:r>
      <w:r w:rsidR="00D8603B" w:rsidRPr="373443CE">
        <w:rPr>
          <w:rFonts w:ascii="Arial Narrow" w:hAnsi="Arial Narrow"/>
          <w:b/>
          <w:bCs/>
          <w:noProof/>
          <w:sz w:val="20"/>
          <w:szCs w:val="20"/>
        </w:rPr>
        <w:t>11</w:t>
      </w:r>
      <w:r w:rsidRPr="373443CE">
        <w:rPr>
          <w:rFonts w:ascii="Arial Narrow" w:hAnsi="Arial Narrow"/>
          <w:b/>
          <w:bCs/>
          <w:noProof/>
          <w:sz w:val="20"/>
          <w:szCs w:val="20"/>
        </w:rPr>
        <w:fldChar w:fldCharType="end"/>
      </w:r>
      <w:r>
        <w:tab/>
      </w:r>
      <w:r w:rsidR="004E7388" w:rsidRPr="373443CE">
        <w:rPr>
          <w:rFonts w:ascii="Arial Narrow" w:hAnsi="Arial Narrow"/>
          <w:b/>
          <w:bCs/>
          <w:noProof/>
          <w:sz w:val="20"/>
          <w:szCs w:val="20"/>
        </w:rPr>
        <w:t>PAOLA-1 o</w:t>
      </w:r>
      <w:r w:rsidRPr="373443CE">
        <w:rPr>
          <w:rFonts w:ascii="Arial Narrow" w:hAnsi="Arial Narrow"/>
          <w:b/>
          <w:bCs/>
          <w:sz w:val="20"/>
          <w:szCs w:val="20"/>
        </w:rPr>
        <w:t xml:space="preserve">verall survival Kaplan-Meier </w:t>
      </w:r>
      <w:r w:rsidR="004E7388" w:rsidRPr="373443CE">
        <w:rPr>
          <w:rFonts w:ascii="Arial Narrow" w:hAnsi="Arial Narrow"/>
          <w:b/>
          <w:bCs/>
          <w:sz w:val="20"/>
          <w:szCs w:val="20"/>
        </w:rPr>
        <w:t>plots</w:t>
      </w:r>
      <w:r w:rsidRPr="373443CE">
        <w:rPr>
          <w:rFonts w:ascii="Arial Narrow" w:hAnsi="Arial Narrow"/>
          <w:b/>
          <w:bCs/>
          <w:sz w:val="20"/>
          <w:szCs w:val="20"/>
        </w:rPr>
        <w:t xml:space="preserve"> for patients with HRD positive </w:t>
      </w:r>
      <w:proofErr w:type="spellStart"/>
      <w:r w:rsidRPr="373443CE">
        <w:rPr>
          <w:rFonts w:ascii="Arial Narrow" w:hAnsi="Arial Narrow"/>
          <w:b/>
          <w:bCs/>
          <w:i/>
          <w:iCs/>
          <w:sz w:val="20"/>
          <w:szCs w:val="20"/>
        </w:rPr>
        <w:t>BRCA</w:t>
      </w:r>
      <w:r w:rsidRPr="373443CE">
        <w:rPr>
          <w:rFonts w:ascii="Arial Narrow" w:hAnsi="Arial Narrow"/>
          <w:b/>
          <w:bCs/>
          <w:sz w:val="20"/>
          <w:szCs w:val="20"/>
        </w:rPr>
        <w:t>wt</w:t>
      </w:r>
      <w:proofErr w:type="spellEnd"/>
      <w:r w:rsidRPr="373443CE">
        <w:rPr>
          <w:rFonts w:ascii="Arial Narrow" w:hAnsi="Arial Narrow"/>
          <w:b/>
          <w:bCs/>
          <w:sz w:val="20"/>
          <w:szCs w:val="20"/>
        </w:rPr>
        <w:t xml:space="preserve"> tumours with confidence intervals</w:t>
      </w:r>
    </w:p>
    <w:p w14:paraId="39772812" w14:textId="77777777" w:rsidR="000C4977" w:rsidRPr="000C4977" w:rsidRDefault="000C4977" w:rsidP="000C4977">
      <w:r w:rsidRPr="000C4977">
        <w:rPr>
          <w:noProof/>
          <w:lang w:eastAsia="en-AU"/>
        </w:rPr>
        <w:drawing>
          <wp:inline distT="0" distB="0" distL="0" distR="0" wp14:anchorId="6F0F2752" wp14:editId="336461F6">
            <wp:extent cx="5478780" cy="3619500"/>
            <wp:effectExtent l="0" t="0" r="0" b="0"/>
            <wp:docPr id="43" name="/tmp/RtmpLQL4kW/file21b549fc7286/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mp/RtmpLQL4kW/file21b549fc7286/plot001.png"/>
                    <pic:cNvPicPr/>
                  </pic:nvPicPr>
                  <pic:blipFill rotWithShape="1">
                    <a:blip r:embed="rId23"/>
                    <a:srcRect t="10243" b="8680"/>
                    <a:stretch/>
                  </pic:blipFill>
                  <pic:spPr bwMode="auto">
                    <a:xfrm>
                      <a:off x="0" y="0"/>
                      <a:ext cx="5488879" cy="3626172"/>
                    </a:xfrm>
                    <a:prstGeom prst="rect">
                      <a:avLst/>
                    </a:prstGeom>
                    <a:ln>
                      <a:noFill/>
                    </a:ln>
                    <a:extLst>
                      <a:ext uri="{53640926-AAD7-44D8-BBD7-CCE9431645EC}">
                        <a14:shadowObscured xmlns:a14="http://schemas.microsoft.com/office/drawing/2010/main"/>
                      </a:ext>
                    </a:extLst>
                  </pic:spPr>
                </pic:pic>
              </a:graphicData>
            </a:graphic>
          </wp:inline>
        </w:drawing>
      </w:r>
    </w:p>
    <w:p w14:paraId="2B4910C8" w14:textId="65C6760F"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 xml:space="preserve">Source: </w:t>
      </w:r>
      <w:proofErr w:type="spellStart"/>
      <w:r w:rsidRPr="000C4977">
        <w:rPr>
          <w:rFonts w:ascii="Arial Narrow" w:eastAsia="Times New Roman" w:hAnsi="Arial Narrow" w:cs="Arial"/>
          <w:snapToGrid w:val="0"/>
          <w:sz w:val="18"/>
          <w:szCs w:val="20"/>
        </w:rPr>
        <w:t>Attachment_Section</w:t>
      </w:r>
      <w:proofErr w:type="spellEnd"/>
      <w:r w:rsidRPr="000C4977">
        <w:rPr>
          <w:rFonts w:ascii="Arial Narrow" w:eastAsia="Times New Roman" w:hAnsi="Arial Narrow" w:cs="Arial"/>
          <w:snapToGrid w:val="0"/>
          <w:sz w:val="18"/>
          <w:szCs w:val="20"/>
        </w:rPr>
        <w:t xml:space="preserve"> 3.2, </w:t>
      </w:r>
      <w:proofErr w:type="spellStart"/>
      <w:r w:rsidRPr="000C4977">
        <w:rPr>
          <w:rFonts w:ascii="Arial Narrow" w:eastAsia="Times New Roman" w:hAnsi="Arial Narrow" w:cs="Arial"/>
          <w:snapToGrid w:val="0"/>
          <w:sz w:val="18"/>
          <w:szCs w:val="20"/>
        </w:rPr>
        <w:t>OS_HRD+</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wt_parametric</w:t>
      </w:r>
      <w:proofErr w:type="spellEnd"/>
      <w:r w:rsidRPr="000C4977">
        <w:rPr>
          <w:rFonts w:ascii="Arial Narrow" w:eastAsia="Times New Roman" w:hAnsi="Arial Narrow" w:cs="Arial"/>
          <w:snapToGrid w:val="0"/>
          <w:sz w:val="18"/>
          <w:szCs w:val="20"/>
        </w:rPr>
        <w:t xml:space="preserve"> report_DC</w:t>
      </w:r>
      <w:r w:rsidR="006255E8">
        <w:rPr>
          <w:rFonts w:ascii="Arial Narrow" w:eastAsia="Times New Roman" w:hAnsi="Arial Narrow" w:cs="Arial"/>
          <w:snapToGrid w:val="0"/>
          <w:sz w:val="18"/>
          <w:szCs w:val="20"/>
        </w:rPr>
        <w:t>O</w:t>
      </w:r>
      <w:r w:rsidRPr="000C4977">
        <w:rPr>
          <w:rFonts w:ascii="Arial Narrow" w:eastAsia="Times New Roman" w:hAnsi="Arial Narrow" w:cs="Arial"/>
          <w:snapToGrid w:val="0"/>
          <w:sz w:val="18"/>
          <w:szCs w:val="20"/>
        </w:rPr>
        <w:t>2, Section 2.1.1</w:t>
      </w:r>
    </w:p>
    <w:p w14:paraId="326C4F49" w14:textId="77777777" w:rsidR="000C4977" w:rsidRPr="00FF1136" w:rsidRDefault="000C4977" w:rsidP="00105CF3">
      <w:pPr>
        <w:keepNext/>
        <w:keepLines/>
        <w:tabs>
          <w:tab w:val="left" w:pos="851"/>
        </w:tabs>
        <w:spacing w:before="360" w:after="200" w:line="259" w:lineRule="auto"/>
        <w:jc w:val="left"/>
        <w:outlineLvl w:val="3"/>
        <w:rPr>
          <w:rFonts w:eastAsiaTheme="majorEastAsia" w:cstheme="majorBidi"/>
          <w:b/>
          <w:sz w:val="28"/>
          <w:szCs w:val="28"/>
        </w:rPr>
      </w:pPr>
      <w:r w:rsidRPr="00FF1136">
        <w:rPr>
          <w:rFonts w:eastAsiaTheme="majorEastAsia" w:cstheme="majorBidi"/>
          <w:b/>
          <w:sz w:val="28"/>
          <w:szCs w:val="28"/>
        </w:rPr>
        <w:lastRenderedPageBreak/>
        <w:t>Change in management in practice</w:t>
      </w:r>
    </w:p>
    <w:p w14:paraId="002A5FC4" w14:textId="77777777" w:rsidR="000C4977" w:rsidRPr="000C4977" w:rsidRDefault="000C4977" w:rsidP="000C4977">
      <w:pPr>
        <w:spacing w:line="259" w:lineRule="auto"/>
        <w:jc w:val="left"/>
      </w:pPr>
      <w:r w:rsidRPr="000C4977">
        <w:t>The submission requested that at diagnosis, patients with HGEOC receive a HRD tumour test to determine HRD status based on pathogenic breast cancer gene mutation (</w:t>
      </w:r>
      <w:proofErr w:type="spellStart"/>
      <w:r w:rsidRPr="000C4977">
        <w:rPr>
          <w:i/>
          <w:iCs/>
        </w:rPr>
        <w:t>BRCA</w:t>
      </w:r>
      <w:r w:rsidRPr="00082946">
        <w:t>m</w:t>
      </w:r>
      <w:proofErr w:type="spellEnd"/>
      <w:r w:rsidRPr="000C4977">
        <w:t>) (</w:t>
      </w:r>
      <w:proofErr w:type="gramStart"/>
      <w:r w:rsidRPr="000C4977">
        <w:t>i.e.</w:t>
      </w:r>
      <w:proofErr w:type="gramEnd"/>
      <w:r w:rsidRPr="000C4977">
        <w:t xml:space="preserve"> germline or somatic class IV or V) and/or GI. As shown in the figure below, their subsequent treatment depends on the outcome of this test:</w:t>
      </w:r>
    </w:p>
    <w:p w14:paraId="74A8972D" w14:textId="77777777" w:rsidR="000C4977" w:rsidRPr="000C4977" w:rsidRDefault="000C4977" w:rsidP="000C4977">
      <w:pPr>
        <w:numPr>
          <w:ilvl w:val="0"/>
          <w:numId w:val="50"/>
        </w:numPr>
        <w:spacing w:line="259" w:lineRule="auto"/>
        <w:contextualSpacing/>
        <w:jc w:val="left"/>
        <w:rPr>
          <w:color w:val="000000" w:themeColor="text1"/>
        </w:rPr>
      </w:pPr>
      <w:r w:rsidRPr="000C4977">
        <w:rPr>
          <w:color w:val="000000" w:themeColor="text1"/>
        </w:rPr>
        <w:t xml:space="preserve">HRD positive based on positive GIS or GII and the absence of pathogenic </w:t>
      </w:r>
      <w:proofErr w:type="spellStart"/>
      <w:r w:rsidRPr="000C4977">
        <w:rPr>
          <w:i/>
          <w:iCs/>
          <w:color w:val="000000" w:themeColor="text1"/>
        </w:rPr>
        <w:t>BRCA</w:t>
      </w:r>
      <w:r w:rsidRPr="000C4977">
        <w:rPr>
          <w:color w:val="000000" w:themeColor="text1"/>
        </w:rPr>
        <w:t>m</w:t>
      </w:r>
      <w:proofErr w:type="spellEnd"/>
      <w:r w:rsidRPr="000C4977">
        <w:rPr>
          <w:color w:val="000000" w:themeColor="text1"/>
        </w:rPr>
        <w:t xml:space="preserve"> (i.e., </w:t>
      </w:r>
      <w:proofErr w:type="spellStart"/>
      <w:r w:rsidRPr="000C4977">
        <w:rPr>
          <w:i/>
          <w:iCs/>
          <w:color w:val="000000" w:themeColor="text1"/>
        </w:rPr>
        <w:t>BRCA</w:t>
      </w:r>
      <w:r w:rsidRPr="000C4977">
        <w:rPr>
          <w:color w:val="000000" w:themeColor="text1"/>
        </w:rPr>
        <w:t>wt</w:t>
      </w:r>
      <w:proofErr w:type="spellEnd"/>
      <w:r w:rsidRPr="000C4977">
        <w:rPr>
          <w:color w:val="000000" w:themeColor="text1"/>
        </w:rPr>
        <w:t xml:space="preserve">): patient is eligible for maintenance </w:t>
      </w:r>
      <w:proofErr w:type="spellStart"/>
      <w:r w:rsidRPr="000C4977">
        <w:rPr>
          <w:color w:val="000000" w:themeColor="text1"/>
        </w:rPr>
        <w:t>olaparib</w:t>
      </w:r>
      <w:proofErr w:type="spellEnd"/>
      <w:r w:rsidRPr="000C4977">
        <w:rPr>
          <w:color w:val="000000" w:themeColor="text1"/>
        </w:rPr>
        <w:t xml:space="preserve"> in combination with bevacizumab following response to first-line platinum-based </w:t>
      </w:r>
      <w:proofErr w:type="gramStart"/>
      <w:r w:rsidRPr="000C4977">
        <w:rPr>
          <w:color w:val="000000" w:themeColor="text1"/>
        </w:rPr>
        <w:t>chemotherapy;</w:t>
      </w:r>
      <w:proofErr w:type="gramEnd"/>
    </w:p>
    <w:p w14:paraId="02BC834D" w14:textId="77777777" w:rsidR="000C4977" w:rsidRPr="000C4977" w:rsidRDefault="000C4977" w:rsidP="000C4977">
      <w:pPr>
        <w:numPr>
          <w:ilvl w:val="0"/>
          <w:numId w:val="50"/>
        </w:numPr>
        <w:spacing w:line="259" w:lineRule="auto"/>
        <w:contextualSpacing/>
        <w:jc w:val="left"/>
        <w:rPr>
          <w:color w:val="000000" w:themeColor="text1"/>
        </w:rPr>
      </w:pPr>
      <w:r w:rsidRPr="000C4977">
        <w:rPr>
          <w:color w:val="000000" w:themeColor="text1"/>
        </w:rPr>
        <w:t xml:space="preserve">HRD positive according to a pathogenic </w:t>
      </w:r>
      <w:proofErr w:type="spellStart"/>
      <w:r w:rsidRPr="000C4977">
        <w:rPr>
          <w:i/>
          <w:iCs/>
          <w:color w:val="000000" w:themeColor="text1"/>
        </w:rPr>
        <w:t>BRCA</w:t>
      </w:r>
      <w:r w:rsidRPr="000C4977">
        <w:rPr>
          <w:color w:val="000000" w:themeColor="text1"/>
        </w:rPr>
        <w:t>m</w:t>
      </w:r>
      <w:proofErr w:type="spellEnd"/>
      <w:r w:rsidRPr="000C4977">
        <w:rPr>
          <w:color w:val="000000" w:themeColor="text1"/>
        </w:rPr>
        <w:t xml:space="preserve"> only: patient is eligible for maintenance </w:t>
      </w:r>
      <w:proofErr w:type="spellStart"/>
      <w:r w:rsidRPr="000C4977">
        <w:rPr>
          <w:color w:val="000000" w:themeColor="text1"/>
        </w:rPr>
        <w:t>olaparib</w:t>
      </w:r>
      <w:proofErr w:type="spellEnd"/>
      <w:r w:rsidRPr="000C4977">
        <w:rPr>
          <w:color w:val="000000" w:themeColor="text1"/>
        </w:rPr>
        <w:t xml:space="preserve"> monotherapy following response to first-line platinum-based chemotherapy; or</w:t>
      </w:r>
    </w:p>
    <w:p w14:paraId="1F5D6E63" w14:textId="2309C47D" w:rsidR="000C4977" w:rsidRPr="00FF1136" w:rsidRDefault="000C4977" w:rsidP="00FC3969">
      <w:pPr>
        <w:numPr>
          <w:ilvl w:val="0"/>
          <w:numId w:val="50"/>
        </w:numPr>
        <w:spacing w:line="259" w:lineRule="auto"/>
        <w:ind w:left="714" w:hanging="357"/>
        <w:jc w:val="left"/>
        <w:rPr>
          <w:color w:val="000000" w:themeColor="text1"/>
        </w:rPr>
      </w:pPr>
      <w:r w:rsidRPr="00FF1136">
        <w:rPr>
          <w:color w:val="000000" w:themeColor="text1"/>
        </w:rPr>
        <w:t xml:space="preserve">HRD negative: patient is not eligible for </w:t>
      </w:r>
      <w:proofErr w:type="spellStart"/>
      <w:r w:rsidRPr="00FF1136">
        <w:rPr>
          <w:color w:val="000000" w:themeColor="text1"/>
        </w:rPr>
        <w:t>olaparib</w:t>
      </w:r>
      <w:proofErr w:type="spellEnd"/>
      <w:r w:rsidRPr="00FF1136">
        <w:rPr>
          <w:color w:val="000000" w:themeColor="text1"/>
        </w:rPr>
        <w:t>, however, may receive maintenance bevacizumab as per current standard of care.</w:t>
      </w:r>
    </w:p>
    <w:p w14:paraId="1CF0433A" w14:textId="7BD7AF44"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t xml:space="preserve">Figure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Figure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12</w:t>
      </w:r>
      <w:r w:rsidRPr="000C4977">
        <w:rPr>
          <w:rFonts w:ascii="Arial Narrow" w:hAnsi="Arial Narrow"/>
          <w:b/>
          <w:iCs/>
          <w:noProof/>
          <w:sz w:val="20"/>
          <w:szCs w:val="18"/>
        </w:rPr>
        <w:fldChar w:fldCharType="end"/>
      </w:r>
      <w:r w:rsidRPr="000C4977">
        <w:rPr>
          <w:rFonts w:ascii="Arial Narrow" w:hAnsi="Arial Narrow"/>
          <w:b/>
          <w:iCs/>
          <w:sz w:val="20"/>
          <w:szCs w:val="18"/>
        </w:rPr>
        <w:tab/>
        <w:t xml:space="preserve">Tumour HRD testing to determine patient eligibility for </w:t>
      </w:r>
      <w:proofErr w:type="spellStart"/>
      <w:r w:rsidRPr="000C4977">
        <w:rPr>
          <w:rFonts w:ascii="Arial Narrow" w:hAnsi="Arial Narrow"/>
          <w:b/>
          <w:iCs/>
          <w:sz w:val="20"/>
          <w:szCs w:val="18"/>
        </w:rPr>
        <w:t>olaparib</w:t>
      </w:r>
      <w:proofErr w:type="spellEnd"/>
      <w:r w:rsidRPr="000C4977">
        <w:rPr>
          <w:rFonts w:ascii="Arial Narrow" w:hAnsi="Arial Narrow"/>
          <w:b/>
          <w:iCs/>
          <w:sz w:val="20"/>
          <w:szCs w:val="18"/>
        </w:rPr>
        <w:t xml:space="preserve"> combination therapy</w:t>
      </w:r>
    </w:p>
    <w:p w14:paraId="484FD924" w14:textId="77777777" w:rsidR="000C4977" w:rsidRPr="000C4977" w:rsidRDefault="000C4977" w:rsidP="000C4977">
      <w:pPr>
        <w:keepNext/>
        <w:keepLines/>
        <w:widowControl w:val="0"/>
        <w:spacing w:line="256" w:lineRule="auto"/>
        <w:jc w:val="center"/>
      </w:pPr>
      <w:r w:rsidRPr="000C4977">
        <w:rPr>
          <w:noProof/>
          <w:lang w:eastAsia="en-AU"/>
        </w:rPr>
        <w:drawing>
          <wp:inline distT="0" distB="0" distL="0" distR="0" wp14:anchorId="2D0EE6DF" wp14:editId="73A8B3DA">
            <wp:extent cx="4140835" cy="3528060"/>
            <wp:effectExtent l="0" t="0" r="0" b="0"/>
            <wp:docPr id="13" name="Picture 13" descr="Figure 12 Tumour HRD testing to determine patient eligibility for olaparib combinatio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2 Tumour HRD testing to determine patient eligibility for olaparib combination therap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0835" cy="3528060"/>
                    </a:xfrm>
                    <a:prstGeom prst="rect">
                      <a:avLst/>
                    </a:prstGeom>
                    <a:noFill/>
                    <a:ln>
                      <a:noFill/>
                    </a:ln>
                  </pic:spPr>
                </pic:pic>
              </a:graphicData>
            </a:graphic>
          </wp:inline>
        </w:drawing>
      </w:r>
    </w:p>
    <w:p w14:paraId="3A4A2873" w14:textId="69275864" w:rsidR="000C4977" w:rsidRPr="000C4977" w:rsidRDefault="000C4977" w:rsidP="00FC3969">
      <w:pPr>
        <w:keepNext/>
        <w:widowControl w:val="0"/>
        <w:spacing w:before="0" w:after="0"/>
        <w:contextualSpacing/>
        <w:rPr>
          <w:rFonts w:ascii="Arial Narrow" w:eastAsia="Times New Roman" w:hAnsi="Arial Narrow" w:cs="Arial"/>
          <w:snapToGrid w:val="0"/>
          <w:sz w:val="18"/>
          <w:szCs w:val="20"/>
          <w:lang w:eastAsia="zh-CN"/>
        </w:rPr>
      </w:pPr>
      <w:proofErr w:type="spellStart"/>
      <w:r w:rsidRPr="000C4977">
        <w:rPr>
          <w:rFonts w:ascii="Arial Narrow" w:eastAsia="Times New Roman" w:hAnsi="Arial Narrow" w:cs="Arial"/>
          <w:i/>
          <w:iCs/>
          <w:snapToGrid w:val="0"/>
          <w:sz w:val="18"/>
          <w:szCs w:val="20"/>
          <w:lang w:eastAsia="zh-CN"/>
        </w:rPr>
        <w:t>BRCA</w:t>
      </w:r>
      <w:r w:rsidRPr="00082946">
        <w:rPr>
          <w:rFonts w:ascii="Arial Narrow" w:eastAsia="Times New Roman" w:hAnsi="Arial Narrow" w:cs="Arial"/>
          <w:snapToGrid w:val="0"/>
          <w:sz w:val="18"/>
          <w:szCs w:val="20"/>
          <w:lang w:eastAsia="zh-CN"/>
        </w:rPr>
        <w:t>m</w:t>
      </w:r>
      <w:proofErr w:type="spellEnd"/>
      <w:r w:rsidRPr="000C4977">
        <w:rPr>
          <w:rFonts w:ascii="Arial Narrow" w:eastAsia="Times New Roman" w:hAnsi="Arial Narrow" w:cs="Arial"/>
          <w:snapToGrid w:val="0"/>
          <w:sz w:val="18"/>
          <w:szCs w:val="20"/>
          <w:lang w:eastAsia="zh-CN"/>
        </w:rPr>
        <w:t xml:space="preserve"> = breast cancer gene mutation; </w:t>
      </w:r>
      <w:proofErr w:type="spellStart"/>
      <w:r w:rsidRPr="000C4977">
        <w:rPr>
          <w:rFonts w:ascii="Arial Narrow" w:eastAsia="Times New Roman" w:hAnsi="Arial Narrow" w:cs="Arial"/>
          <w:i/>
          <w:iCs/>
          <w:snapToGrid w:val="0"/>
          <w:sz w:val="18"/>
          <w:szCs w:val="20"/>
          <w:lang w:eastAsia="zh-CN"/>
        </w:rPr>
        <w:t>BRCA</w:t>
      </w:r>
      <w:r w:rsidRPr="000C4977">
        <w:rPr>
          <w:rFonts w:ascii="Arial Narrow" w:eastAsia="Times New Roman" w:hAnsi="Arial Narrow" w:cs="Arial"/>
          <w:snapToGrid w:val="0"/>
          <w:sz w:val="18"/>
          <w:szCs w:val="20"/>
          <w:lang w:eastAsia="zh-CN"/>
        </w:rPr>
        <w:t>wt</w:t>
      </w:r>
      <w:proofErr w:type="spellEnd"/>
      <w:r w:rsidRPr="000C4977">
        <w:rPr>
          <w:rFonts w:ascii="Arial Narrow" w:eastAsia="Times New Roman" w:hAnsi="Arial Narrow" w:cs="Arial"/>
          <w:snapToGrid w:val="0"/>
          <w:sz w:val="18"/>
          <w:szCs w:val="20"/>
          <w:lang w:eastAsia="zh-CN"/>
        </w:rPr>
        <w:t xml:space="preserve"> = breast cancer gene wild type; GIS = </w:t>
      </w:r>
      <w:r w:rsidR="00C1285A">
        <w:rPr>
          <w:rFonts w:ascii="Arial Narrow" w:eastAsia="Times New Roman" w:hAnsi="Arial Narrow" w:cs="Arial"/>
          <w:snapToGrid w:val="0"/>
          <w:sz w:val="18"/>
          <w:szCs w:val="20"/>
          <w:lang w:eastAsia="zh-CN"/>
        </w:rPr>
        <w:t>G</w:t>
      </w:r>
      <w:r w:rsidRPr="000C4977">
        <w:rPr>
          <w:rFonts w:ascii="Arial Narrow" w:eastAsia="Times New Roman" w:hAnsi="Arial Narrow" w:cs="Arial"/>
          <w:snapToGrid w:val="0"/>
          <w:sz w:val="18"/>
          <w:szCs w:val="20"/>
          <w:lang w:eastAsia="zh-CN"/>
        </w:rPr>
        <w:t xml:space="preserve">enomic </w:t>
      </w:r>
      <w:r w:rsidR="00C1285A">
        <w:rPr>
          <w:rFonts w:ascii="Arial Narrow" w:eastAsia="Times New Roman" w:hAnsi="Arial Narrow" w:cs="Arial"/>
          <w:snapToGrid w:val="0"/>
          <w:sz w:val="18"/>
          <w:szCs w:val="20"/>
          <w:lang w:eastAsia="zh-CN"/>
        </w:rPr>
        <w:t>I</w:t>
      </w:r>
      <w:r w:rsidRPr="000C4977">
        <w:rPr>
          <w:rFonts w:ascii="Arial Narrow" w:eastAsia="Times New Roman" w:hAnsi="Arial Narrow" w:cs="Arial"/>
          <w:snapToGrid w:val="0"/>
          <w:sz w:val="18"/>
          <w:szCs w:val="20"/>
          <w:lang w:eastAsia="zh-CN"/>
        </w:rPr>
        <w:t xml:space="preserve">nstability </w:t>
      </w:r>
      <w:r w:rsidR="00C1285A">
        <w:rPr>
          <w:rFonts w:ascii="Arial Narrow" w:eastAsia="Times New Roman" w:hAnsi="Arial Narrow" w:cs="Arial"/>
          <w:snapToGrid w:val="0"/>
          <w:sz w:val="18"/>
          <w:szCs w:val="20"/>
          <w:lang w:eastAsia="zh-CN"/>
        </w:rPr>
        <w:t>S</w:t>
      </w:r>
      <w:r w:rsidRPr="000C4977">
        <w:rPr>
          <w:rFonts w:ascii="Arial Narrow" w:eastAsia="Times New Roman" w:hAnsi="Arial Narrow" w:cs="Arial"/>
          <w:snapToGrid w:val="0"/>
          <w:sz w:val="18"/>
          <w:szCs w:val="20"/>
          <w:lang w:eastAsia="zh-CN"/>
        </w:rPr>
        <w:t>core; HRD = homologous recombination deficiency</w:t>
      </w:r>
    </w:p>
    <w:p w14:paraId="49FE8C9B" w14:textId="77777777" w:rsidR="000C4977" w:rsidRPr="000C4977" w:rsidRDefault="000C4977" w:rsidP="00FC3969">
      <w:pPr>
        <w:keepNext/>
        <w:widowControl w:val="0"/>
        <w:spacing w:before="0" w:after="0"/>
        <w:contextualSpacing/>
        <w:rPr>
          <w:rFonts w:ascii="Arial Narrow" w:eastAsia="Times New Roman" w:hAnsi="Arial Narrow" w:cs="Arial"/>
          <w:snapToGrid w:val="0"/>
          <w:sz w:val="18"/>
          <w:szCs w:val="20"/>
          <w:lang w:eastAsia="zh-CN"/>
        </w:rPr>
      </w:pPr>
      <w:r w:rsidRPr="000C4977">
        <w:rPr>
          <w:rFonts w:ascii="Arial Narrow" w:eastAsia="Times New Roman" w:hAnsi="Arial Narrow" w:cs="Arial"/>
          <w:snapToGrid w:val="0"/>
          <w:sz w:val="18"/>
          <w:szCs w:val="20"/>
          <w:lang w:eastAsia="zh-CN"/>
        </w:rPr>
        <w:t>Note: GIS is a measure of genomic instability</w:t>
      </w:r>
    </w:p>
    <w:p w14:paraId="4565056D" w14:textId="77777777" w:rsidR="000C4977" w:rsidRP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Figure 2.1, p16 of the submission</w:t>
      </w:r>
    </w:p>
    <w:p w14:paraId="4F8E0EBF" w14:textId="3CF3E4E3" w:rsidR="000C4977" w:rsidRPr="000C4977" w:rsidRDefault="000C4977" w:rsidP="000C4977">
      <w:pPr>
        <w:spacing w:line="259" w:lineRule="auto"/>
        <w:jc w:val="left"/>
      </w:pPr>
      <w:r w:rsidRPr="000C4977">
        <w:t xml:space="preserve">The submission claimed that the cross-sectional studies show that all components of HRD testing (including </w:t>
      </w:r>
      <w:proofErr w:type="spellStart"/>
      <w:r w:rsidRPr="000C4977">
        <w:rPr>
          <w:i/>
          <w:iCs/>
        </w:rPr>
        <w:t>BRCA</w:t>
      </w:r>
      <w:r w:rsidRPr="000C4977">
        <w:t>m</w:t>
      </w:r>
      <w:proofErr w:type="spellEnd"/>
      <w:r w:rsidRPr="000C4977">
        <w:t xml:space="preserve"> status and GIS) are highly concordant compared to other NGS-based assays thereby demonstrating that HRD testing will continue to identify pathogenic </w:t>
      </w:r>
      <w:proofErr w:type="spellStart"/>
      <w:r w:rsidRPr="000C4977">
        <w:rPr>
          <w:i/>
          <w:iCs/>
        </w:rPr>
        <w:t>BRCA</w:t>
      </w:r>
      <w:r w:rsidRPr="000C4977">
        <w:t>m</w:t>
      </w:r>
      <w:proofErr w:type="spellEnd"/>
      <w:r w:rsidRPr="000C4977">
        <w:t xml:space="preserve"> status at the same rate as other NGS-based assays in addition to identifying HRD positive </w:t>
      </w:r>
      <w:proofErr w:type="spellStart"/>
      <w:r w:rsidRPr="000C4977">
        <w:rPr>
          <w:i/>
          <w:iCs/>
        </w:rPr>
        <w:t>BRCA</w:t>
      </w:r>
      <w:r w:rsidRPr="000C4977">
        <w:t>wt</w:t>
      </w:r>
      <w:proofErr w:type="spellEnd"/>
      <w:r w:rsidRPr="000C4977">
        <w:t xml:space="preserve"> patients who would also benefit from a PARP inhibitor.</w:t>
      </w:r>
    </w:p>
    <w:p w14:paraId="17D8A1A9" w14:textId="0215FF37" w:rsidR="000C4977" w:rsidRPr="000C4977" w:rsidRDefault="000C4977" w:rsidP="000C4977">
      <w:pPr>
        <w:spacing w:line="259" w:lineRule="auto"/>
        <w:jc w:val="left"/>
      </w:pPr>
      <w:r w:rsidRPr="000C4977">
        <w:t xml:space="preserve">While the cross-sectional accuracy studies generally reported a high level of concordance between the Myriad </w:t>
      </w:r>
      <w:proofErr w:type="spellStart"/>
      <w:r w:rsidRPr="000C4977">
        <w:t>myChoice</w:t>
      </w:r>
      <w:proofErr w:type="spellEnd"/>
      <w:r w:rsidRPr="000C4977">
        <w:t xml:space="preserve"> assays and the NGS or Foundation Medicine assay, it was not perfect and false positive or false negative </w:t>
      </w:r>
      <w:r w:rsidRPr="00122507">
        <w:rPr>
          <w:i/>
          <w:iCs/>
        </w:rPr>
        <w:t>BRCA</w:t>
      </w:r>
      <w:r w:rsidRPr="000C4977">
        <w:t xml:space="preserve"> and HRD results will have implications for patients. In some circumstances this would lead to patients receiving incorrect treatment </w:t>
      </w:r>
      <w:r w:rsidRPr="000C4977">
        <w:lastRenderedPageBreak/>
        <w:t>resulting in additional cost and a higher rate of AEs or receiving a treatment for which the efficacy was unknown, or patients receiving incorrect treatment resulting in a treatment benefit foregone.</w:t>
      </w:r>
    </w:p>
    <w:p w14:paraId="6CBE95ED" w14:textId="7D3C7C8A" w:rsidR="000C4977" w:rsidRPr="00FF1136" w:rsidRDefault="000C4977" w:rsidP="00105CF3">
      <w:pPr>
        <w:keepNext/>
        <w:keepLines/>
        <w:tabs>
          <w:tab w:val="left" w:pos="851"/>
        </w:tabs>
        <w:spacing w:before="360" w:after="200" w:line="259" w:lineRule="auto"/>
        <w:jc w:val="left"/>
        <w:outlineLvl w:val="3"/>
        <w:rPr>
          <w:rFonts w:eastAsiaTheme="majorEastAsia" w:cstheme="majorBidi"/>
          <w:b/>
          <w:sz w:val="28"/>
          <w:szCs w:val="28"/>
        </w:rPr>
      </w:pPr>
      <w:r w:rsidRPr="00FF1136">
        <w:rPr>
          <w:rFonts w:eastAsiaTheme="majorEastAsia" w:cstheme="majorBidi"/>
          <w:b/>
          <w:sz w:val="28"/>
          <w:szCs w:val="28"/>
        </w:rPr>
        <w:t xml:space="preserve">Claim of </w:t>
      </w:r>
      <w:proofErr w:type="spellStart"/>
      <w:r w:rsidRPr="00FF1136">
        <w:rPr>
          <w:rFonts w:eastAsiaTheme="majorEastAsia" w:cstheme="majorBidi"/>
          <w:b/>
          <w:sz w:val="28"/>
          <w:szCs w:val="28"/>
        </w:rPr>
        <w:t>codependence</w:t>
      </w:r>
      <w:proofErr w:type="spellEnd"/>
    </w:p>
    <w:p w14:paraId="668A9484" w14:textId="20EC852C" w:rsidR="000C4977" w:rsidRPr="00240867" w:rsidRDefault="000C4977" w:rsidP="000C4977">
      <w:pPr>
        <w:spacing w:line="259" w:lineRule="auto"/>
        <w:jc w:val="left"/>
      </w:pPr>
      <w:r w:rsidRPr="000C4977">
        <w:t xml:space="preserve">The commentary noted that while the </w:t>
      </w:r>
      <w:proofErr w:type="spellStart"/>
      <w:r w:rsidRPr="000C4977">
        <w:t>codependency</w:t>
      </w:r>
      <w:proofErr w:type="spellEnd"/>
      <w:r w:rsidRPr="000C4977">
        <w:t xml:space="preserve"> between HRD status and PARP inhibitors has not previously been accepted by MSAC and PBAC, they have both accepted that variation in the size of the treatment </w:t>
      </w:r>
      <w:r w:rsidRPr="00240867">
        <w:t xml:space="preserve">effect of more than one PARP inhibitor is predicted by </w:t>
      </w:r>
      <w:r w:rsidRPr="00240867">
        <w:rPr>
          <w:i/>
          <w:iCs/>
        </w:rPr>
        <w:t>BRCA1/2</w:t>
      </w:r>
      <w:r w:rsidRPr="00240867">
        <w:t xml:space="preserve"> status as one HRD biomarker. This application raises a related </w:t>
      </w:r>
      <w:proofErr w:type="spellStart"/>
      <w:r w:rsidRPr="00240867">
        <w:t>codependency</w:t>
      </w:r>
      <w:proofErr w:type="spellEnd"/>
      <w:r w:rsidRPr="00240867">
        <w:t xml:space="preserve"> issue for MSAC and PBAC consideration: whether variation in the size of the treatment effect of the combination of </w:t>
      </w:r>
      <w:proofErr w:type="spellStart"/>
      <w:r w:rsidRPr="00240867">
        <w:t>olaparib</w:t>
      </w:r>
      <w:proofErr w:type="spellEnd"/>
      <w:r w:rsidRPr="00240867">
        <w:t xml:space="preserve"> and bevacizumab is predicted by the proposed combination of </w:t>
      </w:r>
      <w:r w:rsidRPr="00240867">
        <w:rPr>
          <w:i/>
          <w:iCs/>
        </w:rPr>
        <w:t>BRCA1/2</w:t>
      </w:r>
      <w:r w:rsidRPr="00240867">
        <w:t xml:space="preserve"> status and genomic instability and, if so, whether this is sufficiently differentiated from the predictive value of </w:t>
      </w:r>
      <w:r w:rsidRPr="00240867">
        <w:rPr>
          <w:i/>
          <w:iCs/>
        </w:rPr>
        <w:t>BRCA1/2</w:t>
      </w:r>
      <w:r w:rsidRPr="00240867">
        <w:t xml:space="preserve"> status alone or by the predictive value of genomic instability alone.</w:t>
      </w:r>
    </w:p>
    <w:p w14:paraId="6D7069B0" w14:textId="0ABBABCB" w:rsidR="000C4977" w:rsidRPr="00F84405" w:rsidRDefault="000C4977" w:rsidP="000C4977">
      <w:pPr>
        <w:spacing w:line="259" w:lineRule="auto"/>
        <w:jc w:val="left"/>
      </w:pPr>
      <w:r w:rsidRPr="00240867">
        <w:t>While the submission did not explicitly state that there is a biological plausibility for the use of PARP inhibitors for the treatment of HRD positive tumours the submission appears to make the underlying claim that, when using the combined HRD test,</w:t>
      </w:r>
      <w:r w:rsidR="009339A5" w:rsidRPr="00240867">
        <w:t xml:space="preserve"> genomic instability </w:t>
      </w:r>
      <w:r w:rsidRPr="00240867">
        <w:t xml:space="preserve">positive status has greater predictive value than </w:t>
      </w:r>
      <w:r w:rsidRPr="00240867">
        <w:rPr>
          <w:i/>
          <w:iCs/>
        </w:rPr>
        <w:t>BRCA</w:t>
      </w:r>
      <w:r w:rsidRPr="00240867">
        <w:t xml:space="preserve"> status, because </w:t>
      </w:r>
      <w:proofErr w:type="spellStart"/>
      <w:r w:rsidRPr="00240867">
        <w:t>olaparib</w:t>
      </w:r>
      <w:proofErr w:type="spellEnd"/>
      <w:r w:rsidRPr="00240867">
        <w:t xml:space="preserve"> plus bevacizumab therapy has effectiveness in patients with</w:t>
      </w:r>
      <w:r w:rsidR="009339A5" w:rsidRPr="00240867">
        <w:t xml:space="preserve"> genomic instability </w:t>
      </w:r>
      <w:r w:rsidRPr="00240867">
        <w:t xml:space="preserve">positive </w:t>
      </w:r>
      <w:proofErr w:type="spellStart"/>
      <w:r w:rsidRPr="00240867">
        <w:rPr>
          <w:i/>
          <w:iCs/>
        </w:rPr>
        <w:t>BRCA</w:t>
      </w:r>
      <w:r w:rsidRPr="00240867">
        <w:t>wt</w:t>
      </w:r>
      <w:proofErr w:type="spellEnd"/>
      <w:r w:rsidRPr="00240867">
        <w:t xml:space="preserve"> tumours that is similar to effectiveness in </w:t>
      </w:r>
      <w:proofErr w:type="spellStart"/>
      <w:r w:rsidRPr="00240867">
        <w:rPr>
          <w:i/>
          <w:iCs/>
        </w:rPr>
        <w:t>BRCA</w:t>
      </w:r>
      <w:r w:rsidR="00135A44" w:rsidRPr="00240867">
        <w:t>m</w:t>
      </w:r>
      <w:proofErr w:type="spellEnd"/>
      <w:r w:rsidRPr="00240867">
        <w:t xml:space="preserve"> patients.</w:t>
      </w:r>
      <w:r w:rsidR="00675E30" w:rsidRPr="00240867">
        <w:t xml:space="preserve"> However, based on the results of Gonzalez-Martin 2019 (niraparib) and Coleman 2017 (rucaparib), a class effect in ovarian cancer is not strongly supported. However, results for the HRD positive </w:t>
      </w:r>
      <w:proofErr w:type="spellStart"/>
      <w:r w:rsidR="00675E30" w:rsidRPr="00240867">
        <w:rPr>
          <w:i/>
          <w:iCs/>
        </w:rPr>
        <w:t>BRCA</w:t>
      </w:r>
      <w:r w:rsidR="00675E30" w:rsidRPr="00240867">
        <w:t>m</w:t>
      </w:r>
      <w:proofErr w:type="spellEnd"/>
      <w:r w:rsidR="00675E30" w:rsidRPr="00240867">
        <w:t xml:space="preserve">, HRD positive </w:t>
      </w:r>
      <w:proofErr w:type="spellStart"/>
      <w:r w:rsidR="00675E30" w:rsidRPr="00240867">
        <w:rPr>
          <w:i/>
          <w:iCs/>
        </w:rPr>
        <w:t>BRCA</w:t>
      </w:r>
      <w:r w:rsidR="00675E30" w:rsidRPr="00240867">
        <w:t>wt</w:t>
      </w:r>
      <w:proofErr w:type="spellEnd"/>
      <w:r w:rsidR="00675E30" w:rsidRPr="00240867">
        <w:t xml:space="preserve"> and HRD negative subpopulations all indicate that PARP inhibitor use resulted in improved PFS, although the magnitude of benefit varied. The ESCs noted it is unclear to what extent the variation in pivotal trial results for PARP inhibitors (</w:t>
      </w:r>
      <w:proofErr w:type="spellStart"/>
      <w:r w:rsidR="00675E30" w:rsidRPr="00240867">
        <w:t>olaparib</w:t>
      </w:r>
      <w:proofErr w:type="spellEnd"/>
      <w:r w:rsidR="00675E30" w:rsidRPr="00240867">
        <w:t>, niraparib and rucaparib) may be explained by differences in patient populations (due to different HRD testing protocols or thresholds), as compared with pharmacologic differences between the individual PARP inhibitors.</w:t>
      </w:r>
    </w:p>
    <w:p w14:paraId="5EBCDAD9" w14:textId="08BE6567" w:rsidR="000C4977" w:rsidRPr="000C4977" w:rsidRDefault="000C4977"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56" w:name="_Toc69491425"/>
      <w:r w:rsidRPr="000C4977">
        <w:rPr>
          <w:rFonts w:ascii="Franklin Gothic Medium" w:eastAsiaTheme="majorEastAsia" w:hAnsi="Franklin Gothic Medium" w:cstheme="majorBidi"/>
          <w:color w:val="000000" w:themeColor="text1"/>
          <w:sz w:val="32"/>
          <w:szCs w:val="26"/>
        </w:rPr>
        <w:t>1</w:t>
      </w:r>
      <w:r w:rsidR="004C0EB2">
        <w:rPr>
          <w:rFonts w:ascii="Franklin Gothic Medium" w:eastAsiaTheme="majorEastAsia" w:hAnsi="Franklin Gothic Medium" w:cstheme="majorBidi"/>
          <w:color w:val="000000" w:themeColor="text1"/>
          <w:sz w:val="32"/>
          <w:szCs w:val="26"/>
        </w:rPr>
        <w:t>3</w:t>
      </w:r>
      <w:r w:rsidRPr="000C4977">
        <w:rPr>
          <w:rFonts w:ascii="Franklin Gothic Medium" w:eastAsiaTheme="majorEastAsia" w:hAnsi="Franklin Gothic Medium" w:cstheme="majorBidi"/>
          <w:color w:val="000000" w:themeColor="text1"/>
          <w:sz w:val="32"/>
          <w:szCs w:val="26"/>
        </w:rPr>
        <w:t>.</w:t>
      </w:r>
      <w:r w:rsidRPr="000C4977">
        <w:rPr>
          <w:rFonts w:ascii="Franklin Gothic Medium" w:eastAsiaTheme="majorEastAsia" w:hAnsi="Franklin Gothic Medium" w:cstheme="majorBidi"/>
          <w:color w:val="000000" w:themeColor="text1"/>
          <w:sz w:val="32"/>
          <w:szCs w:val="26"/>
        </w:rPr>
        <w:tab/>
        <w:t>Economic evaluation</w:t>
      </w:r>
      <w:bookmarkEnd w:id="56"/>
    </w:p>
    <w:p w14:paraId="0E24A967" w14:textId="30AA3FF9" w:rsidR="000C4977" w:rsidRPr="000C4977" w:rsidRDefault="000C4977" w:rsidP="000C4977">
      <w:pPr>
        <w:spacing w:line="259" w:lineRule="auto"/>
        <w:jc w:val="left"/>
      </w:pPr>
      <w:r w:rsidRPr="000C4977">
        <w:t xml:space="preserve">The submission presented a modelled economic evaluation, based on subgroup results from PAOLA-1, a direct randomised trial comparing </w:t>
      </w:r>
      <w:proofErr w:type="spellStart"/>
      <w:r w:rsidRPr="000C4977">
        <w:t>olaparib</w:t>
      </w:r>
      <w:proofErr w:type="spellEnd"/>
      <w:r w:rsidRPr="000C4977">
        <w:t xml:space="preserve"> plus bevacizumab versus bevacizumab monotherapy in the first-line maintenance treatment of patients with platinum-sensitive high grade epithelial ovarian, fallopian tube or primary peritoneal cancer.</w:t>
      </w:r>
    </w:p>
    <w:p w14:paraId="2F837D7B" w14:textId="77777777" w:rsidR="000C4977" w:rsidRPr="000C4977" w:rsidRDefault="000C4977" w:rsidP="000C4977">
      <w:pPr>
        <w:spacing w:line="259" w:lineRule="auto"/>
        <w:jc w:val="left"/>
      </w:pPr>
      <w:r w:rsidRPr="000C4977">
        <w:t xml:space="preserve">The basis of the economic evaluation was a cost effectiveness analysis (CEA). The economic model compared the proposed scenario where all patients undergo HRD testing versus the comparator/current scenario where patients receive </w:t>
      </w:r>
      <w:r w:rsidRPr="000C4977">
        <w:rPr>
          <w:i/>
        </w:rPr>
        <w:t>BRCA</w:t>
      </w:r>
      <w:r w:rsidRPr="000C4977">
        <w:t xml:space="preserve"> testing only.</w:t>
      </w:r>
    </w:p>
    <w:p w14:paraId="62719FD6" w14:textId="43599B3C" w:rsidR="000C4977" w:rsidRPr="000C4977" w:rsidRDefault="000C4977" w:rsidP="000C4977">
      <w:pPr>
        <w:spacing w:line="259" w:lineRule="auto"/>
        <w:jc w:val="left"/>
      </w:pPr>
      <w:r w:rsidRPr="000C4977">
        <w:t>The model used a partitioned survival analysis with a base case time horizon of 20 years. Parametric mixture cure models were fitted directly to PFS data from PAOLA-1 to estimate the cure fraction and to model PFS for uncured patients (the complement to the cure fraction). Cured patients were assumed to have the same life expectancy as the general Australian population with mortality based on Australia life tables while OS data from PAOLA-1 was used to inform mortality in uncured patients. Observed OS K</w:t>
      </w:r>
      <w:r w:rsidR="00C1285A">
        <w:t>aplan-</w:t>
      </w:r>
      <w:r w:rsidRPr="000C4977">
        <w:t>M</w:t>
      </w:r>
      <w:r w:rsidR="00C1285A">
        <w:t>eier</w:t>
      </w:r>
      <w:r w:rsidRPr="000C4977">
        <w:t xml:space="preserve"> data was used up to the follow-up duration (up to 38 months) after which a parametric extrapolation of PAOLA-1 data was used.</w:t>
      </w:r>
    </w:p>
    <w:p w14:paraId="3C0DD1DF" w14:textId="1E35F3B9" w:rsidR="000C4977" w:rsidRPr="000C4977" w:rsidRDefault="000C4977" w:rsidP="000C4977">
      <w:pPr>
        <w:spacing w:line="259" w:lineRule="auto"/>
        <w:jc w:val="left"/>
      </w:pPr>
      <w:r w:rsidRPr="000C4977">
        <w:t xml:space="preserve">The model structure presented in the submission was comprised of a testing phase, relating to the determination of patient tumour HRD and </w:t>
      </w:r>
      <w:r w:rsidRPr="000C4977">
        <w:rPr>
          <w:i/>
          <w:iCs/>
        </w:rPr>
        <w:t>BRCA</w:t>
      </w:r>
      <w:r w:rsidRPr="000C4977">
        <w:t xml:space="preserve"> status, and a maintenance treatment phase, as shown below. A total of seven patient groups depending on HRD and </w:t>
      </w:r>
      <w:r w:rsidRPr="000C4977">
        <w:rPr>
          <w:i/>
          <w:iCs/>
        </w:rPr>
        <w:t>BRCA</w:t>
      </w:r>
      <w:r w:rsidRPr="000C4977">
        <w:t xml:space="preserve"> status as well as treatments received were considered.</w:t>
      </w:r>
    </w:p>
    <w:p w14:paraId="79393EE3" w14:textId="0252444F"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lastRenderedPageBreak/>
        <w:t xml:space="preserve">Figure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Figure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13</w:t>
      </w:r>
      <w:r w:rsidRPr="000C4977">
        <w:rPr>
          <w:rFonts w:ascii="Arial Narrow" w:hAnsi="Arial Narrow"/>
          <w:b/>
          <w:iCs/>
          <w:noProof/>
          <w:sz w:val="20"/>
          <w:szCs w:val="18"/>
        </w:rPr>
        <w:fldChar w:fldCharType="end"/>
      </w:r>
      <w:r w:rsidRPr="000C4977">
        <w:rPr>
          <w:rFonts w:ascii="Arial Narrow" w:hAnsi="Arial Narrow"/>
          <w:b/>
          <w:iCs/>
          <w:sz w:val="20"/>
          <w:szCs w:val="18"/>
        </w:rPr>
        <w:tab/>
        <w:t>Structure of testing component of the model</w:t>
      </w:r>
    </w:p>
    <w:p w14:paraId="242E735E" w14:textId="77777777" w:rsidR="000C4977" w:rsidRPr="000C4977" w:rsidRDefault="000C4977" w:rsidP="000C4977">
      <w:pPr>
        <w:keepNext/>
        <w:keepLines/>
      </w:pPr>
      <w:r w:rsidRPr="000C4977">
        <w:rPr>
          <w:noProof/>
          <w:lang w:eastAsia="en-AU"/>
        </w:rPr>
        <w:drawing>
          <wp:inline distT="0" distB="0" distL="0" distR="0" wp14:anchorId="5072CAF3" wp14:editId="605175FF">
            <wp:extent cx="5727700" cy="1863090"/>
            <wp:effectExtent l="0" t="0" r="6350" b="3810"/>
            <wp:docPr id="15" name="Picture 15" descr="Figure 13 Structure of testing component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3 Structure of testing component of the mod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7700" cy="1863090"/>
                    </a:xfrm>
                    <a:prstGeom prst="rect">
                      <a:avLst/>
                    </a:prstGeom>
                    <a:noFill/>
                    <a:ln>
                      <a:noFill/>
                    </a:ln>
                  </pic:spPr>
                </pic:pic>
              </a:graphicData>
            </a:graphic>
          </wp:inline>
        </w:drawing>
      </w:r>
    </w:p>
    <w:p w14:paraId="250C9C04"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Note: HRD unknown are assumed to be combined with HRD negative.</w:t>
      </w:r>
    </w:p>
    <w:p w14:paraId="6FCA0823" w14:textId="2DDD0155" w:rsidR="000C4977" w:rsidRPr="000C4977" w:rsidRDefault="000C4977"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Figure 3.1, p217 of the submission</w:t>
      </w:r>
    </w:p>
    <w:p w14:paraId="34A719E1" w14:textId="77777777" w:rsidR="000C4977" w:rsidRPr="000C4977" w:rsidRDefault="000C4977" w:rsidP="000C4977">
      <w:pPr>
        <w:spacing w:line="259" w:lineRule="auto"/>
        <w:jc w:val="left"/>
      </w:pPr>
      <w:r w:rsidRPr="000C4977">
        <w:t>The submission (p221) reported that advice from the MSAC/PASC meeting requested that additional HRD/</w:t>
      </w:r>
      <w:r w:rsidRPr="000C4977">
        <w:rPr>
          <w:i/>
        </w:rPr>
        <w:t>BRCA</w:t>
      </w:r>
      <w:r w:rsidRPr="000C4977">
        <w:t xml:space="preserve"> testing populations be considered, as shown in the table below.</w:t>
      </w:r>
    </w:p>
    <w:p w14:paraId="0998ADA0" w14:textId="4ED76FE2" w:rsidR="000C4977" w:rsidRPr="000C4977" w:rsidRDefault="000C4977" w:rsidP="000C4977">
      <w:pPr>
        <w:keepNext/>
        <w:tabs>
          <w:tab w:val="left" w:pos="0"/>
        </w:tabs>
        <w:spacing w:before="0" w:after="0"/>
        <w:contextualSpacing/>
        <w:rPr>
          <w:rFonts w:ascii="Arial Narrow" w:hAnsi="Arial Narrow"/>
          <w:b/>
          <w:iCs/>
          <w:sz w:val="20"/>
          <w:szCs w:val="18"/>
        </w:rPr>
      </w:pPr>
      <w:bookmarkStart w:id="57" w:name="_Ref103558869"/>
      <w:r w:rsidRPr="000C4977">
        <w:rPr>
          <w:rFonts w:ascii="Arial Narrow" w:hAnsi="Arial Narrow"/>
          <w:b/>
          <w:iCs/>
          <w:sz w:val="20"/>
          <w:szCs w:val="18"/>
        </w:rPr>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21</w:t>
      </w:r>
      <w:r w:rsidRPr="000C4977">
        <w:rPr>
          <w:rFonts w:ascii="Arial Narrow" w:hAnsi="Arial Narrow"/>
          <w:b/>
          <w:iCs/>
          <w:noProof/>
          <w:sz w:val="20"/>
          <w:szCs w:val="18"/>
        </w:rPr>
        <w:fldChar w:fldCharType="end"/>
      </w:r>
      <w:bookmarkEnd w:id="57"/>
      <w:r w:rsidRPr="000C4977">
        <w:rPr>
          <w:rFonts w:ascii="Arial Narrow" w:hAnsi="Arial Narrow"/>
          <w:b/>
          <w:iCs/>
          <w:sz w:val="20"/>
          <w:szCs w:val="18"/>
        </w:rPr>
        <w:tab/>
        <w:t>Patient populations requested by PASC</w:t>
      </w:r>
    </w:p>
    <w:tbl>
      <w:tblPr>
        <w:tblStyle w:val="PBAC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016"/>
      </w:tblGrid>
      <w:tr w:rsidR="000C4977" w:rsidRPr="000C4977" w14:paraId="3A4D8F8D"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1498148" w14:textId="77777777" w:rsidR="000C4977" w:rsidRPr="000C4977" w:rsidRDefault="000C4977" w:rsidP="000C4977">
            <w:pPr>
              <w:pStyle w:val="Tabletext0"/>
              <w:rPr>
                <w:rFonts w:eastAsiaTheme="majorEastAsia"/>
                <w:lang w:bidi="en-US"/>
              </w:rPr>
            </w:pPr>
            <w:r w:rsidRPr="000C4977">
              <w:rPr>
                <w:rFonts w:eastAsiaTheme="majorEastAsia"/>
                <w:lang w:bidi="en-US"/>
              </w:rPr>
              <w:t>Population</w:t>
            </w:r>
          </w:p>
        </w:tc>
        <w:tc>
          <w:tcPr>
            <w:tcW w:w="6946" w:type="dxa"/>
            <w:shd w:val="clear" w:color="auto" w:fill="auto"/>
            <w:vAlign w:val="center"/>
          </w:tcPr>
          <w:p w14:paraId="3BF17CCD"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rPr>
                <w:rFonts w:eastAsiaTheme="majorEastAsia"/>
                <w:bCs/>
              </w:rPr>
            </w:pPr>
            <w:r w:rsidRPr="000C4977">
              <w:rPr>
                <w:rFonts w:eastAsiaTheme="majorEastAsia"/>
                <w:bCs/>
              </w:rPr>
              <w:t>Population details</w:t>
            </w:r>
          </w:p>
        </w:tc>
      </w:tr>
      <w:tr w:rsidR="000C4977" w:rsidRPr="000C4977" w14:paraId="4F961B38" w14:textId="77777777" w:rsidTr="00A91280">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C88EE36" w14:textId="77777777" w:rsidR="000C4977" w:rsidRPr="000C4977" w:rsidRDefault="000C4977" w:rsidP="000C4977">
            <w:pPr>
              <w:pStyle w:val="Tabletext0"/>
              <w:rPr>
                <w:rFonts w:eastAsiaTheme="majorEastAsia"/>
                <w:lang w:bidi="en-US"/>
              </w:rPr>
            </w:pPr>
            <w:r w:rsidRPr="000C4977">
              <w:rPr>
                <w:rFonts w:eastAsiaTheme="majorEastAsia"/>
                <w:lang w:bidi="en-US"/>
              </w:rPr>
              <w:t>PASC population 1</w:t>
            </w:r>
          </w:p>
        </w:tc>
        <w:tc>
          <w:tcPr>
            <w:tcW w:w="6946" w:type="dxa"/>
            <w:shd w:val="clear" w:color="auto" w:fill="auto"/>
            <w:vAlign w:val="center"/>
          </w:tcPr>
          <w:p w14:paraId="3C276D3A" w14:textId="72A3C35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rPr>
                <w:rFonts w:eastAsiaTheme="majorEastAsia"/>
                <w:lang w:bidi="en-US"/>
              </w:rPr>
            </w:pPr>
            <w:r w:rsidRPr="000C4977">
              <w:rPr>
                <w:rFonts w:eastAsiaTheme="majorEastAsia"/>
                <w:lang w:bidi="en-US"/>
              </w:rPr>
              <w:t>HRD testing (</w:t>
            </w:r>
            <w:r w:rsidRPr="000C4977">
              <w:rPr>
                <w:rFonts w:eastAsiaTheme="majorEastAsia"/>
                <w:i/>
                <w:lang w:bidi="en-US"/>
              </w:rPr>
              <w:t>BRCA</w:t>
            </w:r>
            <w:r w:rsidRPr="000C4977">
              <w:rPr>
                <w:rFonts w:eastAsiaTheme="majorEastAsia"/>
                <w:lang w:bidi="en-US"/>
              </w:rPr>
              <w:t xml:space="preserve"> and</w:t>
            </w:r>
            <w:r w:rsidR="009339A5">
              <w:rPr>
                <w:rFonts w:eastAsiaTheme="majorEastAsia"/>
                <w:lang w:bidi="en-US"/>
              </w:rPr>
              <w:t xml:space="preserve"> genomic instability </w:t>
            </w:r>
            <w:r w:rsidRPr="000C4977">
              <w:rPr>
                <w:rFonts w:eastAsiaTheme="majorEastAsia"/>
                <w:lang w:bidi="en-US"/>
              </w:rPr>
              <w:t>in parallel) occurs upfront at diagnosis of advanced HGEOC.</w:t>
            </w:r>
          </w:p>
        </w:tc>
      </w:tr>
      <w:tr w:rsidR="000C4977" w:rsidRPr="000C4977" w14:paraId="36A09FA2" w14:textId="77777777" w:rsidTr="00A91280">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C9F0251" w14:textId="77777777" w:rsidR="000C4977" w:rsidRPr="000C4977" w:rsidRDefault="000C4977" w:rsidP="000C4977">
            <w:pPr>
              <w:pStyle w:val="Tabletext0"/>
              <w:rPr>
                <w:rFonts w:eastAsiaTheme="majorEastAsia"/>
                <w:lang w:bidi="en-US"/>
              </w:rPr>
            </w:pPr>
            <w:r w:rsidRPr="000C4977">
              <w:rPr>
                <w:rFonts w:eastAsiaTheme="majorEastAsia"/>
                <w:lang w:bidi="en-US"/>
              </w:rPr>
              <w:t>PASC population 2</w:t>
            </w:r>
          </w:p>
        </w:tc>
        <w:tc>
          <w:tcPr>
            <w:tcW w:w="6946" w:type="dxa"/>
            <w:shd w:val="clear" w:color="auto" w:fill="auto"/>
            <w:vAlign w:val="center"/>
          </w:tcPr>
          <w:p w14:paraId="0B28C880" w14:textId="32F32B74"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rPr>
                <w:rFonts w:eastAsiaTheme="majorEastAsia"/>
                <w:lang w:bidi="en-US"/>
              </w:rPr>
            </w:pPr>
            <w:proofErr w:type="spellStart"/>
            <w:r w:rsidRPr="000C4977">
              <w:rPr>
                <w:rFonts w:eastAsiaTheme="majorEastAsia"/>
                <w:lang w:bidi="en-US"/>
              </w:rPr>
              <w:t>Tumour</w:t>
            </w:r>
            <w:proofErr w:type="spellEnd"/>
            <w:r w:rsidRPr="000C4977">
              <w:rPr>
                <w:rFonts w:eastAsiaTheme="majorEastAsia"/>
                <w:lang w:bidi="en-US"/>
              </w:rPr>
              <w:t xml:space="preserve"> </w:t>
            </w:r>
            <w:r w:rsidRPr="000C4977">
              <w:rPr>
                <w:rFonts w:eastAsiaTheme="majorEastAsia"/>
                <w:i/>
                <w:lang w:bidi="en-US"/>
              </w:rPr>
              <w:t>BRCA</w:t>
            </w:r>
            <w:r w:rsidRPr="000C4977">
              <w:rPr>
                <w:rFonts w:eastAsiaTheme="majorEastAsia"/>
                <w:lang w:bidi="en-US"/>
              </w:rPr>
              <w:t xml:space="preserve"> testing occurs upfront at diagnosis of advanced HGEOC. Patients returning a negative </w:t>
            </w:r>
            <w:r w:rsidRPr="000C4977">
              <w:rPr>
                <w:rFonts w:eastAsiaTheme="majorEastAsia"/>
                <w:i/>
                <w:lang w:bidi="en-US"/>
              </w:rPr>
              <w:t>BRCA</w:t>
            </w:r>
            <w:r w:rsidRPr="000C4977">
              <w:rPr>
                <w:rFonts w:eastAsiaTheme="majorEastAsia"/>
                <w:lang w:bidi="en-US"/>
              </w:rPr>
              <w:t xml:space="preserve"> result will then be tested for</w:t>
            </w:r>
            <w:r w:rsidR="009339A5">
              <w:rPr>
                <w:rFonts w:eastAsiaTheme="majorEastAsia"/>
                <w:lang w:bidi="en-US"/>
              </w:rPr>
              <w:t xml:space="preserve"> genomic instability </w:t>
            </w:r>
            <w:r w:rsidRPr="000C4977">
              <w:rPr>
                <w:rFonts w:eastAsiaTheme="majorEastAsia"/>
                <w:lang w:bidi="en-US"/>
              </w:rPr>
              <w:t xml:space="preserve">status. </w:t>
            </w:r>
          </w:p>
        </w:tc>
      </w:tr>
      <w:tr w:rsidR="000C4977" w:rsidRPr="000C4977" w14:paraId="7D4FC814" w14:textId="77777777" w:rsidTr="00A91280">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4B18C81E" w14:textId="77777777" w:rsidR="000C4977" w:rsidRPr="000C4977" w:rsidRDefault="000C4977" w:rsidP="000C4977">
            <w:pPr>
              <w:pStyle w:val="Tabletext0"/>
              <w:rPr>
                <w:rFonts w:eastAsiaTheme="majorEastAsia"/>
                <w:lang w:bidi="en-US"/>
              </w:rPr>
            </w:pPr>
            <w:r w:rsidRPr="000C4977">
              <w:rPr>
                <w:rFonts w:eastAsiaTheme="majorEastAsia"/>
                <w:lang w:bidi="en-US"/>
              </w:rPr>
              <w:t>PASC population 3</w:t>
            </w:r>
          </w:p>
        </w:tc>
        <w:tc>
          <w:tcPr>
            <w:tcW w:w="6946" w:type="dxa"/>
            <w:shd w:val="clear" w:color="auto" w:fill="auto"/>
            <w:vAlign w:val="center"/>
          </w:tcPr>
          <w:p w14:paraId="10C1FE91" w14:textId="0D5C8F37" w:rsidR="000C4977" w:rsidRPr="000C4977" w:rsidRDefault="000C4977" w:rsidP="000C4977">
            <w:pPr>
              <w:pStyle w:val="Tabletext0"/>
              <w:cnfStyle w:val="000000000000" w:firstRow="0"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It is assumed that only patients receiving bevacizumab treatment with first-line platinum-based chemotherapy are eligible for HRD testing. These patients are tested to identify</w:t>
            </w:r>
            <w:r w:rsidR="009339A5">
              <w:rPr>
                <w:rFonts w:eastAsiaTheme="majorEastAsia"/>
              </w:rPr>
              <w:t xml:space="preserve"> genomic instability </w:t>
            </w:r>
            <w:r w:rsidRPr="000C4977">
              <w:rPr>
                <w:rFonts w:eastAsiaTheme="majorEastAsia"/>
              </w:rPr>
              <w:t xml:space="preserve">status. Patients who have not been determined to receive bevacizumab as part of initial first-line platinum-based chemotherapy will be tested for </w:t>
            </w:r>
            <w:proofErr w:type="spellStart"/>
            <w:r w:rsidRPr="000C4977">
              <w:rPr>
                <w:rFonts w:eastAsiaTheme="majorEastAsia"/>
              </w:rPr>
              <w:t>tumour</w:t>
            </w:r>
            <w:proofErr w:type="spellEnd"/>
            <w:r w:rsidRPr="000C4977">
              <w:rPr>
                <w:rFonts w:eastAsiaTheme="majorEastAsia"/>
              </w:rPr>
              <w:t xml:space="preserve"> </w:t>
            </w:r>
            <w:r w:rsidRPr="000C4977">
              <w:rPr>
                <w:rFonts w:eastAsiaTheme="majorEastAsia"/>
                <w:i/>
              </w:rPr>
              <w:t>BRCA</w:t>
            </w:r>
            <w:r w:rsidRPr="000C4977">
              <w:rPr>
                <w:rFonts w:eastAsiaTheme="majorEastAsia"/>
              </w:rPr>
              <w:t>. (Referred to as PASC population 3a in the submission).</w:t>
            </w:r>
          </w:p>
        </w:tc>
      </w:tr>
    </w:tbl>
    <w:p w14:paraId="78BBAB70" w14:textId="61C12F37" w:rsidR="000C4977" w:rsidRPr="000C4977" w:rsidRDefault="000C4977" w:rsidP="000C4977">
      <w:pPr>
        <w:spacing w:line="259" w:lineRule="auto"/>
        <w:jc w:val="left"/>
      </w:pPr>
      <w:r w:rsidRPr="000C4977">
        <w:t xml:space="preserve">Population 1 was the base case presented by the submission. The submission presented scenarios for the populations requested by PASC and for one additional population (labelled “Population 3b”) that investigated the scenario in which all patients undergo </w:t>
      </w:r>
      <w:r w:rsidRPr="000C4977">
        <w:rPr>
          <w:i/>
        </w:rPr>
        <w:t>BRCA</w:t>
      </w:r>
      <w:r w:rsidRPr="000C4977">
        <w:t xml:space="preserve"> testing at diagnosis. Immediate subsequent HRD testing is restricted to </w:t>
      </w:r>
      <w:proofErr w:type="spellStart"/>
      <w:r w:rsidRPr="000C4977">
        <w:rPr>
          <w:i/>
        </w:rPr>
        <w:t>BRCA</w:t>
      </w:r>
      <w:r w:rsidR="006855D2">
        <w:t>wt</w:t>
      </w:r>
      <w:proofErr w:type="spellEnd"/>
      <w:r w:rsidRPr="000C4977">
        <w:t xml:space="preserve"> patients who received bevacizumab with their platinum-based chemotherapy.</w:t>
      </w:r>
    </w:p>
    <w:p w14:paraId="52ACD169" w14:textId="7062ACAF" w:rsidR="000C4977" w:rsidRPr="000C4977" w:rsidRDefault="000C4977" w:rsidP="000C4977">
      <w:pPr>
        <w:spacing w:line="259" w:lineRule="auto"/>
        <w:jc w:val="left"/>
      </w:pPr>
      <w:r w:rsidRPr="000C4977">
        <w:t xml:space="preserve">Sensitivity and specificity in the economic model were assumed to be 100% for the </w:t>
      </w:r>
      <w:r w:rsidRPr="000C4977">
        <w:rPr>
          <w:i/>
          <w:iCs/>
        </w:rPr>
        <w:t>BRCA</w:t>
      </w:r>
      <w:r w:rsidRPr="000C4977">
        <w:t xml:space="preserve"> test and 95% for the HRD test. The commentary considered that this may not be reasonable. No diagnostic accuracy studies comparing the proposed HRD test (the </w:t>
      </w:r>
      <w:proofErr w:type="spellStart"/>
      <w:r w:rsidRPr="000C4977">
        <w:t>SOPHiA</w:t>
      </w:r>
      <w:proofErr w:type="spellEnd"/>
      <w:r w:rsidRPr="000C4977">
        <w:t xml:space="preserve"> assay) with NGS for </w:t>
      </w:r>
      <w:r w:rsidRPr="00122507">
        <w:rPr>
          <w:i/>
          <w:iCs/>
        </w:rPr>
        <w:t>BRCA</w:t>
      </w:r>
      <w:r w:rsidRPr="000C4977">
        <w:t xml:space="preserve"> testing were presented.</w:t>
      </w:r>
    </w:p>
    <w:p w14:paraId="4AEA8E5F" w14:textId="77777777" w:rsidR="000C4977" w:rsidRPr="000C4977" w:rsidRDefault="000C4977" w:rsidP="000C4977">
      <w:pPr>
        <w:spacing w:line="259" w:lineRule="auto"/>
        <w:jc w:val="left"/>
      </w:pPr>
      <w:r w:rsidRPr="000C4977">
        <w:t>The base case ICERs for the trial-based analysis and the modelled analysis are presented below.</w:t>
      </w:r>
    </w:p>
    <w:p w14:paraId="2364BB90" w14:textId="619F2CB8" w:rsidR="000C4977" w:rsidRPr="008E505D" w:rsidRDefault="000C4977" w:rsidP="000C4977">
      <w:pPr>
        <w:keepNext/>
        <w:tabs>
          <w:tab w:val="left" w:pos="0"/>
        </w:tabs>
        <w:spacing w:before="0" w:after="0"/>
        <w:contextualSpacing/>
        <w:rPr>
          <w:rFonts w:ascii="Arial Narrow" w:hAnsi="Arial Narrow"/>
          <w:b/>
          <w:iCs/>
          <w:sz w:val="20"/>
          <w:szCs w:val="18"/>
        </w:rPr>
      </w:pPr>
      <w:r w:rsidRPr="008E505D">
        <w:rPr>
          <w:rFonts w:ascii="Arial Narrow" w:hAnsi="Arial Narrow"/>
          <w:b/>
          <w:iCs/>
          <w:sz w:val="20"/>
          <w:szCs w:val="18"/>
        </w:rPr>
        <w:lastRenderedPageBreak/>
        <w:t xml:space="preserve">Table </w:t>
      </w:r>
      <w:r w:rsidRPr="008E505D">
        <w:rPr>
          <w:rFonts w:ascii="Arial Narrow" w:hAnsi="Arial Narrow"/>
          <w:b/>
          <w:iCs/>
          <w:sz w:val="20"/>
          <w:szCs w:val="18"/>
        </w:rPr>
        <w:fldChar w:fldCharType="begin"/>
      </w:r>
      <w:r w:rsidRPr="008E505D">
        <w:rPr>
          <w:rFonts w:ascii="Arial Narrow" w:hAnsi="Arial Narrow"/>
          <w:b/>
          <w:iCs/>
          <w:sz w:val="20"/>
          <w:szCs w:val="18"/>
        </w:rPr>
        <w:instrText xml:space="preserve"> SEQ Table \* ARABIC </w:instrText>
      </w:r>
      <w:r w:rsidRPr="008E505D">
        <w:rPr>
          <w:rFonts w:ascii="Arial Narrow" w:hAnsi="Arial Narrow"/>
          <w:b/>
          <w:iCs/>
          <w:sz w:val="20"/>
          <w:szCs w:val="18"/>
        </w:rPr>
        <w:fldChar w:fldCharType="separate"/>
      </w:r>
      <w:r w:rsidR="00D8603B" w:rsidRPr="008E505D">
        <w:rPr>
          <w:rFonts w:ascii="Arial Narrow" w:hAnsi="Arial Narrow"/>
          <w:b/>
          <w:iCs/>
          <w:noProof/>
          <w:sz w:val="20"/>
          <w:szCs w:val="18"/>
        </w:rPr>
        <w:t>22</w:t>
      </w:r>
      <w:r w:rsidRPr="008E505D">
        <w:rPr>
          <w:rFonts w:ascii="Arial Narrow" w:hAnsi="Arial Narrow"/>
          <w:b/>
          <w:iCs/>
          <w:noProof/>
          <w:sz w:val="20"/>
          <w:szCs w:val="18"/>
        </w:rPr>
        <w:fldChar w:fldCharType="end"/>
      </w:r>
      <w:r w:rsidRPr="008E505D">
        <w:rPr>
          <w:rFonts w:ascii="Arial Narrow" w:hAnsi="Arial Narrow"/>
          <w:b/>
          <w:iCs/>
          <w:sz w:val="20"/>
          <w:szCs w:val="18"/>
        </w:rPr>
        <w:tab/>
        <w:t>Results of the economic evaluation</w:t>
      </w:r>
    </w:p>
    <w:tbl>
      <w:tblPr>
        <w:tblStyle w:val="ASDTable1"/>
        <w:tblW w:w="5000" w:type="pct"/>
        <w:tblCellMar>
          <w:left w:w="28" w:type="dxa"/>
          <w:right w:w="28" w:type="dxa"/>
        </w:tblCellMar>
        <w:tblLook w:val="01E0" w:firstRow="1" w:lastRow="1" w:firstColumn="1" w:lastColumn="1" w:noHBand="0" w:noVBand="0"/>
      </w:tblPr>
      <w:tblGrid>
        <w:gridCol w:w="2254"/>
        <w:gridCol w:w="2362"/>
        <w:gridCol w:w="2362"/>
        <w:gridCol w:w="2038"/>
      </w:tblGrid>
      <w:tr w:rsidR="000C4977" w:rsidRPr="008E505D" w14:paraId="48E75C77" w14:textId="77777777" w:rsidTr="00A91280">
        <w:tc>
          <w:tcPr>
            <w:tcW w:w="1250" w:type="pct"/>
            <w:tcBorders>
              <w:top w:val="single" w:sz="4" w:space="0" w:color="auto"/>
              <w:left w:val="single" w:sz="4" w:space="0" w:color="auto"/>
              <w:bottom w:val="single" w:sz="4" w:space="0" w:color="auto"/>
              <w:right w:val="single" w:sz="4" w:space="0" w:color="auto"/>
            </w:tcBorders>
            <w:vAlign w:val="center"/>
            <w:hideMark/>
          </w:tcPr>
          <w:p w14:paraId="6A7C501D" w14:textId="77777777" w:rsidR="000C4977" w:rsidRPr="008E505D" w:rsidRDefault="000C4977" w:rsidP="00EB0C59">
            <w:pPr>
              <w:keepNext/>
              <w:keepLines/>
              <w:spacing w:before="0"/>
              <w:jc w:val="center"/>
              <w:rPr>
                <w:rFonts w:ascii="Arial Narrow" w:hAnsi="Arial Narrow"/>
                <w:b/>
              </w:rPr>
            </w:pPr>
            <w:r w:rsidRPr="008E505D">
              <w:rPr>
                <w:rFonts w:ascii="Arial Narrow" w:hAnsi="Arial Narrow"/>
                <w:b/>
              </w:rPr>
              <w:t>Component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3E1A4958" w14:textId="504DDE39" w:rsidR="000C4977" w:rsidRPr="008E505D" w:rsidRDefault="000C4977" w:rsidP="00EB0C59">
            <w:pPr>
              <w:keepNext/>
              <w:keepLines/>
              <w:spacing w:before="0"/>
              <w:jc w:val="center"/>
              <w:rPr>
                <w:rFonts w:ascii="Arial Narrow" w:hAnsi="Arial Narrow"/>
                <w:b/>
              </w:rPr>
            </w:pPr>
            <w:r w:rsidRPr="008E505D">
              <w:rPr>
                <w:rFonts w:ascii="Arial Narrow" w:hAnsi="Arial Narrow"/>
                <w:b/>
                <w:bCs/>
                <w:color w:val="000000"/>
              </w:rPr>
              <w:t>Olaparib</w:t>
            </w:r>
            <w:r w:rsidR="002653CF" w:rsidRPr="008E505D">
              <w:rPr>
                <w:rFonts w:ascii="Arial Narrow" w:hAnsi="Arial Narrow"/>
                <w:b/>
                <w:bCs/>
                <w:color w:val="000000"/>
              </w:rPr>
              <w:t xml:space="preserve"> </w:t>
            </w:r>
            <w:r w:rsidRPr="008E505D">
              <w:rPr>
                <w:rFonts w:ascii="Arial Narrow" w:hAnsi="Arial Narrow"/>
                <w:b/>
                <w:bCs/>
                <w:color w:val="000000"/>
              </w:rPr>
              <w:t>+</w:t>
            </w:r>
            <w:r w:rsidR="002653CF" w:rsidRPr="008E505D">
              <w:rPr>
                <w:rFonts w:ascii="Arial Narrow" w:hAnsi="Arial Narrow"/>
                <w:b/>
                <w:bCs/>
                <w:color w:val="000000"/>
              </w:rPr>
              <w:t xml:space="preserve"> </w:t>
            </w:r>
            <w:r w:rsidRPr="008E505D">
              <w:rPr>
                <w:rFonts w:ascii="Arial Narrow" w:hAnsi="Arial Narrow"/>
                <w:b/>
                <w:bCs/>
                <w:color w:val="000000"/>
              </w:rPr>
              <w:t>bevacizumab (proposed scenario)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17C8286" w14:textId="2576D1FE" w:rsidR="000C4977" w:rsidRPr="008E505D" w:rsidRDefault="000C4977" w:rsidP="00EB0C59">
            <w:pPr>
              <w:keepNext/>
              <w:keepLines/>
              <w:spacing w:before="0"/>
              <w:jc w:val="center"/>
              <w:rPr>
                <w:rFonts w:ascii="Arial Narrow" w:hAnsi="Arial Narrow"/>
                <w:b/>
                <w:bCs/>
                <w:color w:val="000000"/>
              </w:rPr>
            </w:pPr>
            <w:r w:rsidRPr="008E505D">
              <w:rPr>
                <w:rFonts w:ascii="Arial Narrow" w:hAnsi="Arial Narrow"/>
                <w:b/>
                <w:bCs/>
                <w:color w:val="000000"/>
              </w:rPr>
              <w:t>Bevacizumab</w:t>
            </w:r>
          </w:p>
          <w:p w14:paraId="70A80214" w14:textId="77777777" w:rsidR="000C4977" w:rsidRPr="008E505D" w:rsidRDefault="000C4977" w:rsidP="00EB0C59">
            <w:pPr>
              <w:keepNext/>
              <w:keepLines/>
              <w:spacing w:before="0"/>
              <w:jc w:val="center"/>
              <w:rPr>
                <w:rFonts w:ascii="Arial Narrow" w:hAnsi="Arial Narrow"/>
                <w:b/>
              </w:rPr>
            </w:pPr>
            <w:r w:rsidRPr="008E505D">
              <w:rPr>
                <w:rFonts w:ascii="Arial Narrow" w:hAnsi="Arial Narrow"/>
                <w:b/>
                <w:bCs/>
                <w:color w:val="000000"/>
              </w:rPr>
              <w:t>(</w:t>
            </w:r>
            <w:proofErr w:type="gramStart"/>
            <w:r w:rsidRPr="008E505D">
              <w:rPr>
                <w:rFonts w:ascii="Arial Narrow" w:hAnsi="Arial Narrow"/>
                <w:b/>
                <w:bCs/>
                <w:color w:val="000000"/>
              </w:rPr>
              <w:t>current</w:t>
            </w:r>
            <w:proofErr w:type="gramEnd"/>
            <w:r w:rsidRPr="008E505D">
              <w:rPr>
                <w:rFonts w:ascii="Arial Narrow" w:hAnsi="Arial Narrow"/>
                <w:b/>
                <w:bCs/>
                <w:color w:val="000000"/>
              </w:rPr>
              <w:t xml:space="preserve"> scenario)</w:t>
            </w:r>
          </w:p>
        </w:tc>
        <w:tc>
          <w:tcPr>
            <w:tcW w:w="1130" w:type="pct"/>
            <w:tcBorders>
              <w:top w:val="single" w:sz="4" w:space="0" w:color="auto"/>
              <w:left w:val="single" w:sz="4" w:space="0" w:color="auto"/>
              <w:bottom w:val="single" w:sz="4" w:space="0" w:color="auto"/>
              <w:right w:val="single" w:sz="4" w:space="0" w:color="auto"/>
            </w:tcBorders>
            <w:vAlign w:val="center"/>
            <w:hideMark/>
          </w:tcPr>
          <w:p w14:paraId="7864AA54" w14:textId="77777777" w:rsidR="000C4977" w:rsidRPr="008E505D" w:rsidRDefault="000C4977" w:rsidP="00EB0C59">
            <w:pPr>
              <w:keepNext/>
              <w:keepLines/>
              <w:spacing w:before="0"/>
              <w:jc w:val="center"/>
              <w:rPr>
                <w:rFonts w:ascii="Arial Narrow" w:hAnsi="Arial Narrow"/>
                <w:b/>
              </w:rPr>
            </w:pPr>
            <w:r w:rsidRPr="008E505D">
              <w:rPr>
                <w:rFonts w:ascii="Arial Narrow" w:hAnsi="Arial Narrow"/>
                <w:b/>
              </w:rPr>
              <w:t>Increment</w:t>
            </w:r>
          </w:p>
        </w:tc>
      </w:tr>
      <w:tr w:rsidR="000C4977" w:rsidRPr="008E505D" w14:paraId="33049BBF" w14:textId="77777777" w:rsidTr="00A91280">
        <w:tc>
          <w:tcPr>
            <w:tcW w:w="5000" w:type="pct"/>
            <w:gridSpan w:val="4"/>
            <w:tcBorders>
              <w:top w:val="single" w:sz="4" w:space="0" w:color="auto"/>
              <w:left w:val="single" w:sz="4" w:space="0" w:color="auto"/>
              <w:bottom w:val="single" w:sz="4" w:space="0" w:color="auto"/>
              <w:right w:val="single" w:sz="4" w:space="0" w:color="auto"/>
            </w:tcBorders>
            <w:hideMark/>
          </w:tcPr>
          <w:p w14:paraId="6ED3161F" w14:textId="77777777" w:rsidR="000C4977" w:rsidRPr="008E505D" w:rsidRDefault="000C4977" w:rsidP="00EB0C59">
            <w:pPr>
              <w:keepNext/>
              <w:keepLines/>
              <w:tabs>
                <w:tab w:val="decimal" w:pos="0"/>
                <w:tab w:val="decimal" w:pos="396"/>
              </w:tabs>
              <w:spacing w:before="0"/>
              <w:jc w:val="left"/>
              <w:rPr>
                <w:rFonts w:ascii="Arial Narrow" w:hAnsi="Arial Narrow"/>
                <w:b/>
                <w:iCs/>
              </w:rPr>
            </w:pPr>
            <w:r w:rsidRPr="008E505D">
              <w:rPr>
                <w:rFonts w:ascii="Arial Narrow" w:hAnsi="Arial Narrow"/>
                <w:b/>
                <w:iCs/>
              </w:rPr>
              <w:t>Trial-based ICER (38 months)</w:t>
            </w:r>
          </w:p>
        </w:tc>
      </w:tr>
      <w:tr w:rsidR="000C4977" w:rsidRPr="008E505D" w14:paraId="316FC2CF" w14:textId="77777777" w:rsidTr="00A8205F">
        <w:tc>
          <w:tcPr>
            <w:tcW w:w="1250" w:type="pct"/>
            <w:tcBorders>
              <w:top w:val="single" w:sz="4" w:space="0" w:color="auto"/>
              <w:left w:val="single" w:sz="4" w:space="0" w:color="auto"/>
              <w:bottom w:val="single" w:sz="4" w:space="0" w:color="auto"/>
              <w:right w:val="single" w:sz="4" w:space="0" w:color="auto"/>
            </w:tcBorders>
            <w:vAlign w:val="bottom"/>
            <w:hideMark/>
          </w:tcPr>
          <w:p w14:paraId="52D7CB39" w14:textId="77777777" w:rsidR="000C4977" w:rsidRPr="008E505D" w:rsidRDefault="000C4977" w:rsidP="00EB0C59">
            <w:pPr>
              <w:keepNext/>
              <w:keepLines/>
              <w:spacing w:before="0"/>
              <w:jc w:val="left"/>
              <w:rPr>
                <w:rFonts w:ascii="Arial Narrow" w:hAnsi="Arial Narrow"/>
              </w:rPr>
            </w:pPr>
            <w:r w:rsidRPr="008E505D">
              <w:rPr>
                <w:rFonts w:ascii="Arial Narrow" w:hAnsi="Arial Narrow"/>
                <w:color w:val="000000"/>
              </w:rPr>
              <w:t>Discounted cost</w:t>
            </w:r>
          </w:p>
        </w:tc>
        <w:tc>
          <w:tcPr>
            <w:tcW w:w="1310"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3B9C2592" w14:textId="2210AA15" w:rsidR="000C4977" w:rsidRPr="00AB21C8" w:rsidRDefault="00A8205F" w:rsidP="00EB0C59">
            <w:pPr>
              <w:keepNext/>
              <w:keepLines/>
              <w:tabs>
                <w:tab w:val="decimal" w:pos="396"/>
              </w:tabs>
              <w:spacing w:before="0"/>
              <w:jc w:val="center"/>
              <w:rPr>
                <w:rFonts w:ascii="Arial Narrow" w:hAnsi="Arial Narrow"/>
                <w:i/>
              </w:rPr>
            </w:pPr>
            <w:r w:rsidRPr="00AB21C8">
              <w:rPr>
                <w:rFonts w:ascii="Arial Narrow" w:hAnsi="Arial Narrow" w:cs="Calibri"/>
                <w:color w:val="000000"/>
                <w14:textFill>
                  <w14:solidFill>
                    <w14:srgbClr w14:val="000000">
                      <w14:alpha w14:val="100000"/>
                    </w14:srgbClr>
                  </w14:solidFill>
                </w14:textFill>
              </w:rPr>
              <w: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705A2009" w14:textId="77777777" w:rsidR="000C4977" w:rsidRPr="008E505D" w:rsidRDefault="000C4977" w:rsidP="00EB0C59">
            <w:pPr>
              <w:keepNext/>
              <w:keepLines/>
              <w:tabs>
                <w:tab w:val="decimal" w:pos="396"/>
              </w:tabs>
              <w:spacing w:before="0"/>
              <w:jc w:val="center"/>
              <w:rPr>
                <w:rFonts w:ascii="Arial Narrow" w:hAnsi="Arial Narrow"/>
                <w:i/>
                <w:highlight w:val="lightGray"/>
              </w:rPr>
            </w:pPr>
            <w:r w:rsidRPr="00D43E46">
              <w:rPr>
                <w:rFonts w:ascii="Arial Narrow" w:hAnsi="Arial Narrow" w:cs="Calibri"/>
                <w:color w:val="000000"/>
              </w:rPr>
              <w:t>$17,271</w:t>
            </w:r>
          </w:p>
        </w:tc>
        <w:tc>
          <w:tcPr>
            <w:tcW w:w="1130"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4C8BFCD8" w14:textId="4CD7A3B3" w:rsidR="000C4977" w:rsidRPr="008E505D" w:rsidRDefault="00A8205F" w:rsidP="00EB0C59">
            <w:pPr>
              <w:keepNext/>
              <w:keepLines/>
              <w:tabs>
                <w:tab w:val="decimal" w:pos="396"/>
              </w:tabs>
              <w:spacing w:before="0"/>
              <w:jc w:val="center"/>
              <w:rPr>
                <w:rFonts w:ascii="Arial Narrow" w:hAnsi="Arial Narrow"/>
                <w:bCs/>
                <w:i/>
                <w:highlight w:val="lightGray"/>
              </w:rPr>
            </w:pPr>
            <w:r w:rsidRPr="00A8205F">
              <w:rPr>
                <w:rFonts w:ascii="Arial Narrow" w:hAnsi="Arial Narrow" w:cs="Calibri"/>
                <w:color w:val="000000"/>
                <w14:textFill>
                  <w14:solidFill>
                    <w14:srgbClr w14:val="000000">
                      <w14:alpha w14:val="100000"/>
                    </w14:srgbClr>
                  </w14:solidFill>
                </w14:textFill>
              </w:rPr>
              <w:t>|</w:t>
            </w:r>
          </w:p>
        </w:tc>
      </w:tr>
      <w:tr w:rsidR="000C4977" w:rsidRPr="008E505D" w14:paraId="0AB37C04" w14:textId="77777777" w:rsidTr="00A8205F">
        <w:tc>
          <w:tcPr>
            <w:tcW w:w="1250" w:type="pct"/>
            <w:tcBorders>
              <w:top w:val="single" w:sz="4" w:space="0" w:color="auto"/>
              <w:left w:val="single" w:sz="4" w:space="0" w:color="auto"/>
              <w:bottom w:val="single" w:sz="4" w:space="0" w:color="auto"/>
              <w:right w:val="single" w:sz="4" w:space="0" w:color="auto"/>
            </w:tcBorders>
            <w:vAlign w:val="bottom"/>
            <w:hideMark/>
          </w:tcPr>
          <w:p w14:paraId="27915EF6" w14:textId="77777777" w:rsidR="000C4977" w:rsidRPr="008E505D" w:rsidRDefault="000C4977" w:rsidP="00EB0C59">
            <w:pPr>
              <w:keepNext/>
              <w:keepLines/>
              <w:spacing w:before="0"/>
              <w:jc w:val="left"/>
              <w:rPr>
                <w:rFonts w:ascii="Arial Narrow" w:hAnsi="Arial Narrow"/>
              </w:rPr>
            </w:pPr>
            <w:r w:rsidRPr="008E505D">
              <w:rPr>
                <w:rFonts w:ascii="Arial Narrow" w:hAnsi="Arial Narrow"/>
                <w:color w:val="000000"/>
              </w:rPr>
              <w:t>Progression-free years gained</w:t>
            </w:r>
          </w:p>
        </w:tc>
        <w:tc>
          <w:tcPr>
            <w:tcW w:w="1310" w:type="pct"/>
            <w:tcBorders>
              <w:top w:val="single" w:sz="4" w:space="0" w:color="auto"/>
              <w:left w:val="single" w:sz="4" w:space="0" w:color="auto"/>
              <w:bottom w:val="single" w:sz="4" w:space="0" w:color="auto"/>
              <w:right w:val="single" w:sz="4" w:space="0" w:color="auto"/>
            </w:tcBorders>
            <w:vAlign w:val="center"/>
            <w:hideMark/>
          </w:tcPr>
          <w:p w14:paraId="0EF4BC17" w14:textId="6718F9B7" w:rsidR="000C4977" w:rsidRPr="00240867" w:rsidRDefault="000C4977" w:rsidP="00EB0C59">
            <w:pPr>
              <w:keepNext/>
              <w:keepLines/>
              <w:tabs>
                <w:tab w:val="decimal" w:pos="118"/>
                <w:tab w:val="decimal" w:pos="396"/>
              </w:tabs>
              <w:spacing w:before="0"/>
              <w:jc w:val="center"/>
              <w:rPr>
                <w:rFonts w:ascii="Arial Narrow" w:hAnsi="Arial Narrow"/>
                <w:vertAlign w:val="superscript"/>
              </w:rPr>
            </w:pPr>
            <w:r w:rsidRPr="00240867">
              <w:rPr>
                <w:rFonts w:ascii="Arial Narrow" w:hAnsi="Arial Narrow" w:cs="Calibri"/>
                <w:color w:val="000000"/>
              </w:rPr>
              <w:t xml:space="preserve">2.29 </w:t>
            </w:r>
          </w:p>
        </w:tc>
        <w:tc>
          <w:tcPr>
            <w:tcW w:w="1310" w:type="pct"/>
            <w:tcBorders>
              <w:top w:val="single" w:sz="4" w:space="0" w:color="auto"/>
              <w:left w:val="single" w:sz="4" w:space="0" w:color="auto"/>
              <w:bottom w:val="single" w:sz="4" w:space="0" w:color="auto"/>
              <w:right w:val="single" w:sz="4" w:space="0" w:color="auto"/>
            </w:tcBorders>
            <w:vAlign w:val="center"/>
            <w:hideMark/>
          </w:tcPr>
          <w:p w14:paraId="5DE08516" w14:textId="39AE199A" w:rsidR="000C4977" w:rsidRPr="00240867" w:rsidRDefault="000C4977" w:rsidP="00EB0C59">
            <w:pPr>
              <w:keepNext/>
              <w:keepLines/>
              <w:tabs>
                <w:tab w:val="decimal" w:pos="118"/>
                <w:tab w:val="decimal" w:pos="396"/>
              </w:tabs>
              <w:spacing w:before="0"/>
              <w:jc w:val="center"/>
              <w:rPr>
                <w:rFonts w:ascii="Arial Narrow" w:hAnsi="Arial Narrow"/>
                <w:vertAlign w:val="superscript"/>
              </w:rPr>
            </w:pPr>
            <w:r w:rsidRPr="00240867">
              <w:rPr>
                <w:rFonts w:ascii="Arial Narrow" w:hAnsi="Arial Narrow" w:cs="Calibri"/>
                <w:color w:val="000000"/>
              </w:rPr>
              <w:t xml:space="preserve">1.64 </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95E88D1" w14:textId="77777777" w:rsidR="000C4977" w:rsidRPr="00240867" w:rsidRDefault="000C4977" w:rsidP="00EB0C59">
            <w:pPr>
              <w:keepNext/>
              <w:keepLines/>
              <w:tabs>
                <w:tab w:val="decimal" w:pos="118"/>
                <w:tab w:val="decimal" w:pos="396"/>
              </w:tabs>
              <w:spacing w:before="0"/>
              <w:jc w:val="center"/>
              <w:rPr>
                <w:rFonts w:ascii="Arial Narrow" w:hAnsi="Arial Narrow"/>
                <w:bCs/>
              </w:rPr>
            </w:pPr>
            <w:r w:rsidRPr="00240867">
              <w:rPr>
                <w:rFonts w:ascii="Arial Narrow" w:hAnsi="Arial Narrow" w:cs="Calibri"/>
                <w:color w:val="000000"/>
              </w:rPr>
              <w:t>0.65</w:t>
            </w:r>
          </w:p>
        </w:tc>
      </w:tr>
      <w:tr w:rsidR="000C4977" w:rsidRPr="008E505D" w14:paraId="3C2CEE27" w14:textId="77777777" w:rsidTr="00A8205F">
        <w:tc>
          <w:tcPr>
            <w:tcW w:w="3870" w:type="pct"/>
            <w:gridSpan w:val="3"/>
            <w:tcBorders>
              <w:top w:val="single" w:sz="4" w:space="0" w:color="auto"/>
              <w:left w:val="single" w:sz="4" w:space="0" w:color="auto"/>
              <w:bottom w:val="single" w:sz="4" w:space="0" w:color="auto"/>
              <w:right w:val="single" w:sz="4" w:space="0" w:color="auto"/>
            </w:tcBorders>
            <w:hideMark/>
          </w:tcPr>
          <w:p w14:paraId="22A960E0" w14:textId="77777777" w:rsidR="000C4977" w:rsidRPr="008E505D" w:rsidRDefault="000C4977" w:rsidP="00EB0C59">
            <w:pPr>
              <w:keepNext/>
              <w:keepLines/>
              <w:tabs>
                <w:tab w:val="decimal" w:pos="396"/>
              </w:tabs>
              <w:spacing w:before="0"/>
              <w:jc w:val="right"/>
              <w:rPr>
                <w:rFonts w:ascii="Arial Narrow" w:hAnsi="Arial Narrow"/>
                <w:iCs/>
              </w:rPr>
            </w:pPr>
            <w:r w:rsidRPr="008E505D">
              <w:rPr>
                <w:rFonts w:ascii="Arial Narrow" w:hAnsi="Arial Narrow"/>
                <w:iCs/>
              </w:rPr>
              <w:t>Incremental cost per progression-free year gained</w:t>
            </w:r>
          </w:p>
        </w:tc>
        <w:tc>
          <w:tcPr>
            <w:tcW w:w="1130" w:type="pct"/>
            <w:tcBorders>
              <w:top w:val="single" w:sz="4" w:space="0" w:color="auto"/>
              <w:left w:val="single" w:sz="4" w:space="0" w:color="auto"/>
              <w:bottom w:val="single" w:sz="4" w:space="0" w:color="auto"/>
              <w:right w:val="single" w:sz="4" w:space="0" w:color="auto"/>
            </w:tcBorders>
            <w:shd w:val="solid" w:color="000000" w:fill="000000"/>
            <w:hideMark/>
          </w:tcPr>
          <w:p w14:paraId="56F6266C" w14:textId="5B6DFFF6" w:rsidR="000C4977" w:rsidRPr="008E505D" w:rsidRDefault="00A8205F" w:rsidP="00EB0C59">
            <w:pPr>
              <w:keepNext/>
              <w:keepLines/>
              <w:tabs>
                <w:tab w:val="decimal" w:pos="396"/>
              </w:tabs>
              <w:spacing w:before="0"/>
              <w:jc w:val="center"/>
              <w:rPr>
                <w:rFonts w:ascii="Arial Narrow" w:hAnsi="Arial Narrow" w:cs="Calibri"/>
                <w:bCs/>
                <w:iCs/>
                <w:color w:val="000000"/>
              </w:rPr>
            </w:pPr>
            <w:r w:rsidRPr="00A8205F">
              <w:rPr>
                <w:rFonts w:ascii="Arial Narrow" w:hAnsi="Arial Narrow" w:cs="Calibri"/>
                <w:iCs/>
                <w:color w:val="000000"/>
                <w14:textFill>
                  <w14:solidFill>
                    <w14:srgbClr w14:val="000000">
                      <w14:alpha w14:val="100000"/>
                    </w14:srgbClr>
                  </w14:solidFill>
                </w14:textFill>
              </w:rPr>
              <w:t>|</w:t>
            </w:r>
          </w:p>
        </w:tc>
      </w:tr>
      <w:tr w:rsidR="000C4977" w:rsidRPr="008E505D" w14:paraId="32B6D81E" w14:textId="77777777" w:rsidTr="00A91280">
        <w:tc>
          <w:tcPr>
            <w:tcW w:w="5000" w:type="pct"/>
            <w:gridSpan w:val="4"/>
            <w:tcBorders>
              <w:top w:val="single" w:sz="4" w:space="0" w:color="auto"/>
              <w:left w:val="single" w:sz="4" w:space="0" w:color="auto"/>
              <w:bottom w:val="single" w:sz="4" w:space="0" w:color="auto"/>
              <w:right w:val="single" w:sz="4" w:space="0" w:color="auto"/>
            </w:tcBorders>
            <w:hideMark/>
          </w:tcPr>
          <w:p w14:paraId="22B91DBE" w14:textId="77777777" w:rsidR="000C4977" w:rsidRPr="008E505D" w:rsidRDefault="000C4977" w:rsidP="00EB0C59">
            <w:pPr>
              <w:keepNext/>
              <w:keepLines/>
              <w:widowControl w:val="0"/>
              <w:spacing w:before="0"/>
              <w:jc w:val="left"/>
              <w:rPr>
                <w:rFonts w:ascii="Arial Narrow" w:hAnsi="Arial Narrow"/>
                <w:b/>
                <w:bCs/>
                <w:color w:val="000000" w:themeColor="text1"/>
              </w:rPr>
            </w:pPr>
            <w:r w:rsidRPr="008E505D">
              <w:rPr>
                <w:rFonts w:ascii="Arial Narrow" w:hAnsi="Arial Narrow"/>
                <w:b/>
                <w:bCs/>
                <w:color w:val="000000" w:themeColor="text1"/>
              </w:rPr>
              <w:t>Modelled cost per QALY versus bevacizumab (20 years)</w:t>
            </w:r>
          </w:p>
        </w:tc>
      </w:tr>
      <w:tr w:rsidR="000C4977" w:rsidRPr="00F663C7" w14:paraId="035E7B07" w14:textId="77777777" w:rsidTr="00A91280">
        <w:tc>
          <w:tcPr>
            <w:tcW w:w="1250" w:type="pct"/>
            <w:tcBorders>
              <w:top w:val="single" w:sz="4" w:space="0" w:color="auto"/>
              <w:left w:val="single" w:sz="4" w:space="0" w:color="auto"/>
              <w:bottom w:val="single" w:sz="4" w:space="0" w:color="auto"/>
              <w:right w:val="single" w:sz="4" w:space="0" w:color="auto"/>
            </w:tcBorders>
            <w:vAlign w:val="bottom"/>
            <w:hideMark/>
          </w:tcPr>
          <w:p w14:paraId="2B8DC56D" w14:textId="77777777" w:rsidR="000C4977" w:rsidRPr="00F663C7" w:rsidRDefault="000C4977" w:rsidP="00EB0C59">
            <w:pPr>
              <w:keepNext/>
              <w:keepLines/>
              <w:spacing w:before="0"/>
              <w:jc w:val="left"/>
              <w:rPr>
                <w:rFonts w:ascii="Arial Narrow" w:hAnsi="Arial Narrow"/>
              </w:rPr>
            </w:pPr>
            <w:r w:rsidRPr="00F663C7">
              <w:rPr>
                <w:rFonts w:ascii="Arial Narrow" w:hAnsi="Arial Narrow"/>
              </w:rPr>
              <w:t>Discounted costs</w:t>
            </w:r>
          </w:p>
        </w:tc>
        <w:tc>
          <w:tcPr>
            <w:tcW w:w="1310" w:type="pct"/>
            <w:tcBorders>
              <w:top w:val="single" w:sz="4" w:space="0" w:color="auto"/>
              <w:left w:val="single" w:sz="4" w:space="0" w:color="auto"/>
              <w:bottom w:val="single" w:sz="4" w:space="0" w:color="auto"/>
              <w:right w:val="single" w:sz="4" w:space="0" w:color="auto"/>
            </w:tcBorders>
            <w:vAlign w:val="bottom"/>
            <w:hideMark/>
          </w:tcPr>
          <w:p w14:paraId="78DBA7DB" w14:textId="4BC6BCB6" w:rsidR="000C4977" w:rsidRPr="00F663C7" w:rsidRDefault="000C4977" w:rsidP="00EB0C59">
            <w:pPr>
              <w:keepNext/>
              <w:keepLines/>
              <w:tabs>
                <w:tab w:val="decimal" w:pos="0"/>
                <w:tab w:val="decimal" w:pos="396"/>
              </w:tabs>
              <w:spacing w:before="0"/>
              <w:jc w:val="center"/>
              <w:rPr>
                <w:rFonts w:ascii="Arial Narrow" w:hAnsi="Arial Narrow"/>
                <w:iCs/>
                <w:vertAlign w:val="superscript"/>
              </w:rPr>
            </w:pPr>
            <w:r w:rsidRPr="00F663C7">
              <w:rPr>
                <w:rFonts w:ascii="Arial Narrow" w:hAnsi="Arial Narrow" w:cs="Calibri"/>
              </w:rPr>
              <w:t xml:space="preserve">$55,216 </w:t>
            </w:r>
          </w:p>
        </w:tc>
        <w:tc>
          <w:tcPr>
            <w:tcW w:w="1310" w:type="pct"/>
            <w:tcBorders>
              <w:top w:val="single" w:sz="4" w:space="0" w:color="auto"/>
              <w:left w:val="single" w:sz="4" w:space="0" w:color="auto"/>
              <w:bottom w:val="single" w:sz="4" w:space="0" w:color="auto"/>
              <w:right w:val="single" w:sz="4" w:space="0" w:color="auto"/>
            </w:tcBorders>
            <w:vAlign w:val="bottom"/>
            <w:hideMark/>
          </w:tcPr>
          <w:p w14:paraId="1DC384C8" w14:textId="3C067964" w:rsidR="000C4977" w:rsidRPr="00F663C7" w:rsidRDefault="000C4977" w:rsidP="00EB0C59">
            <w:pPr>
              <w:keepNext/>
              <w:keepLines/>
              <w:tabs>
                <w:tab w:val="decimal" w:pos="0"/>
                <w:tab w:val="decimal" w:pos="396"/>
              </w:tabs>
              <w:spacing w:before="0"/>
              <w:jc w:val="center"/>
              <w:rPr>
                <w:rFonts w:ascii="Arial Narrow" w:hAnsi="Arial Narrow"/>
                <w:iCs/>
                <w:vertAlign w:val="superscript"/>
              </w:rPr>
            </w:pPr>
            <w:r w:rsidRPr="00F663C7">
              <w:rPr>
                <w:rFonts w:ascii="Arial Narrow" w:hAnsi="Arial Narrow" w:cs="Calibri"/>
              </w:rPr>
              <w:t xml:space="preserve">$32,046 </w:t>
            </w:r>
          </w:p>
        </w:tc>
        <w:tc>
          <w:tcPr>
            <w:tcW w:w="1130" w:type="pct"/>
            <w:tcBorders>
              <w:top w:val="single" w:sz="4" w:space="0" w:color="auto"/>
              <w:left w:val="single" w:sz="4" w:space="0" w:color="auto"/>
              <w:bottom w:val="single" w:sz="4" w:space="0" w:color="auto"/>
              <w:right w:val="single" w:sz="4" w:space="0" w:color="auto"/>
            </w:tcBorders>
            <w:vAlign w:val="bottom"/>
            <w:hideMark/>
          </w:tcPr>
          <w:p w14:paraId="70C9A8D2" w14:textId="77777777" w:rsidR="000C4977" w:rsidRPr="00F663C7" w:rsidRDefault="000C4977" w:rsidP="00EB0C59">
            <w:pPr>
              <w:keepNext/>
              <w:keepLines/>
              <w:tabs>
                <w:tab w:val="decimal" w:pos="0"/>
                <w:tab w:val="decimal" w:pos="396"/>
              </w:tabs>
              <w:spacing w:before="0"/>
              <w:jc w:val="center"/>
              <w:rPr>
                <w:rFonts w:ascii="Arial Narrow" w:hAnsi="Arial Narrow"/>
                <w:bCs/>
                <w:iCs/>
              </w:rPr>
            </w:pPr>
            <w:r w:rsidRPr="00F663C7">
              <w:rPr>
                <w:rFonts w:ascii="Arial Narrow" w:hAnsi="Arial Narrow" w:cs="Calibri"/>
              </w:rPr>
              <w:t>$23,170</w:t>
            </w:r>
          </w:p>
        </w:tc>
      </w:tr>
      <w:tr w:rsidR="000C4977" w:rsidRPr="00F663C7" w14:paraId="1DF20C39" w14:textId="77777777" w:rsidTr="00A91280">
        <w:tc>
          <w:tcPr>
            <w:tcW w:w="1250" w:type="pct"/>
            <w:tcBorders>
              <w:top w:val="single" w:sz="4" w:space="0" w:color="auto"/>
              <w:left w:val="single" w:sz="4" w:space="0" w:color="auto"/>
              <w:bottom w:val="single" w:sz="4" w:space="0" w:color="auto"/>
              <w:right w:val="single" w:sz="4" w:space="0" w:color="auto"/>
            </w:tcBorders>
            <w:vAlign w:val="bottom"/>
            <w:hideMark/>
          </w:tcPr>
          <w:p w14:paraId="5AA25D09" w14:textId="77777777" w:rsidR="000C4977" w:rsidRPr="00F663C7" w:rsidRDefault="000C4977" w:rsidP="00EB0C59">
            <w:pPr>
              <w:keepNext/>
              <w:keepLines/>
              <w:spacing w:before="0"/>
              <w:jc w:val="left"/>
              <w:rPr>
                <w:rFonts w:ascii="Arial Narrow" w:hAnsi="Arial Narrow"/>
              </w:rPr>
            </w:pPr>
            <w:r w:rsidRPr="00F663C7">
              <w:rPr>
                <w:rFonts w:ascii="Arial Narrow" w:hAnsi="Arial Narrow"/>
              </w:rPr>
              <w:t>Discounted LYG</w:t>
            </w:r>
          </w:p>
        </w:tc>
        <w:tc>
          <w:tcPr>
            <w:tcW w:w="1310" w:type="pct"/>
            <w:tcBorders>
              <w:top w:val="single" w:sz="4" w:space="0" w:color="auto"/>
              <w:left w:val="single" w:sz="4" w:space="0" w:color="auto"/>
              <w:bottom w:val="single" w:sz="4" w:space="0" w:color="auto"/>
              <w:right w:val="single" w:sz="4" w:space="0" w:color="auto"/>
            </w:tcBorders>
            <w:vAlign w:val="bottom"/>
            <w:hideMark/>
          </w:tcPr>
          <w:p w14:paraId="21D80387" w14:textId="2242691C" w:rsidR="000C4977" w:rsidRPr="00F663C7" w:rsidRDefault="000C4977" w:rsidP="00EB0C59">
            <w:pPr>
              <w:keepNext/>
              <w:keepLines/>
              <w:tabs>
                <w:tab w:val="decimal" w:pos="0"/>
                <w:tab w:val="decimal" w:pos="396"/>
              </w:tabs>
              <w:spacing w:before="0"/>
              <w:jc w:val="center"/>
              <w:rPr>
                <w:rFonts w:ascii="Arial Narrow" w:hAnsi="Arial Narrow" w:cs="Calibri"/>
                <w:vertAlign w:val="superscript"/>
              </w:rPr>
            </w:pPr>
            <w:r w:rsidRPr="00F663C7">
              <w:rPr>
                <w:rFonts w:ascii="Arial Narrow" w:hAnsi="Arial Narrow"/>
              </w:rPr>
              <w:t xml:space="preserve">4.10 </w:t>
            </w:r>
          </w:p>
        </w:tc>
        <w:tc>
          <w:tcPr>
            <w:tcW w:w="1310" w:type="pct"/>
            <w:tcBorders>
              <w:top w:val="single" w:sz="4" w:space="0" w:color="auto"/>
              <w:left w:val="single" w:sz="4" w:space="0" w:color="auto"/>
              <w:bottom w:val="single" w:sz="4" w:space="0" w:color="auto"/>
              <w:right w:val="single" w:sz="4" w:space="0" w:color="auto"/>
            </w:tcBorders>
            <w:vAlign w:val="bottom"/>
            <w:hideMark/>
          </w:tcPr>
          <w:p w14:paraId="770C230A" w14:textId="5F6BD7AE" w:rsidR="000C4977" w:rsidRPr="00F663C7" w:rsidRDefault="000C4977" w:rsidP="00EB0C59">
            <w:pPr>
              <w:keepNext/>
              <w:keepLines/>
              <w:tabs>
                <w:tab w:val="decimal" w:pos="0"/>
                <w:tab w:val="decimal" w:pos="396"/>
              </w:tabs>
              <w:spacing w:before="0"/>
              <w:jc w:val="center"/>
              <w:rPr>
                <w:rFonts w:ascii="Arial Narrow" w:hAnsi="Arial Narrow" w:cs="Calibri"/>
                <w:vertAlign w:val="superscript"/>
              </w:rPr>
            </w:pPr>
            <w:r w:rsidRPr="00F663C7">
              <w:rPr>
                <w:rFonts w:ascii="Arial Narrow" w:hAnsi="Arial Narrow"/>
              </w:rPr>
              <w:t xml:space="preserve">3.59 </w:t>
            </w:r>
          </w:p>
        </w:tc>
        <w:tc>
          <w:tcPr>
            <w:tcW w:w="1130" w:type="pct"/>
            <w:tcBorders>
              <w:top w:val="single" w:sz="4" w:space="0" w:color="auto"/>
              <w:left w:val="single" w:sz="4" w:space="0" w:color="auto"/>
              <w:bottom w:val="single" w:sz="4" w:space="0" w:color="auto"/>
              <w:right w:val="single" w:sz="4" w:space="0" w:color="auto"/>
            </w:tcBorders>
            <w:vAlign w:val="bottom"/>
            <w:hideMark/>
          </w:tcPr>
          <w:p w14:paraId="27A91E09" w14:textId="77777777" w:rsidR="000C4977" w:rsidRPr="00F663C7" w:rsidRDefault="000C4977" w:rsidP="00EB0C59">
            <w:pPr>
              <w:keepNext/>
              <w:keepLines/>
              <w:tabs>
                <w:tab w:val="decimal" w:pos="0"/>
                <w:tab w:val="decimal" w:pos="396"/>
              </w:tabs>
              <w:spacing w:before="0"/>
              <w:jc w:val="center"/>
              <w:rPr>
                <w:rFonts w:ascii="Arial Narrow" w:hAnsi="Arial Narrow" w:cs="Calibri"/>
              </w:rPr>
            </w:pPr>
            <w:r w:rsidRPr="00F663C7">
              <w:rPr>
                <w:rFonts w:ascii="Arial Narrow" w:hAnsi="Arial Narrow"/>
              </w:rPr>
              <w:t>0.52</w:t>
            </w:r>
          </w:p>
        </w:tc>
      </w:tr>
      <w:tr w:rsidR="000C4977" w:rsidRPr="00F663C7" w14:paraId="6940D004" w14:textId="77777777" w:rsidTr="00A91280">
        <w:tc>
          <w:tcPr>
            <w:tcW w:w="1250" w:type="pct"/>
            <w:tcBorders>
              <w:top w:val="single" w:sz="4" w:space="0" w:color="auto"/>
              <w:left w:val="single" w:sz="4" w:space="0" w:color="auto"/>
              <w:bottom w:val="single" w:sz="4" w:space="0" w:color="auto"/>
              <w:right w:val="single" w:sz="4" w:space="0" w:color="auto"/>
            </w:tcBorders>
            <w:vAlign w:val="bottom"/>
            <w:hideMark/>
          </w:tcPr>
          <w:p w14:paraId="69CBAF16" w14:textId="77777777" w:rsidR="000C4977" w:rsidRPr="00F663C7" w:rsidRDefault="000C4977" w:rsidP="00EB0C59">
            <w:pPr>
              <w:keepNext/>
              <w:keepLines/>
              <w:spacing w:before="0"/>
              <w:jc w:val="left"/>
              <w:rPr>
                <w:rFonts w:ascii="Arial Narrow" w:hAnsi="Arial Narrow"/>
                <w:i/>
                <w:iCs/>
              </w:rPr>
            </w:pPr>
            <w:r w:rsidRPr="00F663C7">
              <w:rPr>
                <w:rFonts w:ascii="Arial Narrow" w:hAnsi="Arial Narrow"/>
              </w:rPr>
              <w:t>Discounted QALYs</w:t>
            </w:r>
          </w:p>
        </w:tc>
        <w:tc>
          <w:tcPr>
            <w:tcW w:w="1310" w:type="pct"/>
            <w:tcBorders>
              <w:top w:val="single" w:sz="4" w:space="0" w:color="auto"/>
              <w:left w:val="single" w:sz="4" w:space="0" w:color="auto"/>
              <w:bottom w:val="single" w:sz="4" w:space="0" w:color="auto"/>
              <w:right w:val="single" w:sz="4" w:space="0" w:color="auto"/>
            </w:tcBorders>
            <w:vAlign w:val="bottom"/>
            <w:hideMark/>
          </w:tcPr>
          <w:p w14:paraId="4608CAAA" w14:textId="68C72C97" w:rsidR="000C4977" w:rsidRPr="00F663C7" w:rsidRDefault="000C4977" w:rsidP="00EB0C59">
            <w:pPr>
              <w:keepNext/>
              <w:keepLines/>
              <w:tabs>
                <w:tab w:val="decimal" w:pos="0"/>
                <w:tab w:val="decimal" w:pos="396"/>
              </w:tabs>
              <w:spacing w:before="0"/>
              <w:jc w:val="center"/>
              <w:rPr>
                <w:rFonts w:ascii="Arial Narrow" w:hAnsi="Arial Narrow" w:cs="Calibri"/>
                <w:i/>
                <w:iCs/>
                <w:vertAlign w:val="superscript"/>
              </w:rPr>
            </w:pPr>
            <w:r w:rsidRPr="00F663C7">
              <w:rPr>
                <w:rFonts w:ascii="Arial Narrow" w:hAnsi="Arial Narrow"/>
              </w:rPr>
              <w:t xml:space="preserve">2.80 </w:t>
            </w:r>
          </w:p>
        </w:tc>
        <w:tc>
          <w:tcPr>
            <w:tcW w:w="1310" w:type="pct"/>
            <w:tcBorders>
              <w:top w:val="single" w:sz="4" w:space="0" w:color="auto"/>
              <w:left w:val="single" w:sz="4" w:space="0" w:color="auto"/>
              <w:bottom w:val="single" w:sz="4" w:space="0" w:color="auto"/>
              <w:right w:val="single" w:sz="4" w:space="0" w:color="auto"/>
            </w:tcBorders>
            <w:vAlign w:val="bottom"/>
            <w:hideMark/>
          </w:tcPr>
          <w:p w14:paraId="5A53B645" w14:textId="473E0CB2" w:rsidR="000C4977" w:rsidRPr="00F663C7" w:rsidRDefault="000C4977" w:rsidP="00EB0C59">
            <w:pPr>
              <w:keepNext/>
              <w:keepLines/>
              <w:tabs>
                <w:tab w:val="decimal" w:pos="0"/>
                <w:tab w:val="decimal" w:pos="396"/>
              </w:tabs>
              <w:spacing w:before="0"/>
              <w:jc w:val="center"/>
              <w:rPr>
                <w:rFonts w:ascii="Arial Narrow" w:hAnsi="Arial Narrow" w:cs="Calibri"/>
                <w:i/>
                <w:iCs/>
                <w:vertAlign w:val="superscript"/>
              </w:rPr>
            </w:pPr>
            <w:r w:rsidRPr="00F663C7">
              <w:rPr>
                <w:rFonts w:ascii="Arial Narrow" w:hAnsi="Arial Narrow"/>
              </w:rPr>
              <w:t xml:space="preserve">2.34 </w:t>
            </w:r>
          </w:p>
        </w:tc>
        <w:tc>
          <w:tcPr>
            <w:tcW w:w="1130" w:type="pct"/>
            <w:tcBorders>
              <w:top w:val="single" w:sz="4" w:space="0" w:color="auto"/>
              <w:left w:val="single" w:sz="4" w:space="0" w:color="auto"/>
              <w:bottom w:val="single" w:sz="4" w:space="0" w:color="auto"/>
              <w:right w:val="single" w:sz="4" w:space="0" w:color="auto"/>
            </w:tcBorders>
            <w:vAlign w:val="bottom"/>
            <w:hideMark/>
          </w:tcPr>
          <w:p w14:paraId="58845F17" w14:textId="77777777" w:rsidR="000C4977" w:rsidRPr="00F663C7" w:rsidRDefault="000C4977" w:rsidP="00EB0C59">
            <w:pPr>
              <w:keepNext/>
              <w:keepLines/>
              <w:tabs>
                <w:tab w:val="decimal" w:pos="0"/>
                <w:tab w:val="decimal" w:pos="396"/>
              </w:tabs>
              <w:spacing w:before="0"/>
              <w:jc w:val="center"/>
              <w:rPr>
                <w:rFonts w:ascii="Arial Narrow" w:hAnsi="Arial Narrow" w:cs="Calibri"/>
                <w:bCs/>
                <w:i/>
                <w:iCs/>
              </w:rPr>
            </w:pPr>
            <w:r w:rsidRPr="00F663C7">
              <w:rPr>
                <w:rFonts w:ascii="Arial Narrow" w:hAnsi="Arial Narrow"/>
              </w:rPr>
              <w:t>0.46</w:t>
            </w:r>
          </w:p>
        </w:tc>
      </w:tr>
      <w:tr w:rsidR="00436E27" w:rsidRPr="008E505D" w14:paraId="48CDC9CF" w14:textId="77777777" w:rsidTr="00A91280">
        <w:tc>
          <w:tcPr>
            <w:tcW w:w="3870" w:type="pct"/>
            <w:gridSpan w:val="3"/>
            <w:tcBorders>
              <w:top w:val="single" w:sz="4" w:space="0" w:color="auto"/>
              <w:left w:val="single" w:sz="4" w:space="0" w:color="auto"/>
              <w:bottom w:val="single" w:sz="4" w:space="0" w:color="auto"/>
              <w:right w:val="single" w:sz="4" w:space="0" w:color="auto"/>
            </w:tcBorders>
            <w:hideMark/>
          </w:tcPr>
          <w:p w14:paraId="76792169" w14:textId="77777777" w:rsidR="00436E27" w:rsidRPr="008E505D" w:rsidRDefault="00436E27" w:rsidP="00436E27">
            <w:pPr>
              <w:keepNext/>
              <w:keepLines/>
              <w:spacing w:before="0"/>
              <w:jc w:val="right"/>
              <w:rPr>
                <w:rFonts w:ascii="Arial Narrow" w:hAnsi="Arial Narrow"/>
              </w:rPr>
            </w:pPr>
            <w:r w:rsidRPr="008E505D">
              <w:rPr>
                <w:rFonts w:ascii="Arial Narrow" w:hAnsi="Arial Narrow"/>
              </w:rPr>
              <w:t>Incremental cost per LY gained</w:t>
            </w:r>
          </w:p>
        </w:tc>
        <w:tc>
          <w:tcPr>
            <w:tcW w:w="1130" w:type="pct"/>
            <w:tcBorders>
              <w:top w:val="single" w:sz="4" w:space="0" w:color="auto"/>
              <w:left w:val="single" w:sz="4" w:space="0" w:color="auto"/>
              <w:bottom w:val="single" w:sz="4" w:space="0" w:color="auto"/>
              <w:right w:val="single" w:sz="4" w:space="0" w:color="auto"/>
            </w:tcBorders>
            <w:hideMark/>
          </w:tcPr>
          <w:p w14:paraId="2003B1EE" w14:textId="4EF9238C" w:rsidR="00436E27" w:rsidRPr="00DD79C6" w:rsidRDefault="00436E27" w:rsidP="00436E27">
            <w:pPr>
              <w:keepNext/>
              <w:keepLines/>
              <w:tabs>
                <w:tab w:val="decimal" w:pos="396"/>
              </w:tabs>
              <w:spacing w:before="0"/>
              <w:jc w:val="center"/>
              <w:rPr>
                <w:rFonts w:ascii="Arial Narrow" w:hAnsi="Arial Narrow"/>
                <w:highlight w:val="yellow"/>
              </w:rPr>
            </w:pPr>
            <w:r w:rsidRPr="00723048">
              <w:rPr>
                <w:rFonts w:ascii="Arial Narrow" w:hAnsi="Arial Narrow"/>
              </w:rPr>
              <w:t>$</w:t>
            </w:r>
            <w:r w:rsidR="00A8205F" w:rsidRPr="00A8205F">
              <w:rPr>
                <w:rFonts w:ascii="Arial Narrow" w:hAnsi="Arial Narrow"/>
                <w:color w:val="000000"/>
                <w:shd w:val="solid" w:color="000000" w:fill="000000"/>
                <w14:textFill>
                  <w14:solidFill>
                    <w14:srgbClr w14:val="000000">
                      <w14:alpha w14:val="100000"/>
                    </w14:srgbClr>
                  </w14:solidFill>
                </w14:textFill>
              </w:rPr>
              <w:t>|</w:t>
            </w:r>
            <w:r w:rsidRPr="00723048">
              <w:rPr>
                <w:rFonts w:ascii="Arial Narrow" w:hAnsi="Arial Narrow"/>
              </w:rPr>
              <w:t xml:space="preserve"> </w:t>
            </w:r>
            <w:r w:rsidRPr="00723048">
              <w:rPr>
                <w:rFonts w:ascii="Arial Narrow" w:hAnsi="Arial Narrow"/>
                <w:vertAlign w:val="superscript"/>
              </w:rPr>
              <w:t>1</w:t>
            </w:r>
          </w:p>
        </w:tc>
      </w:tr>
      <w:tr w:rsidR="00436E27" w:rsidRPr="008E505D" w14:paraId="625E25D3" w14:textId="77777777" w:rsidTr="00DD79C6">
        <w:trPr>
          <w:trHeight w:val="115"/>
        </w:trPr>
        <w:tc>
          <w:tcPr>
            <w:tcW w:w="3870" w:type="pct"/>
            <w:gridSpan w:val="3"/>
            <w:tcBorders>
              <w:top w:val="single" w:sz="4" w:space="0" w:color="auto"/>
              <w:left w:val="single" w:sz="4" w:space="0" w:color="auto"/>
              <w:bottom w:val="single" w:sz="4" w:space="0" w:color="auto"/>
              <w:right w:val="single" w:sz="4" w:space="0" w:color="auto"/>
            </w:tcBorders>
            <w:hideMark/>
          </w:tcPr>
          <w:p w14:paraId="19C3D594" w14:textId="77777777" w:rsidR="00436E27" w:rsidRPr="008E505D" w:rsidRDefault="00436E27" w:rsidP="00436E27">
            <w:pPr>
              <w:keepNext/>
              <w:keepLines/>
              <w:spacing w:before="0"/>
              <w:jc w:val="right"/>
              <w:rPr>
                <w:rFonts w:ascii="Arial Narrow" w:hAnsi="Arial Narrow"/>
                <w:b/>
                <w:bCs/>
              </w:rPr>
            </w:pPr>
            <w:r w:rsidRPr="008E505D">
              <w:rPr>
                <w:rFonts w:ascii="Arial Narrow" w:hAnsi="Arial Narrow"/>
                <w:b/>
                <w:bCs/>
              </w:rPr>
              <w:t>Incremental cost per QALY gained</w:t>
            </w:r>
          </w:p>
        </w:tc>
        <w:tc>
          <w:tcPr>
            <w:tcW w:w="1130" w:type="pct"/>
            <w:tcBorders>
              <w:top w:val="single" w:sz="4" w:space="0" w:color="auto"/>
              <w:left w:val="single" w:sz="4" w:space="0" w:color="auto"/>
              <w:bottom w:val="single" w:sz="4" w:space="0" w:color="auto"/>
              <w:right w:val="single" w:sz="4" w:space="0" w:color="auto"/>
            </w:tcBorders>
            <w:hideMark/>
          </w:tcPr>
          <w:p w14:paraId="08E55E45" w14:textId="2BF3E0D5" w:rsidR="00436E27" w:rsidRPr="00DD79C6" w:rsidRDefault="00436E27" w:rsidP="00436E27">
            <w:pPr>
              <w:keepNext/>
              <w:keepLines/>
              <w:tabs>
                <w:tab w:val="decimal" w:pos="396"/>
              </w:tabs>
              <w:spacing w:before="0"/>
              <w:jc w:val="center"/>
              <w:rPr>
                <w:rFonts w:ascii="Arial Narrow" w:hAnsi="Arial Narrow"/>
                <w:b/>
                <w:bCs/>
                <w:highlight w:val="yellow"/>
              </w:rPr>
            </w:pPr>
            <w:r w:rsidRPr="00723048">
              <w:rPr>
                <w:rFonts w:ascii="Arial Narrow" w:hAnsi="Arial Narrow"/>
                <w:b/>
                <w:bCs/>
              </w:rPr>
              <w:t>$</w:t>
            </w:r>
            <w:r w:rsidR="00A8205F" w:rsidRPr="00A8205F">
              <w:rPr>
                <w:rFonts w:ascii="Arial Narrow" w:hAnsi="Arial Narrow"/>
                <w:b/>
                <w:bCs/>
                <w:color w:val="000000"/>
                <w:shd w:val="solid" w:color="000000" w:fill="000000"/>
                <w14:textFill>
                  <w14:solidFill>
                    <w14:srgbClr w14:val="000000">
                      <w14:alpha w14:val="100000"/>
                    </w14:srgbClr>
                  </w14:solidFill>
                </w14:textFill>
              </w:rPr>
              <w:t>|</w:t>
            </w:r>
            <w:r w:rsidRPr="00723048">
              <w:rPr>
                <w:rFonts w:ascii="Arial Narrow" w:hAnsi="Arial Narrow"/>
              </w:rPr>
              <w:t xml:space="preserve"> </w:t>
            </w:r>
            <w:r w:rsidRPr="00723048">
              <w:rPr>
                <w:rFonts w:ascii="Arial Narrow" w:hAnsi="Arial Narrow"/>
                <w:vertAlign w:val="superscript"/>
              </w:rPr>
              <w:t>1</w:t>
            </w:r>
          </w:p>
        </w:tc>
      </w:tr>
    </w:tbl>
    <w:p w14:paraId="50DE08A9" w14:textId="4B376628" w:rsidR="000C4977" w:rsidRPr="008E505D" w:rsidRDefault="000C4977" w:rsidP="00EB0C59">
      <w:pPr>
        <w:keepNext/>
        <w:keepLines/>
        <w:widowControl w:val="0"/>
        <w:spacing w:before="0" w:after="0"/>
        <w:contextualSpacing/>
        <w:rPr>
          <w:rFonts w:ascii="Arial Narrow" w:eastAsia="Times New Roman" w:hAnsi="Arial Narrow" w:cs="Arial"/>
          <w:snapToGrid w:val="0"/>
          <w:sz w:val="18"/>
          <w:szCs w:val="20"/>
        </w:rPr>
      </w:pPr>
      <w:r w:rsidRPr="008E505D">
        <w:rPr>
          <w:rFonts w:ascii="Arial Narrow" w:eastAsia="Times New Roman" w:hAnsi="Arial Narrow" w:cs="Arial"/>
          <w:snapToGrid w:val="0"/>
          <w:sz w:val="18"/>
          <w:szCs w:val="20"/>
        </w:rPr>
        <w:t>ICER = incremental cost-effectiveness ratio; LY = life year, QALY = quality</w:t>
      </w:r>
      <w:r w:rsidR="00D9058D" w:rsidRPr="008E505D">
        <w:rPr>
          <w:rFonts w:ascii="Arial Narrow" w:eastAsia="Times New Roman" w:hAnsi="Arial Narrow" w:cs="Arial"/>
          <w:snapToGrid w:val="0"/>
          <w:sz w:val="18"/>
          <w:szCs w:val="20"/>
        </w:rPr>
        <w:t>-</w:t>
      </w:r>
      <w:r w:rsidRPr="008E505D">
        <w:rPr>
          <w:rFonts w:ascii="Arial Narrow" w:eastAsia="Times New Roman" w:hAnsi="Arial Narrow" w:cs="Arial"/>
          <w:snapToGrid w:val="0"/>
          <w:sz w:val="18"/>
          <w:szCs w:val="20"/>
        </w:rPr>
        <w:t>adjusted life year</w:t>
      </w:r>
    </w:p>
    <w:p w14:paraId="70FF22A5" w14:textId="77777777" w:rsidR="000C4977" w:rsidRPr="000C4977" w:rsidRDefault="000C4977" w:rsidP="00EB0C59">
      <w:pPr>
        <w:keepNext/>
        <w:keepLines/>
        <w:widowControl w:val="0"/>
        <w:spacing w:before="0" w:after="0"/>
        <w:contextualSpacing/>
        <w:rPr>
          <w:rFonts w:ascii="Arial Narrow" w:eastAsia="Times New Roman" w:hAnsi="Arial Narrow" w:cs="Arial"/>
          <w:snapToGrid w:val="0"/>
          <w:sz w:val="18"/>
          <w:szCs w:val="20"/>
        </w:rPr>
      </w:pPr>
      <w:r w:rsidRPr="008E505D">
        <w:rPr>
          <w:rFonts w:ascii="Arial Narrow" w:eastAsia="Times New Roman" w:hAnsi="Arial Narrow" w:cs="Arial"/>
          <w:snapToGrid w:val="0"/>
          <w:sz w:val="18"/>
          <w:szCs w:val="20"/>
          <w:vertAlign w:val="superscript"/>
        </w:rPr>
        <w:t>a</w:t>
      </w:r>
      <w:r w:rsidRPr="008E505D">
        <w:rPr>
          <w:rFonts w:ascii="Arial Narrow" w:eastAsia="Times New Roman" w:hAnsi="Arial Narrow" w:cs="Arial"/>
          <w:snapToGrid w:val="0"/>
          <w:sz w:val="18"/>
          <w:szCs w:val="20"/>
        </w:rPr>
        <w:t xml:space="preserve"> based on PFS results from HRD positive </w:t>
      </w:r>
      <w:proofErr w:type="spellStart"/>
      <w:r w:rsidRPr="008E505D">
        <w:rPr>
          <w:rFonts w:ascii="Arial Narrow" w:eastAsia="Times New Roman" w:hAnsi="Arial Narrow" w:cs="Arial"/>
          <w:i/>
          <w:iCs/>
          <w:snapToGrid w:val="0"/>
          <w:sz w:val="18"/>
          <w:szCs w:val="20"/>
        </w:rPr>
        <w:t>BRCA</w:t>
      </w:r>
      <w:r w:rsidRPr="008E505D">
        <w:rPr>
          <w:rFonts w:ascii="Arial Narrow" w:eastAsia="Times New Roman" w:hAnsi="Arial Narrow" w:cs="Arial"/>
          <w:snapToGrid w:val="0"/>
          <w:sz w:val="18"/>
          <w:szCs w:val="20"/>
        </w:rPr>
        <w:t>wt</w:t>
      </w:r>
      <w:proofErr w:type="spellEnd"/>
      <w:r w:rsidRPr="008E505D">
        <w:rPr>
          <w:rFonts w:ascii="Arial Narrow" w:eastAsia="Times New Roman" w:hAnsi="Arial Narrow" w:cs="Arial"/>
          <w:snapToGrid w:val="0"/>
          <w:sz w:val="18"/>
          <w:szCs w:val="20"/>
        </w:rPr>
        <w:t xml:space="preserve"> in PAOLA-1</w:t>
      </w:r>
    </w:p>
    <w:p w14:paraId="06E0F953" w14:textId="77777777" w:rsidR="000C4977" w:rsidRPr="000C4977" w:rsidRDefault="000C4977" w:rsidP="00EB0C59">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based on PFS results from ITT population in PAOLA-1</w:t>
      </w:r>
    </w:p>
    <w:p w14:paraId="7FC98F7C" w14:textId="66275EBD" w:rsidR="000C4977" w:rsidRPr="000C4977" w:rsidRDefault="000C4977" w:rsidP="00EB0C59">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c</w:t>
      </w:r>
      <w:r w:rsidRPr="000C4977">
        <w:rPr>
          <w:rFonts w:ascii="Arial Narrow" w:eastAsia="Times New Roman" w:hAnsi="Arial Narrow" w:cs="Arial"/>
          <w:snapToGrid w:val="0"/>
          <w:sz w:val="18"/>
          <w:szCs w:val="20"/>
        </w:rPr>
        <w:t xml:space="preserve"> </w:t>
      </w:r>
      <w:proofErr w:type="gramStart"/>
      <w:r w:rsidR="00EB0C59">
        <w:rPr>
          <w:rFonts w:ascii="Arial Narrow" w:eastAsia="Times New Roman" w:hAnsi="Arial Narrow" w:cs="Arial"/>
          <w:snapToGrid w:val="0"/>
          <w:sz w:val="18"/>
          <w:szCs w:val="20"/>
        </w:rPr>
        <w:t>T</w:t>
      </w:r>
      <w:r w:rsidRPr="000C4977">
        <w:rPr>
          <w:rFonts w:ascii="Arial Narrow" w:eastAsia="Times New Roman" w:hAnsi="Arial Narrow" w:cs="Arial"/>
          <w:snapToGrid w:val="0"/>
          <w:sz w:val="18"/>
          <w:szCs w:val="20"/>
        </w:rPr>
        <w:t>he</w:t>
      </w:r>
      <w:proofErr w:type="gramEnd"/>
      <w:r w:rsidRPr="000C4977">
        <w:rPr>
          <w:rFonts w:ascii="Arial Narrow" w:eastAsia="Times New Roman" w:hAnsi="Arial Narrow" w:cs="Arial"/>
          <w:snapToGrid w:val="0"/>
          <w:sz w:val="18"/>
          <w:szCs w:val="20"/>
        </w:rPr>
        <w:t xml:space="preserve"> submission did not include any </w:t>
      </w:r>
      <w:r w:rsidR="006255E8">
        <w:rPr>
          <w:rFonts w:ascii="Arial Narrow" w:eastAsia="Times New Roman" w:hAnsi="Arial Narrow" w:cs="Arial"/>
          <w:snapToGrid w:val="0"/>
          <w:sz w:val="18"/>
          <w:szCs w:val="20"/>
        </w:rPr>
        <w:t>medicine</w:t>
      </w:r>
      <w:r w:rsidRPr="000C4977">
        <w:rPr>
          <w:rFonts w:ascii="Arial Narrow" w:eastAsia="Times New Roman" w:hAnsi="Arial Narrow" w:cs="Arial"/>
          <w:snapToGrid w:val="0"/>
          <w:sz w:val="18"/>
          <w:szCs w:val="20"/>
        </w:rPr>
        <w:t xml:space="preserve"> or management costs or outcomes for patients who were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xml:space="preserve"> and treated with </w:t>
      </w:r>
      <w:proofErr w:type="spellStart"/>
      <w:r w:rsidRPr="000C4977">
        <w:rPr>
          <w:rFonts w:ascii="Arial Narrow" w:eastAsia="Times New Roman" w:hAnsi="Arial Narrow" w:cs="Arial"/>
          <w:snapToGrid w:val="0"/>
          <w:sz w:val="18"/>
          <w:szCs w:val="20"/>
        </w:rPr>
        <w:t>olaparib</w:t>
      </w:r>
      <w:proofErr w:type="spellEnd"/>
      <w:r w:rsidRPr="000C4977">
        <w:rPr>
          <w:rFonts w:ascii="Arial Narrow" w:eastAsia="Times New Roman" w:hAnsi="Arial Narrow" w:cs="Arial"/>
          <w:snapToGrid w:val="0"/>
          <w:sz w:val="18"/>
          <w:szCs w:val="20"/>
        </w:rPr>
        <w:t xml:space="preserve"> monotherapy. As such, the absolute costs, LYG and QALY in each scenario were not reflective of the entire cohort. </w:t>
      </w:r>
      <w:proofErr w:type="gramStart"/>
      <w:r w:rsidRPr="000C4977">
        <w:rPr>
          <w:rFonts w:ascii="Arial Narrow" w:eastAsia="Times New Roman" w:hAnsi="Arial Narrow" w:cs="Arial"/>
          <w:snapToGrid w:val="0"/>
          <w:sz w:val="18"/>
          <w:szCs w:val="20"/>
        </w:rPr>
        <w:t>However</w:t>
      </w:r>
      <w:proofErr w:type="gramEnd"/>
      <w:r w:rsidRPr="000C4977">
        <w:rPr>
          <w:rFonts w:ascii="Arial Narrow" w:eastAsia="Times New Roman" w:hAnsi="Arial Narrow" w:cs="Arial"/>
          <w:snapToGrid w:val="0"/>
          <w:sz w:val="18"/>
          <w:szCs w:val="20"/>
        </w:rPr>
        <w:t xml:space="preserve"> the incremental results and resultant ICER is accurate.</w:t>
      </w:r>
    </w:p>
    <w:p w14:paraId="729279EF" w14:textId="138B3CC9" w:rsid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Tables 3.33, 3.34 and 3.35, p273-274 of the submission</w:t>
      </w:r>
    </w:p>
    <w:p w14:paraId="3E134D51" w14:textId="77777777" w:rsidR="00436E27" w:rsidRPr="00723048" w:rsidRDefault="00436E27" w:rsidP="00436E27">
      <w:pPr>
        <w:spacing w:before="0" w:after="0"/>
        <w:jc w:val="left"/>
        <w:rPr>
          <w:rFonts w:ascii="Arial Narrow" w:eastAsia="Times New Roman" w:hAnsi="Arial Narrow" w:cs="Arial"/>
          <w:i/>
          <w:sz w:val="18"/>
          <w:szCs w:val="18"/>
          <w:lang w:eastAsia="en-AU"/>
        </w:rPr>
      </w:pPr>
      <w:r w:rsidRPr="00723048">
        <w:rPr>
          <w:rFonts w:ascii="Arial Narrow" w:eastAsia="Times New Roman" w:hAnsi="Arial Narrow" w:cs="Arial"/>
          <w:i/>
          <w:sz w:val="18"/>
          <w:szCs w:val="18"/>
          <w:lang w:eastAsia="en-AU"/>
        </w:rPr>
        <w:t xml:space="preserve">The redacted values correspond to the following ranges: </w:t>
      </w:r>
    </w:p>
    <w:p w14:paraId="0589E7F5" w14:textId="77777777" w:rsidR="00436E27" w:rsidRPr="00723048" w:rsidRDefault="00436E27" w:rsidP="00436E27">
      <w:pPr>
        <w:widowControl w:val="0"/>
        <w:spacing w:before="0" w:after="0"/>
        <w:contextualSpacing/>
        <w:rPr>
          <w:rFonts w:ascii="Arial Narrow" w:eastAsia="Times New Roman" w:hAnsi="Arial Narrow" w:cs="Arial"/>
          <w:i/>
          <w:iCs/>
          <w:snapToGrid w:val="0"/>
          <w:sz w:val="18"/>
          <w:szCs w:val="20"/>
        </w:rPr>
      </w:pPr>
      <w:r w:rsidRPr="00723048">
        <w:rPr>
          <w:rFonts w:ascii="Arial Narrow" w:eastAsia="Times New Roman" w:hAnsi="Arial Narrow" w:cs="Arial"/>
          <w:i/>
          <w:iCs/>
          <w:snapToGrid w:val="0"/>
          <w:sz w:val="18"/>
          <w:szCs w:val="20"/>
          <w:vertAlign w:val="superscript"/>
        </w:rPr>
        <w:t>1</w:t>
      </w:r>
      <w:r w:rsidRPr="00723048">
        <w:rPr>
          <w:rFonts w:ascii="Arial Narrow" w:eastAsia="Times New Roman" w:hAnsi="Arial Narrow" w:cs="Arial"/>
          <w:i/>
          <w:iCs/>
          <w:snapToGrid w:val="0"/>
          <w:sz w:val="18"/>
          <w:szCs w:val="20"/>
        </w:rPr>
        <w:t xml:space="preserve"> $45,000 to &lt; $55,000</w:t>
      </w:r>
    </w:p>
    <w:p w14:paraId="5FA7A935" w14:textId="77777777" w:rsidR="00436E27" w:rsidRPr="000C4977" w:rsidRDefault="00436E27" w:rsidP="000C4977">
      <w:pPr>
        <w:widowControl w:val="0"/>
        <w:spacing w:before="0" w:after="0"/>
        <w:contextualSpacing/>
        <w:rPr>
          <w:rFonts w:ascii="Arial Narrow" w:eastAsia="Times New Roman" w:hAnsi="Arial Narrow" w:cs="Arial"/>
          <w:snapToGrid w:val="0"/>
          <w:sz w:val="18"/>
          <w:szCs w:val="20"/>
        </w:rPr>
      </w:pPr>
    </w:p>
    <w:p w14:paraId="785CC99F" w14:textId="14879B7B" w:rsidR="000C4977" w:rsidRPr="000C4977" w:rsidRDefault="000C4977" w:rsidP="000C4977">
      <w:pPr>
        <w:spacing w:line="259" w:lineRule="auto"/>
        <w:jc w:val="left"/>
      </w:pPr>
      <w:r w:rsidRPr="000C4977">
        <w:t xml:space="preserve">The submission stated that as per the MSAC Guidelines, the codependent technology (test treatment) model should consider the costs/outcomes for all subgroups of patients, however this was not the case for the P5 and C1 subgroups (scenarios where patients have </w:t>
      </w:r>
      <w:proofErr w:type="spellStart"/>
      <w:r w:rsidRPr="00EB0C59">
        <w:rPr>
          <w:i/>
          <w:iCs/>
        </w:rPr>
        <w:t>BRCA</w:t>
      </w:r>
      <w:r w:rsidRPr="000C4977">
        <w:t>m</w:t>
      </w:r>
      <w:proofErr w:type="spellEnd"/>
      <w:r w:rsidRPr="000C4977">
        <w:t>) in which no false results were considered.</w:t>
      </w:r>
    </w:p>
    <w:p w14:paraId="1AAFC616" w14:textId="0955FFED" w:rsidR="000C4977" w:rsidRPr="000C4977" w:rsidRDefault="000C4977" w:rsidP="000C4977">
      <w:pPr>
        <w:spacing w:line="259" w:lineRule="auto"/>
        <w:jc w:val="left"/>
      </w:pPr>
      <w:r w:rsidRPr="000C4977">
        <w:t xml:space="preserve">Moreover, the submission claimed that as </w:t>
      </w:r>
      <w:proofErr w:type="spellStart"/>
      <w:r w:rsidRPr="000C4977">
        <w:rPr>
          <w:i/>
        </w:rPr>
        <w:t>BRCA</w:t>
      </w:r>
      <w:r w:rsidRPr="000C4977">
        <w:t>m</w:t>
      </w:r>
      <w:proofErr w:type="spellEnd"/>
      <w:r w:rsidRPr="000C4977">
        <w:t xml:space="preserve"> patients in both scenarios will have the same treatment cost and outcome, they were not </w:t>
      </w:r>
      <w:proofErr w:type="gramStart"/>
      <w:r w:rsidRPr="000C4977">
        <w:t>modelled</w:t>
      </w:r>
      <w:proofErr w:type="gramEnd"/>
      <w:r w:rsidRPr="000C4977">
        <w:t xml:space="preserve"> and the only cost considered was the incremental cost of testing.</w:t>
      </w:r>
      <w:r w:rsidRPr="000C4977">
        <w:rPr>
          <w:i/>
          <w:iCs/>
        </w:rPr>
        <w:t xml:space="preserve"> </w:t>
      </w:r>
      <w:r w:rsidRPr="000C4977">
        <w:t xml:space="preserve">While it was accurate that the P5 and C1 branches will effectively cancel each other out in the model (as stated by the submission) when incremental differences are calculated, the omission of all other costs and efficacy in the </w:t>
      </w:r>
      <w:proofErr w:type="spellStart"/>
      <w:r w:rsidRPr="00EB0C59">
        <w:rPr>
          <w:i/>
          <w:iCs/>
        </w:rPr>
        <w:t>BRCA</w:t>
      </w:r>
      <w:r w:rsidRPr="000C4977">
        <w:t>m</w:t>
      </w:r>
      <w:proofErr w:type="spellEnd"/>
      <w:r w:rsidRPr="000C4977">
        <w:t xml:space="preserve"> subgroup led to incorrect reporting of aggregate results for each scenario and therefore this approach may be inappropriate. Instead, a comparison of subgroups P1 (patients who are HRD positive </w:t>
      </w:r>
      <w:proofErr w:type="spellStart"/>
      <w:r w:rsidRPr="00EB0C59">
        <w:rPr>
          <w:i/>
          <w:iCs/>
        </w:rPr>
        <w:t>BRCA</w:t>
      </w:r>
      <w:r w:rsidRPr="000C4977">
        <w:t>wt</w:t>
      </w:r>
      <w:proofErr w:type="spellEnd"/>
      <w:r w:rsidRPr="000C4977">
        <w:t xml:space="preserve">, correctly identified) and C2 (comparator scenario, </w:t>
      </w:r>
      <w:proofErr w:type="spellStart"/>
      <w:r w:rsidRPr="00EB0C59">
        <w:rPr>
          <w:i/>
          <w:iCs/>
        </w:rPr>
        <w:t>BRCA</w:t>
      </w:r>
      <w:r w:rsidRPr="000C4977">
        <w:t>wt</w:t>
      </w:r>
      <w:proofErr w:type="spellEnd"/>
      <w:r w:rsidRPr="000C4977">
        <w:t>) may be considered relevant as these would be patients who would benefit from the proposed listing. This is presented in the table below.</w:t>
      </w:r>
    </w:p>
    <w:p w14:paraId="644EEE11" w14:textId="67EFFCAD"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23</w:t>
      </w:r>
      <w:r w:rsidRPr="000C4977">
        <w:rPr>
          <w:rFonts w:ascii="Arial Narrow" w:hAnsi="Arial Narrow"/>
          <w:b/>
          <w:iCs/>
          <w:noProof/>
          <w:sz w:val="20"/>
          <w:szCs w:val="18"/>
        </w:rPr>
        <w:fldChar w:fldCharType="end"/>
      </w:r>
      <w:r w:rsidRPr="000C4977">
        <w:rPr>
          <w:rFonts w:ascii="Arial Narrow" w:hAnsi="Arial Narrow"/>
          <w:b/>
          <w:iCs/>
          <w:sz w:val="20"/>
          <w:szCs w:val="18"/>
        </w:rPr>
        <w:tab/>
        <w:t>Results of the economic evaluation when comparing sub-populations P1 and C2</w:t>
      </w:r>
    </w:p>
    <w:tbl>
      <w:tblPr>
        <w:tblStyle w:val="ASDTable1"/>
        <w:tblW w:w="5000" w:type="pct"/>
        <w:tblCellMar>
          <w:left w:w="28" w:type="dxa"/>
          <w:right w:w="28" w:type="dxa"/>
        </w:tblCellMar>
        <w:tblLook w:val="01E0" w:firstRow="1" w:lastRow="1" w:firstColumn="1" w:lastColumn="1" w:noHBand="0" w:noVBand="0"/>
      </w:tblPr>
      <w:tblGrid>
        <w:gridCol w:w="2405"/>
        <w:gridCol w:w="2211"/>
        <w:gridCol w:w="2362"/>
        <w:gridCol w:w="2038"/>
      </w:tblGrid>
      <w:tr w:rsidR="000C4977" w:rsidRPr="000C4977" w14:paraId="53940459" w14:textId="77777777" w:rsidTr="00A91280">
        <w:tc>
          <w:tcPr>
            <w:tcW w:w="1334" w:type="pct"/>
            <w:tcBorders>
              <w:top w:val="single" w:sz="4" w:space="0" w:color="auto"/>
              <w:left w:val="single" w:sz="4" w:space="0" w:color="auto"/>
              <w:bottom w:val="single" w:sz="4" w:space="0" w:color="auto"/>
              <w:right w:val="single" w:sz="4" w:space="0" w:color="auto"/>
            </w:tcBorders>
            <w:vAlign w:val="center"/>
            <w:hideMark/>
          </w:tcPr>
          <w:p w14:paraId="430FE53B" w14:textId="77777777" w:rsidR="000C4977" w:rsidRPr="000C4977" w:rsidRDefault="000C4977" w:rsidP="00EB0C59">
            <w:pPr>
              <w:keepNext/>
              <w:keepLines/>
              <w:spacing w:before="0"/>
              <w:jc w:val="center"/>
              <w:rPr>
                <w:rFonts w:ascii="Arial Narrow" w:hAnsi="Arial Narrow"/>
                <w:b/>
              </w:rPr>
            </w:pPr>
            <w:r w:rsidRPr="000C4977">
              <w:rPr>
                <w:rFonts w:ascii="Arial Narrow" w:hAnsi="Arial Narrow"/>
                <w:b/>
              </w:rPr>
              <w:t>Component</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3D9E738" w14:textId="77777777" w:rsidR="000C4977" w:rsidRPr="000C4977" w:rsidRDefault="000C4977" w:rsidP="00EB0C59">
            <w:pPr>
              <w:keepNext/>
              <w:keepLines/>
              <w:spacing w:before="0"/>
              <w:jc w:val="center"/>
              <w:rPr>
                <w:rFonts w:ascii="Arial Narrow" w:hAnsi="Arial Narrow"/>
                <w:b/>
              </w:rPr>
            </w:pPr>
            <w:proofErr w:type="spellStart"/>
            <w:r w:rsidRPr="000C4977">
              <w:rPr>
                <w:rFonts w:ascii="Arial Narrow" w:hAnsi="Arial Narrow"/>
                <w:b/>
                <w:bCs/>
                <w:color w:val="000000"/>
              </w:rPr>
              <w:t>Olaparib+bevacizumab</w:t>
            </w:r>
            <w:proofErr w:type="spellEnd"/>
          </w:p>
        </w:tc>
        <w:tc>
          <w:tcPr>
            <w:tcW w:w="1310" w:type="pct"/>
            <w:tcBorders>
              <w:top w:val="single" w:sz="4" w:space="0" w:color="auto"/>
              <w:left w:val="single" w:sz="4" w:space="0" w:color="auto"/>
              <w:bottom w:val="single" w:sz="4" w:space="0" w:color="auto"/>
              <w:right w:val="single" w:sz="4" w:space="0" w:color="auto"/>
            </w:tcBorders>
            <w:vAlign w:val="center"/>
            <w:hideMark/>
          </w:tcPr>
          <w:p w14:paraId="69882090" w14:textId="77777777" w:rsidR="000C4977" w:rsidRPr="000C4977" w:rsidRDefault="000C4977" w:rsidP="00EB0C59">
            <w:pPr>
              <w:keepNext/>
              <w:keepLines/>
              <w:spacing w:before="0"/>
              <w:jc w:val="center"/>
              <w:rPr>
                <w:rFonts w:ascii="Arial Narrow" w:hAnsi="Arial Narrow"/>
                <w:b/>
              </w:rPr>
            </w:pPr>
            <w:r w:rsidRPr="000C4977">
              <w:rPr>
                <w:rFonts w:ascii="Arial Narrow" w:hAnsi="Arial Narrow"/>
                <w:b/>
                <w:bCs/>
                <w:color w:val="000000"/>
              </w:rPr>
              <w:t>Bevacizumab</w:t>
            </w:r>
          </w:p>
        </w:tc>
        <w:tc>
          <w:tcPr>
            <w:tcW w:w="1130" w:type="pct"/>
            <w:tcBorders>
              <w:top w:val="single" w:sz="4" w:space="0" w:color="auto"/>
              <w:left w:val="single" w:sz="4" w:space="0" w:color="auto"/>
              <w:bottom w:val="single" w:sz="4" w:space="0" w:color="auto"/>
              <w:right w:val="single" w:sz="4" w:space="0" w:color="auto"/>
            </w:tcBorders>
            <w:vAlign w:val="center"/>
            <w:hideMark/>
          </w:tcPr>
          <w:p w14:paraId="2656309F" w14:textId="77777777" w:rsidR="000C4977" w:rsidRPr="000C4977" w:rsidRDefault="000C4977" w:rsidP="000C4977">
            <w:pPr>
              <w:keepNext/>
              <w:keepLines/>
              <w:spacing w:before="0"/>
              <w:jc w:val="center"/>
              <w:rPr>
                <w:rFonts w:ascii="Arial Narrow" w:hAnsi="Arial Narrow"/>
                <w:b/>
              </w:rPr>
            </w:pPr>
            <w:r w:rsidRPr="000C4977">
              <w:rPr>
                <w:rFonts w:ascii="Arial Narrow" w:hAnsi="Arial Narrow"/>
                <w:b/>
              </w:rPr>
              <w:t>Increment</w:t>
            </w:r>
          </w:p>
        </w:tc>
      </w:tr>
      <w:tr w:rsidR="000C4977" w:rsidRPr="000C4977" w14:paraId="3C2F17A3" w14:textId="77777777" w:rsidTr="00A91280">
        <w:tc>
          <w:tcPr>
            <w:tcW w:w="5000" w:type="pct"/>
            <w:gridSpan w:val="4"/>
            <w:tcBorders>
              <w:top w:val="single" w:sz="4" w:space="0" w:color="auto"/>
              <w:left w:val="single" w:sz="4" w:space="0" w:color="auto"/>
              <w:bottom w:val="single" w:sz="4" w:space="0" w:color="auto"/>
              <w:right w:val="single" w:sz="4" w:space="0" w:color="auto"/>
            </w:tcBorders>
            <w:hideMark/>
          </w:tcPr>
          <w:p w14:paraId="7077BA33" w14:textId="77777777" w:rsidR="000C4977" w:rsidRPr="000C4977" w:rsidRDefault="000C4977" w:rsidP="00EB0C59">
            <w:pPr>
              <w:keepNext/>
              <w:keepLines/>
              <w:widowControl w:val="0"/>
              <w:spacing w:before="0"/>
              <w:jc w:val="left"/>
              <w:rPr>
                <w:rFonts w:ascii="Arial Narrow" w:hAnsi="Arial Narrow"/>
                <w:b/>
                <w:bCs/>
                <w:color w:val="000000" w:themeColor="text1"/>
              </w:rPr>
            </w:pPr>
            <w:r w:rsidRPr="000C4977">
              <w:rPr>
                <w:rFonts w:ascii="Arial Narrow" w:hAnsi="Arial Narrow"/>
                <w:b/>
                <w:bCs/>
                <w:color w:val="000000" w:themeColor="text1"/>
              </w:rPr>
              <w:t>Modelled cost per QALY versus bevacizumab (20 years)</w:t>
            </w:r>
          </w:p>
        </w:tc>
      </w:tr>
      <w:tr w:rsidR="000C4977" w:rsidRPr="000C4977" w14:paraId="6E2351E2" w14:textId="77777777" w:rsidTr="00A91280">
        <w:tc>
          <w:tcPr>
            <w:tcW w:w="1334" w:type="pct"/>
            <w:tcBorders>
              <w:top w:val="single" w:sz="4" w:space="0" w:color="auto"/>
              <w:left w:val="single" w:sz="4" w:space="0" w:color="auto"/>
              <w:bottom w:val="single" w:sz="4" w:space="0" w:color="auto"/>
              <w:right w:val="single" w:sz="4" w:space="0" w:color="auto"/>
            </w:tcBorders>
            <w:vAlign w:val="bottom"/>
            <w:hideMark/>
          </w:tcPr>
          <w:p w14:paraId="75AA8B46" w14:textId="77777777" w:rsidR="000C4977" w:rsidRPr="000C4977" w:rsidRDefault="000C4977" w:rsidP="00EB0C59">
            <w:pPr>
              <w:keepNext/>
              <w:keepLines/>
              <w:spacing w:before="0"/>
              <w:jc w:val="left"/>
              <w:rPr>
                <w:rFonts w:ascii="Arial Narrow" w:hAnsi="Arial Narrow"/>
              </w:rPr>
            </w:pPr>
            <w:r w:rsidRPr="000C4977">
              <w:rPr>
                <w:rFonts w:ascii="Arial Narrow" w:hAnsi="Arial Narrow"/>
              </w:rPr>
              <w:t>Discounted costs</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AADEC13" w14:textId="6344C501" w:rsidR="000C4977" w:rsidRPr="00DD79C6" w:rsidRDefault="000C4977" w:rsidP="00AB21C8">
            <w:pPr>
              <w:keepNext/>
              <w:keepLines/>
              <w:tabs>
                <w:tab w:val="decimal" w:pos="0"/>
              </w:tabs>
              <w:spacing w:before="0"/>
              <w:jc w:val="center"/>
              <w:rPr>
                <w:rFonts w:ascii="Arial Narrow" w:hAnsi="Arial Narrow"/>
                <w:iCs/>
                <w:highlight w:val="yellow"/>
              </w:rPr>
            </w:pPr>
            <w:r w:rsidRPr="00436E27">
              <w:rPr>
                <w:rFonts w:ascii="Arial Narrow" w:hAnsi="Arial Narrow" w:cs="Calibri"/>
              </w:rPr>
              <w:t>$</w:t>
            </w:r>
            <w:r w:rsidR="00A8205F" w:rsidRPr="00A8205F">
              <w:rPr>
                <w:rFonts w:ascii="Arial Narrow" w:hAnsi="Arial Narrow" w:cs="Calibri"/>
                <w:color w:val="000000"/>
                <w:shd w:val="solid" w:color="000000" w:fill="000000"/>
                <w14:textFill>
                  <w14:solidFill>
                    <w14:srgbClr w14:val="000000">
                      <w14:alpha w14:val="100000"/>
                    </w14:srgbClr>
                  </w14:solidFill>
                </w14:textFill>
              </w:rPr>
              <w: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6D466140" w14:textId="77777777" w:rsidR="000C4977" w:rsidRPr="00DD79C6" w:rsidRDefault="000C4977" w:rsidP="00EB0C59">
            <w:pPr>
              <w:keepNext/>
              <w:keepLines/>
              <w:tabs>
                <w:tab w:val="decimal" w:pos="396"/>
              </w:tabs>
              <w:spacing w:before="0"/>
              <w:jc w:val="center"/>
              <w:rPr>
                <w:rFonts w:ascii="Arial Narrow" w:hAnsi="Arial Narrow"/>
                <w:iCs/>
                <w:highlight w:val="yellow"/>
              </w:rPr>
            </w:pPr>
            <w:r w:rsidRPr="00436E27">
              <w:rPr>
                <w:rFonts w:ascii="Arial Narrow" w:hAnsi="Arial Narrow" w:cs="Calibri"/>
              </w:rPr>
              <w:t>$</w:t>
            </w:r>
            <w:r w:rsidRPr="00F663C7">
              <w:rPr>
                <w:rFonts w:ascii="Arial Narrow" w:hAnsi="Arial Narrow" w:cs="Calibri"/>
              </w:rPr>
              <w:t>42,391</w:t>
            </w:r>
          </w:p>
        </w:tc>
        <w:tc>
          <w:tcPr>
            <w:tcW w:w="1130" w:type="pct"/>
            <w:tcBorders>
              <w:top w:val="single" w:sz="4" w:space="0" w:color="auto"/>
              <w:left w:val="single" w:sz="4" w:space="0" w:color="auto"/>
              <w:bottom w:val="single" w:sz="4" w:space="0" w:color="auto"/>
              <w:right w:val="single" w:sz="4" w:space="0" w:color="auto"/>
            </w:tcBorders>
            <w:vAlign w:val="center"/>
            <w:hideMark/>
          </w:tcPr>
          <w:p w14:paraId="400DD7F9" w14:textId="19D191EA" w:rsidR="000C4977" w:rsidRPr="00DD79C6" w:rsidRDefault="000C4977" w:rsidP="000C4977">
            <w:pPr>
              <w:keepNext/>
              <w:keepLines/>
              <w:tabs>
                <w:tab w:val="decimal" w:pos="0"/>
              </w:tabs>
              <w:spacing w:before="0"/>
              <w:jc w:val="center"/>
              <w:rPr>
                <w:rFonts w:ascii="Arial Narrow" w:hAnsi="Arial Narrow"/>
                <w:bCs/>
                <w:iCs/>
                <w:highlight w:val="yellow"/>
              </w:rPr>
            </w:pPr>
            <w:r w:rsidRPr="00436E27">
              <w:rPr>
                <w:rFonts w:ascii="Arial Narrow" w:hAnsi="Arial Narrow" w:cs="Calibri"/>
              </w:rPr>
              <w:t>$</w:t>
            </w:r>
            <w:r w:rsidR="00A8205F" w:rsidRPr="00A8205F">
              <w:rPr>
                <w:rFonts w:ascii="Arial Narrow" w:hAnsi="Arial Narrow" w:cs="Calibri"/>
                <w:color w:val="000000"/>
                <w:shd w:val="solid" w:color="000000" w:fill="000000"/>
                <w14:textFill>
                  <w14:solidFill>
                    <w14:srgbClr w14:val="000000">
                      <w14:alpha w14:val="100000"/>
                    </w14:srgbClr>
                  </w14:solidFill>
                </w14:textFill>
              </w:rPr>
              <w:t>|</w:t>
            </w:r>
          </w:p>
        </w:tc>
      </w:tr>
      <w:tr w:rsidR="000C4977" w:rsidRPr="00F663C7" w14:paraId="2A43750E" w14:textId="77777777" w:rsidTr="00A91280">
        <w:tc>
          <w:tcPr>
            <w:tcW w:w="1334" w:type="pct"/>
            <w:tcBorders>
              <w:top w:val="single" w:sz="4" w:space="0" w:color="auto"/>
              <w:left w:val="single" w:sz="4" w:space="0" w:color="auto"/>
              <w:bottom w:val="single" w:sz="4" w:space="0" w:color="auto"/>
              <w:right w:val="single" w:sz="4" w:space="0" w:color="auto"/>
            </w:tcBorders>
            <w:vAlign w:val="bottom"/>
          </w:tcPr>
          <w:p w14:paraId="5C09308E" w14:textId="77777777" w:rsidR="000C4977" w:rsidRPr="00F663C7" w:rsidRDefault="000C4977" w:rsidP="00EB0C59">
            <w:pPr>
              <w:keepNext/>
              <w:keepLines/>
              <w:spacing w:before="0"/>
              <w:jc w:val="left"/>
              <w:rPr>
                <w:rFonts w:ascii="Arial Narrow" w:hAnsi="Arial Narrow"/>
              </w:rPr>
            </w:pPr>
            <w:r w:rsidRPr="00F663C7">
              <w:rPr>
                <w:rFonts w:ascii="Arial Narrow" w:hAnsi="Arial Narrow"/>
              </w:rPr>
              <w:t>Undiscounted LYG</w:t>
            </w:r>
          </w:p>
        </w:tc>
        <w:tc>
          <w:tcPr>
            <w:tcW w:w="1226" w:type="pct"/>
            <w:tcBorders>
              <w:top w:val="single" w:sz="4" w:space="0" w:color="auto"/>
              <w:left w:val="single" w:sz="4" w:space="0" w:color="auto"/>
              <w:bottom w:val="single" w:sz="4" w:space="0" w:color="auto"/>
              <w:right w:val="single" w:sz="4" w:space="0" w:color="auto"/>
            </w:tcBorders>
            <w:vAlign w:val="center"/>
          </w:tcPr>
          <w:p w14:paraId="67988F53" w14:textId="77777777" w:rsidR="000C4977" w:rsidRPr="00F663C7" w:rsidRDefault="000C4977" w:rsidP="00EB0C59">
            <w:pPr>
              <w:keepNext/>
              <w:keepLines/>
              <w:tabs>
                <w:tab w:val="decimal" w:pos="0"/>
              </w:tabs>
              <w:spacing w:before="0"/>
              <w:jc w:val="center"/>
              <w:rPr>
                <w:rFonts w:ascii="Arial Narrow" w:hAnsi="Arial Narrow"/>
              </w:rPr>
            </w:pPr>
            <w:r w:rsidRPr="00F663C7">
              <w:rPr>
                <w:rFonts w:ascii="Arial Narrow" w:eastAsiaTheme="majorEastAsia" w:hAnsi="Arial Narrow"/>
                <w:lang w:bidi="en-US"/>
              </w:rPr>
              <w:t>9.675</w:t>
            </w:r>
          </w:p>
        </w:tc>
        <w:tc>
          <w:tcPr>
            <w:tcW w:w="1310" w:type="pct"/>
            <w:tcBorders>
              <w:top w:val="single" w:sz="4" w:space="0" w:color="auto"/>
              <w:left w:val="single" w:sz="4" w:space="0" w:color="auto"/>
              <w:bottom w:val="single" w:sz="4" w:space="0" w:color="auto"/>
              <w:right w:val="single" w:sz="4" w:space="0" w:color="auto"/>
            </w:tcBorders>
            <w:vAlign w:val="center"/>
          </w:tcPr>
          <w:p w14:paraId="62BF57E4" w14:textId="77777777" w:rsidR="000C4977" w:rsidRPr="00F663C7" w:rsidRDefault="000C4977" w:rsidP="00EB0C59">
            <w:pPr>
              <w:keepNext/>
              <w:keepLines/>
              <w:tabs>
                <w:tab w:val="decimal" w:pos="0"/>
              </w:tabs>
              <w:spacing w:before="0"/>
              <w:jc w:val="center"/>
              <w:rPr>
                <w:rFonts w:ascii="Arial Narrow" w:hAnsi="Arial Narrow"/>
              </w:rPr>
            </w:pPr>
            <w:r w:rsidRPr="00F663C7">
              <w:rPr>
                <w:rFonts w:ascii="Arial Narrow" w:eastAsiaTheme="majorEastAsia" w:hAnsi="Arial Narrow"/>
                <w:lang w:bidi="en-US"/>
              </w:rPr>
              <w:t>5.935</w:t>
            </w:r>
          </w:p>
        </w:tc>
        <w:tc>
          <w:tcPr>
            <w:tcW w:w="1130" w:type="pct"/>
            <w:tcBorders>
              <w:top w:val="single" w:sz="4" w:space="0" w:color="auto"/>
              <w:left w:val="single" w:sz="4" w:space="0" w:color="auto"/>
              <w:bottom w:val="single" w:sz="4" w:space="0" w:color="auto"/>
              <w:right w:val="single" w:sz="4" w:space="0" w:color="auto"/>
            </w:tcBorders>
            <w:vAlign w:val="center"/>
          </w:tcPr>
          <w:p w14:paraId="619B9F84" w14:textId="77777777" w:rsidR="000C4977" w:rsidRPr="00F663C7" w:rsidRDefault="000C4977" w:rsidP="000C4977">
            <w:pPr>
              <w:keepNext/>
              <w:keepLines/>
              <w:tabs>
                <w:tab w:val="decimal" w:pos="0"/>
              </w:tabs>
              <w:spacing w:before="0"/>
              <w:jc w:val="center"/>
              <w:rPr>
                <w:rFonts w:ascii="Arial Narrow" w:hAnsi="Arial Narrow"/>
              </w:rPr>
            </w:pPr>
            <w:r w:rsidRPr="00F663C7">
              <w:rPr>
                <w:rFonts w:ascii="Arial Narrow" w:eastAsiaTheme="majorEastAsia" w:hAnsi="Arial Narrow"/>
                <w:lang w:bidi="en-US"/>
              </w:rPr>
              <w:t>3.74</w:t>
            </w:r>
          </w:p>
        </w:tc>
      </w:tr>
      <w:tr w:rsidR="000C4977" w:rsidRPr="00F663C7" w14:paraId="43FAE36B" w14:textId="77777777" w:rsidTr="00A91280">
        <w:tc>
          <w:tcPr>
            <w:tcW w:w="1334" w:type="pct"/>
            <w:tcBorders>
              <w:top w:val="single" w:sz="4" w:space="0" w:color="auto"/>
              <w:left w:val="single" w:sz="4" w:space="0" w:color="auto"/>
              <w:bottom w:val="single" w:sz="4" w:space="0" w:color="auto"/>
              <w:right w:val="single" w:sz="4" w:space="0" w:color="auto"/>
            </w:tcBorders>
            <w:vAlign w:val="bottom"/>
            <w:hideMark/>
          </w:tcPr>
          <w:p w14:paraId="78EE555A" w14:textId="77777777" w:rsidR="000C4977" w:rsidRPr="00F663C7" w:rsidRDefault="000C4977" w:rsidP="00EB0C59">
            <w:pPr>
              <w:keepNext/>
              <w:keepLines/>
              <w:spacing w:before="0"/>
              <w:jc w:val="left"/>
              <w:rPr>
                <w:rFonts w:ascii="Arial Narrow" w:hAnsi="Arial Narrow"/>
              </w:rPr>
            </w:pPr>
            <w:r w:rsidRPr="00F663C7">
              <w:rPr>
                <w:rFonts w:ascii="Arial Narrow" w:hAnsi="Arial Narrow"/>
              </w:rPr>
              <w:t>Discounted LYG</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A4D5188" w14:textId="77777777" w:rsidR="000C4977" w:rsidRPr="00F663C7" w:rsidRDefault="000C4977" w:rsidP="00EB0C59">
            <w:pPr>
              <w:keepNext/>
              <w:keepLines/>
              <w:tabs>
                <w:tab w:val="decimal" w:pos="0"/>
              </w:tabs>
              <w:spacing w:before="0"/>
              <w:jc w:val="center"/>
              <w:rPr>
                <w:rFonts w:ascii="Arial Narrow" w:hAnsi="Arial Narrow" w:cs="Calibri"/>
              </w:rPr>
            </w:pPr>
            <w:r w:rsidRPr="00F663C7">
              <w:rPr>
                <w:rFonts w:ascii="Arial Narrow" w:hAnsi="Arial Narrow"/>
              </w:rPr>
              <w:t>7.00</w:t>
            </w:r>
          </w:p>
        </w:tc>
        <w:tc>
          <w:tcPr>
            <w:tcW w:w="1310" w:type="pct"/>
            <w:tcBorders>
              <w:top w:val="single" w:sz="4" w:space="0" w:color="auto"/>
              <w:left w:val="single" w:sz="4" w:space="0" w:color="auto"/>
              <w:bottom w:val="single" w:sz="4" w:space="0" w:color="auto"/>
              <w:right w:val="single" w:sz="4" w:space="0" w:color="auto"/>
            </w:tcBorders>
            <w:vAlign w:val="center"/>
            <w:hideMark/>
          </w:tcPr>
          <w:p w14:paraId="333DC7B7" w14:textId="77777777" w:rsidR="000C4977" w:rsidRPr="00F663C7" w:rsidRDefault="000C4977" w:rsidP="00EB0C59">
            <w:pPr>
              <w:keepNext/>
              <w:keepLines/>
              <w:tabs>
                <w:tab w:val="decimal" w:pos="0"/>
              </w:tabs>
              <w:spacing w:before="0"/>
              <w:jc w:val="center"/>
              <w:rPr>
                <w:rFonts w:ascii="Arial Narrow" w:hAnsi="Arial Narrow" w:cs="Calibri"/>
              </w:rPr>
            </w:pPr>
            <w:r w:rsidRPr="00F663C7">
              <w:rPr>
                <w:rFonts w:ascii="Arial Narrow" w:hAnsi="Arial Narrow"/>
              </w:rPr>
              <w:t>4.80</w:t>
            </w:r>
          </w:p>
        </w:tc>
        <w:tc>
          <w:tcPr>
            <w:tcW w:w="1130" w:type="pct"/>
            <w:tcBorders>
              <w:top w:val="single" w:sz="4" w:space="0" w:color="auto"/>
              <w:left w:val="single" w:sz="4" w:space="0" w:color="auto"/>
              <w:bottom w:val="single" w:sz="4" w:space="0" w:color="auto"/>
              <w:right w:val="single" w:sz="4" w:space="0" w:color="auto"/>
            </w:tcBorders>
            <w:vAlign w:val="center"/>
            <w:hideMark/>
          </w:tcPr>
          <w:p w14:paraId="6423943D" w14:textId="77777777" w:rsidR="000C4977" w:rsidRPr="00F663C7" w:rsidRDefault="000C4977" w:rsidP="000C4977">
            <w:pPr>
              <w:keepNext/>
              <w:keepLines/>
              <w:tabs>
                <w:tab w:val="decimal" w:pos="0"/>
              </w:tabs>
              <w:spacing w:before="0"/>
              <w:jc w:val="center"/>
              <w:rPr>
                <w:rFonts w:ascii="Arial Narrow" w:hAnsi="Arial Narrow" w:cs="Calibri"/>
              </w:rPr>
            </w:pPr>
            <w:r w:rsidRPr="00F663C7">
              <w:rPr>
                <w:rFonts w:ascii="Arial Narrow" w:hAnsi="Arial Narrow"/>
              </w:rPr>
              <w:t>2.19</w:t>
            </w:r>
          </w:p>
        </w:tc>
      </w:tr>
      <w:tr w:rsidR="000C4977" w:rsidRPr="00F663C7" w14:paraId="71221F46" w14:textId="77777777" w:rsidTr="00A91280">
        <w:tc>
          <w:tcPr>
            <w:tcW w:w="1334" w:type="pct"/>
            <w:tcBorders>
              <w:top w:val="single" w:sz="4" w:space="0" w:color="auto"/>
              <w:left w:val="single" w:sz="4" w:space="0" w:color="auto"/>
              <w:bottom w:val="single" w:sz="4" w:space="0" w:color="auto"/>
              <w:right w:val="single" w:sz="4" w:space="0" w:color="auto"/>
            </w:tcBorders>
            <w:vAlign w:val="bottom"/>
            <w:hideMark/>
          </w:tcPr>
          <w:p w14:paraId="0AF351FF" w14:textId="77777777" w:rsidR="000C4977" w:rsidRPr="00F663C7" w:rsidRDefault="000C4977" w:rsidP="00EB0C59">
            <w:pPr>
              <w:keepNext/>
              <w:keepLines/>
              <w:spacing w:before="0"/>
              <w:jc w:val="left"/>
              <w:rPr>
                <w:rFonts w:ascii="Arial Narrow" w:hAnsi="Arial Narrow"/>
                <w:i/>
                <w:iCs/>
              </w:rPr>
            </w:pPr>
            <w:r w:rsidRPr="00F663C7">
              <w:rPr>
                <w:rFonts w:ascii="Arial Narrow" w:hAnsi="Arial Narrow"/>
              </w:rPr>
              <w:t>Discounted QALYs</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39D5A1C" w14:textId="77777777" w:rsidR="000C4977" w:rsidRPr="00F663C7" w:rsidRDefault="000C4977" w:rsidP="00EB0C59">
            <w:pPr>
              <w:keepNext/>
              <w:keepLines/>
              <w:tabs>
                <w:tab w:val="decimal" w:pos="0"/>
              </w:tabs>
              <w:spacing w:before="0"/>
              <w:jc w:val="center"/>
              <w:rPr>
                <w:rFonts w:ascii="Arial Narrow" w:hAnsi="Arial Narrow" w:cs="Calibri"/>
                <w:i/>
                <w:iCs/>
              </w:rPr>
            </w:pPr>
            <w:r w:rsidRPr="00F663C7">
              <w:rPr>
                <w:rFonts w:ascii="Arial Narrow" w:hAnsi="Arial Narrow"/>
              </w:rPr>
              <w:t>5.10</w:t>
            </w:r>
          </w:p>
        </w:tc>
        <w:tc>
          <w:tcPr>
            <w:tcW w:w="1310" w:type="pct"/>
            <w:tcBorders>
              <w:top w:val="single" w:sz="4" w:space="0" w:color="auto"/>
              <w:left w:val="single" w:sz="4" w:space="0" w:color="auto"/>
              <w:bottom w:val="single" w:sz="4" w:space="0" w:color="auto"/>
              <w:right w:val="single" w:sz="4" w:space="0" w:color="auto"/>
            </w:tcBorders>
            <w:vAlign w:val="center"/>
            <w:hideMark/>
          </w:tcPr>
          <w:p w14:paraId="3696C009" w14:textId="77777777" w:rsidR="000C4977" w:rsidRPr="00F663C7" w:rsidRDefault="000C4977" w:rsidP="00EB0C59">
            <w:pPr>
              <w:keepNext/>
              <w:keepLines/>
              <w:tabs>
                <w:tab w:val="decimal" w:pos="0"/>
              </w:tabs>
              <w:spacing w:before="0"/>
              <w:jc w:val="center"/>
              <w:rPr>
                <w:rFonts w:ascii="Arial Narrow" w:hAnsi="Arial Narrow" w:cs="Calibri"/>
                <w:i/>
                <w:iCs/>
              </w:rPr>
            </w:pPr>
            <w:r w:rsidRPr="00F663C7">
              <w:rPr>
                <w:rFonts w:ascii="Arial Narrow" w:hAnsi="Arial Narrow"/>
              </w:rPr>
              <w:t>3.13</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051E745" w14:textId="77777777" w:rsidR="000C4977" w:rsidRPr="00F663C7" w:rsidRDefault="000C4977" w:rsidP="000C4977">
            <w:pPr>
              <w:keepNext/>
              <w:keepLines/>
              <w:tabs>
                <w:tab w:val="decimal" w:pos="0"/>
              </w:tabs>
              <w:spacing w:before="0"/>
              <w:jc w:val="center"/>
              <w:rPr>
                <w:rFonts w:ascii="Arial Narrow" w:hAnsi="Arial Narrow" w:cs="Calibri"/>
                <w:bCs/>
                <w:i/>
                <w:iCs/>
              </w:rPr>
            </w:pPr>
            <w:r w:rsidRPr="00F663C7">
              <w:rPr>
                <w:rFonts w:ascii="Arial Narrow" w:hAnsi="Arial Narrow"/>
              </w:rPr>
              <w:t>1.96</w:t>
            </w:r>
          </w:p>
        </w:tc>
      </w:tr>
      <w:tr w:rsidR="000C4977" w:rsidRPr="00557161" w14:paraId="264A0021" w14:textId="77777777" w:rsidTr="00A91280">
        <w:tc>
          <w:tcPr>
            <w:tcW w:w="3870" w:type="pct"/>
            <w:gridSpan w:val="3"/>
            <w:tcBorders>
              <w:top w:val="single" w:sz="4" w:space="0" w:color="auto"/>
              <w:left w:val="single" w:sz="4" w:space="0" w:color="auto"/>
              <w:bottom w:val="single" w:sz="4" w:space="0" w:color="auto"/>
              <w:right w:val="single" w:sz="4" w:space="0" w:color="auto"/>
            </w:tcBorders>
            <w:hideMark/>
          </w:tcPr>
          <w:p w14:paraId="4516BF22" w14:textId="77777777" w:rsidR="000C4977" w:rsidRPr="000C4977" w:rsidRDefault="000C4977" w:rsidP="00EB0C59">
            <w:pPr>
              <w:keepNext/>
              <w:keepLines/>
              <w:spacing w:before="0"/>
              <w:jc w:val="right"/>
              <w:rPr>
                <w:rFonts w:ascii="Arial Narrow" w:hAnsi="Arial Narrow"/>
              </w:rPr>
            </w:pPr>
            <w:r w:rsidRPr="000C4977">
              <w:rPr>
                <w:rFonts w:ascii="Arial Narrow" w:hAnsi="Arial Narrow"/>
              </w:rPr>
              <w:t>Incremental cost per LY gained</w:t>
            </w:r>
          </w:p>
        </w:tc>
        <w:tc>
          <w:tcPr>
            <w:tcW w:w="1130" w:type="pct"/>
            <w:tcBorders>
              <w:top w:val="single" w:sz="4" w:space="0" w:color="auto"/>
              <w:left w:val="single" w:sz="4" w:space="0" w:color="auto"/>
              <w:bottom w:val="single" w:sz="4" w:space="0" w:color="auto"/>
              <w:right w:val="single" w:sz="4" w:space="0" w:color="auto"/>
            </w:tcBorders>
            <w:hideMark/>
          </w:tcPr>
          <w:p w14:paraId="14AF5B30" w14:textId="57B35FC9" w:rsidR="000C4977" w:rsidRPr="00DD79C6" w:rsidRDefault="000C4977" w:rsidP="000C4977">
            <w:pPr>
              <w:keepNext/>
              <w:keepLines/>
              <w:tabs>
                <w:tab w:val="decimal" w:pos="396"/>
              </w:tabs>
              <w:spacing w:before="0"/>
              <w:jc w:val="center"/>
              <w:rPr>
                <w:rFonts w:ascii="Arial Narrow" w:hAnsi="Arial Narrow"/>
                <w:highlight w:val="yellow"/>
              </w:rPr>
            </w:pPr>
            <w:r w:rsidRPr="00436E27">
              <w:rPr>
                <w:rFonts w:ascii="Arial Narrow" w:hAnsi="Arial Narrow"/>
              </w:rPr>
              <w:t>$</w:t>
            </w:r>
            <w:r w:rsidR="00A8205F" w:rsidRPr="00A8205F">
              <w:rPr>
                <w:rFonts w:ascii="Arial Narrow" w:hAnsi="Arial Narrow"/>
                <w:color w:val="000000"/>
                <w:shd w:val="solid" w:color="000000" w:fill="000000"/>
                <w14:textFill>
                  <w14:solidFill>
                    <w14:srgbClr w14:val="000000">
                      <w14:alpha w14:val="100000"/>
                    </w14:srgbClr>
                  </w14:solidFill>
                </w14:textFill>
              </w:rPr>
              <w:t>|</w:t>
            </w:r>
            <w:r w:rsidR="00436E27" w:rsidRPr="00723048">
              <w:rPr>
                <w:rFonts w:ascii="Arial Narrow" w:hAnsi="Arial Narrow"/>
              </w:rPr>
              <w:t xml:space="preserve"> </w:t>
            </w:r>
            <w:r w:rsidR="00436E27" w:rsidRPr="00723048">
              <w:rPr>
                <w:rFonts w:ascii="Arial Narrow" w:hAnsi="Arial Narrow"/>
                <w:vertAlign w:val="superscript"/>
              </w:rPr>
              <w:t>1</w:t>
            </w:r>
          </w:p>
        </w:tc>
      </w:tr>
      <w:tr w:rsidR="000C4977" w:rsidRPr="00557161" w14:paraId="77A2E038" w14:textId="77777777" w:rsidTr="00A91280">
        <w:tc>
          <w:tcPr>
            <w:tcW w:w="3870" w:type="pct"/>
            <w:gridSpan w:val="3"/>
            <w:tcBorders>
              <w:top w:val="single" w:sz="4" w:space="0" w:color="auto"/>
              <w:left w:val="single" w:sz="4" w:space="0" w:color="auto"/>
              <w:bottom w:val="single" w:sz="4" w:space="0" w:color="auto"/>
              <w:right w:val="single" w:sz="4" w:space="0" w:color="auto"/>
            </w:tcBorders>
            <w:hideMark/>
          </w:tcPr>
          <w:p w14:paraId="7FF3B499" w14:textId="77777777" w:rsidR="000C4977" w:rsidRPr="000C4977" w:rsidRDefault="000C4977" w:rsidP="00EB0C59">
            <w:pPr>
              <w:keepNext/>
              <w:keepLines/>
              <w:spacing w:before="0"/>
              <w:jc w:val="right"/>
              <w:rPr>
                <w:rFonts w:ascii="Arial Narrow" w:hAnsi="Arial Narrow"/>
                <w:b/>
                <w:bCs/>
              </w:rPr>
            </w:pPr>
            <w:r w:rsidRPr="000C4977">
              <w:rPr>
                <w:rFonts w:ascii="Arial Narrow" w:hAnsi="Arial Narrow"/>
                <w:b/>
                <w:bCs/>
              </w:rPr>
              <w:t>Incremental cost per QALY gained</w:t>
            </w:r>
          </w:p>
        </w:tc>
        <w:tc>
          <w:tcPr>
            <w:tcW w:w="1130" w:type="pct"/>
            <w:tcBorders>
              <w:top w:val="single" w:sz="4" w:space="0" w:color="auto"/>
              <w:left w:val="single" w:sz="4" w:space="0" w:color="auto"/>
              <w:bottom w:val="single" w:sz="4" w:space="0" w:color="auto"/>
              <w:right w:val="single" w:sz="4" w:space="0" w:color="auto"/>
            </w:tcBorders>
            <w:hideMark/>
          </w:tcPr>
          <w:p w14:paraId="43643DC7" w14:textId="05145253" w:rsidR="000C4977" w:rsidRPr="00DD79C6" w:rsidRDefault="000C4977" w:rsidP="000C4977">
            <w:pPr>
              <w:keepNext/>
              <w:keepLines/>
              <w:tabs>
                <w:tab w:val="decimal" w:pos="396"/>
              </w:tabs>
              <w:spacing w:before="0"/>
              <w:jc w:val="center"/>
              <w:rPr>
                <w:rFonts w:ascii="Arial Narrow" w:hAnsi="Arial Narrow"/>
                <w:b/>
                <w:bCs/>
                <w:highlight w:val="yellow"/>
              </w:rPr>
            </w:pPr>
            <w:r w:rsidRPr="00436E27">
              <w:rPr>
                <w:rFonts w:ascii="Arial Narrow" w:hAnsi="Arial Narrow"/>
                <w:b/>
                <w:bCs/>
              </w:rPr>
              <w:t>$</w:t>
            </w:r>
            <w:r w:rsidR="00A8205F" w:rsidRPr="00A8205F">
              <w:rPr>
                <w:rFonts w:ascii="Arial Narrow" w:hAnsi="Arial Narrow"/>
                <w:b/>
                <w:bCs/>
                <w:color w:val="000000"/>
                <w:shd w:val="solid" w:color="000000" w:fill="000000"/>
                <w14:textFill>
                  <w14:solidFill>
                    <w14:srgbClr w14:val="000000">
                      <w14:alpha w14:val="100000"/>
                    </w14:srgbClr>
                  </w14:solidFill>
                </w14:textFill>
              </w:rPr>
              <w:t>|</w:t>
            </w:r>
            <w:r w:rsidR="00436E27" w:rsidRPr="00723048">
              <w:rPr>
                <w:rFonts w:ascii="Arial Narrow" w:hAnsi="Arial Narrow"/>
              </w:rPr>
              <w:t xml:space="preserve"> </w:t>
            </w:r>
            <w:r w:rsidR="00436E27" w:rsidRPr="00723048">
              <w:rPr>
                <w:rFonts w:ascii="Arial Narrow" w:hAnsi="Arial Narrow"/>
                <w:vertAlign w:val="superscript"/>
              </w:rPr>
              <w:t>1</w:t>
            </w:r>
          </w:p>
        </w:tc>
      </w:tr>
    </w:tbl>
    <w:p w14:paraId="3E80B7E2" w14:textId="4EF577F9" w:rsidR="000C4977" w:rsidRPr="000C4977" w:rsidRDefault="000C4977" w:rsidP="000C4977">
      <w:pPr>
        <w:keepNext/>
        <w:keepLines/>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LY = life year, QALY = quality</w:t>
      </w:r>
      <w:r w:rsidR="00D9058D">
        <w:rPr>
          <w:rFonts w:ascii="Arial Narrow" w:eastAsia="Times New Roman" w:hAnsi="Arial Narrow" w:cs="Arial"/>
          <w:snapToGrid w:val="0"/>
          <w:sz w:val="18"/>
          <w:szCs w:val="20"/>
        </w:rPr>
        <w:t>-</w:t>
      </w:r>
      <w:r w:rsidRPr="000C4977">
        <w:rPr>
          <w:rFonts w:ascii="Arial Narrow" w:eastAsia="Times New Roman" w:hAnsi="Arial Narrow" w:cs="Arial"/>
          <w:snapToGrid w:val="0"/>
          <w:sz w:val="18"/>
          <w:szCs w:val="20"/>
        </w:rPr>
        <w:t>adjusted life year</w:t>
      </w:r>
    </w:p>
    <w:p w14:paraId="0E081305" w14:textId="5083A421" w:rsid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Constructed during evaluation</w:t>
      </w:r>
    </w:p>
    <w:p w14:paraId="2C20F40B" w14:textId="77777777" w:rsidR="00436E27" w:rsidRPr="00723048" w:rsidRDefault="00436E27" w:rsidP="00436E27">
      <w:pPr>
        <w:spacing w:before="0" w:after="0"/>
        <w:jc w:val="left"/>
        <w:rPr>
          <w:rFonts w:ascii="Arial Narrow" w:eastAsia="Times New Roman" w:hAnsi="Arial Narrow" w:cs="Arial"/>
          <w:i/>
          <w:sz w:val="18"/>
          <w:szCs w:val="18"/>
          <w:lang w:eastAsia="en-AU"/>
        </w:rPr>
      </w:pPr>
      <w:r w:rsidRPr="00723048">
        <w:rPr>
          <w:rFonts w:ascii="Arial Narrow" w:eastAsia="Times New Roman" w:hAnsi="Arial Narrow" w:cs="Arial"/>
          <w:i/>
          <w:sz w:val="18"/>
          <w:szCs w:val="18"/>
          <w:lang w:eastAsia="en-AU"/>
        </w:rPr>
        <w:t xml:space="preserve">The redacted values correspond to the following ranges: </w:t>
      </w:r>
    </w:p>
    <w:p w14:paraId="073F1AFF" w14:textId="77777777" w:rsidR="00436E27" w:rsidRPr="00723048" w:rsidRDefault="00436E27" w:rsidP="00436E27">
      <w:pPr>
        <w:widowControl w:val="0"/>
        <w:spacing w:before="0" w:after="0"/>
        <w:contextualSpacing/>
        <w:rPr>
          <w:rFonts w:ascii="Arial Narrow" w:eastAsia="Times New Roman" w:hAnsi="Arial Narrow" w:cs="Arial"/>
          <w:i/>
          <w:iCs/>
          <w:snapToGrid w:val="0"/>
          <w:sz w:val="18"/>
          <w:szCs w:val="20"/>
        </w:rPr>
      </w:pPr>
      <w:r w:rsidRPr="00723048">
        <w:rPr>
          <w:rFonts w:ascii="Arial Narrow" w:eastAsia="Times New Roman" w:hAnsi="Arial Narrow" w:cs="Arial"/>
          <w:i/>
          <w:iCs/>
          <w:snapToGrid w:val="0"/>
          <w:sz w:val="18"/>
          <w:szCs w:val="20"/>
          <w:vertAlign w:val="superscript"/>
        </w:rPr>
        <w:t>1</w:t>
      </w:r>
      <w:r w:rsidRPr="00723048">
        <w:rPr>
          <w:rFonts w:ascii="Arial Narrow" w:eastAsia="Times New Roman" w:hAnsi="Arial Narrow" w:cs="Arial"/>
          <w:i/>
          <w:iCs/>
          <w:snapToGrid w:val="0"/>
          <w:sz w:val="18"/>
          <w:szCs w:val="20"/>
        </w:rPr>
        <w:t xml:space="preserve"> $35,000 to &lt; $45,000</w:t>
      </w:r>
    </w:p>
    <w:p w14:paraId="653C775A" w14:textId="77777777" w:rsidR="00436E27" w:rsidRPr="000C4977" w:rsidRDefault="00436E27" w:rsidP="000C4977">
      <w:pPr>
        <w:widowControl w:val="0"/>
        <w:spacing w:before="0" w:after="0"/>
        <w:contextualSpacing/>
        <w:rPr>
          <w:rFonts w:ascii="Arial Narrow" w:eastAsia="Times New Roman" w:hAnsi="Arial Narrow" w:cs="Arial"/>
          <w:snapToGrid w:val="0"/>
          <w:sz w:val="18"/>
          <w:szCs w:val="20"/>
        </w:rPr>
      </w:pPr>
    </w:p>
    <w:p w14:paraId="66CE53FF" w14:textId="77777777" w:rsidR="000C4977" w:rsidRPr="00EB0C59" w:rsidRDefault="000C4977" w:rsidP="000C4977">
      <w:pPr>
        <w:spacing w:line="259" w:lineRule="auto"/>
        <w:jc w:val="left"/>
      </w:pPr>
      <w:r w:rsidRPr="000C4977">
        <w:t>Results of the key univariate sensitivity analyses are summarised in the table below.</w:t>
      </w:r>
    </w:p>
    <w:p w14:paraId="14794BC9" w14:textId="36FC5A2E"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lastRenderedPageBreak/>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24</w:t>
      </w:r>
      <w:r w:rsidRPr="000C4977">
        <w:rPr>
          <w:rFonts w:ascii="Arial Narrow" w:hAnsi="Arial Narrow"/>
          <w:b/>
          <w:iCs/>
          <w:noProof/>
          <w:sz w:val="20"/>
          <w:szCs w:val="18"/>
        </w:rPr>
        <w:fldChar w:fldCharType="end"/>
      </w:r>
      <w:r w:rsidR="00EF62E4">
        <w:rPr>
          <w:rFonts w:ascii="Arial Narrow" w:hAnsi="Arial Narrow"/>
          <w:b/>
          <w:iCs/>
          <w:noProof/>
          <w:sz w:val="20"/>
          <w:szCs w:val="18"/>
        </w:rPr>
        <w:tab/>
      </w:r>
      <w:r w:rsidRPr="000C4977">
        <w:rPr>
          <w:rFonts w:ascii="Arial Narrow" w:hAnsi="Arial Narrow"/>
          <w:b/>
          <w:iCs/>
          <w:sz w:val="20"/>
          <w:szCs w:val="18"/>
        </w:rPr>
        <w:t>Results of key sensitivity analyses versus bevacizumab (PASC population 1, P1)</w:t>
      </w:r>
    </w:p>
    <w:tbl>
      <w:tblPr>
        <w:tblStyle w:val="AZTable2"/>
        <w:tblpPr w:leftFromText="180" w:rightFromText="180" w:vertAnchor="text" w:tblpY="1"/>
        <w:tblOverlap w:val="never"/>
        <w:tblW w:w="5000" w:type="pct"/>
        <w:tblLook w:val="04A0" w:firstRow="1" w:lastRow="0" w:firstColumn="1" w:lastColumn="0" w:noHBand="0" w:noVBand="1"/>
      </w:tblPr>
      <w:tblGrid>
        <w:gridCol w:w="3465"/>
        <w:gridCol w:w="1194"/>
        <w:gridCol w:w="1313"/>
        <w:gridCol w:w="1886"/>
        <w:gridCol w:w="1158"/>
      </w:tblGrid>
      <w:tr w:rsidR="000C4977" w:rsidRPr="000C4977" w14:paraId="7E15FD04"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hideMark/>
          </w:tcPr>
          <w:p w14:paraId="0C5D11F3" w14:textId="77777777" w:rsidR="000C4977" w:rsidRPr="000C4977" w:rsidRDefault="000C4977" w:rsidP="000C4977">
            <w:pPr>
              <w:pStyle w:val="Tabletext0"/>
              <w:rPr>
                <w:rFonts w:eastAsiaTheme="majorEastAsia"/>
                <w:lang w:bidi="en-US"/>
              </w:rPr>
            </w:pPr>
            <w:r w:rsidRPr="000C4977">
              <w:rPr>
                <w:rFonts w:eastAsiaTheme="majorEastAsia"/>
                <w:lang w:bidi="en-US"/>
              </w:rPr>
              <w:t>Variable or assumption</w:t>
            </w:r>
          </w:p>
        </w:tc>
        <w:tc>
          <w:tcPr>
            <w:tcW w:w="662" w:type="pct"/>
            <w:tcBorders>
              <w:top w:val="single" w:sz="4" w:space="0" w:color="auto"/>
              <w:left w:val="single" w:sz="4" w:space="0" w:color="auto"/>
              <w:bottom w:val="single" w:sz="4" w:space="0" w:color="auto"/>
              <w:right w:val="single" w:sz="4" w:space="0" w:color="auto"/>
            </w:tcBorders>
            <w:hideMark/>
          </w:tcPr>
          <w:p w14:paraId="69864608"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C4977">
              <w:rPr>
                <w:rFonts w:eastAsiaTheme="majorEastAsia"/>
                <w:lang w:bidi="en-US"/>
              </w:rPr>
              <w:t>Incremental costs</w:t>
            </w:r>
          </w:p>
        </w:tc>
        <w:tc>
          <w:tcPr>
            <w:tcW w:w="728" w:type="pct"/>
            <w:tcBorders>
              <w:top w:val="single" w:sz="4" w:space="0" w:color="auto"/>
              <w:left w:val="single" w:sz="4" w:space="0" w:color="auto"/>
              <w:bottom w:val="single" w:sz="4" w:space="0" w:color="auto"/>
              <w:right w:val="single" w:sz="4" w:space="0" w:color="auto"/>
            </w:tcBorders>
            <w:hideMark/>
          </w:tcPr>
          <w:p w14:paraId="5F3987EE"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C4977">
              <w:rPr>
                <w:rFonts w:eastAsiaTheme="majorEastAsia"/>
                <w:lang w:bidi="en-US"/>
              </w:rPr>
              <w:t>Incremental effectiveness (QALYs)</w:t>
            </w:r>
          </w:p>
        </w:tc>
        <w:tc>
          <w:tcPr>
            <w:tcW w:w="1046" w:type="pct"/>
            <w:tcBorders>
              <w:top w:val="single" w:sz="4" w:space="0" w:color="auto"/>
              <w:left w:val="single" w:sz="4" w:space="0" w:color="auto"/>
              <w:bottom w:val="single" w:sz="4" w:space="0" w:color="auto"/>
              <w:right w:val="single" w:sz="4" w:space="0" w:color="auto"/>
            </w:tcBorders>
            <w:hideMark/>
          </w:tcPr>
          <w:p w14:paraId="3D20AC4C"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C4977">
              <w:rPr>
                <w:rFonts w:eastAsiaTheme="majorEastAsia"/>
                <w:lang w:bidi="en-US"/>
              </w:rPr>
              <w:t>ICER versus bevacizumab</w:t>
            </w:r>
          </w:p>
        </w:tc>
        <w:tc>
          <w:tcPr>
            <w:tcW w:w="642" w:type="pct"/>
            <w:tcBorders>
              <w:top w:val="single" w:sz="4" w:space="0" w:color="auto"/>
              <w:left w:val="single" w:sz="4" w:space="0" w:color="auto"/>
              <w:bottom w:val="single" w:sz="4" w:space="0" w:color="auto"/>
              <w:right w:val="single" w:sz="4" w:space="0" w:color="auto"/>
            </w:tcBorders>
            <w:hideMark/>
          </w:tcPr>
          <w:p w14:paraId="297EBC99" w14:textId="77777777" w:rsidR="000C4977" w:rsidRPr="000C4977" w:rsidRDefault="000C4977" w:rsidP="000C4977">
            <w:pPr>
              <w:pStyle w:val="Tabletext0"/>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C4977">
              <w:rPr>
                <w:rFonts w:eastAsiaTheme="majorEastAsia"/>
                <w:lang w:bidi="en-US"/>
              </w:rPr>
              <w:t xml:space="preserve">% </w:t>
            </w:r>
            <w:proofErr w:type="gramStart"/>
            <w:r w:rsidRPr="000C4977">
              <w:rPr>
                <w:rFonts w:eastAsiaTheme="majorEastAsia"/>
                <w:lang w:bidi="en-US"/>
              </w:rPr>
              <w:t>change</w:t>
            </w:r>
            <w:proofErr w:type="gramEnd"/>
            <w:r w:rsidRPr="000C4977">
              <w:rPr>
                <w:rFonts w:eastAsiaTheme="majorEastAsia"/>
                <w:lang w:bidi="en-US"/>
              </w:rPr>
              <w:t xml:space="preserve"> from base case</w:t>
            </w:r>
          </w:p>
        </w:tc>
      </w:tr>
      <w:tr w:rsidR="000C4977" w:rsidRPr="004702CE" w14:paraId="34CFEAC3"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86E93" w14:textId="77777777" w:rsidR="000C4977" w:rsidRPr="004702CE" w:rsidRDefault="000C4977" w:rsidP="000C4977">
            <w:pPr>
              <w:pStyle w:val="Tabletext0"/>
              <w:rPr>
                <w:rFonts w:eastAsiaTheme="majorEastAsia" w:cstheme="majorBidi"/>
                <w:szCs w:val="28"/>
              </w:rPr>
            </w:pPr>
            <w:r w:rsidRPr="004702CE">
              <w:rPr>
                <w:rFonts w:eastAsiaTheme="majorEastAsia" w:cstheme="majorBidi"/>
                <w:szCs w:val="28"/>
              </w:rPr>
              <w:t>Base case</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6DB6F"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Cs w:val="28"/>
              </w:rPr>
            </w:pPr>
            <w:r w:rsidRPr="004702CE">
              <w:rPr>
                <w:rFonts w:eastAsiaTheme="majorEastAsia" w:cstheme="majorBidi"/>
                <w:szCs w:val="28"/>
              </w:rPr>
              <w:t>$23,170</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D2FF4"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Cs w:val="28"/>
              </w:rPr>
            </w:pPr>
            <w:r w:rsidRPr="004702CE">
              <w:rPr>
                <w:rFonts w:eastAsiaTheme="majorEastAsia" w:cstheme="majorBidi"/>
                <w:szCs w:val="28"/>
              </w:rPr>
              <w:t>0.4616</w:t>
            </w:r>
          </w:p>
        </w:tc>
        <w:tc>
          <w:tcPr>
            <w:tcW w:w="10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157C94" w14:textId="3B6B11F3" w:rsidR="000C4977" w:rsidRPr="004702CE" w:rsidRDefault="00A8205F"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vertAlign w:val="superscript"/>
              </w:rPr>
            </w:pPr>
            <w:r w:rsidRPr="00A8205F">
              <w:rPr>
                <w:rFonts w:eastAsiaTheme="majorEastAsia" w:cstheme="majorBidi"/>
                <w:color w:val="000000"/>
                <w:szCs w:val="28"/>
                <w:shd w:val="solid" w:color="000000" w:fill="000000"/>
                <w14:textFill>
                  <w14:solidFill>
                    <w14:srgbClr w14:val="000000">
                      <w14:alpha w14:val="100000"/>
                    </w14:srgbClr>
                  </w14:solidFill>
                </w14:textFill>
              </w:rPr>
              <w:t>|</w:t>
            </w:r>
            <w:r w:rsidR="00A549F9" w:rsidRPr="004702CE">
              <w:rPr>
                <w:rFonts w:eastAsiaTheme="majorEastAsia" w:cstheme="majorBidi"/>
                <w:szCs w:val="28"/>
              </w:rPr>
              <w:t xml:space="preserve"> </w:t>
            </w:r>
            <w:r w:rsidR="00A549F9" w:rsidRPr="004702CE">
              <w:rPr>
                <w:rFonts w:eastAsiaTheme="majorEastAsia" w:cstheme="majorBidi"/>
                <w:szCs w:val="28"/>
                <w:vertAlign w:val="superscript"/>
              </w:rPr>
              <w:t>1</w:t>
            </w:r>
          </w:p>
        </w:tc>
        <w:tc>
          <w:tcPr>
            <w:tcW w:w="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92AE8"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Cs w:val="28"/>
              </w:rPr>
            </w:pPr>
            <w:r w:rsidRPr="004702CE">
              <w:rPr>
                <w:rFonts w:eastAsiaTheme="majorEastAsia" w:cstheme="majorBidi"/>
                <w:szCs w:val="28"/>
              </w:rPr>
              <w:t>NA</w:t>
            </w:r>
          </w:p>
        </w:tc>
      </w:tr>
      <w:tr w:rsidR="000C4977" w:rsidRPr="000C4977" w14:paraId="76C96CC6"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hideMark/>
          </w:tcPr>
          <w:p w14:paraId="276E0492"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Prevalence of HRD+ (base case = 50%)</w:t>
            </w:r>
          </w:p>
          <w:p w14:paraId="42B224B0"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 xml:space="preserve">40%, 25.3% </w:t>
            </w:r>
            <w:proofErr w:type="spellStart"/>
            <w:r w:rsidRPr="00082946">
              <w:rPr>
                <w:rFonts w:eastAsiaTheme="majorEastAsia" w:cstheme="majorBidi"/>
                <w:b w:val="0"/>
                <w:bCs/>
                <w:i/>
                <w:iCs/>
                <w:szCs w:val="28"/>
              </w:rPr>
              <w:t>BRCAm</w:t>
            </w:r>
            <w:proofErr w:type="spellEnd"/>
          </w:p>
          <w:p w14:paraId="47365100"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 xml:space="preserve">60%, 25.3% </w:t>
            </w:r>
            <w:proofErr w:type="spellStart"/>
            <w:r w:rsidRPr="00082946">
              <w:rPr>
                <w:rFonts w:eastAsiaTheme="majorEastAsia" w:cstheme="majorBidi"/>
                <w:b w:val="0"/>
                <w:bCs/>
                <w:i/>
                <w:iCs/>
                <w:szCs w:val="28"/>
              </w:rPr>
              <w:t>BRCAm</w:t>
            </w:r>
            <w:proofErr w:type="spellEnd"/>
          </w:p>
        </w:tc>
        <w:tc>
          <w:tcPr>
            <w:tcW w:w="662" w:type="pct"/>
            <w:tcBorders>
              <w:top w:val="single" w:sz="4" w:space="0" w:color="auto"/>
              <w:left w:val="single" w:sz="4" w:space="0" w:color="auto"/>
              <w:bottom w:val="single" w:sz="4" w:space="0" w:color="auto"/>
              <w:right w:val="single" w:sz="4" w:space="0" w:color="auto"/>
            </w:tcBorders>
          </w:tcPr>
          <w:p w14:paraId="09CE3768"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p>
          <w:p w14:paraId="02A95728" w14:textId="383E5E78" w:rsidR="00100C4C"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szCs w:val="28"/>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00100C4C" w:rsidRPr="00100C4C">
              <w:rPr>
                <w:rFonts w:eastAsiaTheme="majorEastAsia" w:cstheme="majorBidi"/>
                <w:b w:val="0"/>
                <w:bCs/>
                <w:szCs w:val="28"/>
              </w:rPr>
              <w:t xml:space="preserve"> </w:t>
            </w:r>
          </w:p>
          <w:p w14:paraId="23D6B135" w14:textId="23647935"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00100C4C" w:rsidRPr="00100C4C">
              <w:rPr>
                <w:rFonts w:eastAsiaTheme="majorEastAsia" w:cstheme="majorBidi"/>
                <w:b w:val="0"/>
                <w:bCs/>
                <w:szCs w:val="28"/>
              </w:rPr>
              <w:t xml:space="preserve"> </w:t>
            </w:r>
          </w:p>
        </w:tc>
        <w:tc>
          <w:tcPr>
            <w:tcW w:w="728" w:type="pct"/>
            <w:tcBorders>
              <w:top w:val="single" w:sz="4" w:space="0" w:color="auto"/>
              <w:left w:val="single" w:sz="4" w:space="0" w:color="auto"/>
              <w:bottom w:val="single" w:sz="4" w:space="0" w:color="auto"/>
              <w:right w:val="single" w:sz="4" w:space="0" w:color="auto"/>
            </w:tcBorders>
          </w:tcPr>
          <w:p w14:paraId="7E590C07"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392F5736"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0.2747</w:t>
            </w:r>
          </w:p>
          <w:p w14:paraId="68319765"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0.6485</w:t>
            </w:r>
          </w:p>
        </w:tc>
        <w:tc>
          <w:tcPr>
            <w:tcW w:w="1046" w:type="pct"/>
            <w:tcBorders>
              <w:top w:val="single" w:sz="4" w:space="0" w:color="auto"/>
              <w:left w:val="single" w:sz="4" w:space="0" w:color="auto"/>
              <w:bottom w:val="single" w:sz="4" w:space="0" w:color="auto"/>
              <w:right w:val="single" w:sz="4" w:space="0" w:color="auto"/>
            </w:tcBorders>
          </w:tcPr>
          <w:p w14:paraId="5189E34B"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p>
          <w:p w14:paraId="59FB3705" w14:textId="09657998" w:rsidR="00100C4C"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szCs w:val="28"/>
                <w:vertAlign w:val="superscript"/>
              </w:rPr>
            </w:pPr>
            <w:r w:rsidRPr="00A549F9">
              <w:rPr>
                <w:rFonts w:eastAsiaTheme="majorEastAsia" w:cstheme="majorBidi"/>
                <w:b w:val="0"/>
                <w:bCs/>
                <w:i/>
                <w:szCs w:val="28"/>
              </w:rPr>
              <w:t>$</w:t>
            </w:r>
            <w:r w:rsidR="00A8205F" w:rsidRPr="00A8205F">
              <w:rPr>
                <w:rFonts w:eastAsiaTheme="majorEastAsia" w:cstheme="majorBidi"/>
                <w:b w:val="0"/>
                <w:bCs/>
                <w:i/>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i/>
                <w:szCs w:val="28"/>
              </w:rPr>
              <w:t xml:space="preserve"> </w:t>
            </w:r>
            <w:r w:rsidR="00A549F9">
              <w:rPr>
                <w:rFonts w:eastAsiaTheme="majorEastAsia" w:cstheme="majorBidi"/>
                <w:szCs w:val="28"/>
                <w:vertAlign w:val="superscript"/>
              </w:rPr>
              <w:t>2</w:t>
            </w:r>
          </w:p>
          <w:p w14:paraId="36D51F7D" w14:textId="4D0DFE00"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r w:rsidRPr="00A549F9">
              <w:rPr>
                <w:rFonts w:eastAsiaTheme="majorEastAsia" w:cstheme="majorBidi"/>
                <w:b w:val="0"/>
                <w:bCs/>
                <w:i/>
                <w:szCs w:val="28"/>
              </w:rPr>
              <w:t>$</w:t>
            </w:r>
            <w:r w:rsidR="00A8205F" w:rsidRPr="00A8205F">
              <w:rPr>
                <w:rFonts w:eastAsiaTheme="majorEastAsia" w:cstheme="majorBidi"/>
                <w:b w:val="0"/>
                <w:bCs/>
                <w:i/>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i/>
                <w:szCs w:val="28"/>
              </w:rPr>
              <w:t xml:space="preserve"> </w:t>
            </w:r>
            <w:r w:rsidR="00A549F9" w:rsidRPr="00A549F9">
              <w:rPr>
                <w:rFonts w:eastAsiaTheme="majorEastAsia" w:cstheme="majorBidi"/>
                <w:szCs w:val="28"/>
                <w:vertAlign w:val="superscript"/>
              </w:rPr>
              <w:t>1</w:t>
            </w:r>
          </w:p>
        </w:tc>
        <w:tc>
          <w:tcPr>
            <w:tcW w:w="642" w:type="pct"/>
            <w:tcBorders>
              <w:top w:val="single" w:sz="4" w:space="0" w:color="auto"/>
              <w:left w:val="single" w:sz="4" w:space="0" w:color="auto"/>
              <w:bottom w:val="single" w:sz="4" w:space="0" w:color="auto"/>
              <w:right w:val="single" w:sz="4" w:space="0" w:color="auto"/>
            </w:tcBorders>
          </w:tcPr>
          <w:p w14:paraId="2925E118"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2D3911AA"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+12.55%</w:t>
            </w:r>
          </w:p>
          <w:p w14:paraId="0167663A"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-5.23%</w:t>
            </w:r>
          </w:p>
        </w:tc>
      </w:tr>
      <w:tr w:rsidR="000C4977" w:rsidRPr="000C4977" w14:paraId="53656C13"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hideMark/>
          </w:tcPr>
          <w:p w14:paraId="285EE07E"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Sensitivity and specificity (base case 95% sensitivity and 95% specificity)</w:t>
            </w:r>
          </w:p>
          <w:p w14:paraId="5AD70AD4"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Lowest estimate of diagnostic accuracy (86% for sensitivity and 94% for specificity)</w:t>
            </w:r>
          </w:p>
          <w:p w14:paraId="06C744AE" w14:textId="77777777" w:rsidR="000C4977" w:rsidRPr="000C4977" w:rsidRDefault="000C4977" w:rsidP="000C4977">
            <w:pPr>
              <w:pStyle w:val="Tabletext0"/>
              <w:rPr>
                <w:rFonts w:eastAsiaTheme="majorEastAsia" w:cstheme="majorBidi"/>
                <w:b w:val="0"/>
                <w:bCs/>
                <w:i/>
                <w:szCs w:val="28"/>
              </w:rPr>
            </w:pPr>
            <w:r w:rsidRPr="000C4977">
              <w:rPr>
                <w:rFonts w:eastAsiaTheme="majorEastAsia" w:cstheme="majorBidi"/>
                <w:b w:val="0"/>
                <w:bCs/>
                <w:i/>
                <w:szCs w:val="28"/>
              </w:rPr>
              <w:t>Highest estimate of diagnostic accuracy (98.5% for sensitivity and 97.4% for specificity)</w:t>
            </w:r>
          </w:p>
        </w:tc>
        <w:tc>
          <w:tcPr>
            <w:tcW w:w="662" w:type="pct"/>
            <w:tcBorders>
              <w:top w:val="single" w:sz="4" w:space="0" w:color="auto"/>
              <w:left w:val="single" w:sz="4" w:space="0" w:color="auto"/>
              <w:bottom w:val="single" w:sz="4" w:space="0" w:color="auto"/>
              <w:right w:val="single" w:sz="4" w:space="0" w:color="auto"/>
            </w:tcBorders>
          </w:tcPr>
          <w:p w14:paraId="25A27CA3"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p>
          <w:p w14:paraId="6594403F"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p>
          <w:p w14:paraId="1D40614B" w14:textId="3DE6EC32" w:rsidR="00100C4C"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szCs w:val="28"/>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Pr="00100C4C">
              <w:rPr>
                <w:rFonts w:eastAsiaTheme="majorEastAsia" w:cstheme="majorBidi"/>
                <w:b w:val="0"/>
                <w:bCs/>
                <w:szCs w:val="28"/>
              </w:rPr>
              <w:t xml:space="preserve"> </w:t>
            </w:r>
          </w:p>
          <w:p w14:paraId="3703464F"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p>
          <w:p w14:paraId="13AD27FB" w14:textId="27B8EDCC" w:rsidR="000C4977" w:rsidRPr="00100C4C"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Cs/>
                <w:szCs w:val="28"/>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Pr="00100C4C">
              <w:rPr>
                <w:rFonts w:eastAsiaTheme="majorEastAsia" w:cstheme="majorBidi"/>
                <w:b w:val="0"/>
                <w:bCs/>
                <w:szCs w:val="28"/>
              </w:rPr>
              <w:t xml:space="preserve"> </w:t>
            </w:r>
          </w:p>
        </w:tc>
        <w:tc>
          <w:tcPr>
            <w:tcW w:w="728" w:type="pct"/>
            <w:tcBorders>
              <w:top w:val="single" w:sz="4" w:space="0" w:color="auto"/>
              <w:left w:val="single" w:sz="4" w:space="0" w:color="auto"/>
              <w:bottom w:val="single" w:sz="4" w:space="0" w:color="auto"/>
              <w:right w:val="single" w:sz="4" w:space="0" w:color="auto"/>
            </w:tcBorders>
          </w:tcPr>
          <w:p w14:paraId="74E39582"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59EB8773"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3BB81DEB"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0.4191</w:t>
            </w:r>
          </w:p>
          <w:p w14:paraId="2160A3BA"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1375EADE"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0.4781</w:t>
            </w:r>
          </w:p>
        </w:tc>
        <w:tc>
          <w:tcPr>
            <w:tcW w:w="1046" w:type="pct"/>
            <w:tcBorders>
              <w:top w:val="single" w:sz="4" w:space="0" w:color="auto"/>
              <w:left w:val="single" w:sz="4" w:space="0" w:color="auto"/>
              <w:bottom w:val="single" w:sz="4" w:space="0" w:color="auto"/>
              <w:right w:val="single" w:sz="4" w:space="0" w:color="auto"/>
            </w:tcBorders>
          </w:tcPr>
          <w:p w14:paraId="2DC00763"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p>
          <w:p w14:paraId="3AE83868"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p>
          <w:p w14:paraId="79C8C6A5" w14:textId="15FCDED7" w:rsidR="000C4977" w:rsidRPr="009933D2" w:rsidRDefault="00100C4C"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Pr="00100C4C">
              <w:rPr>
                <w:rFonts w:eastAsiaTheme="majorEastAsia" w:cstheme="majorBidi"/>
                <w:b w:val="0"/>
                <w:bCs/>
                <w:szCs w:val="28"/>
              </w:rPr>
              <w:t xml:space="preserve"> </w:t>
            </w:r>
            <w:r w:rsidR="00A549F9" w:rsidRPr="00A549F9">
              <w:rPr>
                <w:rFonts w:eastAsiaTheme="majorEastAsia" w:cstheme="majorBidi"/>
                <w:szCs w:val="28"/>
                <w:vertAlign w:val="superscript"/>
              </w:rPr>
              <w:t>1</w:t>
            </w:r>
          </w:p>
          <w:p w14:paraId="2679921E"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p>
          <w:p w14:paraId="20E74B36" w14:textId="2F80266F"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r w:rsidRPr="00A549F9">
              <w:rPr>
                <w:rFonts w:eastAsiaTheme="majorEastAsia" w:cstheme="majorBidi"/>
                <w:b w:val="0"/>
                <w:bCs/>
                <w:i/>
                <w:szCs w:val="28"/>
              </w:rPr>
              <w:t>$</w:t>
            </w:r>
            <w:r w:rsidR="00A8205F" w:rsidRPr="00A8205F">
              <w:rPr>
                <w:rFonts w:eastAsiaTheme="majorEastAsia" w:cstheme="majorBidi"/>
                <w:b w:val="0"/>
                <w:bCs/>
                <w:i/>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i/>
                <w:szCs w:val="28"/>
              </w:rPr>
              <w:t xml:space="preserve"> </w:t>
            </w:r>
            <w:r w:rsidR="00A549F9" w:rsidRPr="00A549F9">
              <w:rPr>
                <w:rFonts w:eastAsiaTheme="majorEastAsia" w:cstheme="majorBidi"/>
                <w:szCs w:val="28"/>
                <w:vertAlign w:val="superscript"/>
              </w:rPr>
              <w:t>1</w:t>
            </w:r>
          </w:p>
        </w:tc>
        <w:tc>
          <w:tcPr>
            <w:tcW w:w="642" w:type="pct"/>
            <w:tcBorders>
              <w:top w:val="single" w:sz="4" w:space="0" w:color="auto"/>
              <w:left w:val="single" w:sz="4" w:space="0" w:color="auto"/>
              <w:bottom w:val="single" w:sz="4" w:space="0" w:color="auto"/>
              <w:right w:val="single" w:sz="4" w:space="0" w:color="auto"/>
            </w:tcBorders>
          </w:tcPr>
          <w:p w14:paraId="643D26F0"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190BBA9A"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7202719F"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+2.91%</w:t>
            </w:r>
          </w:p>
          <w:p w14:paraId="62CDCC22"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p>
          <w:p w14:paraId="0C1D196F"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-3.96%</w:t>
            </w:r>
          </w:p>
        </w:tc>
      </w:tr>
      <w:tr w:rsidR="00100C4C" w:rsidRPr="000C4977" w14:paraId="42FB695F"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hideMark/>
          </w:tcPr>
          <w:p w14:paraId="74EFE9F1" w14:textId="77777777" w:rsidR="00100C4C" w:rsidRPr="000C4977" w:rsidRDefault="00100C4C" w:rsidP="00100C4C">
            <w:pPr>
              <w:pStyle w:val="Tabletext0"/>
              <w:rPr>
                <w:rFonts w:eastAsiaTheme="majorEastAsia" w:cstheme="majorBidi"/>
                <w:b w:val="0"/>
                <w:bCs/>
                <w:szCs w:val="28"/>
              </w:rPr>
            </w:pPr>
            <w:r w:rsidRPr="00082946">
              <w:rPr>
                <w:rFonts w:eastAsiaTheme="majorEastAsia" w:cstheme="majorBidi"/>
                <w:b w:val="0"/>
                <w:bCs/>
                <w:i/>
                <w:iCs/>
                <w:szCs w:val="28"/>
              </w:rPr>
              <w:t>BRCA</w:t>
            </w:r>
            <w:r w:rsidRPr="000C4977">
              <w:rPr>
                <w:rFonts w:eastAsiaTheme="majorEastAsia" w:cstheme="majorBidi"/>
                <w:b w:val="0"/>
                <w:bCs/>
                <w:szCs w:val="28"/>
              </w:rPr>
              <w:t xml:space="preserve"> test cost $1,000 (base case = $1,200)</w:t>
            </w:r>
          </w:p>
        </w:tc>
        <w:tc>
          <w:tcPr>
            <w:tcW w:w="662" w:type="pct"/>
            <w:tcBorders>
              <w:top w:val="single" w:sz="4" w:space="0" w:color="auto"/>
              <w:left w:val="single" w:sz="4" w:space="0" w:color="auto"/>
              <w:bottom w:val="single" w:sz="4" w:space="0" w:color="auto"/>
              <w:right w:val="single" w:sz="4" w:space="0" w:color="auto"/>
            </w:tcBorders>
            <w:hideMark/>
          </w:tcPr>
          <w:p w14:paraId="32EEC8F9" w14:textId="7AC08CFB"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r w:rsidRPr="000178F3">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Pr="000178F3">
              <w:rPr>
                <w:rFonts w:eastAsiaTheme="majorEastAsia" w:cstheme="majorBidi"/>
                <w:b w:val="0"/>
                <w:bCs/>
                <w:szCs w:val="28"/>
              </w:rPr>
              <w:t xml:space="preserve"> </w:t>
            </w:r>
          </w:p>
        </w:tc>
        <w:tc>
          <w:tcPr>
            <w:tcW w:w="728" w:type="pct"/>
            <w:tcBorders>
              <w:top w:val="single" w:sz="4" w:space="0" w:color="auto"/>
              <w:left w:val="single" w:sz="4" w:space="0" w:color="auto"/>
              <w:bottom w:val="single" w:sz="4" w:space="0" w:color="auto"/>
              <w:right w:val="single" w:sz="4" w:space="0" w:color="auto"/>
            </w:tcBorders>
            <w:hideMark/>
          </w:tcPr>
          <w:p w14:paraId="0DA0CD34" w14:textId="77777777"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0.4616</w:t>
            </w:r>
          </w:p>
        </w:tc>
        <w:tc>
          <w:tcPr>
            <w:tcW w:w="1046" w:type="pct"/>
            <w:tcBorders>
              <w:top w:val="single" w:sz="4" w:space="0" w:color="auto"/>
              <w:left w:val="single" w:sz="4" w:space="0" w:color="auto"/>
              <w:bottom w:val="single" w:sz="4" w:space="0" w:color="auto"/>
              <w:right w:val="single" w:sz="4" w:space="0" w:color="auto"/>
            </w:tcBorders>
            <w:hideMark/>
          </w:tcPr>
          <w:p w14:paraId="6CED0813" w14:textId="1339A8D6"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szCs w:val="28"/>
              </w:rPr>
              <w:t xml:space="preserve"> </w:t>
            </w:r>
            <w:r w:rsidRPr="00A549F9">
              <w:rPr>
                <w:rFonts w:eastAsiaTheme="majorEastAsia" w:cstheme="majorBidi"/>
                <w:szCs w:val="28"/>
                <w:vertAlign w:val="superscript"/>
              </w:rPr>
              <w:t>1</w:t>
            </w:r>
          </w:p>
        </w:tc>
        <w:tc>
          <w:tcPr>
            <w:tcW w:w="642" w:type="pct"/>
            <w:tcBorders>
              <w:top w:val="single" w:sz="4" w:space="0" w:color="auto"/>
              <w:left w:val="single" w:sz="4" w:space="0" w:color="auto"/>
              <w:bottom w:val="single" w:sz="4" w:space="0" w:color="auto"/>
              <w:right w:val="single" w:sz="4" w:space="0" w:color="auto"/>
            </w:tcBorders>
            <w:hideMark/>
          </w:tcPr>
          <w:p w14:paraId="5C5BA5FB" w14:textId="77777777" w:rsidR="00100C4C" w:rsidRPr="004702CE"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+1.08%</w:t>
            </w:r>
          </w:p>
        </w:tc>
      </w:tr>
      <w:tr w:rsidR="00100C4C" w:rsidRPr="000C4977" w14:paraId="7578939C"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tcPr>
          <w:p w14:paraId="42063D86" w14:textId="77777777" w:rsidR="00100C4C" w:rsidRPr="000C4977" w:rsidRDefault="00100C4C" w:rsidP="00100C4C">
            <w:pPr>
              <w:pStyle w:val="Tabletext0"/>
              <w:rPr>
                <w:rFonts w:eastAsiaTheme="majorEastAsia" w:cstheme="majorBidi"/>
                <w:b w:val="0"/>
                <w:bCs/>
                <w:szCs w:val="28"/>
              </w:rPr>
            </w:pPr>
            <w:r w:rsidRPr="00082946">
              <w:rPr>
                <w:rFonts w:eastAsiaTheme="majorEastAsia" w:cstheme="majorBidi"/>
                <w:b w:val="0"/>
                <w:bCs/>
                <w:i/>
                <w:iCs/>
                <w:szCs w:val="28"/>
              </w:rPr>
              <w:t>BRCA</w:t>
            </w:r>
            <w:r w:rsidRPr="000C4977">
              <w:rPr>
                <w:rFonts w:eastAsiaTheme="majorEastAsia" w:cstheme="majorBidi"/>
                <w:b w:val="0"/>
                <w:bCs/>
                <w:szCs w:val="28"/>
              </w:rPr>
              <w:t xml:space="preserve"> and HRD test costs = 0 (base case: </w:t>
            </w:r>
            <w:r w:rsidRPr="00082946">
              <w:rPr>
                <w:rFonts w:eastAsiaTheme="majorEastAsia" w:cstheme="majorBidi"/>
                <w:b w:val="0"/>
                <w:bCs/>
                <w:i/>
                <w:iCs/>
                <w:szCs w:val="28"/>
              </w:rPr>
              <w:t>BRCA</w:t>
            </w:r>
            <w:r w:rsidRPr="000C4977">
              <w:rPr>
                <w:rFonts w:eastAsiaTheme="majorEastAsia" w:cstheme="majorBidi"/>
                <w:b w:val="0"/>
                <w:bCs/>
                <w:szCs w:val="28"/>
              </w:rPr>
              <w:t xml:space="preserve"> = $1,200; HRD = </w:t>
            </w:r>
            <w:r w:rsidRPr="004702CE">
              <w:rPr>
                <w:rFonts w:eastAsiaTheme="majorEastAsia" w:cstheme="majorBidi"/>
                <w:b w:val="0"/>
                <w:bCs/>
                <w:szCs w:val="28"/>
              </w:rPr>
              <w:t>$2,500</w:t>
            </w:r>
            <w:r w:rsidRPr="000C4977">
              <w:rPr>
                <w:rFonts w:eastAsiaTheme="majorEastAsia" w:cstheme="majorBidi"/>
                <w:b w:val="0"/>
                <w:bCs/>
                <w:szCs w:val="28"/>
              </w:rPr>
              <w:t>)</w:t>
            </w:r>
          </w:p>
        </w:tc>
        <w:tc>
          <w:tcPr>
            <w:tcW w:w="662" w:type="pct"/>
            <w:tcBorders>
              <w:top w:val="single" w:sz="4" w:space="0" w:color="auto"/>
              <w:left w:val="single" w:sz="4" w:space="0" w:color="auto"/>
              <w:bottom w:val="single" w:sz="4" w:space="0" w:color="auto"/>
              <w:right w:val="single" w:sz="4" w:space="0" w:color="auto"/>
            </w:tcBorders>
          </w:tcPr>
          <w:p w14:paraId="0473199F" w14:textId="591364B5"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r w:rsidRPr="000178F3">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Pr="000178F3">
              <w:rPr>
                <w:rFonts w:eastAsiaTheme="majorEastAsia" w:cstheme="majorBidi"/>
                <w:b w:val="0"/>
                <w:bCs/>
                <w:szCs w:val="28"/>
              </w:rPr>
              <w:t xml:space="preserve"> </w:t>
            </w:r>
          </w:p>
        </w:tc>
        <w:tc>
          <w:tcPr>
            <w:tcW w:w="728" w:type="pct"/>
            <w:tcBorders>
              <w:top w:val="single" w:sz="4" w:space="0" w:color="auto"/>
              <w:left w:val="single" w:sz="4" w:space="0" w:color="auto"/>
              <w:bottom w:val="single" w:sz="4" w:space="0" w:color="auto"/>
              <w:right w:val="single" w:sz="4" w:space="0" w:color="auto"/>
            </w:tcBorders>
          </w:tcPr>
          <w:p w14:paraId="4EAA975E" w14:textId="77777777"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9933D2">
              <w:rPr>
                <w:rFonts w:eastAsiaTheme="majorEastAsia" w:cstheme="majorBidi"/>
                <w:b w:val="0"/>
                <w:bCs/>
                <w:szCs w:val="28"/>
              </w:rPr>
              <w:t>0.4616</w:t>
            </w:r>
          </w:p>
        </w:tc>
        <w:tc>
          <w:tcPr>
            <w:tcW w:w="1046" w:type="pct"/>
            <w:tcBorders>
              <w:top w:val="single" w:sz="4" w:space="0" w:color="auto"/>
              <w:left w:val="single" w:sz="4" w:space="0" w:color="auto"/>
              <w:bottom w:val="single" w:sz="4" w:space="0" w:color="auto"/>
              <w:right w:val="single" w:sz="4" w:space="0" w:color="auto"/>
            </w:tcBorders>
          </w:tcPr>
          <w:p w14:paraId="017DCA3E" w14:textId="1FB2FCBA" w:rsidR="00100C4C" w:rsidRPr="009933D2"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szCs w:val="28"/>
              </w:rPr>
              <w:t xml:space="preserve"> </w:t>
            </w:r>
            <w:r w:rsidRPr="00A549F9">
              <w:rPr>
                <w:rFonts w:eastAsiaTheme="majorEastAsia" w:cstheme="majorBidi"/>
                <w:szCs w:val="28"/>
                <w:vertAlign w:val="superscript"/>
              </w:rPr>
              <w:t>1</w:t>
            </w:r>
          </w:p>
        </w:tc>
        <w:tc>
          <w:tcPr>
            <w:tcW w:w="642" w:type="pct"/>
            <w:tcBorders>
              <w:top w:val="single" w:sz="4" w:space="0" w:color="auto"/>
              <w:left w:val="single" w:sz="4" w:space="0" w:color="auto"/>
              <w:bottom w:val="single" w:sz="4" w:space="0" w:color="auto"/>
              <w:right w:val="single" w:sz="4" w:space="0" w:color="auto"/>
            </w:tcBorders>
          </w:tcPr>
          <w:p w14:paraId="51C45EE0" w14:textId="77777777" w:rsidR="00100C4C" w:rsidRPr="004702CE" w:rsidRDefault="00100C4C" w:rsidP="00100C4C">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szCs w:val="28"/>
              </w:rPr>
            </w:pPr>
            <w:r w:rsidRPr="004702CE">
              <w:rPr>
                <w:rFonts w:eastAsiaTheme="majorEastAsia" w:cstheme="majorBidi"/>
                <w:b w:val="0"/>
                <w:bCs/>
                <w:szCs w:val="28"/>
              </w:rPr>
              <w:t>-7.01%</w:t>
            </w:r>
          </w:p>
        </w:tc>
      </w:tr>
      <w:tr w:rsidR="000C4977" w:rsidRPr="000C4977" w14:paraId="0E7FBF9E"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right w:val="single" w:sz="4" w:space="0" w:color="auto"/>
            </w:tcBorders>
          </w:tcPr>
          <w:p w14:paraId="2DC3C3FB" w14:textId="19879D23" w:rsidR="000C4977" w:rsidRPr="000C4977" w:rsidRDefault="000C4977" w:rsidP="000C4977">
            <w:pPr>
              <w:pStyle w:val="Tabletext0"/>
              <w:rPr>
                <w:rFonts w:eastAsiaTheme="majorEastAsia" w:cstheme="majorBidi"/>
                <w:b w:val="0"/>
                <w:bCs/>
                <w:szCs w:val="28"/>
              </w:rPr>
            </w:pPr>
            <w:r w:rsidRPr="000C4977">
              <w:rPr>
                <w:rFonts w:eastAsiaTheme="majorEastAsia" w:cstheme="majorBidi"/>
                <w:b w:val="0"/>
                <w:bCs/>
                <w:szCs w:val="28"/>
              </w:rPr>
              <w:t>ESC</w:t>
            </w:r>
            <w:r w:rsidR="003D23FB">
              <w:rPr>
                <w:rFonts w:eastAsiaTheme="majorEastAsia" w:cstheme="majorBidi"/>
                <w:b w:val="0"/>
                <w:bCs/>
                <w:szCs w:val="28"/>
              </w:rPr>
              <w:t>s</w:t>
            </w:r>
            <w:r w:rsidRPr="000C4977">
              <w:rPr>
                <w:rFonts w:eastAsiaTheme="majorEastAsia" w:cstheme="majorBidi"/>
                <w:b w:val="0"/>
                <w:bCs/>
                <w:szCs w:val="28"/>
              </w:rPr>
              <w:t xml:space="preserve"> re-specified base case: Assume Weibull extrapolation for bevacizumab monotherapy PFS, time horizon 15 years and using progressed disease utility from PAOLA-1 (0.720) and </w:t>
            </w:r>
            <w:r w:rsidRPr="00122507">
              <w:rPr>
                <w:rFonts w:eastAsiaTheme="majorEastAsia" w:cstheme="majorBidi"/>
                <w:b w:val="0"/>
                <w:bCs/>
                <w:i/>
                <w:iCs/>
                <w:szCs w:val="28"/>
              </w:rPr>
              <w:t>BRCA</w:t>
            </w:r>
            <w:r w:rsidRPr="000C4977">
              <w:rPr>
                <w:rFonts w:eastAsiaTheme="majorEastAsia" w:cstheme="majorBidi"/>
                <w:b w:val="0"/>
                <w:bCs/>
                <w:szCs w:val="28"/>
              </w:rPr>
              <w:t xml:space="preserve"> testing $1,000</w:t>
            </w:r>
          </w:p>
        </w:tc>
        <w:tc>
          <w:tcPr>
            <w:tcW w:w="662" w:type="pct"/>
          </w:tcPr>
          <w:p w14:paraId="4A4234D9" w14:textId="3A32172E" w:rsidR="000C4977" w:rsidRPr="009933D2" w:rsidRDefault="00100C4C"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p>
        </w:tc>
        <w:tc>
          <w:tcPr>
            <w:tcW w:w="728" w:type="pct"/>
          </w:tcPr>
          <w:p w14:paraId="68F2394E"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rPr>
            </w:pPr>
            <w:r w:rsidRPr="009933D2">
              <w:rPr>
                <w:rFonts w:eastAsiaTheme="majorEastAsia" w:cstheme="majorBidi"/>
                <w:b w:val="0"/>
                <w:bCs/>
                <w:i/>
                <w:szCs w:val="28"/>
              </w:rPr>
              <w:t>0.2434</w:t>
            </w:r>
          </w:p>
        </w:tc>
        <w:tc>
          <w:tcPr>
            <w:tcW w:w="1046" w:type="pct"/>
          </w:tcPr>
          <w:p w14:paraId="2F8D4253" w14:textId="0C59C834"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highlight w:val="yellow"/>
              </w:rPr>
            </w:pPr>
            <w:r w:rsidRPr="00A549F9">
              <w:rPr>
                <w:rFonts w:eastAsiaTheme="majorEastAsia" w:cstheme="majorBidi"/>
                <w:b w:val="0"/>
                <w:bCs/>
                <w:i/>
                <w:szCs w:val="28"/>
              </w:rPr>
              <w:t>$</w:t>
            </w:r>
            <w:r w:rsidR="00A8205F" w:rsidRPr="00A8205F">
              <w:rPr>
                <w:rFonts w:eastAsiaTheme="majorEastAsia" w:cstheme="majorBidi"/>
                <w:b w:val="0"/>
                <w:bCs/>
                <w:i/>
                <w:color w:val="000000"/>
                <w:szCs w:val="28"/>
                <w:shd w:val="solid" w:color="000000" w:fill="000000"/>
                <w14:textFill>
                  <w14:solidFill>
                    <w14:srgbClr w14:val="000000">
                      <w14:alpha w14:val="100000"/>
                    </w14:srgbClr>
                  </w14:solidFill>
                </w14:textFill>
              </w:rPr>
              <w:t>|</w:t>
            </w:r>
            <w:r w:rsidR="00AB21C8">
              <w:rPr>
                <w:rFonts w:eastAsiaTheme="majorEastAsia" w:cstheme="majorBidi"/>
                <w:b w:val="0"/>
                <w:bCs/>
                <w:i/>
                <w:szCs w:val="28"/>
              </w:rPr>
              <w:t xml:space="preserve"> </w:t>
            </w:r>
            <w:r w:rsidR="00A549F9">
              <w:rPr>
                <w:rFonts w:eastAsiaTheme="majorEastAsia" w:cstheme="majorBidi"/>
                <w:szCs w:val="28"/>
                <w:vertAlign w:val="superscript"/>
              </w:rPr>
              <w:t>3</w:t>
            </w:r>
          </w:p>
        </w:tc>
        <w:tc>
          <w:tcPr>
            <w:tcW w:w="642" w:type="pct"/>
          </w:tcPr>
          <w:p w14:paraId="59362D96"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b w:val="0"/>
                <w:bCs/>
                <w:i/>
                <w:szCs w:val="28"/>
              </w:rPr>
            </w:pPr>
            <w:r w:rsidRPr="004702CE">
              <w:rPr>
                <w:rFonts w:eastAsiaTheme="majorEastAsia" w:cstheme="majorBidi"/>
                <w:b w:val="0"/>
                <w:bCs/>
                <w:i/>
                <w:szCs w:val="28"/>
              </w:rPr>
              <w:t>+93.91%</w:t>
            </w:r>
          </w:p>
        </w:tc>
      </w:tr>
      <w:tr w:rsidR="000C4977" w:rsidRPr="000C4977" w14:paraId="6C102B62"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Pr>
          <w:p w14:paraId="55E6C7FF" w14:textId="02A408C2" w:rsidR="000C4977" w:rsidRPr="000C4977" w:rsidRDefault="000C4977" w:rsidP="000C4977">
            <w:pPr>
              <w:pStyle w:val="Tabletext0"/>
              <w:rPr>
                <w:rFonts w:cs="Tahoma"/>
                <w:b w:val="0"/>
                <w:bCs/>
              </w:rPr>
            </w:pPr>
            <w:r w:rsidRPr="000C4977">
              <w:rPr>
                <w:rFonts w:cs="Tahoma"/>
                <w:b w:val="0"/>
                <w:bCs/>
                <w:i/>
              </w:rPr>
              <w:t>ESC</w:t>
            </w:r>
            <w:r w:rsidR="003D23FB">
              <w:rPr>
                <w:rFonts w:cs="Tahoma"/>
                <w:b w:val="0"/>
                <w:bCs/>
                <w:i/>
              </w:rPr>
              <w:t>s</w:t>
            </w:r>
            <w:r w:rsidRPr="000C4977">
              <w:rPr>
                <w:rFonts w:cs="Tahoma"/>
                <w:b w:val="0"/>
                <w:bCs/>
                <w:i/>
              </w:rPr>
              <w:t xml:space="preserve"> SA 1: Assume Weibull extrapolation for bevacizumab monotherapy PFS, time horizon 15 years and using progressed disease utility from PAOLA-1 (0.720) and </w:t>
            </w:r>
            <w:r w:rsidRPr="00122507">
              <w:rPr>
                <w:rFonts w:cs="Tahoma"/>
                <w:b w:val="0"/>
                <w:bCs/>
                <w:i/>
                <w:iCs/>
              </w:rPr>
              <w:t>BRCA</w:t>
            </w:r>
            <w:r w:rsidRPr="000C4977">
              <w:rPr>
                <w:rFonts w:cs="Tahoma"/>
                <w:b w:val="0"/>
                <w:bCs/>
                <w:i/>
              </w:rPr>
              <w:t xml:space="preserve"> testing $1,000, </w:t>
            </w:r>
            <w:r w:rsidRPr="000C4977">
              <w:rPr>
                <w:rFonts w:cs="Tahoma"/>
                <w:b w:val="0"/>
                <w:bCs/>
              </w:rPr>
              <w:t>and test being uninformative (sensitivity for GI component = 100%, specificity = 0%)</w:t>
            </w:r>
          </w:p>
        </w:tc>
        <w:tc>
          <w:tcPr>
            <w:tcW w:w="662" w:type="pct"/>
          </w:tcPr>
          <w:p w14:paraId="119352F0" w14:textId="3E65B374" w:rsidR="000C4977" w:rsidRPr="009933D2" w:rsidRDefault="00100C4C"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p>
        </w:tc>
        <w:tc>
          <w:tcPr>
            <w:tcW w:w="728" w:type="pct"/>
          </w:tcPr>
          <w:p w14:paraId="5BE177BC"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9933D2">
              <w:rPr>
                <w:rFonts w:cs="Tahoma"/>
                <w:b w:val="0"/>
                <w:bCs/>
              </w:rPr>
              <w:t>0.2556</w:t>
            </w:r>
          </w:p>
        </w:tc>
        <w:tc>
          <w:tcPr>
            <w:tcW w:w="1046" w:type="pct"/>
          </w:tcPr>
          <w:p w14:paraId="73BB4A20" w14:textId="317D5DC4"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cs="Tahoma"/>
                <w:b w:val="0"/>
                <w:bCs/>
              </w:rPr>
              <w:t>$</w:t>
            </w:r>
            <w:r w:rsidR="00A8205F" w:rsidRPr="00A8205F">
              <w:rPr>
                <w:rFonts w:cs="Tahoma"/>
                <w:b w:val="0"/>
                <w:bCs/>
                <w:color w:val="000000"/>
                <w:shd w:val="solid" w:color="000000" w:fill="000000"/>
                <w14:textFill>
                  <w14:solidFill>
                    <w14:srgbClr w14:val="000000">
                      <w14:alpha w14:val="100000"/>
                    </w14:srgbClr>
                  </w14:solidFill>
                </w14:textFill>
              </w:rPr>
              <w:t>|</w:t>
            </w:r>
            <w:r w:rsidR="00AB21C8">
              <w:rPr>
                <w:rFonts w:cs="Tahoma"/>
                <w:b w:val="0"/>
                <w:bCs/>
              </w:rPr>
              <w:t xml:space="preserve"> </w:t>
            </w:r>
            <w:r w:rsidR="00A549F9">
              <w:rPr>
                <w:rFonts w:eastAsiaTheme="majorEastAsia" w:cstheme="majorBidi"/>
                <w:szCs w:val="28"/>
                <w:vertAlign w:val="superscript"/>
              </w:rPr>
              <w:t>4</w:t>
            </w:r>
          </w:p>
        </w:tc>
        <w:tc>
          <w:tcPr>
            <w:tcW w:w="642" w:type="pct"/>
          </w:tcPr>
          <w:p w14:paraId="73179DDD"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4702CE">
              <w:rPr>
                <w:rFonts w:cs="Tahoma"/>
                <w:b w:val="0"/>
                <w:bCs/>
              </w:rPr>
              <w:t>+355.39%</w:t>
            </w:r>
          </w:p>
        </w:tc>
      </w:tr>
      <w:tr w:rsidR="000C4977" w:rsidRPr="000C4977" w14:paraId="48AB95C2"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Pr>
          <w:p w14:paraId="435D316F" w14:textId="69F0A110" w:rsidR="000C4977" w:rsidRPr="000C4977" w:rsidRDefault="000C4977" w:rsidP="000C4977">
            <w:pPr>
              <w:pStyle w:val="Tabletext0"/>
              <w:rPr>
                <w:rFonts w:cs="Tahoma"/>
                <w:b w:val="0"/>
                <w:bCs/>
              </w:rPr>
            </w:pPr>
            <w:r w:rsidRPr="000C4977">
              <w:rPr>
                <w:rFonts w:cs="Tahoma"/>
                <w:b w:val="0"/>
                <w:bCs/>
                <w:i/>
              </w:rPr>
              <w:t>ESC</w:t>
            </w:r>
            <w:r w:rsidR="003D23FB">
              <w:rPr>
                <w:rFonts w:cs="Tahoma"/>
                <w:b w:val="0"/>
                <w:bCs/>
                <w:i/>
              </w:rPr>
              <w:t>s</w:t>
            </w:r>
            <w:r w:rsidRPr="000C4977">
              <w:rPr>
                <w:rFonts w:cs="Tahoma"/>
                <w:b w:val="0"/>
                <w:bCs/>
                <w:i/>
              </w:rPr>
              <w:t xml:space="preserve"> SA 2: Assume Weibull extrapolation for bevacizumab monotherapy PFS, time horizon 15 years and using progressed disease utility from PAOLA-1 (0.720) and </w:t>
            </w:r>
            <w:r w:rsidRPr="00122507">
              <w:rPr>
                <w:rFonts w:cs="Tahoma"/>
                <w:b w:val="0"/>
                <w:bCs/>
                <w:i/>
                <w:iCs/>
              </w:rPr>
              <w:t>BRCA</w:t>
            </w:r>
            <w:r w:rsidRPr="000C4977">
              <w:rPr>
                <w:rFonts w:cs="Tahoma"/>
                <w:b w:val="0"/>
                <w:bCs/>
                <w:i/>
              </w:rPr>
              <w:t xml:space="preserve"> testing $1,000, </w:t>
            </w:r>
            <w:r w:rsidRPr="000C4977">
              <w:rPr>
                <w:rFonts w:cs="Tahoma"/>
                <w:b w:val="0"/>
                <w:bCs/>
              </w:rPr>
              <w:t xml:space="preserve">and test not used (sensitivity for GI component = 100%, specificity = 0% and remove HRD testing cost) </w:t>
            </w:r>
          </w:p>
        </w:tc>
        <w:tc>
          <w:tcPr>
            <w:tcW w:w="662" w:type="pct"/>
          </w:tcPr>
          <w:p w14:paraId="693E3947" w14:textId="1DE6930C" w:rsidR="000C4977" w:rsidRPr="009933D2" w:rsidRDefault="00100C4C"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p>
        </w:tc>
        <w:tc>
          <w:tcPr>
            <w:tcW w:w="728" w:type="pct"/>
          </w:tcPr>
          <w:p w14:paraId="13283D5A"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9933D2">
              <w:rPr>
                <w:rFonts w:cs="Tahoma"/>
                <w:b w:val="0"/>
                <w:bCs/>
              </w:rPr>
              <w:t>0.2556</w:t>
            </w:r>
          </w:p>
        </w:tc>
        <w:tc>
          <w:tcPr>
            <w:tcW w:w="1046" w:type="pct"/>
          </w:tcPr>
          <w:p w14:paraId="09C65009" w14:textId="09FDB12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cs="Tahoma"/>
                <w:b w:val="0"/>
                <w:bCs/>
              </w:rPr>
              <w:t>$</w:t>
            </w:r>
            <w:r w:rsidR="00A8205F" w:rsidRPr="00A8205F">
              <w:rPr>
                <w:rFonts w:cs="Tahoma"/>
                <w:b w:val="0"/>
                <w:bCs/>
                <w:color w:val="000000"/>
                <w:shd w:val="solid" w:color="000000" w:fill="000000"/>
                <w14:textFill>
                  <w14:solidFill>
                    <w14:srgbClr w14:val="000000">
                      <w14:alpha w14:val="100000"/>
                    </w14:srgbClr>
                  </w14:solidFill>
                </w14:textFill>
              </w:rPr>
              <w:t>|</w:t>
            </w:r>
            <w:r w:rsidR="00AB21C8">
              <w:rPr>
                <w:rFonts w:cs="Tahoma"/>
                <w:b w:val="0"/>
                <w:bCs/>
              </w:rPr>
              <w:t xml:space="preserve"> </w:t>
            </w:r>
            <w:r w:rsidR="00A549F9">
              <w:rPr>
                <w:rFonts w:eastAsiaTheme="majorEastAsia" w:cstheme="majorBidi"/>
                <w:szCs w:val="28"/>
                <w:vertAlign w:val="superscript"/>
              </w:rPr>
              <w:t>4</w:t>
            </w:r>
          </w:p>
        </w:tc>
        <w:tc>
          <w:tcPr>
            <w:tcW w:w="642" w:type="pct"/>
          </w:tcPr>
          <w:p w14:paraId="17F90E70"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4702CE">
              <w:rPr>
                <w:rFonts w:cs="Tahoma"/>
                <w:b w:val="0"/>
                <w:bCs/>
              </w:rPr>
              <w:t>+331.04%</w:t>
            </w:r>
          </w:p>
        </w:tc>
      </w:tr>
      <w:tr w:rsidR="000C4977" w:rsidRPr="000C4977" w14:paraId="2A58C5F7" w14:textId="77777777" w:rsidTr="00100C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1" w:type="pct"/>
          </w:tcPr>
          <w:p w14:paraId="799D20B8" w14:textId="4F5FD18F" w:rsidR="000C4977" w:rsidRPr="000C4977" w:rsidRDefault="000C4977" w:rsidP="000C4977">
            <w:pPr>
              <w:pStyle w:val="Tabletext0"/>
              <w:rPr>
                <w:rFonts w:cs="Tahoma"/>
                <w:b w:val="0"/>
                <w:bCs/>
              </w:rPr>
            </w:pPr>
            <w:r w:rsidRPr="000C4977">
              <w:rPr>
                <w:rFonts w:cs="Tahoma"/>
                <w:b w:val="0"/>
                <w:bCs/>
                <w:i/>
              </w:rPr>
              <w:t>ESC</w:t>
            </w:r>
            <w:r w:rsidR="003D23FB">
              <w:rPr>
                <w:rFonts w:cs="Tahoma"/>
                <w:b w:val="0"/>
                <w:bCs/>
                <w:i/>
              </w:rPr>
              <w:t>s</w:t>
            </w:r>
            <w:r w:rsidRPr="000C4977">
              <w:rPr>
                <w:rFonts w:cs="Tahoma"/>
                <w:b w:val="0"/>
                <w:bCs/>
                <w:i/>
              </w:rPr>
              <w:t xml:space="preserve"> SA 3: Assume Weibull extrapolation for bevacizumab monotherapy PFS, time horizon 15 years and using progressed disease utility from PAOLA-1 (0.720) and </w:t>
            </w:r>
            <w:r w:rsidRPr="00122507">
              <w:rPr>
                <w:rFonts w:cs="Tahoma"/>
                <w:b w:val="0"/>
                <w:bCs/>
                <w:i/>
                <w:iCs/>
              </w:rPr>
              <w:t>BRCA</w:t>
            </w:r>
            <w:r w:rsidRPr="000C4977">
              <w:rPr>
                <w:rFonts w:cs="Tahoma"/>
                <w:b w:val="0"/>
                <w:bCs/>
                <w:i/>
              </w:rPr>
              <w:t xml:space="preserve"> testing $1,000, </w:t>
            </w:r>
            <w:r w:rsidRPr="000C4977">
              <w:rPr>
                <w:rFonts w:cs="Tahoma"/>
                <w:b w:val="0"/>
                <w:bCs/>
              </w:rPr>
              <w:t xml:space="preserve">test not used (sensitivity for GI component = 100%, specificity = 0% and remove HRD testing cost) </w:t>
            </w:r>
            <w:r w:rsidRPr="004702CE">
              <w:rPr>
                <w:rFonts w:cs="Tahoma"/>
                <w:b w:val="0"/>
                <w:bCs/>
              </w:rPr>
              <w:t xml:space="preserve">and 25.45% cure fraction for </w:t>
            </w:r>
            <w:proofErr w:type="spellStart"/>
            <w:r w:rsidRPr="004702CE">
              <w:rPr>
                <w:rFonts w:cs="Tahoma"/>
                <w:b w:val="0"/>
                <w:bCs/>
              </w:rPr>
              <w:t>olaparib</w:t>
            </w:r>
            <w:proofErr w:type="spellEnd"/>
            <w:r w:rsidRPr="004702CE">
              <w:rPr>
                <w:rFonts w:cs="Tahoma"/>
                <w:b w:val="0"/>
                <w:bCs/>
              </w:rPr>
              <w:t xml:space="preserve"> plus bevacizumab</w:t>
            </w:r>
          </w:p>
        </w:tc>
        <w:tc>
          <w:tcPr>
            <w:tcW w:w="662" w:type="pct"/>
          </w:tcPr>
          <w:p w14:paraId="1BFD2C9B" w14:textId="46BB085E" w:rsidR="000C4977" w:rsidRPr="009933D2" w:rsidRDefault="00100C4C"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eastAsiaTheme="majorEastAsia" w:cstheme="majorBidi"/>
                <w:b w:val="0"/>
                <w:bCs/>
                <w:szCs w:val="28"/>
              </w:rPr>
              <w:t>$</w:t>
            </w:r>
            <w:r w:rsidR="00A8205F" w:rsidRPr="00A8205F">
              <w:rPr>
                <w:rFonts w:eastAsiaTheme="majorEastAsia" w:cstheme="majorBidi"/>
                <w:b w:val="0"/>
                <w:bCs/>
                <w:color w:val="000000"/>
                <w:szCs w:val="28"/>
                <w:shd w:val="solid" w:color="000000" w:fill="000000"/>
                <w14:textFill>
                  <w14:solidFill>
                    <w14:srgbClr w14:val="000000">
                      <w14:alpha w14:val="100000"/>
                    </w14:srgbClr>
                  </w14:solidFill>
                </w14:textFill>
              </w:rPr>
              <w:t>|</w:t>
            </w:r>
          </w:p>
        </w:tc>
        <w:tc>
          <w:tcPr>
            <w:tcW w:w="728" w:type="pct"/>
          </w:tcPr>
          <w:p w14:paraId="5AA4F03A" w14:textId="77777777"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9933D2">
              <w:rPr>
                <w:rFonts w:cs="Tahoma"/>
                <w:b w:val="0"/>
                <w:bCs/>
              </w:rPr>
              <w:t>0.1483</w:t>
            </w:r>
          </w:p>
        </w:tc>
        <w:tc>
          <w:tcPr>
            <w:tcW w:w="1046" w:type="pct"/>
          </w:tcPr>
          <w:p w14:paraId="04A0CA93" w14:textId="7E92EB33" w:rsidR="000C4977" w:rsidRPr="009933D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highlight w:val="yellow"/>
              </w:rPr>
            </w:pPr>
            <w:r w:rsidRPr="00A549F9">
              <w:rPr>
                <w:rFonts w:cs="Tahoma"/>
                <w:b w:val="0"/>
                <w:bCs/>
              </w:rPr>
              <w:t>$</w:t>
            </w:r>
            <w:r w:rsidR="00A8205F" w:rsidRPr="00A8205F">
              <w:rPr>
                <w:rFonts w:cs="Tahoma"/>
                <w:b w:val="0"/>
                <w:bCs/>
                <w:color w:val="000000"/>
                <w:shd w:val="solid" w:color="000000" w:fill="000000"/>
                <w14:textFill>
                  <w14:solidFill>
                    <w14:srgbClr w14:val="000000">
                      <w14:alpha w14:val="100000"/>
                    </w14:srgbClr>
                  </w14:solidFill>
                </w14:textFill>
              </w:rPr>
              <w:t>|</w:t>
            </w:r>
            <w:r w:rsidR="00100C4C" w:rsidRPr="00100C4C">
              <w:rPr>
                <w:rFonts w:cs="Tahoma"/>
                <w:b w:val="0"/>
                <w:bCs/>
              </w:rPr>
              <w:t xml:space="preserve"> </w:t>
            </w:r>
          </w:p>
        </w:tc>
        <w:tc>
          <w:tcPr>
            <w:tcW w:w="642" w:type="pct"/>
          </w:tcPr>
          <w:p w14:paraId="2788134A" w14:textId="77777777" w:rsidR="000C4977" w:rsidRPr="004702CE"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cs="Tahoma"/>
                <w:b w:val="0"/>
                <w:bCs/>
                <w:i/>
              </w:rPr>
            </w:pPr>
            <w:r w:rsidRPr="004702CE">
              <w:rPr>
                <w:rFonts w:cs="Tahoma"/>
                <w:b w:val="0"/>
                <w:bCs/>
              </w:rPr>
              <w:t>+649.8%</w:t>
            </w:r>
          </w:p>
        </w:tc>
      </w:tr>
    </w:tbl>
    <w:p w14:paraId="208CC2A5" w14:textId="3F063582" w:rsidR="00D9058D"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 breast cancer gene; </w:t>
      </w:r>
      <w:r w:rsidRPr="000C4977">
        <w:rPr>
          <w:rFonts w:ascii="Arial Narrow" w:eastAsia="Times New Roman" w:hAnsi="Arial Narrow" w:cs="Arial"/>
          <w:snapToGrid w:val="0"/>
          <w:sz w:val="18"/>
          <w:szCs w:val="20"/>
          <w:lang w:eastAsia="ja-JP"/>
        </w:rPr>
        <w:t>HRD = homologous recombination deficiency;</w:t>
      </w:r>
      <w:r w:rsidRPr="000C4977">
        <w:rPr>
          <w:rFonts w:ascii="Arial Narrow" w:eastAsia="Times New Roman" w:hAnsi="Arial Narrow" w:cs="Arial"/>
          <w:snapToGrid w:val="0"/>
          <w:sz w:val="18"/>
          <w:szCs w:val="20"/>
        </w:rPr>
        <w:t xml:space="preserve"> ICER = incremental cost effectiveness ratio</w:t>
      </w:r>
      <w:r w:rsidRPr="000C4977">
        <w:rPr>
          <w:rFonts w:ascii="Arial Narrow" w:eastAsia="Times New Roman" w:hAnsi="Arial Narrow" w:cs="Arial"/>
          <w:snapToGrid w:val="0"/>
          <w:sz w:val="18"/>
          <w:szCs w:val="20"/>
          <w:lang w:eastAsia="ja-JP"/>
        </w:rPr>
        <w:t>;</w:t>
      </w:r>
      <w:r w:rsidRPr="000C4977">
        <w:rPr>
          <w:rFonts w:ascii="Arial Narrow" w:eastAsia="Times New Roman" w:hAnsi="Arial Narrow" w:cs="Arial"/>
          <w:snapToGrid w:val="0"/>
          <w:sz w:val="18"/>
          <w:szCs w:val="20"/>
        </w:rPr>
        <w:t xml:space="preserve"> QALY = quality</w:t>
      </w:r>
      <w:r w:rsidR="00D9058D">
        <w:rPr>
          <w:rFonts w:ascii="Arial Narrow" w:eastAsia="Times New Roman" w:hAnsi="Arial Narrow" w:cs="Arial"/>
          <w:snapToGrid w:val="0"/>
          <w:sz w:val="18"/>
          <w:szCs w:val="20"/>
        </w:rPr>
        <w:t>-</w:t>
      </w:r>
      <w:r w:rsidRPr="000C4977">
        <w:rPr>
          <w:rFonts w:ascii="Arial Narrow" w:eastAsia="Times New Roman" w:hAnsi="Arial Narrow" w:cs="Arial"/>
          <w:snapToGrid w:val="0"/>
          <w:sz w:val="18"/>
          <w:szCs w:val="20"/>
        </w:rPr>
        <w:t>adjusted life year</w:t>
      </w:r>
    </w:p>
    <w:p w14:paraId="2AAF6488" w14:textId="5313F0B5" w:rsidR="000C4977" w:rsidRPr="00F84405" w:rsidRDefault="000C4977" w:rsidP="000C4977">
      <w:pPr>
        <w:keepNext/>
        <w:keepLines/>
        <w:widowControl w:val="0"/>
        <w:spacing w:before="0" w:after="0"/>
        <w:contextualSpacing/>
        <w:rPr>
          <w:rFonts w:ascii="Arial Narrow" w:eastAsia="Times New Roman" w:hAnsi="Arial Narrow" w:cs="Arial"/>
          <w:i/>
          <w:iCs/>
          <w:snapToGrid w:val="0"/>
          <w:sz w:val="18"/>
          <w:szCs w:val="20"/>
        </w:rPr>
      </w:pPr>
      <w:r w:rsidRPr="00F84405">
        <w:rPr>
          <w:rFonts w:ascii="Arial Narrow" w:eastAsia="Times New Roman" w:hAnsi="Arial Narrow" w:cs="Arial"/>
          <w:i/>
          <w:iCs/>
          <w:snapToGrid w:val="0"/>
          <w:sz w:val="18"/>
          <w:szCs w:val="20"/>
        </w:rPr>
        <w:t>Text in italics indicates information determined during evaluation using Economic Evaluation.xls.</w:t>
      </w:r>
    </w:p>
    <w:p w14:paraId="25B07A0B" w14:textId="1514A0A6" w:rsidR="000C4977" w:rsidRDefault="000C4977" w:rsidP="00FC3969">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3.39, p280 of the submission</w:t>
      </w:r>
    </w:p>
    <w:p w14:paraId="31A76055" w14:textId="77777777" w:rsidR="00A549F9" w:rsidRPr="00A549F9" w:rsidRDefault="00A549F9" w:rsidP="00A549F9">
      <w:pPr>
        <w:widowControl w:val="0"/>
        <w:spacing w:before="0" w:after="0"/>
        <w:contextualSpacing/>
        <w:rPr>
          <w:rFonts w:ascii="Arial Narrow" w:eastAsia="Times New Roman" w:hAnsi="Arial Narrow" w:cs="Arial"/>
          <w:i/>
          <w:snapToGrid w:val="0"/>
          <w:sz w:val="18"/>
          <w:szCs w:val="20"/>
        </w:rPr>
      </w:pPr>
      <w:r w:rsidRPr="00A549F9">
        <w:rPr>
          <w:rFonts w:ascii="Arial Narrow" w:eastAsia="Times New Roman" w:hAnsi="Arial Narrow" w:cs="Arial"/>
          <w:i/>
          <w:snapToGrid w:val="0"/>
          <w:sz w:val="18"/>
          <w:szCs w:val="20"/>
        </w:rPr>
        <w:t xml:space="preserve">The redacted values correspond to the following ranges: </w:t>
      </w:r>
    </w:p>
    <w:p w14:paraId="7D276196" w14:textId="6885E939" w:rsidR="00A549F9" w:rsidRDefault="00A549F9" w:rsidP="00A549F9">
      <w:pPr>
        <w:widowControl w:val="0"/>
        <w:spacing w:before="0" w:after="0"/>
        <w:contextualSpacing/>
        <w:rPr>
          <w:rFonts w:ascii="Arial Narrow" w:eastAsia="Times New Roman" w:hAnsi="Arial Narrow" w:cs="Arial"/>
          <w:i/>
          <w:iCs/>
          <w:snapToGrid w:val="0"/>
          <w:sz w:val="18"/>
          <w:szCs w:val="20"/>
        </w:rPr>
      </w:pPr>
      <w:r w:rsidRPr="00A549F9">
        <w:rPr>
          <w:rFonts w:ascii="Arial Narrow" w:eastAsia="Times New Roman" w:hAnsi="Arial Narrow" w:cs="Arial"/>
          <w:i/>
          <w:iCs/>
          <w:snapToGrid w:val="0"/>
          <w:sz w:val="18"/>
          <w:szCs w:val="20"/>
          <w:vertAlign w:val="superscript"/>
        </w:rPr>
        <w:t>1</w:t>
      </w:r>
      <w:r w:rsidRPr="00A549F9">
        <w:rPr>
          <w:rFonts w:ascii="Arial Narrow" w:eastAsia="Times New Roman" w:hAnsi="Arial Narrow" w:cs="Arial"/>
          <w:i/>
          <w:iCs/>
          <w:snapToGrid w:val="0"/>
          <w:sz w:val="18"/>
          <w:szCs w:val="20"/>
        </w:rPr>
        <w:t xml:space="preserve"> $45,000 to &lt; $55,000</w:t>
      </w:r>
    </w:p>
    <w:p w14:paraId="677A2867" w14:textId="3E5BCFFD" w:rsidR="00A549F9" w:rsidRDefault="00A549F9" w:rsidP="00A549F9">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2</w:t>
      </w:r>
      <w:r w:rsidRPr="00A549F9">
        <w:rPr>
          <w:rFonts w:ascii="Arial Narrow" w:eastAsia="Times New Roman" w:hAnsi="Arial Narrow" w:cs="Arial"/>
          <w:i/>
          <w:iCs/>
          <w:snapToGrid w:val="0"/>
          <w:sz w:val="18"/>
          <w:szCs w:val="20"/>
        </w:rPr>
        <w:t xml:space="preserve"> $55,000 to &lt; $75,000</w:t>
      </w:r>
    </w:p>
    <w:p w14:paraId="7A5E20C6" w14:textId="77777777" w:rsidR="00A549F9" w:rsidRPr="00A549F9" w:rsidRDefault="00A549F9" w:rsidP="00A549F9">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 xml:space="preserve">3 </w:t>
      </w:r>
      <w:r w:rsidRPr="00A549F9">
        <w:rPr>
          <w:rFonts w:ascii="Arial Narrow" w:eastAsia="Times New Roman" w:hAnsi="Arial Narrow" w:cs="Arial"/>
          <w:i/>
          <w:iCs/>
          <w:snapToGrid w:val="0"/>
          <w:sz w:val="18"/>
          <w:szCs w:val="20"/>
        </w:rPr>
        <w:t xml:space="preserve">$95,000 to &lt; $115,000 </w:t>
      </w:r>
    </w:p>
    <w:p w14:paraId="3C494701" w14:textId="77777777" w:rsidR="00A549F9" w:rsidRPr="00A549F9" w:rsidRDefault="00A549F9" w:rsidP="00A549F9">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 xml:space="preserve">4 </w:t>
      </w:r>
      <w:r w:rsidRPr="00A549F9">
        <w:rPr>
          <w:rFonts w:ascii="Arial Narrow" w:eastAsia="Times New Roman" w:hAnsi="Arial Narrow" w:cs="Arial"/>
          <w:i/>
          <w:iCs/>
          <w:snapToGrid w:val="0"/>
          <w:sz w:val="18"/>
          <w:szCs w:val="20"/>
        </w:rPr>
        <w:t>$155,000 to &lt; $255,000</w:t>
      </w:r>
    </w:p>
    <w:p w14:paraId="6346E4C4" w14:textId="77777777" w:rsidR="00A549F9" w:rsidRPr="00A549F9" w:rsidRDefault="00A549F9" w:rsidP="00A549F9">
      <w:pPr>
        <w:widowControl w:val="0"/>
        <w:spacing w:before="0" w:after="0"/>
        <w:contextualSpacing/>
        <w:rPr>
          <w:rFonts w:ascii="Arial Narrow" w:eastAsia="Times New Roman" w:hAnsi="Arial Narrow" w:cs="Arial"/>
          <w:i/>
          <w:iCs/>
          <w:snapToGrid w:val="0"/>
          <w:sz w:val="18"/>
          <w:szCs w:val="20"/>
        </w:rPr>
      </w:pPr>
    </w:p>
    <w:p w14:paraId="7451215F" w14:textId="77777777" w:rsidR="00A549F9" w:rsidRPr="00A549F9" w:rsidRDefault="00A549F9" w:rsidP="00A549F9">
      <w:pPr>
        <w:widowControl w:val="0"/>
        <w:spacing w:before="0" w:after="0"/>
        <w:contextualSpacing/>
        <w:rPr>
          <w:rFonts w:ascii="Arial Narrow" w:eastAsia="Times New Roman" w:hAnsi="Arial Narrow" w:cs="Arial"/>
          <w:i/>
          <w:iCs/>
          <w:snapToGrid w:val="0"/>
          <w:sz w:val="18"/>
          <w:szCs w:val="20"/>
        </w:rPr>
      </w:pPr>
    </w:p>
    <w:p w14:paraId="5363AB16" w14:textId="77777777" w:rsidR="00A549F9" w:rsidRPr="000C4977" w:rsidRDefault="00A549F9" w:rsidP="00FC3969">
      <w:pPr>
        <w:widowControl w:val="0"/>
        <w:spacing w:before="0" w:after="0"/>
        <w:contextualSpacing/>
        <w:rPr>
          <w:rFonts w:ascii="Arial Narrow" w:eastAsia="Times New Roman" w:hAnsi="Arial Narrow" w:cs="Arial"/>
          <w:snapToGrid w:val="0"/>
          <w:sz w:val="18"/>
          <w:szCs w:val="20"/>
        </w:rPr>
      </w:pPr>
    </w:p>
    <w:p w14:paraId="7E46BA28" w14:textId="651BA7DE" w:rsidR="000C4977" w:rsidRPr="000C4977" w:rsidRDefault="000C4977" w:rsidP="000C4977">
      <w:pPr>
        <w:spacing w:line="259" w:lineRule="auto"/>
        <w:jc w:val="left"/>
      </w:pPr>
      <w:r w:rsidRPr="000C4977">
        <w:lastRenderedPageBreak/>
        <w:t xml:space="preserve">Based on the sensitivity analyses conducted by the submission and during the evaluation, the model was most sensitive to changes in the cure fraction (both for </w:t>
      </w:r>
      <w:proofErr w:type="spellStart"/>
      <w:r w:rsidRPr="000C4977">
        <w:t>olaparib</w:t>
      </w:r>
      <w:proofErr w:type="spellEnd"/>
      <w:r w:rsidRPr="000C4977">
        <w:t xml:space="preserve"> plus bevacizumab and bevacizumab monotherapy as well as the incremental difference), extrapolation function (which directly affects the cure fraction), utility values for the progressed disease health state, proportion of patients who were HRD positive </w:t>
      </w:r>
      <w:proofErr w:type="spellStart"/>
      <w:r w:rsidRPr="00EB0C59">
        <w:rPr>
          <w:i/>
          <w:iCs/>
        </w:rPr>
        <w:t>BRCA</w:t>
      </w:r>
      <w:r w:rsidRPr="000C4977">
        <w:t>wt</w:t>
      </w:r>
      <w:proofErr w:type="spellEnd"/>
      <w:r w:rsidRPr="000C4977">
        <w:t xml:space="preserve"> and time horizon.</w:t>
      </w:r>
    </w:p>
    <w:p w14:paraId="7A607947" w14:textId="77777777" w:rsidR="000C4977" w:rsidRPr="000C4977" w:rsidRDefault="000C4977" w:rsidP="000C4977">
      <w:pPr>
        <w:spacing w:line="259" w:lineRule="auto"/>
        <w:jc w:val="left"/>
      </w:pPr>
      <w:r w:rsidRPr="000C4977">
        <w:t xml:space="preserve">The following issues relating to modelling the </w:t>
      </w:r>
      <w:proofErr w:type="spellStart"/>
      <w:r w:rsidRPr="000C4977">
        <w:t>olaparib</w:t>
      </w:r>
      <w:proofErr w:type="spellEnd"/>
      <w:r w:rsidRPr="000C4977">
        <w:t xml:space="preserve"> effectiveness may have resulted in the ICER being underestimated:</w:t>
      </w:r>
    </w:p>
    <w:p w14:paraId="62199699" w14:textId="3F209E25" w:rsidR="000C4977" w:rsidRPr="000C4977" w:rsidRDefault="000C4977" w:rsidP="000C4977">
      <w:pPr>
        <w:numPr>
          <w:ilvl w:val="0"/>
          <w:numId w:val="51"/>
        </w:numPr>
        <w:spacing w:line="259" w:lineRule="auto"/>
        <w:contextualSpacing/>
        <w:jc w:val="left"/>
        <w:rPr>
          <w:color w:val="000000" w:themeColor="text1"/>
        </w:rPr>
      </w:pPr>
      <w:r w:rsidRPr="000C4977">
        <w:rPr>
          <w:color w:val="000000" w:themeColor="text1"/>
        </w:rPr>
        <w:t>The assumptions behind the extrapolations (</w:t>
      </w:r>
      <w:proofErr w:type="gramStart"/>
      <w:r w:rsidR="002653CF" w:rsidRPr="000C4977">
        <w:rPr>
          <w:color w:val="000000" w:themeColor="text1"/>
        </w:rPr>
        <w:t>i.e.</w:t>
      </w:r>
      <w:proofErr w:type="gramEnd"/>
      <w:r w:rsidRPr="000C4977">
        <w:rPr>
          <w:color w:val="000000" w:themeColor="text1"/>
        </w:rPr>
        <w:t xml:space="preserve"> that the same function must be applied to both treatments, ignoring statistical fit) and the cure fractions estimated in the base case for </w:t>
      </w:r>
      <w:proofErr w:type="spellStart"/>
      <w:r w:rsidRPr="000C4977">
        <w:rPr>
          <w:color w:val="000000" w:themeColor="text1"/>
        </w:rPr>
        <w:t>olaparib</w:t>
      </w:r>
      <w:proofErr w:type="spellEnd"/>
      <w:r w:rsidRPr="000C4977">
        <w:rPr>
          <w:color w:val="000000" w:themeColor="text1"/>
        </w:rPr>
        <w:t xml:space="preserve"> plus bevacizumab and bevacizumab monotherapy) may not be justified and strongly favoured </w:t>
      </w:r>
      <w:proofErr w:type="spellStart"/>
      <w:r w:rsidRPr="000C4977">
        <w:rPr>
          <w:color w:val="000000" w:themeColor="text1"/>
        </w:rPr>
        <w:t>olaparib</w:t>
      </w:r>
      <w:proofErr w:type="spellEnd"/>
      <w:r w:rsidRPr="000C4977">
        <w:rPr>
          <w:color w:val="000000" w:themeColor="text1"/>
        </w:rPr>
        <w:t xml:space="preserve"> plus bevacizumab</w:t>
      </w:r>
      <w:r w:rsidR="00EB0C59">
        <w:rPr>
          <w:color w:val="000000" w:themeColor="text1"/>
        </w:rPr>
        <w:t>.</w:t>
      </w:r>
    </w:p>
    <w:p w14:paraId="0AB34487" w14:textId="0E7B8CC3" w:rsidR="000C4977" w:rsidRPr="000C4977" w:rsidRDefault="000C4977" w:rsidP="000C4977">
      <w:pPr>
        <w:numPr>
          <w:ilvl w:val="0"/>
          <w:numId w:val="51"/>
        </w:numPr>
        <w:spacing w:line="259" w:lineRule="auto"/>
        <w:contextualSpacing/>
        <w:jc w:val="left"/>
        <w:rPr>
          <w:color w:val="000000" w:themeColor="text1"/>
        </w:rPr>
      </w:pPr>
      <w:r w:rsidRPr="000C4977">
        <w:rPr>
          <w:color w:val="000000" w:themeColor="text1"/>
        </w:rPr>
        <w:t>The utility for the progressed disease health state calculated by the submission (0.544) which was based on an average of several publications was likely inappropriate. The utility value based on post-progression patients in PAOLA-1 (0.720) was likely a more appropriate source to inform the utility of the progressed disease health state in the model</w:t>
      </w:r>
      <w:r w:rsidR="00EB0C59">
        <w:rPr>
          <w:color w:val="000000" w:themeColor="text1"/>
        </w:rPr>
        <w:t>.</w:t>
      </w:r>
    </w:p>
    <w:p w14:paraId="1A589376" w14:textId="7A042E80" w:rsidR="000C4977" w:rsidRPr="000C4977" w:rsidRDefault="000C4977" w:rsidP="000C4977">
      <w:pPr>
        <w:numPr>
          <w:ilvl w:val="0"/>
          <w:numId w:val="51"/>
        </w:numPr>
        <w:spacing w:line="259" w:lineRule="auto"/>
        <w:contextualSpacing/>
        <w:jc w:val="left"/>
        <w:rPr>
          <w:color w:val="000000" w:themeColor="text1"/>
        </w:rPr>
      </w:pPr>
      <w:r w:rsidRPr="000C4977">
        <w:rPr>
          <w:color w:val="000000" w:themeColor="text1"/>
        </w:rPr>
        <w:t>A time horizon of 20 years was nominated although the PBAC has previously noted that 20 years may be too long for the non-</w:t>
      </w:r>
      <w:proofErr w:type="spellStart"/>
      <w:r w:rsidRPr="000C4977">
        <w:rPr>
          <w:i/>
          <w:color w:val="000000" w:themeColor="text1"/>
        </w:rPr>
        <w:t>BRCA</w:t>
      </w:r>
      <w:r w:rsidRPr="000C4977">
        <w:rPr>
          <w:color w:val="000000" w:themeColor="text1"/>
        </w:rPr>
        <w:t>m</w:t>
      </w:r>
      <w:proofErr w:type="spellEnd"/>
      <w:r w:rsidRPr="000C4977">
        <w:rPr>
          <w:color w:val="000000" w:themeColor="text1"/>
        </w:rPr>
        <w:t xml:space="preserve"> population in the consideration of niraparib for the maintenance treatment of patients with FIGO Stage III-IV high grade epithelial ovarian cancer who are in response to platinum-based chemotherapy (paragraph 7.15, p43, niraparib PSD, July 2021 PBAC Meeting)</w:t>
      </w:r>
      <w:r w:rsidR="00EB0C59">
        <w:rPr>
          <w:color w:val="000000" w:themeColor="text1"/>
        </w:rPr>
        <w:t>.</w:t>
      </w:r>
    </w:p>
    <w:p w14:paraId="531DD3FB" w14:textId="70AB8D6A" w:rsidR="000C4977" w:rsidRPr="000C4977" w:rsidRDefault="000C4977" w:rsidP="000C4977">
      <w:pPr>
        <w:numPr>
          <w:ilvl w:val="0"/>
          <w:numId w:val="51"/>
        </w:numPr>
        <w:spacing w:line="259" w:lineRule="auto"/>
        <w:contextualSpacing/>
        <w:jc w:val="left"/>
        <w:rPr>
          <w:color w:val="000000" w:themeColor="text1"/>
        </w:rPr>
      </w:pPr>
      <w:r w:rsidRPr="000C4977">
        <w:rPr>
          <w:color w:val="000000" w:themeColor="text1"/>
        </w:rPr>
        <w:t xml:space="preserve">Despite PAOLA-1 not reporting any OS difference in the subgroup of HRD positive </w:t>
      </w:r>
      <w:proofErr w:type="spellStart"/>
      <w:r w:rsidRPr="000C4977">
        <w:rPr>
          <w:i/>
          <w:color w:val="000000" w:themeColor="text1"/>
        </w:rPr>
        <w:t>BRCA</w:t>
      </w:r>
      <w:r w:rsidRPr="000C4977">
        <w:rPr>
          <w:color w:val="000000" w:themeColor="text1"/>
        </w:rPr>
        <w:t>wt</w:t>
      </w:r>
      <w:proofErr w:type="spellEnd"/>
      <w:r w:rsidRPr="000C4977">
        <w:rPr>
          <w:color w:val="000000" w:themeColor="text1"/>
        </w:rPr>
        <w:t xml:space="preserve"> patients (OS HR = 0.84, 0.46, 1.52), the economic model assumed an OS difference between patients treated with </w:t>
      </w:r>
      <w:proofErr w:type="spellStart"/>
      <w:r w:rsidRPr="000C4977">
        <w:rPr>
          <w:color w:val="000000" w:themeColor="text1"/>
        </w:rPr>
        <w:t>olaparib</w:t>
      </w:r>
      <w:proofErr w:type="spellEnd"/>
      <w:r w:rsidRPr="000C4977">
        <w:rPr>
          <w:color w:val="000000" w:themeColor="text1"/>
        </w:rPr>
        <w:t xml:space="preserve"> plus bevacizumab and patients treated with bevacizumab monotherapy, with an absolute increase of </w:t>
      </w:r>
      <w:r w:rsidRPr="004702CE">
        <w:rPr>
          <w:color w:val="000000" w:themeColor="text1"/>
        </w:rPr>
        <w:t>3.74</w:t>
      </w:r>
      <w:r w:rsidRPr="000C4977">
        <w:rPr>
          <w:color w:val="000000" w:themeColor="text1"/>
        </w:rPr>
        <w:t xml:space="preserve"> years</w:t>
      </w:r>
      <w:r w:rsidR="00EB0C59">
        <w:rPr>
          <w:color w:val="000000" w:themeColor="text1"/>
        </w:rPr>
        <w:t>.</w:t>
      </w:r>
    </w:p>
    <w:p w14:paraId="3A5A3447" w14:textId="45FA216B" w:rsidR="000C4977" w:rsidRPr="000C4977" w:rsidRDefault="000C4977" w:rsidP="000C4977">
      <w:pPr>
        <w:numPr>
          <w:ilvl w:val="0"/>
          <w:numId w:val="51"/>
        </w:numPr>
        <w:spacing w:line="259" w:lineRule="auto"/>
        <w:contextualSpacing/>
        <w:jc w:val="left"/>
        <w:rPr>
          <w:color w:val="000000" w:themeColor="text1"/>
        </w:rPr>
      </w:pPr>
      <w:r w:rsidRPr="000C4977">
        <w:rPr>
          <w:color w:val="000000" w:themeColor="text1"/>
        </w:rPr>
        <w:t xml:space="preserve">The inclusion of an adjustment factor of </w:t>
      </w:r>
      <w:r w:rsidRPr="004702CE">
        <w:rPr>
          <w:color w:val="000000" w:themeColor="text1"/>
        </w:rPr>
        <w:t>0.96</w:t>
      </w:r>
      <w:r w:rsidRPr="000C4977">
        <w:rPr>
          <w:color w:val="000000" w:themeColor="text1"/>
        </w:rPr>
        <w:t xml:space="preserve"> for branches P3, P4 and C2 may not be justified</w:t>
      </w:r>
      <w:r w:rsidR="00EB0C59">
        <w:rPr>
          <w:color w:val="000000" w:themeColor="text1"/>
        </w:rPr>
        <w:t>,</w:t>
      </w:r>
    </w:p>
    <w:p w14:paraId="31945771" w14:textId="441A86FD" w:rsidR="000C4977" w:rsidRPr="000C4977" w:rsidRDefault="000C4977" w:rsidP="00EB0C59">
      <w:pPr>
        <w:numPr>
          <w:ilvl w:val="0"/>
          <w:numId w:val="51"/>
        </w:numPr>
        <w:spacing w:line="259" w:lineRule="auto"/>
        <w:ind w:left="714" w:hanging="357"/>
        <w:jc w:val="left"/>
        <w:rPr>
          <w:color w:val="000000" w:themeColor="text1"/>
        </w:rPr>
      </w:pPr>
      <w:r w:rsidRPr="000C4977">
        <w:rPr>
          <w:color w:val="000000" w:themeColor="text1"/>
        </w:rPr>
        <w:t>The omission of any consideration for the cost and consequences of failed or inconclusive tests (</w:t>
      </w:r>
      <w:proofErr w:type="gramStart"/>
      <w:r w:rsidRPr="000C4977">
        <w:rPr>
          <w:color w:val="000000" w:themeColor="text1"/>
        </w:rPr>
        <w:t>e.g.</w:t>
      </w:r>
      <w:proofErr w:type="gramEnd"/>
      <w:r w:rsidRPr="000C4977">
        <w:rPr>
          <w:color w:val="000000" w:themeColor="text1"/>
        </w:rPr>
        <w:t xml:space="preserve"> cost of retesting, re-sampling, and/or risk of using suboptimal treatment) was not considered in the economic evaluation, which likely favoured </w:t>
      </w:r>
      <w:proofErr w:type="spellStart"/>
      <w:r w:rsidRPr="000C4977">
        <w:rPr>
          <w:color w:val="000000" w:themeColor="text1"/>
        </w:rPr>
        <w:t>olaparib</w:t>
      </w:r>
      <w:proofErr w:type="spellEnd"/>
      <w:r w:rsidRPr="000C4977">
        <w:rPr>
          <w:color w:val="000000" w:themeColor="text1"/>
        </w:rPr>
        <w:t>.</w:t>
      </w:r>
    </w:p>
    <w:p w14:paraId="22EB671D" w14:textId="5450BB3C" w:rsidR="000C4977" w:rsidRPr="000C4977" w:rsidRDefault="000C4977" w:rsidP="000C4977">
      <w:pPr>
        <w:spacing w:line="259" w:lineRule="auto"/>
        <w:jc w:val="left"/>
      </w:pPr>
      <w:r w:rsidRPr="000C4977">
        <w:t xml:space="preserve">Using more conservative and likely more reasonable inputs (15-year time horizon, assume Weibull extrapolation for bevacizumab monotherapy PFS extrapolation, using post-progression utility from PAOLA-1, and changing </w:t>
      </w:r>
      <w:r w:rsidRPr="00122507">
        <w:rPr>
          <w:i/>
          <w:iCs/>
        </w:rPr>
        <w:t>BRCA</w:t>
      </w:r>
      <w:r w:rsidRPr="000C4977">
        <w:t xml:space="preserve"> testing cost to $1,000 to reflect proposed MSAC change) increased the ICER by </w:t>
      </w:r>
      <w:r w:rsidRPr="004702CE">
        <w:t>94%</w:t>
      </w:r>
      <w:r w:rsidRPr="000C4977">
        <w:t xml:space="preserve">, from a base case of </w:t>
      </w:r>
      <w:r w:rsidR="00F1310C" w:rsidRPr="00F1310C">
        <w:t>$45,000 to &lt; $55,000</w:t>
      </w:r>
      <w:r w:rsidRPr="000C4977">
        <w:t xml:space="preserve">/QALY to </w:t>
      </w:r>
      <w:r w:rsidR="00F1310C" w:rsidRPr="00F1310C">
        <w:t>$95,000 to &lt; $115,000</w:t>
      </w:r>
      <w:r w:rsidRPr="000C4977">
        <w:t xml:space="preserve">/QALY. The ESCs agreed this ICER could </w:t>
      </w:r>
      <w:r w:rsidRPr="004F3DF1">
        <w:t xml:space="preserve">be a revised base case. The ESCs agreed with the commentary that this ICER could be considered optimistic, as the cure fraction for </w:t>
      </w:r>
      <w:proofErr w:type="spellStart"/>
      <w:r w:rsidRPr="004F3DF1">
        <w:t>olaparib</w:t>
      </w:r>
      <w:proofErr w:type="spellEnd"/>
      <w:r w:rsidRPr="004F3DF1">
        <w:t xml:space="preserve"> plus bevacizumab was still assumed to be </w:t>
      </w:r>
      <w:r w:rsidRPr="004702CE">
        <w:t>38</w:t>
      </w:r>
      <w:r w:rsidRPr="004F3DF1">
        <w:t xml:space="preserve">%, around </w:t>
      </w:r>
      <w:r w:rsidRPr="004702CE">
        <w:t>one and a half times</w:t>
      </w:r>
      <w:r w:rsidRPr="004F3DF1">
        <w:t xml:space="preserve"> that of the assumed cure fraction for </w:t>
      </w:r>
      <w:proofErr w:type="spellStart"/>
      <w:r w:rsidRPr="004F3DF1">
        <w:t>olaparib</w:t>
      </w:r>
      <w:proofErr w:type="spellEnd"/>
      <w:r w:rsidRPr="004F3DF1">
        <w:t xml:space="preserve"> monotherapy in </w:t>
      </w:r>
      <w:proofErr w:type="spellStart"/>
      <w:r w:rsidRPr="004F3DF1">
        <w:rPr>
          <w:i/>
          <w:iCs/>
        </w:rPr>
        <w:t>BRCA</w:t>
      </w:r>
      <w:r w:rsidRPr="004F3DF1">
        <w:t>m</w:t>
      </w:r>
      <w:proofErr w:type="spellEnd"/>
      <w:r w:rsidRPr="004F3DF1">
        <w:t xml:space="preserve"> patients in July 2020.</w:t>
      </w:r>
    </w:p>
    <w:p w14:paraId="3BDF8DF1" w14:textId="3980A881" w:rsidR="000C4977" w:rsidRPr="000C4977" w:rsidRDefault="000C4977" w:rsidP="000C4977">
      <w:pPr>
        <w:spacing w:line="259" w:lineRule="auto"/>
        <w:jc w:val="left"/>
      </w:pPr>
      <w:r w:rsidRPr="000C4977">
        <w:t>As the submission stated that placebo (watch and wait) might be the comparator in around 10% of patients, the results from a supplementary analysis (using PFS and OS hazard ratios from the GOG-218 and ICON7 trials that compared bevacizumab versus placebo), were also provided by applying a reverse hazard ratio to the bevacizumab arm in the model to estimate efficacy in placebo. The ICER assuming a comparator of 90% bevacizumab and 10% placebo was $50,758.</w:t>
      </w:r>
    </w:p>
    <w:p w14:paraId="0A551831" w14:textId="4953319A" w:rsidR="000C4977" w:rsidRPr="000C4977" w:rsidRDefault="000C4977" w:rsidP="000C4977">
      <w:pPr>
        <w:spacing w:line="259" w:lineRule="auto"/>
        <w:jc w:val="left"/>
      </w:pPr>
      <w:r w:rsidRPr="000C4977">
        <w:t xml:space="preserve">The ICERs for alternative </w:t>
      </w:r>
      <w:r w:rsidRPr="000C4977">
        <w:rPr>
          <w:i/>
        </w:rPr>
        <w:t>BRCA</w:t>
      </w:r>
      <w:r w:rsidRPr="000C4977">
        <w:t xml:space="preserve"> and HRD testing populations proposed by PASC (see </w:t>
      </w:r>
      <w:r w:rsidRPr="000C4977">
        <w:fldChar w:fldCharType="begin"/>
      </w:r>
      <w:r w:rsidRPr="000C4977">
        <w:instrText xml:space="preserve"> REF _Ref103558869 \h  \* MERGEFORMAT </w:instrText>
      </w:r>
      <w:r w:rsidRPr="000C4977">
        <w:fldChar w:fldCharType="separate"/>
      </w:r>
      <w:r w:rsidR="00D8603B" w:rsidRPr="00D8603B">
        <w:t>Table 21</w:t>
      </w:r>
      <w:r w:rsidRPr="000C4977">
        <w:fldChar w:fldCharType="end"/>
      </w:r>
      <w:r w:rsidRPr="000C4977">
        <w:t xml:space="preserve">), assuming a </w:t>
      </w:r>
      <w:r w:rsidRPr="000C4977">
        <w:rPr>
          <w:i/>
        </w:rPr>
        <w:t>BRCA</w:t>
      </w:r>
      <w:r w:rsidRPr="000C4977">
        <w:t xml:space="preserve"> testing fee of $1,000 (see table below) resulted in small changes to the base case (</w:t>
      </w:r>
      <w:proofErr w:type="gramStart"/>
      <w:r w:rsidRPr="000C4977">
        <w:t>i.e.</w:t>
      </w:r>
      <w:proofErr w:type="gramEnd"/>
      <w:r w:rsidRPr="000C4977">
        <w:t xml:space="preserve"> population 1) ICER (+</w:t>
      </w:r>
      <w:r w:rsidRPr="004702CE">
        <w:t>0.4% to +1.9%).</w:t>
      </w:r>
      <w:r w:rsidRPr="000C4977">
        <w:t xml:space="preserve"> The (additional) HRD testing cost per additional patient treated was also estimated and presented in the table below.</w:t>
      </w:r>
    </w:p>
    <w:p w14:paraId="7D8DC7C5" w14:textId="1BAEC5EA" w:rsidR="000C4977" w:rsidRPr="004702CE" w:rsidRDefault="000C4977" w:rsidP="000C4977">
      <w:pPr>
        <w:keepNext/>
        <w:tabs>
          <w:tab w:val="left" w:pos="0"/>
        </w:tabs>
        <w:spacing w:before="0" w:after="0"/>
        <w:contextualSpacing/>
        <w:rPr>
          <w:rFonts w:ascii="Arial Narrow" w:hAnsi="Arial Narrow"/>
          <w:b/>
          <w:iCs/>
          <w:sz w:val="20"/>
          <w:szCs w:val="18"/>
        </w:rPr>
      </w:pPr>
      <w:r w:rsidRPr="004702CE">
        <w:rPr>
          <w:rFonts w:ascii="Arial Narrow" w:hAnsi="Arial Narrow"/>
          <w:b/>
          <w:iCs/>
          <w:sz w:val="20"/>
          <w:szCs w:val="18"/>
        </w:rPr>
        <w:lastRenderedPageBreak/>
        <w:t xml:space="preserve">Table </w:t>
      </w:r>
      <w:r w:rsidRPr="004702CE">
        <w:rPr>
          <w:rFonts w:ascii="Arial Narrow" w:hAnsi="Arial Narrow"/>
          <w:b/>
          <w:iCs/>
          <w:sz w:val="20"/>
          <w:szCs w:val="18"/>
        </w:rPr>
        <w:fldChar w:fldCharType="begin"/>
      </w:r>
      <w:r w:rsidRPr="004702CE">
        <w:rPr>
          <w:rFonts w:ascii="Arial Narrow" w:hAnsi="Arial Narrow"/>
          <w:b/>
          <w:iCs/>
          <w:sz w:val="20"/>
          <w:szCs w:val="18"/>
        </w:rPr>
        <w:instrText xml:space="preserve"> SEQ Table \* ARABIC </w:instrText>
      </w:r>
      <w:r w:rsidRPr="004702CE">
        <w:rPr>
          <w:rFonts w:ascii="Arial Narrow" w:hAnsi="Arial Narrow"/>
          <w:b/>
          <w:iCs/>
          <w:sz w:val="20"/>
          <w:szCs w:val="18"/>
        </w:rPr>
        <w:fldChar w:fldCharType="separate"/>
      </w:r>
      <w:r w:rsidR="00D8603B" w:rsidRPr="004702CE">
        <w:rPr>
          <w:rFonts w:ascii="Arial Narrow" w:hAnsi="Arial Narrow"/>
          <w:b/>
          <w:iCs/>
          <w:noProof/>
          <w:sz w:val="20"/>
          <w:szCs w:val="18"/>
        </w:rPr>
        <w:t>25</w:t>
      </w:r>
      <w:r w:rsidRPr="004702CE">
        <w:rPr>
          <w:rFonts w:ascii="Arial Narrow" w:hAnsi="Arial Narrow"/>
          <w:b/>
          <w:iCs/>
          <w:noProof/>
          <w:sz w:val="20"/>
          <w:szCs w:val="18"/>
        </w:rPr>
        <w:fldChar w:fldCharType="end"/>
      </w:r>
      <w:r w:rsidRPr="004702CE">
        <w:rPr>
          <w:rFonts w:ascii="Arial Narrow" w:hAnsi="Arial Narrow"/>
          <w:b/>
          <w:iCs/>
          <w:sz w:val="20"/>
          <w:szCs w:val="18"/>
        </w:rPr>
        <w:tab/>
        <w:t xml:space="preserve">Sensitivity analyses for each population requested by PASC (assume $1,000 per </w:t>
      </w:r>
      <w:r w:rsidRPr="004702CE">
        <w:rPr>
          <w:rFonts w:ascii="Arial Narrow" w:hAnsi="Arial Narrow"/>
          <w:b/>
          <w:i/>
          <w:iCs/>
          <w:sz w:val="20"/>
          <w:szCs w:val="18"/>
        </w:rPr>
        <w:t>BRCA</w:t>
      </w:r>
      <w:r w:rsidRPr="004702CE">
        <w:rPr>
          <w:rFonts w:ascii="Arial Narrow" w:hAnsi="Arial Narrow"/>
          <w:b/>
          <w:iCs/>
          <w:sz w:val="20"/>
          <w:szCs w:val="18"/>
        </w:rPr>
        <w:t xml:space="preserve"> test)</w:t>
      </w:r>
    </w:p>
    <w:tbl>
      <w:tblPr>
        <w:tblStyle w:val="PBAC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310"/>
        <w:gridCol w:w="1310"/>
        <w:gridCol w:w="1310"/>
        <w:gridCol w:w="1310"/>
      </w:tblGrid>
      <w:tr w:rsidR="000C4977" w:rsidRPr="000109F2" w14:paraId="0D0FBE4D" w14:textId="77777777" w:rsidTr="00A9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4335C4B5" w14:textId="77777777" w:rsidR="000C4977" w:rsidRPr="000109F2" w:rsidRDefault="000C4977" w:rsidP="00105CF3">
            <w:pPr>
              <w:pStyle w:val="Tabletext0"/>
              <w:keepNext/>
              <w:rPr>
                <w:rFonts w:eastAsiaTheme="majorEastAsia"/>
                <w:lang w:bidi="en-US"/>
              </w:rPr>
            </w:pPr>
          </w:p>
        </w:tc>
        <w:tc>
          <w:tcPr>
            <w:tcW w:w="1310" w:type="dxa"/>
            <w:shd w:val="clear" w:color="auto" w:fill="auto"/>
            <w:vAlign w:val="center"/>
          </w:tcPr>
          <w:p w14:paraId="00C81C37" w14:textId="77777777" w:rsidR="000C4977" w:rsidRPr="000109F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109F2">
              <w:rPr>
                <w:rFonts w:eastAsiaTheme="majorEastAsia"/>
                <w:bCs/>
              </w:rPr>
              <w:t>PASC population 1</w:t>
            </w:r>
            <w:r w:rsidRPr="000109F2">
              <w:rPr>
                <w:rFonts w:eastAsiaTheme="majorEastAsia"/>
                <w:bCs/>
              </w:rPr>
              <w:br/>
              <w:t>(base case)</w:t>
            </w:r>
          </w:p>
        </w:tc>
        <w:tc>
          <w:tcPr>
            <w:tcW w:w="1310" w:type="dxa"/>
            <w:shd w:val="clear" w:color="auto" w:fill="auto"/>
            <w:vAlign w:val="center"/>
          </w:tcPr>
          <w:p w14:paraId="17EF0FE6" w14:textId="77777777" w:rsidR="000C4977" w:rsidRPr="000109F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109F2">
              <w:rPr>
                <w:rFonts w:eastAsiaTheme="majorEastAsia"/>
                <w:bCs/>
              </w:rPr>
              <w:t>PASC</w:t>
            </w:r>
            <w:r w:rsidRPr="000109F2">
              <w:rPr>
                <w:rFonts w:eastAsiaTheme="majorEastAsia"/>
                <w:bCs/>
              </w:rPr>
              <w:br/>
              <w:t>population 2</w:t>
            </w:r>
          </w:p>
        </w:tc>
        <w:tc>
          <w:tcPr>
            <w:tcW w:w="1310" w:type="dxa"/>
            <w:shd w:val="clear" w:color="auto" w:fill="auto"/>
            <w:vAlign w:val="center"/>
          </w:tcPr>
          <w:p w14:paraId="49419A96" w14:textId="77777777" w:rsidR="000C4977" w:rsidRPr="000109F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109F2">
              <w:rPr>
                <w:rFonts w:eastAsiaTheme="majorEastAsia"/>
                <w:bCs/>
              </w:rPr>
              <w:t>PASC</w:t>
            </w:r>
            <w:r w:rsidRPr="000109F2">
              <w:rPr>
                <w:rFonts w:eastAsiaTheme="majorEastAsia"/>
                <w:bCs/>
              </w:rPr>
              <w:br/>
              <w:t>population 3a</w:t>
            </w:r>
          </w:p>
        </w:tc>
        <w:tc>
          <w:tcPr>
            <w:tcW w:w="1310" w:type="dxa"/>
            <w:shd w:val="clear" w:color="auto" w:fill="auto"/>
            <w:vAlign w:val="center"/>
          </w:tcPr>
          <w:p w14:paraId="74D43C07" w14:textId="77777777" w:rsidR="000C4977" w:rsidRPr="000109F2" w:rsidRDefault="000C4977" w:rsidP="004329CF">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lang w:bidi="en-US"/>
              </w:rPr>
            </w:pPr>
            <w:r w:rsidRPr="000109F2">
              <w:rPr>
                <w:rFonts w:eastAsiaTheme="majorEastAsia"/>
                <w:bCs/>
              </w:rPr>
              <w:t>PASC</w:t>
            </w:r>
            <w:r w:rsidRPr="000109F2">
              <w:rPr>
                <w:rFonts w:eastAsiaTheme="majorEastAsia"/>
                <w:bCs/>
              </w:rPr>
              <w:br/>
              <w:t>population 3b</w:t>
            </w:r>
          </w:p>
        </w:tc>
      </w:tr>
      <w:tr w:rsidR="000C4977" w:rsidRPr="000109F2" w14:paraId="7AE4F242"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300436DD" w14:textId="77777777" w:rsidR="000C4977" w:rsidRPr="000109F2" w:rsidRDefault="000C4977" w:rsidP="00105CF3">
            <w:pPr>
              <w:pStyle w:val="Tabletext0"/>
              <w:keepNext/>
              <w:rPr>
                <w:rFonts w:eastAsiaTheme="majorEastAsia"/>
                <w:bCs/>
                <w:lang w:bidi="en-US"/>
              </w:rPr>
            </w:pPr>
            <w:r w:rsidRPr="000109F2">
              <w:rPr>
                <w:rFonts w:eastAsiaTheme="majorEastAsia"/>
                <w:bCs/>
                <w:lang w:bidi="en-US"/>
              </w:rPr>
              <w:t>Incremental QALYs</w:t>
            </w:r>
          </w:p>
        </w:tc>
        <w:tc>
          <w:tcPr>
            <w:tcW w:w="1310" w:type="dxa"/>
            <w:shd w:val="clear" w:color="auto" w:fill="auto"/>
            <w:vAlign w:val="center"/>
          </w:tcPr>
          <w:p w14:paraId="2CB97A2D"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0109F2">
              <w:rPr>
                <w:rFonts w:eastAsiaTheme="majorEastAsia"/>
                <w:bCs/>
                <w:lang w:bidi="en-US"/>
              </w:rPr>
              <w:t>0.4616</w:t>
            </w:r>
          </w:p>
        </w:tc>
        <w:tc>
          <w:tcPr>
            <w:tcW w:w="1310" w:type="dxa"/>
            <w:shd w:val="clear" w:color="auto" w:fill="auto"/>
            <w:vAlign w:val="center"/>
          </w:tcPr>
          <w:p w14:paraId="6290EB89"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0109F2">
              <w:rPr>
                <w:rFonts w:eastAsiaTheme="majorEastAsia"/>
                <w:bCs/>
                <w:lang w:bidi="en-US"/>
              </w:rPr>
              <w:t>0.4616</w:t>
            </w:r>
          </w:p>
        </w:tc>
        <w:tc>
          <w:tcPr>
            <w:tcW w:w="1310" w:type="dxa"/>
            <w:shd w:val="clear" w:color="auto" w:fill="auto"/>
            <w:vAlign w:val="center"/>
          </w:tcPr>
          <w:p w14:paraId="6CA8C2C7"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0109F2">
              <w:rPr>
                <w:rFonts w:eastAsiaTheme="majorEastAsia"/>
                <w:bCs/>
                <w:lang w:bidi="en-US"/>
              </w:rPr>
              <w:t>0.4154</w:t>
            </w:r>
          </w:p>
        </w:tc>
        <w:tc>
          <w:tcPr>
            <w:tcW w:w="1310" w:type="dxa"/>
            <w:shd w:val="clear" w:color="auto" w:fill="auto"/>
            <w:vAlign w:val="center"/>
          </w:tcPr>
          <w:p w14:paraId="21454E98"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0109F2">
              <w:rPr>
                <w:rFonts w:eastAsiaTheme="majorEastAsia"/>
                <w:bCs/>
                <w:lang w:bidi="en-US"/>
              </w:rPr>
              <w:t>0.4154</w:t>
            </w:r>
          </w:p>
        </w:tc>
      </w:tr>
      <w:tr w:rsidR="000C4977" w:rsidRPr="000109F2" w14:paraId="2854D159"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3C2ED466" w14:textId="77777777" w:rsidR="000C4977" w:rsidRPr="000109F2" w:rsidRDefault="000C4977" w:rsidP="00105CF3">
            <w:pPr>
              <w:pStyle w:val="Tabletext0"/>
              <w:keepNext/>
              <w:rPr>
                <w:rFonts w:eastAsiaTheme="majorEastAsia"/>
                <w:bCs/>
                <w:lang w:bidi="en-US"/>
              </w:rPr>
            </w:pPr>
            <w:r w:rsidRPr="000109F2">
              <w:rPr>
                <w:rFonts w:eastAsiaTheme="majorEastAsia"/>
                <w:bCs/>
                <w:lang w:bidi="en-US"/>
              </w:rPr>
              <w:t>Incremental costs</w:t>
            </w:r>
          </w:p>
        </w:tc>
        <w:tc>
          <w:tcPr>
            <w:tcW w:w="1310" w:type="dxa"/>
            <w:shd w:val="clear" w:color="auto" w:fill="auto"/>
            <w:vAlign w:val="center"/>
          </w:tcPr>
          <w:p w14:paraId="6B9721CC" w14:textId="3EFAF7DB"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100C4C" w:rsidRPr="00100C4C">
              <w:rPr>
                <w:rFonts w:eastAsiaTheme="majorEastAsia"/>
                <w:bCs/>
                <w:iCs/>
                <w:lang w:bidi="en-US"/>
              </w:rPr>
              <w:t xml:space="preserve"> </w:t>
            </w:r>
          </w:p>
        </w:tc>
        <w:tc>
          <w:tcPr>
            <w:tcW w:w="1310" w:type="dxa"/>
            <w:shd w:val="clear" w:color="auto" w:fill="auto"/>
            <w:vAlign w:val="center"/>
          </w:tcPr>
          <w:p w14:paraId="1FF879A9" w14:textId="0B567B67"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100C4C" w:rsidRPr="00100C4C">
              <w:rPr>
                <w:rFonts w:eastAsiaTheme="majorEastAsia"/>
                <w:bCs/>
                <w:iCs/>
                <w:lang w:bidi="en-US"/>
              </w:rPr>
              <w:t xml:space="preserve"> </w:t>
            </w:r>
          </w:p>
        </w:tc>
        <w:tc>
          <w:tcPr>
            <w:tcW w:w="1310" w:type="dxa"/>
            <w:shd w:val="clear" w:color="auto" w:fill="auto"/>
            <w:vAlign w:val="center"/>
          </w:tcPr>
          <w:p w14:paraId="1A600743" w14:textId="0BEAD52F"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100C4C" w:rsidRPr="00100C4C">
              <w:rPr>
                <w:rFonts w:eastAsiaTheme="majorEastAsia"/>
                <w:bCs/>
                <w:iCs/>
                <w:lang w:bidi="en-US"/>
              </w:rPr>
              <w:t xml:space="preserve"> </w:t>
            </w:r>
          </w:p>
        </w:tc>
        <w:tc>
          <w:tcPr>
            <w:tcW w:w="1310" w:type="dxa"/>
            <w:shd w:val="clear" w:color="auto" w:fill="auto"/>
            <w:vAlign w:val="center"/>
          </w:tcPr>
          <w:p w14:paraId="71035806" w14:textId="51E38DF3"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100C4C" w:rsidRPr="00100C4C">
              <w:rPr>
                <w:rFonts w:eastAsiaTheme="majorEastAsia"/>
                <w:bCs/>
                <w:iCs/>
                <w:lang w:bidi="en-US"/>
              </w:rPr>
              <w:t xml:space="preserve"> </w:t>
            </w:r>
          </w:p>
        </w:tc>
      </w:tr>
      <w:tr w:rsidR="000C4977" w:rsidRPr="000109F2" w14:paraId="5202134F"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58EFFDDA" w14:textId="77777777" w:rsidR="000C4977" w:rsidRPr="000109F2" w:rsidRDefault="000C4977" w:rsidP="00105CF3">
            <w:pPr>
              <w:pStyle w:val="Tabletext0"/>
              <w:keepNext/>
              <w:rPr>
                <w:rFonts w:eastAsiaTheme="majorEastAsia"/>
                <w:bCs/>
                <w:lang w:bidi="en-US"/>
              </w:rPr>
            </w:pPr>
            <w:r w:rsidRPr="000109F2">
              <w:rPr>
                <w:rFonts w:eastAsiaTheme="majorEastAsia"/>
                <w:bCs/>
                <w:lang w:bidi="en-US"/>
              </w:rPr>
              <w:t>ICER</w:t>
            </w:r>
          </w:p>
        </w:tc>
        <w:tc>
          <w:tcPr>
            <w:tcW w:w="1310" w:type="dxa"/>
            <w:shd w:val="clear" w:color="auto" w:fill="auto"/>
            <w:vAlign w:val="center"/>
          </w:tcPr>
          <w:p w14:paraId="09EA68B8" w14:textId="67971EA0" w:rsidR="000C4977" w:rsidRPr="00140566"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vertAlign w:val="superscript"/>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AB21C8">
              <w:rPr>
                <w:rFonts w:eastAsiaTheme="majorEastAsia"/>
                <w:bCs/>
                <w:iCs/>
                <w:lang w:bidi="en-US"/>
              </w:rPr>
              <w:t xml:space="preserve"> </w:t>
            </w:r>
            <w:r w:rsidR="00140566" w:rsidRPr="00140566">
              <w:rPr>
                <w:rFonts w:eastAsiaTheme="majorEastAsia"/>
                <w:bCs/>
                <w:iCs/>
                <w:vertAlign w:val="superscript"/>
                <w:lang w:bidi="en-US"/>
              </w:rPr>
              <w:t>1</w:t>
            </w:r>
          </w:p>
        </w:tc>
        <w:tc>
          <w:tcPr>
            <w:tcW w:w="1310" w:type="dxa"/>
            <w:shd w:val="clear" w:color="auto" w:fill="auto"/>
            <w:vAlign w:val="center"/>
          </w:tcPr>
          <w:p w14:paraId="00C00A21" w14:textId="3937F8D1"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AB21C8">
              <w:rPr>
                <w:rFonts w:eastAsiaTheme="majorEastAsia"/>
                <w:bCs/>
                <w:iCs/>
                <w:lang w:bidi="en-US"/>
              </w:rPr>
              <w:t xml:space="preserve"> </w:t>
            </w:r>
            <w:r w:rsidR="00140566" w:rsidRPr="00140566">
              <w:rPr>
                <w:rFonts w:eastAsiaTheme="majorEastAsia"/>
                <w:bCs/>
                <w:iCs/>
                <w:vertAlign w:val="superscript"/>
                <w:lang w:bidi="en-US"/>
              </w:rPr>
              <w:t>1</w:t>
            </w:r>
          </w:p>
        </w:tc>
        <w:tc>
          <w:tcPr>
            <w:tcW w:w="1310" w:type="dxa"/>
            <w:shd w:val="clear" w:color="auto" w:fill="auto"/>
            <w:vAlign w:val="center"/>
          </w:tcPr>
          <w:p w14:paraId="625138B4" w14:textId="4C0F7100"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AB21C8">
              <w:rPr>
                <w:rFonts w:eastAsiaTheme="majorEastAsia"/>
                <w:bCs/>
                <w:iCs/>
                <w:lang w:bidi="en-US"/>
              </w:rPr>
              <w:t xml:space="preserve"> </w:t>
            </w:r>
            <w:r w:rsidR="00140566" w:rsidRPr="00140566">
              <w:rPr>
                <w:rFonts w:eastAsiaTheme="majorEastAsia"/>
                <w:bCs/>
                <w:iCs/>
                <w:vertAlign w:val="superscript"/>
                <w:lang w:bidi="en-US"/>
              </w:rPr>
              <w:t>1</w:t>
            </w:r>
          </w:p>
        </w:tc>
        <w:tc>
          <w:tcPr>
            <w:tcW w:w="1310" w:type="dxa"/>
            <w:shd w:val="clear" w:color="auto" w:fill="auto"/>
            <w:vAlign w:val="center"/>
          </w:tcPr>
          <w:p w14:paraId="60F92B61" w14:textId="45750DF3" w:rsidR="000C4977" w:rsidRPr="00C56607"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highlight w:val="yellow"/>
                <w:lang w:bidi="en-US"/>
              </w:rPr>
            </w:pPr>
            <w:r w:rsidRPr="00140566">
              <w:rPr>
                <w:rFonts w:eastAsiaTheme="majorEastAsia"/>
                <w:bCs/>
                <w:iCs/>
                <w:lang w:bidi="en-US"/>
              </w:rPr>
              <w:t>$</w:t>
            </w:r>
            <w:r w:rsidR="00A8205F" w:rsidRPr="00A8205F">
              <w:rPr>
                <w:rFonts w:eastAsiaTheme="majorEastAsia"/>
                <w:bCs/>
                <w:iCs/>
                <w:color w:val="000000"/>
                <w:shd w:val="solid" w:color="000000" w:fill="000000"/>
                <w:lang w:bidi="en-US"/>
                <w14:textFill>
                  <w14:solidFill>
                    <w14:srgbClr w14:val="000000">
                      <w14:alpha w14:val="100000"/>
                    </w14:srgbClr>
                  </w14:solidFill>
                </w14:textFill>
              </w:rPr>
              <w:t>|</w:t>
            </w:r>
            <w:r w:rsidR="00AB21C8">
              <w:rPr>
                <w:rFonts w:eastAsiaTheme="majorEastAsia"/>
                <w:bCs/>
                <w:iCs/>
                <w:lang w:bidi="en-US"/>
              </w:rPr>
              <w:t xml:space="preserve"> </w:t>
            </w:r>
            <w:r w:rsidR="00140566" w:rsidRPr="00140566">
              <w:rPr>
                <w:rFonts w:eastAsiaTheme="majorEastAsia"/>
                <w:bCs/>
                <w:iCs/>
                <w:vertAlign w:val="superscript"/>
                <w:lang w:bidi="en-US"/>
              </w:rPr>
              <w:t>1</w:t>
            </w:r>
          </w:p>
        </w:tc>
      </w:tr>
      <w:tr w:rsidR="000C4977" w:rsidRPr="000109F2" w14:paraId="68BE1FB9"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34ABAD32" w14:textId="77777777" w:rsidR="000C4977" w:rsidRPr="000109F2" w:rsidRDefault="000C4977" w:rsidP="00105CF3">
            <w:pPr>
              <w:pStyle w:val="Tabletext0"/>
              <w:keepNext/>
              <w:rPr>
                <w:rFonts w:eastAsiaTheme="majorEastAsia"/>
                <w:bCs/>
                <w:lang w:bidi="en-US"/>
              </w:rPr>
            </w:pPr>
            <w:r w:rsidRPr="000109F2">
              <w:rPr>
                <w:rFonts w:eastAsiaTheme="majorEastAsia"/>
                <w:bCs/>
                <w:iCs/>
                <w:lang w:bidi="en-US"/>
              </w:rPr>
              <w:t xml:space="preserve">% </w:t>
            </w:r>
            <w:proofErr w:type="gramStart"/>
            <w:r w:rsidRPr="000109F2">
              <w:rPr>
                <w:rFonts w:eastAsiaTheme="majorEastAsia"/>
                <w:bCs/>
                <w:iCs/>
                <w:lang w:bidi="en-US"/>
              </w:rPr>
              <w:t>change</w:t>
            </w:r>
            <w:proofErr w:type="gramEnd"/>
            <w:r w:rsidRPr="000109F2">
              <w:rPr>
                <w:rFonts w:eastAsiaTheme="majorEastAsia"/>
                <w:bCs/>
                <w:iCs/>
                <w:lang w:bidi="en-US"/>
              </w:rPr>
              <w:t xml:space="preserve"> from base case</w:t>
            </w:r>
          </w:p>
        </w:tc>
        <w:tc>
          <w:tcPr>
            <w:tcW w:w="1310" w:type="dxa"/>
            <w:shd w:val="clear" w:color="auto" w:fill="auto"/>
            <w:vAlign w:val="center"/>
          </w:tcPr>
          <w:p w14:paraId="3920156E"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0109F2">
              <w:rPr>
                <w:rFonts w:eastAsiaTheme="majorEastAsia"/>
                <w:bCs/>
                <w:lang w:bidi="en-US"/>
              </w:rPr>
              <w:t>NA</w:t>
            </w:r>
          </w:p>
        </w:tc>
        <w:tc>
          <w:tcPr>
            <w:tcW w:w="1310" w:type="dxa"/>
            <w:shd w:val="clear" w:color="auto" w:fill="auto"/>
            <w:vAlign w:val="center"/>
          </w:tcPr>
          <w:p w14:paraId="1EE2F4A1"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0109F2">
              <w:rPr>
                <w:rFonts w:eastAsiaTheme="majorEastAsia"/>
                <w:bCs/>
                <w:iCs/>
                <w:lang w:bidi="en-US"/>
              </w:rPr>
              <w:t>+2.0%</w:t>
            </w:r>
          </w:p>
        </w:tc>
        <w:tc>
          <w:tcPr>
            <w:tcW w:w="1310" w:type="dxa"/>
            <w:shd w:val="clear" w:color="auto" w:fill="auto"/>
            <w:vAlign w:val="center"/>
          </w:tcPr>
          <w:p w14:paraId="03CF8BE6"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0109F2">
              <w:rPr>
                <w:rFonts w:eastAsiaTheme="majorEastAsia"/>
                <w:bCs/>
                <w:iCs/>
                <w:lang w:bidi="en-US"/>
              </w:rPr>
              <w:t>-0.4%</w:t>
            </w:r>
          </w:p>
        </w:tc>
        <w:tc>
          <w:tcPr>
            <w:tcW w:w="1310" w:type="dxa"/>
            <w:shd w:val="clear" w:color="auto" w:fill="auto"/>
            <w:vAlign w:val="center"/>
          </w:tcPr>
          <w:p w14:paraId="4C36AE00" w14:textId="77777777" w:rsidR="000C4977" w:rsidRPr="000109F2"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0109F2">
              <w:rPr>
                <w:rFonts w:eastAsiaTheme="majorEastAsia"/>
                <w:bCs/>
                <w:iCs/>
                <w:lang w:bidi="en-US"/>
              </w:rPr>
              <w:t>+1.6%</w:t>
            </w:r>
          </w:p>
        </w:tc>
      </w:tr>
      <w:tr w:rsidR="000C4977" w:rsidRPr="000109F2" w14:paraId="4F2364FC"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60D3E15C" w14:textId="77777777" w:rsidR="000C4977" w:rsidRPr="000109F2" w:rsidRDefault="000C4977" w:rsidP="00105CF3">
            <w:pPr>
              <w:pStyle w:val="Tabletext0"/>
              <w:keepNext/>
              <w:rPr>
                <w:rFonts w:eastAsiaTheme="majorEastAsia"/>
                <w:bCs/>
                <w:vertAlign w:val="superscript"/>
                <w:lang w:bidi="en-US"/>
              </w:rPr>
            </w:pPr>
            <w:r w:rsidRPr="000109F2">
              <w:rPr>
                <w:rFonts w:eastAsiaTheme="majorEastAsia"/>
                <w:bCs/>
                <w:lang w:bidi="en-US"/>
              </w:rPr>
              <w:t xml:space="preserve">Average HRD testing cost per patient responding to platinum chemotherapy ± </w:t>
            </w:r>
            <w:proofErr w:type="spellStart"/>
            <w:r w:rsidRPr="000109F2">
              <w:rPr>
                <w:rFonts w:eastAsiaTheme="majorEastAsia"/>
                <w:bCs/>
                <w:lang w:bidi="en-US"/>
              </w:rPr>
              <w:t>beva</w:t>
            </w:r>
            <w:proofErr w:type="spellEnd"/>
            <w:r w:rsidRPr="000109F2">
              <w:rPr>
                <w:rFonts w:eastAsiaTheme="majorEastAsia"/>
                <w:bCs/>
                <w:lang w:bidi="en-US"/>
              </w:rPr>
              <w:t xml:space="preserve"> </w:t>
            </w:r>
            <w:r w:rsidRPr="000109F2">
              <w:rPr>
                <w:rFonts w:eastAsiaTheme="majorEastAsia"/>
                <w:bCs/>
                <w:vertAlign w:val="superscript"/>
                <w:lang w:bidi="en-US"/>
              </w:rPr>
              <w:t>a</w:t>
            </w:r>
          </w:p>
        </w:tc>
        <w:tc>
          <w:tcPr>
            <w:tcW w:w="1310" w:type="dxa"/>
            <w:shd w:val="clear" w:color="auto" w:fill="auto"/>
            <w:vAlign w:val="center"/>
          </w:tcPr>
          <w:p w14:paraId="3B796881"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bCs/>
                <w:lang w:bidi="en-US"/>
              </w:rPr>
              <w:t>$3,125</w:t>
            </w:r>
          </w:p>
        </w:tc>
        <w:tc>
          <w:tcPr>
            <w:tcW w:w="1310" w:type="dxa"/>
            <w:shd w:val="clear" w:color="auto" w:fill="auto"/>
            <w:vAlign w:val="center"/>
          </w:tcPr>
          <w:p w14:paraId="3BAAEDC9"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bCs/>
                <w:lang w:bidi="en-US"/>
              </w:rPr>
              <w:t>$3,834</w:t>
            </w:r>
          </w:p>
        </w:tc>
        <w:tc>
          <w:tcPr>
            <w:tcW w:w="1310" w:type="dxa"/>
            <w:shd w:val="clear" w:color="auto" w:fill="auto"/>
            <w:vAlign w:val="center"/>
          </w:tcPr>
          <w:p w14:paraId="27711874"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bCs/>
                <w:lang w:bidi="en-US"/>
              </w:rPr>
              <w:t>$2,886</w:t>
            </w:r>
          </w:p>
        </w:tc>
        <w:tc>
          <w:tcPr>
            <w:tcW w:w="1310" w:type="dxa"/>
            <w:shd w:val="clear" w:color="auto" w:fill="auto"/>
            <w:vAlign w:val="center"/>
          </w:tcPr>
          <w:p w14:paraId="38C3EB37"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bCs/>
                <w:lang w:bidi="en-US"/>
              </w:rPr>
              <w:t>$3,524</w:t>
            </w:r>
          </w:p>
        </w:tc>
      </w:tr>
      <w:tr w:rsidR="000C4977" w:rsidRPr="000109F2" w14:paraId="5CA39DFE"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1BE606BE" w14:textId="77777777" w:rsidR="000C4977" w:rsidRPr="000109F2" w:rsidRDefault="000C4977" w:rsidP="00105CF3">
            <w:pPr>
              <w:pStyle w:val="Tabletext0"/>
              <w:keepNext/>
              <w:rPr>
                <w:rFonts w:eastAsiaTheme="majorEastAsia"/>
                <w:bCs/>
                <w:lang w:bidi="en-US"/>
              </w:rPr>
            </w:pPr>
            <w:r w:rsidRPr="000109F2">
              <w:rPr>
                <w:rFonts w:eastAsiaTheme="majorEastAsia"/>
                <w:bCs/>
                <w:lang w:bidi="en-US"/>
              </w:rPr>
              <w:t xml:space="preserve">Proportion of patients treated with ola + </w:t>
            </w:r>
            <w:proofErr w:type="spellStart"/>
            <w:r w:rsidRPr="000109F2">
              <w:rPr>
                <w:rFonts w:eastAsiaTheme="majorEastAsia"/>
                <w:bCs/>
                <w:lang w:bidi="en-US"/>
              </w:rPr>
              <w:t>beva</w:t>
            </w:r>
            <w:proofErr w:type="spellEnd"/>
          </w:p>
        </w:tc>
        <w:tc>
          <w:tcPr>
            <w:tcW w:w="1310" w:type="dxa"/>
            <w:shd w:val="clear" w:color="auto" w:fill="auto"/>
            <w:vAlign w:val="center"/>
          </w:tcPr>
          <w:p w14:paraId="629D6FC7"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26.0%</w:t>
            </w:r>
          </w:p>
        </w:tc>
        <w:tc>
          <w:tcPr>
            <w:tcW w:w="1310" w:type="dxa"/>
            <w:shd w:val="clear" w:color="auto" w:fill="auto"/>
            <w:vAlign w:val="center"/>
          </w:tcPr>
          <w:p w14:paraId="4CD60D71"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26.0%</w:t>
            </w:r>
          </w:p>
        </w:tc>
        <w:tc>
          <w:tcPr>
            <w:tcW w:w="1310" w:type="dxa"/>
            <w:shd w:val="clear" w:color="auto" w:fill="auto"/>
            <w:vAlign w:val="center"/>
          </w:tcPr>
          <w:p w14:paraId="4ACE9452"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23.4%</w:t>
            </w:r>
          </w:p>
        </w:tc>
        <w:tc>
          <w:tcPr>
            <w:tcW w:w="1310" w:type="dxa"/>
            <w:shd w:val="clear" w:color="auto" w:fill="auto"/>
            <w:vAlign w:val="center"/>
          </w:tcPr>
          <w:p w14:paraId="721CF9AF"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23.4%</w:t>
            </w:r>
          </w:p>
        </w:tc>
      </w:tr>
      <w:tr w:rsidR="000C4977" w:rsidRPr="000109F2" w14:paraId="2D71E9FD"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0BF0F703" w14:textId="77777777" w:rsidR="000C4977" w:rsidRPr="000109F2" w:rsidRDefault="000C4977" w:rsidP="00105CF3">
            <w:pPr>
              <w:pStyle w:val="Tabletext0"/>
              <w:keepNext/>
              <w:rPr>
                <w:rFonts w:eastAsiaTheme="majorEastAsia"/>
                <w:bCs/>
                <w:lang w:bidi="en-US"/>
              </w:rPr>
            </w:pPr>
            <w:r w:rsidRPr="000109F2">
              <w:rPr>
                <w:rFonts w:eastAsiaTheme="majorEastAsia"/>
                <w:bCs/>
                <w:lang w:bidi="en-US"/>
              </w:rPr>
              <w:t>Proportion of true positive patients treated</w:t>
            </w:r>
          </w:p>
        </w:tc>
        <w:tc>
          <w:tcPr>
            <w:tcW w:w="1310" w:type="dxa"/>
            <w:shd w:val="clear" w:color="auto" w:fill="auto"/>
            <w:vAlign w:val="center"/>
          </w:tcPr>
          <w:p w14:paraId="3640EA7C"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23.5%</w:t>
            </w:r>
          </w:p>
        </w:tc>
        <w:tc>
          <w:tcPr>
            <w:tcW w:w="1310" w:type="dxa"/>
            <w:shd w:val="clear" w:color="auto" w:fill="auto"/>
            <w:vAlign w:val="center"/>
          </w:tcPr>
          <w:p w14:paraId="737059F4"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23.5%</w:t>
            </w:r>
          </w:p>
        </w:tc>
        <w:tc>
          <w:tcPr>
            <w:tcW w:w="1310" w:type="dxa"/>
            <w:shd w:val="clear" w:color="auto" w:fill="auto"/>
            <w:vAlign w:val="center"/>
          </w:tcPr>
          <w:p w14:paraId="3837EDB6"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21.1%</w:t>
            </w:r>
          </w:p>
        </w:tc>
        <w:tc>
          <w:tcPr>
            <w:tcW w:w="1310" w:type="dxa"/>
            <w:shd w:val="clear" w:color="auto" w:fill="auto"/>
            <w:vAlign w:val="center"/>
          </w:tcPr>
          <w:p w14:paraId="54A7338F"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lang w:bidi="en-US"/>
              </w:rPr>
            </w:pPr>
            <w:r w:rsidRPr="004702CE">
              <w:rPr>
                <w:rFonts w:eastAsiaTheme="majorEastAsia" w:cstheme="majorBidi"/>
                <w:bCs/>
              </w:rPr>
              <w:t>21.1%</w:t>
            </w:r>
          </w:p>
        </w:tc>
      </w:tr>
      <w:tr w:rsidR="000C4977" w:rsidRPr="000109F2" w14:paraId="0152D20B"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062A5E1D" w14:textId="77777777" w:rsidR="000C4977" w:rsidRPr="000109F2" w:rsidRDefault="000C4977" w:rsidP="00105CF3">
            <w:pPr>
              <w:pStyle w:val="Tabletext0"/>
              <w:keepNext/>
              <w:rPr>
                <w:rFonts w:eastAsiaTheme="majorEastAsia"/>
                <w:bCs/>
                <w:lang w:bidi="en-US"/>
              </w:rPr>
            </w:pPr>
            <w:r w:rsidRPr="000109F2">
              <w:rPr>
                <w:rFonts w:eastAsiaTheme="majorEastAsia"/>
                <w:bCs/>
                <w:iCs/>
                <w:lang w:bidi="en-US"/>
              </w:rPr>
              <w:t>HRD testing cost per patient treated</w:t>
            </w:r>
          </w:p>
        </w:tc>
        <w:tc>
          <w:tcPr>
            <w:tcW w:w="1310" w:type="dxa"/>
            <w:shd w:val="clear" w:color="auto" w:fill="auto"/>
            <w:vAlign w:val="center"/>
          </w:tcPr>
          <w:p w14:paraId="226931CA"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$12,035</w:t>
            </w:r>
          </w:p>
        </w:tc>
        <w:tc>
          <w:tcPr>
            <w:tcW w:w="1310" w:type="dxa"/>
            <w:shd w:val="clear" w:color="auto" w:fill="auto"/>
            <w:vAlign w:val="center"/>
          </w:tcPr>
          <w:p w14:paraId="38A7CF27"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$14,767</w:t>
            </w:r>
          </w:p>
        </w:tc>
        <w:tc>
          <w:tcPr>
            <w:tcW w:w="1310" w:type="dxa"/>
            <w:shd w:val="clear" w:color="auto" w:fill="auto"/>
            <w:vAlign w:val="center"/>
          </w:tcPr>
          <w:p w14:paraId="18C2CA8F"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$12,350</w:t>
            </w:r>
          </w:p>
        </w:tc>
        <w:tc>
          <w:tcPr>
            <w:tcW w:w="1310" w:type="dxa"/>
            <w:shd w:val="clear" w:color="auto" w:fill="auto"/>
            <w:vAlign w:val="center"/>
          </w:tcPr>
          <w:p w14:paraId="03E19D0E"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$15,082</w:t>
            </w:r>
          </w:p>
        </w:tc>
      </w:tr>
      <w:tr w:rsidR="000C4977" w:rsidRPr="000109F2" w14:paraId="0A985EDB"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6150AD10" w14:textId="77777777" w:rsidR="000C4977" w:rsidRPr="000109F2" w:rsidRDefault="000C4977" w:rsidP="00105CF3">
            <w:pPr>
              <w:pStyle w:val="Tabletext0"/>
              <w:keepNext/>
              <w:rPr>
                <w:rFonts w:eastAsiaTheme="majorEastAsia"/>
                <w:bCs/>
                <w:lang w:bidi="en-US"/>
              </w:rPr>
            </w:pPr>
            <w:r w:rsidRPr="000109F2">
              <w:rPr>
                <w:rFonts w:eastAsiaTheme="majorEastAsia"/>
                <w:bCs/>
                <w:iCs/>
                <w:lang w:bidi="en-US"/>
              </w:rPr>
              <w:t>HRD testing cost per true positive patient treated</w:t>
            </w:r>
          </w:p>
        </w:tc>
        <w:tc>
          <w:tcPr>
            <w:tcW w:w="1310" w:type="dxa"/>
            <w:shd w:val="clear" w:color="auto" w:fill="auto"/>
            <w:vAlign w:val="center"/>
          </w:tcPr>
          <w:p w14:paraId="6F0C1A13"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$13,318</w:t>
            </w:r>
          </w:p>
        </w:tc>
        <w:tc>
          <w:tcPr>
            <w:tcW w:w="1310" w:type="dxa"/>
            <w:shd w:val="clear" w:color="auto" w:fill="auto"/>
            <w:vAlign w:val="center"/>
          </w:tcPr>
          <w:p w14:paraId="3E513959"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$16,341</w:t>
            </w:r>
          </w:p>
        </w:tc>
        <w:tc>
          <w:tcPr>
            <w:tcW w:w="1310" w:type="dxa"/>
            <w:shd w:val="clear" w:color="auto" w:fill="auto"/>
            <w:vAlign w:val="center"/>
          </w:tcPr>
          <w:p w14:paraId="4D11DB48"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$13,666</w:t>
            </w:r>
          </w:p>
        </w:tc>
        <w:tc>
          <w:tcPr>
            <w:tcW w:w="1310" w:type="dxa"/>
            <w:shd w:val="clear" w:color="auto" w:fill="auto"/>
            <w:vAlign w:val="center"/>
          </w:tcPr>
          <w:p w14:paraId="41162BBA"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$16,689</w:t>
            </w:r>
          </w:p>
        </w:tc>
      </w:tr>
      <w:tr w:rsidR="000C4977" w:rsidRPr="000109F2" w14:paraId="701167A7"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127BBAB3" w14:textId="77777777" w:rsidR="000C4977" w:rsidRPr="000109F2" w:rsidRDefault="000C4977" w:rsidP="00105CF3">
            <w:pPr>
              <w:pStyle w:val="Tabletext0"/>
              <w:keepNext/>
              <w:rPr>
                <w:rFonts w:eastAsiaTheme="majorEastAsia"/>
                <w:bCs/>
                <w:iCs/>
                <w:vertAlign w:val="superscript"/>
                <w:lang w:bidi="en-US"/>
              </w:rPr>
            </w:pPr>
            <w:r w:rsidRPr="000109F2">
              <w:rPr>
                <w:rFonts w:eastAsiaTheme="majorEastAsia"/>
                <w:bCs/>
                <w:iCs/>
                <w:lang w:bidi="en-US"/>
              </w:rPr>
              <w:t xml:space="preserve">Additional testing cost per patient </w:t>
            </w:r>
            <w:r w:rsidRPr="000109F2">
              <w:rPr>
                <w:rFonts w:eastAsiaTheme="majorEastAsia"/>
                <w:bCs/>
                <w:iCs/>
                <w:vertAlign w:val="superscript"/>
                <w:lang w:bidi="en-US"/>
              </w:rPr>
              <w:t>a</w:t>
            </w:r>
          </w:p>
        </w:tc>
        <w:tc>
          <w:tcPr>
            <w:tcW w:w="1310" w:type="dxa"/>
            <w:shd w:val="clear" w:color="auto" w:fill="auto"/>
            <w:vAlign w:val="center"/>
          </w:tcPr>
          <w:p w14:paraId="2FB60EEA"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$1,875</w:t>
            </w:r>
          </w:p>
        </w:tc>
        <w:tc>
          <w:tcPr>
            <w:tcW w:w="1310" w:type="dxa"/>
            <w:shd w:val="clear" w:color="auto" w:fill="auto"/>
            <w:vAlign w:val="center"/>
          </w:tcPr>
          <w:p w14:paraId="7666EF16"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$2,584</w:t>
            </w:r>
          </w:p>
        </w:tc>
        <w:tc>
          <w:tcPr>
            <w:tcW w:w="1310" w:type="dxa"/>
            <w:shd w:val="clear" w:color="auto" w:fill="auto"/>
            <w:vAlign w:val="center"/>
          </w:tcPr>
          <w:p w14:paraId="65EF1527"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$1,636</w:t>
            </w:r>
          </w:p>
        </w:tc>
        <w:tc>
          <w:tcPr>
            <w:tcW w:w="1310" w:type="dxa"/>
            <w:shd w:val="clear" w:color="auto" w:fill="auto"/>
            <w:vAlign w:val="center"/>
          </w:tcPr>
          <w:p w14:paraId="200B643E"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$2,274</w:t>
            </w:r>
          </w:p>
        </w:tc>
      </w:tr>
      <w:tr w:rsidR="000C4977" w:rsidRPr="000109F2" w14:paraId="4331CE41"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66C2564B" w14:textId="77777777" w:rsidR="000C4977" w:rsidRPr="000109F2" w:rsidRDefault="000C4977" w:rsidP="00105CF3">
            <w:pPr>
              <w:pStyle w:val="Tabletext0"/>
              <w:keepNext/>
              <w:rPr>
                <w:rFonts w:eastAsiaTheme="majorEastAsia"/>
                <w:bCs/>
                <w:iCs/>
                <w:lang w:bidi="en-US"/>
              </w:rPr>
            </w:pPr>
            <w:r w:rsidRPr="000109F2">
              <w:rPr>
                <w:rFonts w:eastAsiaTheme="majorEastAsia"/>
                <w:bCs/>
                <w:iCs/>
                <w:lang w:bidi="en-US"/>
              </w:rPr>
              <w:t>Additional testing cost per patient treated</w:t>
            </w:r>
          </w:p>
        </w:tc>
        <w:tc>
          <w:tcPr>
            <w:tcW w:w="1310" w:type="dxa"/>
            <w:shd w:val="clear" w:color="auto" w:fill="auto"/>
            <w:vAlign w:val="center"/>
          </w:tcPr>
          <w:p w14:paraId="4875795A"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$7,221</w:t>
            </w:r>
          </w:p>
        </w:tc>
        <w:tc>
          <w:tcPr>
            <w:tcW w:w="1310" w:type="dxa"/>
            <w:shd w:val="clear" w:color="auto" w:fill="auto"/>
            <w:vAlign w:val="center"/>
          </w:tcPr>
          <w:p w14:paraId="5DBD4012"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$9,953</w:t>
            </w:r>
          </w:p>
        </w:tc>
        <w:tc>
          <w:tcPr>
            <w:tcW w:w="1310" w:type="dxa"/>
            <w:shd w:val="clear" w:color="auto" w:fill="auto"/>
            <w:vAlign w:val="center"/>
          </w:tcPr>
          <w:p w14:paraId="404FCC3B"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$7,001</w:t>
            </w:r>
          </w:p>
        </w:tc>
        <w:tc>
          <w:tcPr>
            <w:tcW w:w="1310" w:type="dxa"/>
            <w:shd w:val="clear" w:color="auto" w:fill="auto"/>
            <w:vAlign w:val="center"/>
          </w:tcPr>
          <w:p w14:paraId="505AB72B"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$9,733</w:t>
            </w:r>
          </w:p>
        </w:tc>
      </w:tr>
      <w:tr w:rsidR="000C4977" w:rsidRPr="000109F2" w14:paraId="50AE39B4" w14:textId="77777777" w:rsidTr="00A91280">
        <w:tc>
          <w:tcPr>
            <w:cnfStyle w:val="001000000000" w:firstRow="0" w:lastRow="0" w:firstColumn="1" w:lastColumn="0" w:oddVBand="0" w:evenVBand="0" w:oddHBand="0" w:evenHBand="0" w:firstRowFirstColumn="0" w:firstRowLastColumn="0" w:lastRowFirstColumn="0" w:lastRowLastColumn="0"/>
            <w:tcW w:w="3776" w:type="dxa"/>
            <w:shd w:val="clear" w:color="auto" w:fill="auto"/>
            <w:vAlign w:val="bottom"/>
          </w:tcPr>
          <w:p w14:paraId="68C26116" w14:textId="77777777" w:rsidR="000C4977" w:rsidRPr="000109F2" w:rsidRDefault="000C4977" w:rsidP="00105CF3">
            <w:pPr>
              <w:pStyle w:val="Tabletext0"/>
              <w:keepNext/>
              <w:rPr>
                <w:rFonts w:eastAsiaTheme="majorEastAsia"/>
                <w:bCs/>
                <w:iCs/>
                <w:lang w:bidi="en-US"/>
              </w:rPr>
            </w:pPr>
            <w:r w:rsidRPr="000109F2">
              <w:rPr>
                <w:rFonts w:eastAsiaTheme="majorEastAsia"/>
                <w:bCs/>
                <w:iCs/>
                <w:lang w:bidi="en-US"/>
              </w:rPr>
              <w:t>Additional testing cost per true positive patient treated</w:t>
            </w:r>
          </w:p>
        </w:tc>
        <w:tc>
          <w:tcPr>
            <w:tcW w:w="1310" w:type="dxa"/>
            <w:shd w:val="clear" w:color="auto" w:fill="auto"/>
            <w:vAlign w:val="center"/>
          </w:tcPr>
          <w:p w14:paraId="04138228"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$7,991</w:t>
            </w:r>
          </w:p>
        </w:tc>
        <w:tc>
          <w:tcPr>
            <w:tcW w:w="1310" w:type="dxa"/>
            <w:shd w:val="clear" w:color="auto" w:fill="auto"/>
            <w:vAlign w:val="center"/>
          </w:tcPr>
          <w:p w14:paraId="7B74E0FD"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$11,014</w:t>
            </w:r>
          </w:p>
        </w:tc>
        <w:tc>
          <w:tcPr>
            <w:tcW w:w="1310" w:type="dxa"/>
            <w:shd w:val="clear" w:color="auto" w:fill="auto"/>
            <w:vAlign w:val="center"/>
          </w:tcPr>
          <w:p w14:paraId="4DE84D69"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$7,747</w:t>
            </w:r>
          </w:p>
        </w:tc>
        <w:tc>
          <w:tcPr>
            <w:tcW w:w="1310" w:type="dxa"/>
            <w:shd w:val="clear" w:color="auto" w:fill="auto"/>
            <w:vAlign w:val="center"/>
          </w:tcPr>
          <w:p w14:paraId="63EE8697" w14:textId="77777777" w:rsidR="000C4977" w:rsidRPr="004702CE" w:rsidRDefault="000C4977" w:rsidP="004329CF">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bCs/>
                <w:iCs/>
                <w:lang w:bidi="en-US"/>
              </w:rPr>
            </w:pPr>
            <w:r w:rsidRPr="004702CE">
              <w:rPr>
                <w:rFonts w:eastAsiaTheme="majorEastAsia"/>
                <w:bCs/>
                <w:iCs/>
                <w:lang w:bidi="en-US"/>
              </w:rPr>
              <w:t>$10,770</w:t>
            </w:r>
          </w:p>
        </w:tc>
      </w:tr>
    </w:tbl>
    <w:p w14:paraId="61DBCFCF" w14:textId="6C2A5408" w:rsidR="000C4977" w:rsidRPr="000C4977" w:rsidRDefault="000C4977" w:rsidP="000C4977">
      <w:pPr>
        <w:keepNext/>
        <w:keepLines/>
        <w:widowControl w:val="0"/>
        <w:spacing w:before="0" w:after="0"/>
        <w:contextualSpacing/>
        <w:rPr>
          <w:rFonts w:ascii="Arial Narrow" w:eastAsia="Times New Roman" w:hAnsi="Arial Narrow" w:cs="Arial"/>
          <w:snapToGrid w:val="0"/>
          <w:sz w:val="20"/>
          <w:szCs w:val="20"/>
        </w:rPr>
      </w:pPr>
      <w:proofErr w:type="spellStart"/>
      <w:r w:rsidRPr="000109F2">
        <w:rPr>
          <w:rFonts w:ascii="Arial Narrow" w:eastAsia="Times New Roman" w:hAnsi="Arial Narrow" w:cs="Arial"/>
          <w:snapToGrid w:val="0"/>
          <w:sz w:val="20"/>
          <w:szCs w:val="20"/>
        </w:rPr>
        <w:t>Beva</w:t>
      </w:r>
      <w:proofErr w:type="spellEnd"/>
      <w:r w:rsidRPr="000109F2">
        <w:rPr>
          <w:rFonts w:ascii="Arial Narrow" w:eastAsia="Times New Roman" w:hAnsi="Arial Narrow" w:cs="Arial"/>
          <w:snapToGrid w:val="0"/>
          <w:sz w:val="20"/>
          <w:szCs w:val="20"/>
        </w:rPr>
        <w:t xml:space="preserve"> = bevacizumab; </w:t>
      </w:r>
      <w:r w:rsidR="00D9058D" w:rsidRPr="000109F2">
        <w:rPr>
          <w:rFonts w:ascii="Arial Narrow" w:eastAsia="Times New Roman" w:hAnsi="Arial Narrow" w:cs="Arial"/>
          <w:snapToGrid w:val="0"/>
          <w:sz w:val="20"/>
          <w:szCs w:val="20"/>
        </w:rPr>
        <w:t>HRD = homologous recombination deficiency; ICER = incremental cost-</w:t>
      </w:r>
      <w:r w:rsidR="00C56607" w:rsidRPr="000109F2">
        <w:rPr>
          <w:rFonts w:ascii="Arial Narrow" w:eastAsia="Times New Roman" w:hAnsi="Arial Narrow" w:cs="Arial"/>
          <w:snapToGrid w:val="0"/>
          <w:sz w:val="20"/>
          <w:szCs w:val="20"/>
        </w:rPr>
        <w:t>effectiveness</w:t>
      </w:r>
      <w:r w:rsidR="00D9058D" w:rsidRPr="000109F2">
        <w:rPr>
          <w:rFonts w:ascii="Arial Narrow" w:eastAsia="Times New Roman" w:hAnsi="Arial Narrow" w:cs="Arial"/>
          <w:snapToGrid w:val="0"/>
          <w:sz w:val="20"/>
          <w:szCs w:val="20"/>
        </w:rPr>
        <w:t xml:space="preserve"> ratio</w:t>
      </w:r>
      <w:r w:rsidR="00D9058D">
        <w:rPr>
          <w:rFonts w:ascii="Arial Narrow" w:eastAsia="Times New Roman" w:hAnsi="Arial Narrow" w:cs="Arial"/>
          <w:snapToGrid w:val="0"/>
          <w:sz w:val="20"/>
          <w:szCs w:val="20"/>
        </w:rPr>
        <w:t xml:space="preserve">; </w:t>
      </w:r>
      <w:r w:rsidRPr="000C4977">
        <w:rPr>
          <w:rFonts w:ascii="Arial Narrow" w:eastAsia="Times New Roman" w:hAnsi="Arial Narrow" w:cs="Arial"/>
          <w:snapToGrid w:val="0"/>
          <w:sz w:val="20"/>
          <w:szCs w:val="20"/>
        </w:rPr>
        <w:t xml:space="preserve">NA = not applicable; ola = </w:t>
      </w:r>
      <w:proofErr w:type="spellStart"/>
      <w:r w:rsidRPr="000C4977">
        <w:rPr>
          <w:rFonts w:ascii="Arial Narrow" w:eastAsia="Times New Roman" w:hAnsi="Arial Narrow" w:cs="Arial"/>
          <w:snapToGrid w:val="0"/>
          <w:sz w:val="20"/>
          <w:szCs w:val="20"/>
        </w:rPr>
        <w:t>olaparib</w:t>
      </w:r>
      <w:proofErr w:type="spellEnd"/>
      <w:r w:rsidR="00D9058D">
        <w:rPr>
          <w:rFonts w:ascii="Arial Narrow" w:eastAsia="Times New Roman" w:hAnsi="Arial Narrow" w:cs="Arial"/>
          <w:snapToGrid w:val="0"/>
          <w:sz w:val="20"/>
          <w:szCs w:val="20"/>
        </w:rPr>
        <w:t>; QALY = quality-adjusted life year</w:t>
      </w:r>
    </w:p>
    <w:p w14:paraId="48C0351B" w14:textId="6C3F8953" w:rsidR="000C4977" w:rsidRPr="000C4977" w:rsidRDefault="000C4977" w:rsidP="000C4977">
      <w:pPr>
        <w:keepNext/>
        <w:keepLines/>
        <w:widowControl w:val="0"/>
        <w:spacing w:before="0" w:after="0"/>
        <w:contextualSpacing/>
        <w:rPr>
          <w:rFonts w:ascii="Arial Narrow" w:eastAsia="Times New Roman" w:hAnsi="Arial Narrow" w:cs="Arial"/>
          <w:snapToGrid w:val="0"/>
          <w:sz w:val="20"/>
          <w:szCs w:val="20"/>
        </w:rPr>
      </w:pPr>
      <w:r w:rsidRPr="000C4977">
        <w:rPr>
          <w:rFonts w:ascii="Arial Narrow" w:eastAsia="Times New Roman" w:hAnsi="Arial Narrow" w:cs="Arial"/>
          <w:snapToGrid w:val="0"/>
          <w:sz w:val="20"/>
          <w:szCs w:val="20"/>
          <w:vertAlign w:val="superscript"/>
        </w:rPr>
        <w:t>a</w:t>
      </w:r>
      <w:r w:rsidRPr="000C4977">
        <w:rPr>
          <w:rFonts w:ascii="Arial Narrow" w:eastAsia="Times New Roman" w:hAnsi="Arial Narrow" w:cs="Arial"/>
          <w:snapToGrid w:val="0"/>
          <w:sz w:val="20"/>
          <w:szCs w:val="20"/>
        </w:rPr>
        <w:t xml:space="preserve"> Cost per patient for both HRD and </w:t>
      </w:r>
      <w:r w:rsidRPr="000C4977">
        <w:rPr>
          <w:rFonts w:ascii="Arial Narrow" w:eastAsia="Times New Roman" w:hAnsi="Arial Narrow" w:cs="Arial"/>
          <w:i/>
          <w:iCs/>
          <w:snapToGrid w:val="0"/>
          <w:sz w:val="20"/>
          <w:szCs w:val="20"/>
        </w:rPr>
        <w:t>BRCA</w:t>
      </w:r>
      <w:r w:rsidRPr="000C4977">
        <w:rPr>
          <w:rFonts w:ascii="Arial Narrow" w:eastAsia="Times New Roman" w:hAnsi="Arial Narrow" w:cs="Arial"/>
          <w:snapToGrid w:val="0"/>
          <w:sz w:val="20"/>
          <w:szCs w:val="20"/>
        </w:rPr>
        <w:t xml:space="preserve"> test estimated as test fee multiplied by 1.25 to account for only 80% of patients respond to first line platinum chemotherapy with or without bevacizumab</w:t>
      </w:r>
      <w:r w:rsidR="00D9058D">
        <w:rPr>
          <w:rFonts w:ascii="Arial Narrow" w:eastAsia="Times New Roman" w:hAnsi="Arial Narrow" w:cs="Arial"/>
          <w:snapToGrid w:val="0"/>
          <w:sz w:val="20"/>
          <w:szCs w:val="20"/>
        </w:rPr>
        <w:t>.</w:t>
      </w:r>
    </w:p>
    <w:p w14:paraId="10C21EC9" w14:textId="35BCBEE7" w:rsidR="000C4977" w:rsidRDefault="000C4977" w:rsidP="00105CF3">
      <w:pPr>
        <w:widowControl w:val="0"/>
        <w:spacing w:before="0" w:after="0"/>
        <w:contextualSpacing/>
        <w:rPr>
          <w:rFonts w:ascii="Arial Narrow" w:eastAsia="Times New Roman" w:hAnsi="Arial Narrow" w:cs="Arial"/>
          <w:snapToGrid w:val="0"/>
          <w:sz w:val="20"/>
          <w:szCs w:val="20"/>
        </w:rPr>
      </w:pPr>
      <w:r w:rsidRPr="000C4977">
        <w:rPr>
          <w:rFonts w:ascii="Arial Narrow" w:eastAsia="Times New Roman" w:hAnsi="Arial Narrow" w:cs="Arial"/>
          <w:snapToGrid w:val="0"/>
          <w:sz w:val="20"/>
          <w:szCs w:val="20"/>
        </w:rPr>
        <w:t>Source: Table 3.38, p279 of the submission (Economic Evaluation.xls, [ICER Results tab] and [Testing costs tab])</w:t>
      </w:r>
    </w:p>
    <w:p w14:paraId="53D0FE68" w14:textId="77777777" w:rsidR="00140566" w:rsidRPr="00A549F9" w:rsidRDefault="00140566" w:rsidP="00140566">
      <w:pPr>
        <w:widowControl w:val="0"/>
        <w:spacing w:before="0" w:after="0"/>
        <w:contextualSpacing/>
        <w:rPr>
          <w:rFonts w:ascii="Arial Narrow" w:eastAsia="Times New Roman" w:hAnsi="Arial Narrow" w:cs="Arial"/>
          <w:i/>
          <w:snapToGrid w:val="0"/>
          <w:sz w:val="18"/>
          <w:szCs w:val="20"/>
        </w:rPr>
      </w:pPr>
      <w:bookmarkStart w:id="58" w:name="_Hlk114236069"/>
      <w:r w:rsidRPr="00A549F9">
        <w:rPr>
          <w:rFonts w:ascii="Arial Narrow" w:eastAsia="Times New Roman" w:hAnsi="Arial Narrow" w:cs="Arial"/>
          <w:i/>
          <w:snapToGrid w:val="0"/>
          <w:sz w:val="18"/>
          <w:szCs w:val="20"/>
        </w:rPr>
        <w:t xml:space="preserve">The redacted values correspond to the following ranges: </w:t>
      </w:r>
    </w:p>
    <w:p w14:paraId="13BCABBC" w14:textId="77777777" w:rsidR="00140566" w:rsidRDefault="00140566" w:rsidP="00140566">
      <w:pPr>
        <w:widowControl w:val="0"/>
        <w:spacing w:before="0" w:after="0"/>
        <w:contextualSpacing/>
        <w:rPr>
          <w:rFonts w:ascii="Arial Narrow" w:eastAsia="Times New Roman" w:hAnsi="Arial Narrow" w:cs="Arial"/>
          <w:i/>
          <w:iCs/>
          <w:snapToGrid w:val="0"/>
          <w:sz w:val="18"/>
          <w:szCs w:val="20"/>
        </w:rPr>
      </w:pPr>
      <w:r w:rsidRPr="00A549F9">
        <w:rPr>
          <w:rFonts w:ascii="Arial Narrow" w:eastAsia="Times New Roman" w:hAnsi="Arial Narrow" w:cs="Arial"/>
          <w:i/>
          <w:iCs/>
          <w:snapToGrid w:val="0"/>
          <w:sz w:val="18"/>
          <w:szCs w:val="20"/>
          <w:vertAlign w:val="superscript"/>
        </w:rPr>
        <w:t>1</w:t>
      </w:r>
      <w:r w:rsidRPr="00A549F9">
        <w:rPr>
          <w:rFonts w:ascii="Arial Narrow" w:eastAsia="Times New Roman" w:hAnsi="Arial Narrow" w:cs="Arial"/>
          <w:i/>
          <w:iCs/>
          <w:snapToGrid w:val="0"/>
          <w:sz w:val="18"/>
          <w:szCs w:val="20"/>
        </w:rPr>
        <w:t xml:space="preserve"> $45,000 to &lt; $55,000</w:t>
      </w:r>
    </w:p>
    <w:bookmarkEnd w:id="58"/>
    <w:p w14:paraId="24F4864D" w14:textId="77777777" w:rsidR="00140566" w:rsidRPr="000C4977" w:rsidRDefault="00140566" w:rsidP="00105CF3">
      <w:pPr>
        <w:widowControl w:val="0"/>
        <w:spacing w:before="0" w:after="0"/>
        <w:contextualSpacing/>
        <w:rPr>
          <w:rFonts w:ascii="Arial Narrow" w:eastAsia="Times New Roman" w:hAnsi="Arial Narrow" w:cs="Arial"/>
          <w:snapToGrid w:val="0"/>
          <w:sz w:val="20"/>
          <w:szCs w:val="20"/>
        </w:rPr>
      </w:pPr>
    </w:p>
    <w:p w14:paraId="0223AD8F" w14:textId="471A8A46" w:rsidR="000C4977" w:rsidRPr="00B1384A" w:rsidRDefault="000C4977" w:rsidP="000C4977">
      <w:pPr>
        <w:spacing w:line="259" w:lineRule="auto"/>
        <w:jc w:val="left"/>
      </w:pPr>
      <w:r w:rsidRPr="000C4977">
        <w:t xml:space="preserve">The submission did not propose the PBS listing of </w:t>
      </w:r>
      <w:proofErr w:type="spellStart"/>
      <w:r w:rsidRPr="000C4977">
        <w:t>olaparib</w:t>
      </w:r>
      <w:proofErr w:type="spellEnd"/>
      <w:r w:rsidRPr="000C4977">
        <w:t xml:space="preserve"> in all patients with HGEOC (</w:t>
      </w:r>
      <w:proofErr w:type="gramStart"/>
      <w:r w:rsidRPr="000C4977">
        <w:t>i.e.</w:t>
      </w:r>
      <w:proofErr w:type="gramEnd"/>
      <w:r w:rsidRPr="000C4977">
        <w:t xml:space="preserve"> both HRD positive and negative), which would have allowed the elimination of HRD testing. </w:t>
      </w:r>
      <w:r w:rsidRPr="00B1384A">
        <w:t xml:space="preserve">The </w:t>
      </w:r>
      <w:r w:rsidR="008657A4">
        <w:t>c</w:t>
      </w:r>
      <w:r w:rsidR="00B1384A">
        <w:t xml:space="preserve">ommentary noted that </w:t>
      </w:r>
      <w:r w:rsidRPr="00B1384A">
        <w:t xml:space="preserve">reason for this was not explicitly stated in the </w:t>
      </w:r>
      <w:proofErr w:type="gramStart"/>
      <w:r w:rsidRPr="00B1384A">
        <w:t>submission</w:t>
      </w:r>
      <w:r w:rsidR="00B1384A">
        <w:t>, and</w:t>
      </w:r>
      <w:proofErr w:type="gramEnd"/>
      <w:r w:rsidR="00B1384A">
        <w:t xml:space="preserve"> advised that i</w:t>
      </w:r>
      <w:r w:rsidRPr="00B1384A">
        <w:t>t was not possible to conduct a sensitivity analysis investigating this scenario without extensively changing the model, as it would require the use of Kaplan-Meier data for the ITT population whereas the model only investigated the subpopulation of interest.</w:t>
      </w:r>
    </w:p>
    <w:p w14:paraId="2DC604B1" w14:textId="6C8452B6" w:rsidR="000C4977" w:rsidRPr="000C4977" w:rsidRDefault="000C4977"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59" w:name="_Toc69491426"/>
      <w:r w:rsidRPr="000C4977">
        <w:rPr>
          <w:rFonts w:ascii="Franklin Gothic Medium" w:eastAsiaTheme="majorEastAsia" w:hAnsi="Franklin Gothic Medium" w:cstheme="majorBidi"/>
          <w:color w:val="000000" w:themeColor="text1"/>
          <w:sz w:val="32"/>
          <w:szCs w:val="26"/>
        </w:rPr>
        <w:t>1</w:t>
      </w:r>
      <w:r w:rsidR="004C0EB2">
        <w:rPr>
          <w:rFonts w:ascii="Franklin Gothic Medium" w:eastAsiaTheme="majorEastAsia" w:hAnsi="Franklin Gothic Medium" w:cstheme="majorBidi"/>
          <w:color w:val="000000" w:themeColor="text1"/>
          <w:sz w:val="32"/>
          <w:szCs w:val="26"/>
        </w:rPr>
        <w:t>4</w:t>
      </w:r>
      <w:r w:rsidRPr="000C4977">
        <w:rPr>
          <w:rFonts w:ascii="Franklin Gothic Medium" w:eastAsiaTheme="majorEastAsia" w:hAnsi="Franklin Gothic Medium" w:cstheme="majorBidi"/>
          <w:color w:val="000000" w:themeColor="text1"/>
          <w:sz w:val="32"/>
          <w:szCs w:val="26"/>
        </w:rPr>
        <w:t>.</w:t>
      </w:r>
      <w:r w:rsidRPr="000C4977">
        <w:rPr>
          <w:rFonts w:ascii="Franklin Gothic Medium" w:eastAsiaTheme="majorEastAsia" w:hAnsi="Franklin Gothic Medium" w:cstheme="majorBidi"/>
          <w:color w:val="000000" w:themeColor="text1"/>
          <w:sz w:val="32"/>
          <w:szCs w:val="26"/>
        </w:rPr>
        <w:tab/>
        <w:t>Financial/budgetary impacts</w:t>
      </w:r>
      <w:bookmarkEnd w:id="59"/>
    </w:p>
    <w:p w14:paraId="20AEC78E" w14:textId="757E5D72" w:rsidR="000C4977" w:rsidRPr="000C4977" w:rsidRDefault="000C4977" w:rsidP="000C4977">
      <w:pPr>
        <w:spacing w:line="259" w:lineRule="auto"/>
        <w:jc w:val="left"/>
      </w:pPr>
      <w:r w:rsidRPr="000C4977">
        <w:t xml:space="preserve">The submission used an epidemiological approach to estimate the number of patients who would be eligible for the proposed HRD test, likely uptake of the test and the estimated number of patients with HRD positive </w:t>
      </w:r>
      <w:proofErr w:type="spellStart"/>
      <w:r w:rsidRPr="000C4977">
        <w:rPr>
          <w:i/>
        </w:rPr>
        <w:t>BRCA</w:t>
      </w:r>
      <w:r w:rsidRPr="000C4977">
        <w:t>wt</w:t>
      </w:r>
      <w:proofErr w:type="spellEnd"/>
      <w:r w:rsidRPr="000C4977">
        <w:t xml:space="preserve"> tumours. Patients then need to be treated with and have a response to first-line platinum-based chemotherapy to be eligible for </w:t>
      </w:r>
      <w:proofErr w:type="spellStart"/>
      <w:r w:rsidRPr="000C4977">
        <w:t>olaparib</w:t>
      </w:r>
      <w:proofErr w:type="spellEnd"/>
      <w:r w:rsidRPr="000C4977">
        <w:t xml:space="preserve"> plus bevacizumab maintenance treatment.</w:t>
      </w:r>
    </w:p>
    <w:p w14:paraId="6C2A677A" w14:textId="603771B3" w:rsidR="000C4977" w:rsidRPr="00B1384A" w:rsidRDefault="000C4977" w:rsidP="000C4977">
      <w:pPr>
        <w:spacing w:line="259" w:lineRule="auto"/>
        <w:jc w:val="left"/>
      </w:pPr>
      <w:r w:rsidRPr="000C4977">
        <w:t xml:space="preserve">The submission (p306) stated that the cost of relevant MBS items was used as in the MBS schedule and included the cost of </w:t>
      </w:r>
      <w:r w:rsidRPr="000C4977">
        <w:rPr>
          <w:i/>
          <w:iCs/>
        </w:rPr>
        <w:t>BRCA</w:t>
      </w:r>
      <w:r w:rsidRPr="000C4977">
        <w:t xml:space="preserve"> testing of $1,200. As the MSAC have previously stated that the cost of </w:t>
      </w:r>
      <w:r w:rsidRPr="000C4977">
        <w:rPr>
          <w:i/>
          <w:iCs/>
        </w:rPr>
        <w:t>BRCA</w:t>
      </w:r>
      <w:r w:rsidRPr="000C4977">
        <w:t xml:space="preserve"> testing should be reduced to $1,000, financial estimates assuming an MBS fee of $1,000 for </w:t>
      </w:r>
      <w:r w:rsidRPr="000C4977">
        <w:rPr>
          <w:i/>
          <w:iCs/>
        </w:rPr>
        <w:t>BRCA</w:t>
      </w:r>
      <w:r w:rsidRPr="000C4977">
        <w:t xml:space="preserve"> testing was included during the evaluation. </w:t>
      </w:r>
      <w:r w:rsidR="00B1384A">
        <w:t xml:space="preserve">The </w:t>
      </w:r>
      <w:r w:rsidR="008657A4">
        <w:t>c</w:t>
      </w:r>
      <w:r w:rsidR="00B1384A">
        <w:t xml:space="preserve">ommentary </w:t>
      </w:r>
      <w:r w:rsidRPr="00B1384A">
        <w:t xml:space="preserve">noted that both the proposed HRD test (MBS fee $2,500) and </w:t>
      </w:r>
      <w:r w:rsidRPr="00122507">
        <w:rPr>
          <w:i/>
          <w:iCs/>
        </w:rPr>
        <w:t>BRCA</w:t>
      </w:r>
      <w:r w:rsidRPr="00B1384A">
        <w:t xml:space="preserve"> test (MBS fee $1,200/$1,000) exceed the threshold for the greatest permissible gap (GPG) as of 1 November 2021, meaning that the fee rebated will be MBS item fee minus $87.90. The financial estimates have been updated to reflect the GPG rebate.</w:t>
      </w:r>
    </w:p>
    <w:p w14:paraId="31D0ABCE" w14:textId="24001821" w:rsidR="000C4977" w:rsidRPr="000C4977" w:rsidRDefault="000C4977" w:rsidP="000C4977">
      <w:pPr>
        <w:keepNext/>
        <w:tabs>
          <w:tab w:val="left" w:pos="0"/>
        </w:tabs>
        <w:spacing w:before="0" w:after="0"/>
        <w:contextualSpacing/>
        <w:rPr>
          <w:rFonts w:ascii="Arial Narrow" w:hAnsi="Arial Narrow"/>
          <w:b/>
          <w:iCs/>
          <w:sz w:val="20"/>
          <w:szCs w:val="18"/>
        </w:rPr>
      </w:pPr>
      <w:bookmarkStart w:id="60" w:name="_Ref103527274"/>
      <w:r w:rsidRPr="000C4977">
        <w:rPr>
          <w:rFonts w:ascii="Arial Narrow" w:hAnsi="Arial Narrow"/>
          <w:b/>
          <w:iCs/>
          <w:sz w:val="20"/>
          <w:szCs w:val="18"/>
        </w:rPr>
        <w:lastRenderedPageBreak/>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26</w:t>
      </w:r>
      <w:r w:rsidRPr="000C4977">
        <w:rPr>
          <w:rFonts w:ascii="Arial Narrow" w:hAnsi="Arial Narrow"/>
          <w:b/>
          <w:iCs/>
          <w:noProof/>
          <w:sz w:val="20"/>
          <w:szCs w:val="18"/>
        </w:rPr>
        <w:fldChar w:fldCharType="end"/>
      </w:r>
      <w:bookmarkEnd w:id="60"/>
      <w:r w:rsidRPr="000C4977">
        <w:rPr>
          <w:rFonts w:ascii="Arial Narrow" w:hAnsi="Arial Narrow"/>
          <w:b/>
          <w:iCs/>
          <w:sz w:val="20"/>
          <w:szCs w:val="18"/>
        </w:rPr>
        <w:tab/>
        <w:t xml:space="preserve">Estimated number of patients accessing HRD testing and with HRD positive </w:t>
      </w:r>
      <w:proofErr w:type="spellStart"/>
      <w:r w:rsidRPr="000C4977">
        <w:rPr>
          <w:rFonts w:ascii="Arial Narrow" w:hAnsi="Arial Narrow"/>
          <w:b/>
          <w:i/>
          <w:iCs/>
          <w:sz w:val="20"/>
          <w:szCs w:val="18"/>
        </w:rPr>
        <w:t>BRCA</w:t>
      </w:r>
      <w:r w:rsidRPr="000C4977">
        <w:rPr>
          <w:rFonts w:ascii="Arial Narrow" w:hAnsi="Arial Narrow"/>
          <w:b/>
          <w:iCs/>
          <w:sz w:val="20"/>
          <w:szCs w:val="18"/>
        </w:rPr>
        <w:t>wt</w:t>
      </w:r>
      <w:proofErr w:type="spellEnd"/>
      <w:r w:rsidRPr="000C4977">
        <w:rPr>
          <w:rFonts w:ascii="Arial Narrow" w:hAnsi="Arial Narrow"/>
          <w:b/>
          <w:iCs/>
          <w:sz w:val="20"/>
          <w:szCs w:val="18"/>
        </w:rPr>
        <w:t xml:space="preserve"> status over six years (using mean number of doses in PAOLA-1)</w:t>
      </w:r>
    </w:p>
    <w:tbl>
      <w:tblPr>
        <w:tblStyle w:val="PBAC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129"/>
        <w:gridCol w:w="1129"/>
        <w:gridCol w:w="1129"/>
        <w:gridCol w:w="1129"/>
        <w:gridCol w:w="1129"/>
        <w:gridCol w:w="1630"/>
      </w:tblGrid>
      <w:tr w:rsidR="000C4977" w:rsidRPr="000C4977" w14:paraId="2FFA4686" w14:textId="77777777" w:rsidTr="002F2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2D5BDAAC" w14:textId="77777777" w:rsidR="000C4977" w:rsidRPr="000C4977" w:rsidRDefault="000C4977" w:rsidP="00EB0C59">
            <w:pPr>
              <w:pStyle w:val="Tabletext0"/>
              <w:keepNext/>
              <w:rPr>
                <w:rFonts w:eastAsiaTheme="majorEastAsia"/>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0D459"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F2855"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B2217"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7A4B3"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6206D"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2027</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6AE51" w14:textId="77777777" w:rsidR="000C4977" w:rsidRPr="000C4977" w:rsidRDefault="000C4977" w:rsidP="00082946">
            <w:pPr>
              <w:pStyle w:val="Tabletext0"/>
              <w:jc w:val="center"/>
              <w:cnfStyle w:val="100000000000" w:firstRow="1" w:lastRow="0" w:firstColumn="0" w:lastColumn="0" w:oddVBand="0" w:evenVBand="0" w:oddHBand="0" w:evenHBand="0" w:firstRowFirstColumn="0" w:firstRowLastColumn="0" w:lastRowFirstColumn="0" w:lastRowLastColumn="0"/>
              <w:rPr>
                <w:rFonts w:eastAsiaTheme="majorEastAsia"/>
              </w:rPr>
            </w:pPr>
            <w:r w:rsidRPr="000C4977">
              <w:rPr>
                <w:rFonts w:eastAsiaTheme="majorEastAsia"/>
              </w:rPr>
              <w:t>2028</w:t>
            </w:r>
          </w:p>
        </w:tc>
      </w:tr>
      <w:tr w:rsidR="000C4977" w:rsidRPr="000C4977" w14:paraId="35755375"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hideMark/>
          </w:tcPr>
          <w:p w14:paraId="2F704824" w14:textId="77777777" w:rsidR="000C4977" w:rsidRPr="000C4977" w:rsidRDefault="000C4977" w:rsidP="00EB0C59">
            <w:pPr>
              <w:pStyle w:val="Tabletext0"/>
              <w:keepNext/>
              <w:rPr>
                <w:rFonts w:eastAsiaTheme="majorEastAsia"/>
              </w:rPr>
            </w:pPr>
            <w:r w:rsidRPr="000C4977">
              <w:rPr>
                <w:rFonts w:eastAsiaTheme="majorEastAsia"/>
              </w:rPr>
              <w:t>Incidence ovarian cancer</w:t>
            </w:r>
          </w:p>
        </w:tc>
        <w:tc>
          <w:tcPr>
            <w:tcW w:w="626" w:type="pct"/>
            <w:tcBorders>
              <w:top w:val="single" w:sz="4" w:space="0" w:color="auto"/>
              <w:left w:val="single" w:sz="4" w:space="0" w:color="auto"/>
              <w:bottom w:val="single" w:sz="4" w:space="0" w:color="auto"/>
              <w:right w:val="single" w:sz="4" w:space="0" w:color="auto"/>
            </w:tcBorders>
            <w:vAlign w:val="center"/>
            <w:hideMark/>
          </w:tcPr>
          <w:p w14:paraId="018C4F2B"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1,733</w:t>
            </w:r>
          </w:p>
        </w:tc>
        <w:tc>
          <w:tcPr>
            <w:tcW w:w="626" w:type="pct"/>
            <w:tcBorders>
              <w:top w:val="single" w:sz="4" w:space="0" w:color="auto"/>
              <w:left w:val="single" w:sz="4" w:space="0" w:color="auto"/>
              <w:bottom w:val="single" w:sz="4" w:space="0" w:color="auto"/>
              <w:right w:val="single" w:sz="4" w:space="0" w:color="auto"/>
            </w:tcBorders>
            <w:vAlign w:val="center"/>
            <w:hideMark/>
          </w:tcPr>
          <w:p w14:paraId="7EC5E009"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1,765</w:t>
            </w:r>
          </w:p>
        </w:tc>
        <w:tc>
          <w:tcPr>
            <w:tcW w:w="626" w:type="pct"/>
            <w:tcBorders>
              <w:top w:val="single" w:sz="4" w:space="0" w:color="auto"/>
              <w:left w:val="single" w:sz="4" w:space="0" w:color="auto"/>
              <w:bottom w:val="single" w:sz="4" w:space="0" w:color="auto"/>
              <w:right w:val="single" w:sz="4" w:space="0" w:color="auto"/>
            </w:tcBorders>
            <w:vAlign w:val="center"/>
            <w:hideMark/>
          </w:tcPr>
          <w:p w14:paraId="0830BB0D"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1,798</w:t>
            </w:r>
          </w:p>
        </w:tc>
        <w:tc>
          <w:tcPr>
            <w:tcW w:w="626" w:type="pct"/>
            <w:tcBorders>
              <w:top w:val="single" w:sz="4" w:space="0" w:color="auto"/>
              <w:left w:val="single" w:sz="4" w:space="0" w:color="auto"/>
              <w:bottom w:val="single" w:sz="4" w:space="0" w:color="auto"/>
              <w:right w:val="single" w:sz="4" w:space="0" w:color="auto"/>
            </w:tcBorders>
            <w:vAlign w:val="center"/>
            <w:hideMark/>
          </w:tcPr>
          <w:p w14:paraId="50849174"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1,831</w:t>
            </w:r>
          </w:p>
        </w:tc>
        <w:tc>
          <w:tcPr>
            <w:tcW w:w="626" w:type="pct"/>
            <w:tcBorders>
              <w:top w:val="single" w:sz="4" w:space="0" w:color="auto"/>
              <w:left w:val="single" w:sz="4" w:space="0" w:color="auto"/>
              <w:bottom w:val="single" w:sz="4" w:space="0" w:color="auto"/>
              <w:right w:val="single" w:sz="4" w:space="0" w:color="auto"/>
            </w:tcBorders>
            <w:vAlign w:val="center"/>
            <w:hideMark/>
          </w:tcPr>
          <w:p w14:paraId="08CCDDAB"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1,865</w:t>
            </w:r>
          </w:p>
        </w:tc>
        <w:tc>
          <w:tcPr>
            <w:tcW w:w="904" w:type="pct"/>
            <w:tcBorders>
              <w:top w:val="single" w:sz="4" w:space="0" w:color="auto"/>
              <w:left w:val="single" w:sz="4" w:space="0" w:color="auto"/>
              <w:bottom w:val="single" w:sz="4" w:space="0" w:color="auto"/>
              <w:right w:val="single" w:sz="4" w:space="0" w:color="auto"/>
            </w:tcBorders>
            <w:vAlign w:val="center"/>
            <w:hideMark/>
          </w:tcPr>
          <w:p w14:paraId="3660AA62"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1,900</w:t>
            </w:r>
          </w:p>
        </w:tc>
      </w:tr>
      <w:tr w:rsidR="000C4977" w:rsidRPr="000C4977" w14:paraId="7FC14601"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710F91E2" w14:textId="1609259C" w:rsidR="000C4977" w:rsidRPr="000C4977" w:rsidRDefault="000C4977" w:rsidP="00EB0C59">
            <w:pPr>
              <w:pStyle w:val="Tabletext0"/>
              <w:keepNext/>
              <w:rPr>
                <w:rFonts w:eastAsiaTheme="majorEastAsia"/>
              </w:rPr>
            </w:pPr>
            <w:r w:rsidRPr="000C4977">
              <w:rPr>
                <w:rFonts w:eastAsiaTheme="majorEastAsia"/>
                <w:szCs w:val="20"/>
              </w:rPr>
              <w:t xml:space="preserve">Proportion tested positive for </w:t>
            </w:r>
            <w:proofErr w:type="spellStart"/>
            <w:r w:rsidRPr="004329CF">
              <w:rPr>
                <w:rFonts w:eastAsiaTheme="majorEastAsia"/>
                <w:i/>
                <w:szCs w:val="20"/>
              </w:rPr>
              <w:t>BRCA</w:t>
            </w:r>
            <w:r w:rsidRPr="00082946">
              <w:rPr>
                <w:rFonts w:eastAsiaTheme="majorEastAsia"/>
                <w:iCs/>
                <w:szCs w:val="20"/>
              </w:rPr>
              <w:t>m</w:t>
            </w:r>
            <w:proofErr w:type="spellEnd"/>
            <w:r w:rsidRPr="000C4977">
              <w:rPr>
                <w:rFonts w:eastAsiaTheme="majorEastAsia"/>
                <w:szCs w:val="20"/>
              </w:rPr>
              <w:t xml:space="preserve"> </w:t>
            </w:r>
            <w:r w:rsidRPr="000C4977">
              <w:rPr>
                <w:rFonts w:eastAsiaTheme="majorEastAsia"/>
                <w:szCs w:val="20"/>
                <w:vertAlign w:val="superscript"/>
              </w:rPr>
              <w:t>a</w:t>
            </w:r>
          </w:p>
        </w:tc>
        <w:tc>
          <w:tcPr>
            <w:tcW w:w="626" w:type="pct"/>
            <w:tcBorders>
              <w:top w:val="single" w:sz="4" w:space="0" w:color="auto"/>
              <w:left w:val="single" w:sz="4" w:space="0" w:color="auto"/>
              <w:bottom w:val="single" w:sz="4" w:space="0" w:color="auto"/>
              <w:right w:val="single" w:sz="4" w:space="0" w:color="auto"/>
            </w:tcBorders>
            <w:vAlign w:val="center"/>
          </w:tcPr>
          <w:p w14:paraId="7D5C77E5"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283</w:t>
            </w:r>
          </w:p>
        </w:tc>
        <w:tc>
          <w:tcPr>
            <w:tcW w:w="626" w:type="pct"/>
            <w:tcBorders>
              <w:top w:val="single" w:sz="4" w:space="0" w:color="auto"/>
              <w:left w:val="single" w:sz="4" w:space="0" w:color="auto"/>
              <w:bottom w:val="single" w:sz="4" w:space="0" w:color="auto"/>
              <w:right w:val="single" w:sz="4" w:space="0" w:color="auto"/>
            </w:tcBorders>
            <w:vAlign w:val="center"/>
          </w:tcPr>
          <w:p w14:paraId="5F708280"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288</w:t>
            </w:r>
          </w:p>
        </w:tc>
        <w:tc>
          <w:tcPr>
            <w:tcW w:w="626" w:type="pct"/>
            <w:tcBorders>
              <w:top w:val="single" w:sz="4" w:space="0" w:color="auto"/>
              <w:left w:val="single" w:sz="4" w:space="0" w:color="auto"/>
              <w:bottom w:val="single" w:sz="4" w:space="0" w:color="auto"/>
              <w:right w:val="single" w:sz="4" w:space="0" w:color="auto"/>
            </w:tcBorders>
            <w:vAlign w:val="center"/>
          </w:tcPr>
          <w:p w14:paraId="7A4B6182"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293</w:t>
            </w:r>
          </w:p>
        </w:tc>
        <w:tc>
          <w:tcPr>
            <w:tcW w:w="626" w:type="pct"/>
            <w:tcBorders>
              <w:top w:val="single" w:sz="4" w:space="0" w:color="auto"/>
              <w:left w:val="single" w:sz="4" w:space="0" w:color="auto"/>
              <w:bottom w:val="single" w:sz="4" w:space="0" w:color="auto"/>
              <w:right w:val="single" w:sz="4" w:space="0" w:color="auto"/>
            </w:tcBorders>
            <w:vAlign w:val="center"/>
          </w:tcPr>
          <w:p w14:paraId="38E89F7B"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299</w:t>
            </w:r>
          </w:p>
        </w:tc>
        <w:tc>
          <w:tcPr>
            <w:tcW w:w="626" w:type="pct"/>
            <w:tcBorders>
              <w:top w:val="single" w:sz="4" w:space="0" w:color="auto"/>
              <w:left w:val="single" w:sz="4" w:space="0" w:color="auto"/>
              <w:bottom w:val="single" w:sz="4" w:space="0" w:color="auto"/>
              <w:right w:val="single" w:sz="4" w:space="0" w:color="auto"/>
            </w:tcBorders>
            <w:vAlign w:val="center"/>
          </w:tcPr>
          <w:p w14:paraId="4F3AF0D9"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304</w:t>
            </w:r>
          </w:p>
        </w:tc>
        <w:tc>
          <w:tcPr>
            <w:tcW w:w="904" w:type="pct"/>
            <w:tcBorders>
              <w:top w:val="single" w:sz="4" w:space="0" w:color="auto"/>
              <w:left w:val="single" w:sz="4" w:space="0" w:color="auto"/>
              <w:bottom w:val="single" w:sz="4" w:space="0" w:color="auto"/>
              <w:right w:val="single" w:sz="4" w:space="0" w:color="auto"/>
            </w:tcBorders>
            <w:vAlign w:val="center"/>
          </w:tcPr>
          <w:p w14:paraId="23369365"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szCs w:val="20"/>
              </w:rPr>
              <w:t>310</w:t>
            </w:r>
          </w:p>
        </w:tc>
      </w:tr>
      <w:tr w:rsidR="000C4977" w:rsidRPr="000C4977" w14:paraId="05F370C4"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hideMark/>
          </w:tcPr>
          <w:p w14:paraId="34A79D09" w14:textId="77F4A0B8" w:rsidR="000C4977" w:rsidRPr="000C4977" w:rsidRDefault="000C4977" w:rsidP="00EB0C59">
            <w:pPr>
              <w:pStyle w:val="Tabletext0"/>
              <w:keepNext/>
              <w:rPr>
                <w:rFonts w:eastAsiaTheme="majorEastAsia"/>
              </w:rPr>
            </w:pPr>
            <w:r w:rsidRPr="000C4977">
              <w:rPr>
                <w:rFonts w:eastAsiaTheme="majorEastAsia"/>
              </w:rPr>
              <w:t xml:space="preserve">Proportion tested positive for </w:t>
            </w:r>
            <w:proofErr w:type="spellStart"/>
            <w:r w:rsidRPr="000C4977">
              <w:rPr>
                <w:rFonts w:eastAsiaTheme="majorEastAsia"/>
              </w:rPr>
              <w:t>HRD+</w:t>
            </w:r>
            <w:r w:rsidRPr="004329CF">
              <w:rPr>
                <w:rFonts w:eastAsiaTheme="majorEastAsia"/>
                <w:i/>
              </w:rPr>
              <w:t>BRCA</w:t>
            </w:r>
            <w:r w:rsidRPr="00082946">
              <w:rPr>
                <w:rFonts w:eastAsiaTheme="majorEastAsia"/>
                <w:iCs/>
              </w:rPr>
              <w:t>wt</w:t>
            </w:r>
            <w:proofErr w:type="spellEnd"/>
          </w:p>
        </w:tc>
        <w:tc>
          <w:tcPr>
            <w:tcW w:w="626" w:type="pct"/>
            <w:tcBorders>
              <w:top w:val="single" w:sz="4" w:space="0" w:color="auto"/>
              <w:left w:val="single" w:sz="4" w:space="0" w:color="auto"/>
              <w:bottom w:val="single" w:sz="4" w:space="0" w:color="auto"/>
              <w:right w:val="single" w:sz="4" w:space="0" w:color="auto"/>
            </w:tcBorders>
            <w:vAlign w:val="center"/>
            <w:hideMark/>
          </w:tcPr>
          <w:p w14:paraId="1D4021BC"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283</w:t>
            </w:r>
          </w:p>
        </w:tc>
        <w:tc>
          <w:tcPr>
            <w:tcW w:w="626" w:type="pct"/>
            <w:tcBorders>
              <w:top w:val="single" w:sz="4" w:space="0" w:color="auto"/>
              <w:left w:val="single" w:sz="4" w:space="0" w:color="auto"/>
              <w:bottom w:val="single" w:sz="4" w:space="0" w:color="auto"/>
              <w:right w:val="single" w:sz="4" w:space="0" w:color="auto"/>
            </w:tcBorders>
            <w:vAlign w:val="center"/>
            <w:hideMark/>
          </w:tcPr>
          <w:p w14:paraId="405AFD5E"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288</w:t>
            </w:r>
          </w:p>
        </w:tc>
        <w:tc>
          <w:tcPr>
            <w:tcW w:w="626" w:type="pct"/>
            <w:tcBorders>
              <w:top w:val="single" w:sz="4" w:space="0" w:color="auto"/>
              <w:left w:val="single" w:sz="4" w:space="0" w:color="auto"/>
              <w:bottom w:val="single" w:sz="4" w:space="0" w:color="auto"/>
              <w:right w:val="single" w:sz="4" w:space="0" w:color="auto"/>
            </w:tcBorders>
            <w:vAlign w:val="center"/>
            <w:hideMark/>
          </w:tcPr>
          <w:p w14:paraId="7DB6D157"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293</w:t>
            </w:r>
          </w:p>
        </w:tc>
        <w:tc>
          <w:tcPr>
            <w:tcW w:w="626" w:type="pct"/>
            <w:tcBorders>
              <w:top w:val="single" w:sz="4" w:space="0" w:color="auto"/>
              <w:left w:val="single" w:sz="4" w:space="0" w:color="auto"/>
              <w:bottom w:val="single" w:sz="4" w:space="0" w:color="auto"/>
              <w:right w:val="single" w:sz="4" w:space="0" w:color="auto"/>
            </w:tcBorders>
            <w:vAlign w:val="center"/>
            <w:hideMark/>
          </w:tcPr>
          <w:p w14:paraId="698A00C5"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299</w:t>
            </w:r>
          </w:p>
        </w:tc>
        <w:tc>
          <w:tcPr>
            <w:tcW w:w="626" w:type="pct"/>
            <w:tcBorders>
              <w:top w:val="single" w:sz="4" w:space="0" w:color="auto"/>
              <w:left w:val="single" w:sz="4" w:space="0" w:color="auto"/>
              <w:bottom w:val="single" w:sz="4" w:space="0" w:color="auto"/>
              <w:right w:val="single" w:sz="4" w:space="0" w:color="auto"/>
            </w:tcBorders>
            <w:vAlign w:val="center"/>
            <w:hideMark/>
          </w:tcPr>
          <w:p w14:paraId="6E4C83AB"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304</w:t>
            </w:r>
          </w:p>
        </w:tc>
        <w:tc>
          <w:tcPr>
            <w:tcW w:w="904" w:type="pct"/>
            <w:tcBorders>
              <w:top w:val="single" w:sz="4" w:space="0" w:color="auto"/>
              <w:left w:val="single" w:sz="4" w:space="0" w:color="auto"/>
              <w:bottom w:val="single" w:sz="4" w:space="0" w:color="auto"/>
              <w:right w:val="single" w:sz="4" w:space="0" w:color="auto"/>
            </w:tcBorders>
            <w:vAlign w:val="center"/>
            <w:hideMark/>
          </w:tcPr>
          <w:p w14:paraId="08642BDD"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004702CE">
              <w:rPr>
                <w:rFonts w:eastAsiaTheme="majorEastAsia"/>
              </w:rPr>
              <w:t>310</w:t>
            </w:r>
          </w:p>
        </w:tc>
      </w:tr>
      <w:tr w:rsidR="002F29E2" w:rsidRPr="000C4977" w14:paraId="6414370F"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hideMark/>
          </w:tcPr>
          <w:p w14:paraId="6739BA82" w14:textId="77777777" w:rsidR="002F29E2" w:rsidRPr="000C4977" w:rsidRDefault="002F29E2" w:rsidP="002F29E2">
            <w:pPr>
              <w:pStyle w:val="Tabletext0"/>
              <w:keepNext/>
              <w:rPr>
                <w:rFonts w:eastAsiaTheme="majorEastAsia"/>
              </w:rPr>
            </w:pPr>
            <w:r w:rsidRPr="000C4977">
              <w:rPr>
                <w:rFonts w:eastAsiaTheme="majorEastAsia"/>
              </w:rPr>
              <w:t xml:space="preserve">Total patients treated with </w:t>
            </w:r>
            <w:proofErr w:type="spellStart"/>
            <w:r w:rsidRPr="000C4977">
              <w:rPr>
                <w:rFonts w:eastAsiaTheme="majorEastAsia"/>
              </w:rPr>
              <w:t>olaparib</w:t>
            </w:r>
            <w:proofErr w:type="spellEnd"/>
            <w:r w:rsidRPr="000C4977">
              <w:rPr>
                <w:rFonts w:eastAsiaTheme="majorEastAsia"/>
              </w:rPr>
              <w:t xml:space="preserve"> + bevacizumab</w:t>
            </w:r>
          </w:p>
        </w:tc>
        <w:tc>
          <w:tcPr>
            <w:tcW w:w="626" w:type="pct"/>
            <w:tcBorders>
              <w:top w:val="single" w:sz="4" w:space="0" w:color="auto"/>
              <w:left w:val="single" w:sz="4" w:space="0" w:color="auto"/>
              <w:bottom w:val="single" w:sz="4" w:space="0" w:color="auto"/>
              <w:right w:val="single" w:sz="4" w:space="0" w:color="auto"/>
            </w:tcBorders>
            <w:vAlign w:val="center"/>
            <w:hideMark/>
          </w:tcPr>
          <w:p w14:paraId="2CB50CFB" w14:textId="718C8535"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8BFC769" w14:textId="2C0B6B03"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051D2E6" w14:textId="40B33617"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4E148D88" w14:textId="3FB33F28"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05867B4B" w14:textId="179099B2"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c>
          <w:tcPr>
            <w:tcW w:w="904" w:type="pct"/>
            <w:tcBorders>
              <w:top w:val="single" w:sz="4" w:space="0" w:color="auto"/>
              <w:left w:val="single" w:sz="4" w:space="0" w:color="auto"/>
              <w:bottom w:val="single" w:sz="4" w:space="0" w:color="auto"/>
              <w:right w:val="single" w:sz="4" w:space="0" w:color="auto"/>
            </w:tcBorders>
            <w:vAlign w:val="center"/>
            <w:hideMark/>
          </w:tcPr>
          <w:p w14:paraId="13349A68" w14:textId="399E91EE" w:rsidR="002F29E2" w:rsidRPr="00731C96" w:rsidRDefault="00A8205F" w:rsidP="002F29E2">
            <w:pPr>
              <w:pStyle w:val="Tabletext0"/>
              <w:jc w:val="center"/>
              <w:cnfStyle w:val="000000000000" w:firstRow="0" w:lastRow="0" w:firstColumn="0" w:lastColumn="0" w:oddVBand="0" w:evenVBand="0" w:oddHBand="0" w:evenHBand="0" w:firstRowFirstColumn="0" w:firstRowLastColumn="0" w:lastRowFirstColumn="0" w:lastRowLastColumn="0"/>
              <w:rPr>
                <w:rFonts w:eastAsiaTheme="majorEastAsia"/>
                <w:color w:val="000000"/>
                <w:highlight w:val="yellow"/>
              </w:rPr>
            </w:pPr>
            <w:r w:rsidRPr="00A8205F">
              <w:rPr>
                <w:rFonts w:eastAsiaTheme="majorEastAsia"/>
                <w:color w:val="000000"/>
                <w:shd w:val="solid" w:color="000000" w:fill="000000"/>
                <w14:textFill>
                  <w14:solidFill>
                    <w14:srgbClr w14:val="000000">
                      <w14:alpha w14:val="100000"/>
                    </w14:srgbClr>
                  </w14:solidFill>
                </w14:textFill>
              </w:rPr>
              <w:t>|</w:t>
            </w:r>
            <w:r w:rsidR="00AB21C8">
              <w:rPr>
                <w:rFonts w:eastAsiaTheme="majorEastAsia"/>
              </w:rPr>
              <w:t xml:space="preserve"> </w:t>
            </w:r>
            <w:r w:rsidR="002F29E2" w:rsidRPr="00BB5D4F">
              <w:rPr>
                <w:rFonts w:eastAsiaTheme="majorEastAsia"/>
                <w:vertAlign w:val="superscript"/>
              </w:rPr>
              <w:t>1</w:t>
            </w:r>
          </w:p>
        </w:tc>
      </w:tr>
      <w:tr w:rsidR="000C4977" w:rsidRPr="000C4977" w14:paraId="3A4DA3D1" w14:textId="77777777" w:rsidTr="00A91280">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hideMark/>
          </w:tcPr>
          <w:p w14:paraId="76912BE3" w14:textId="77777777" w:rsidR="000C4977" w:rsidRPr="004702CE" w:rsidRDefault="000C4977" w:rsidP="00EB0C59">
            <w:pPr>
              <w:pStyle w:val="Tabletext0"/>
              <w:keepNext/>
              <w:rPr>
                <w:b/>
                <w:bCs/>
                <w:color w:val="000000" w:themeColor="text1"/>
                <w:szCs w:val="20"/>
                <w:lang w:eastAsia="zh-CN"/>
              </w:rPr>
            </w:pPr>
            <w:r w:rsidRPr="004702CE">
              <w:rPr>
                <w:b/>
                <w:bCs/>
                <w:color w:val="000000" w:themeColor="text1"/>
                <w:szCs w:val="20"/>
                <w:lang w:eastAsia="zh-CN"/>
              </w:rPr>
              <w:t xml:space="preserve">Estimated financial implications of HRD and </w:t>
            </w:r>
            <w:r w:rsidRPr="004702CE">
              <w:rPr>
                <w:b/>
                <w:bCs/>
                <w:i/>
                <w:color w:val="000000" w:themeColor="text1"/>
                <w:szCs w:val="20"/>
                <w:lang w:eastAsia="zh-CN"/>
              </w:rPr>
              <w:t>BRCA</w:t>
            </w:r>
            <w:r w:rsidRPr="004702CE">
              <w:rPr>
                <w:b/>
                <w:bCs/>
                <w:color w:val="000000" w:themeColor="text1"/>
                <w:szCs w:val="20"/>
                <w:lang w:eastAsia="zh-CN"/>
              </w:rPr>
              <w:t xml:space="preserve"> tests to the MBS</w:t>
            </w:r>
          </w:p>
        </w:tc>
      </w:tr>
      <w:tr w:rsidR="000C4977" w:rsidRPr="000C4977" w14:paraId="6702DE91"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hideMark/>
          </w:tcPr>
          <w:p w14:paraId="4F92689C" w14:textId="77777777" w:rsidR="000C4977" w:rsidRPr="000C4977" w:rsidRDefault="000C4977" w:rsidP="00EB0C59">
            <w:pPr>
              <w:pStyle w:val="Tabletext0"/>
              <w:keepNext/>
              <w:rPr>
                <w:rFonts w:eastAsiaTheme="majorEastAsia"/>
                <w:bCs/>
                <w:iCs/>
              </w:rPr>
            </w:pPr>
            <w:r w:rsidRPr="000C4977">
              <w:rPr>
                <w:rFonts w:eastAsiaTheme="majorEastAsia"/>
              </w:rPr>
              <w:t>Total test numbers</w:t>
            </w:r>
          </w:p>
        </w:tc>
        <w:tc>
          <w:tcPr>
            <w:tcW w:w="626" w:type="pct"/>
            <w:tcBorders>
              <w:top w:val="single" w:sz="4" w:space="0" w:color="auto"/>
              <w:left w:val="single" w:sz="4" w:space="0" w:color="auto"/>
              <w:bottom w:val="single" w:sz="4" w:space="0" w:color="auto"/>
              <w:right w:val="single" w:sz="4" w:space="0" w:color="auto"/>
            </w:tcBorders>
            <w:vAlign w:val="center"/>
            <w:hideMark/>
          </w:tcPr>
          <w:p w14:paraId="3EC400CA" w14:textId="1EE9B1EB"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1,131</w:t>
            </w:r>
            <w:r w:rsidR="00100C4C" w:rsidRPr="002F29E2">
              <w:rPr>
                <w:color w:val="000000" w:themeColor="text1"/>
                <w:szCs w:val="20"/>
                <w:lang w:eastAsia="zh-CN"/>
              </w:rPr>
              <w:t xml:space="preserve"> </w:t>
            </w:r>
          </w:p>
        </w:tc>
        <w:tc>
          <w:tcPr>
            <w:tcW w:w="626" w:type="pct"/>
            <w:tcBorders>
              <w:top w:val="single" w:sz="4" w:space="0" w:color="auto"/>
              <w:left w:val="single" w:sz="4" w:space="0" w:color="auto"/>
              <w:bottom w:val="single" w:sz="4" w:space="0" w:color="auto"/>
              <w:right w:val="single" w:sz="4" w:space="0" w:color="auto"/>
            </w:tcBorders>
            <w:vAlign w:val="center"/>
            <w:hideMark/>
          </w:tcPr>
          <w:p w14:paraId="005F103E" w14:textId="77777777"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1,152</w:t>
            </w:r>
          </w:p>
        </w:tc>
        <w:tc>
          <w:tcPr>
            <w:tcW w:w="626" w:type="pct"/>
            <w:tcBorders>
              <w:top w:val="single" w:sz="4" w:space="0" w:color="auto"/>
              <w:left w:val="single" w:sz="4" w:space="0" w:color="auto"/>
              <w:bottom w:val="single" w:sz="4" w:space="0" w:color="auto"/>
              <w:right w:val="single" w:sz="4" w:space="0" w:color="auto"/>
            </w:tcBorders>
            <w:vAlign w:val="center"/>
            <w:hideMark/>
          </w:tcPr>
          <w:p w14:paraId="59FEB93E" w14:textId="77777777"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1,174</w:t>
            </w:r>
          </w:p>
        </w:tc>
        <w:tc>
          <w:tcPr>
            <w:tcW w:w="626" w:type="pct"/>
            <w:tcBorders>
              <w:top w:val="single" w:sz="4" w:space="0" w:color="auto"/>
              <w:left w:val="single" w:sz="4" w:space="0" w:color="auto"/>
              <w:bottom w:val="single" w:sz="4" w:space="0" w:color="auto"/>
              <w:right w:val="single" w:sz="4" w:space="0" w:color="auto"/>
            </w:tcBorders>
            <w:vAlign w:val="center"/>
            <w:hideMark/>
          </w:tcPr>
          <w:p w14:paraId="1C156B80" w14:textId="77777777"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1,195</w:t>
            </w:r>
          </w:p>
        </w:tc>
        <w:tc>
          <w:tcPr>
            <w:tcW w:w="626" w:type="pct"/>
            <w:tcBorders>
              <w:top w:val="single" w:sz="4" w:space="0" w:color="auto"/>
              <w:left w:val="single" w:sz="4" w:space="0" w:color="auto"/>
              <w:bottom w:val="single" w:sz="4" w:space="0" w:color="auto"/>
              <w:right w:val="single" w:sz="4" w:space="0" w:color="auto"/>
            </w:tcBorders>
            <w:vAlign w:val="center"/>
            <w:hideMark/>
          </w:tcPr>
          <w:p w14:paraId="7CC9C58B" w14:textId="77777777"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1,218</w:t>
            </w:r>
          </w:p>
        </w:tc>
        <w:tc>
          <w:tcPr>
            <w:tcW w:w="904" w:type="pct"/>
            <w:tcBorders>
              <w:top w:val="single" w:sz="4" w:space="0" w:color="auto"/>
              <w:left w:val="single" w:sz="4" w:space="0" w:color="auto"/>
              <w:bottom w:val="single" w:sz="4" w:space="0" w:color="auto"/>
              <w:right w:val="single" w:sz="4" w:space="0" w:color="auto"/>
            </w:tcBorders>
            <w:vAlign w:val="center"/>
            <w:hideMark/>
          </w:tcPr>
          <w:p w14:paraId="63AC609A" w14:textId="77777777" w:rsidR="000C4977" w:rsidRPr="002F29E2"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2F29E2">
              <w:rPr>
                <w:color w:val="000000" w:themeColor="text1"/>
                <w:szCs w:val="20"/>
                <w:lang w:eastAsia="zh-CN"/>
              </w:rPr>
              <w:t>1,240</w:t>
            </w:r>
          </w:p>
        </w:tc>
      </w:tr>
      <w:tr w:rsidR="000C4977" w:rsidRPr="000C4977" w14:paraId="1005DD33"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74214CB8" w14:textId="7EC6A4E2" w:rsidR="000C4977" w:rsidRPr="000C4977" w:rsidRDefault="000C4977" w:rsidP="00EB0C59">
            <w:pPr>
              <w:pStyle w:val="Tabletext0"/>
              <w:keepNext/>
              <w:rPr>
                <w:rFonts w:eastAsiaTheme="majorEastAsia"/>
              </w:rPr>
            </w:pPr>
            <w:r w:rsidRPr="000C4977">
              <w:rPr>
                <w:rFonts w:eastAsiaTheme="majorEastAsia"/>
                <w:szCs w:val="20"/>
              </w:rPr>
              <w:t>Cost of testing HRD test to MBS</w:t>
            </w:r>
          </w:p>
        </w:tc>
        <w:tc>
          <w:tcPr>
            <w:tcW w:w="626" w:type="pct"/>
            <w:tcBorders>
              <w:top w:val="single" w:sz="4" w:space="0" w:color="auto"/>
              <w:left w:val="single" w:sz="4" w:space="0" w:color="auto"/>
              <w:bottom w:val="single" w:sz="4" w:space="0" w:color="auto"/>
              <w:right w:val="single" w:sz="4" w:space="0" w:color="auto"/>
            </w:tcBorders>
            <w:vAlign w:val="center"/>
          </w:tcPr>
          <w:p w14:paraId="3C892C33"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$2,728,664</w:t>
            </w:r>
          </w:p>
        </w:tc>
        <w:tc>
          <w:tcPr>
            <w:tcW w:w="626" w:type="pct"/>
            <w:tcBorders>
              <w:top w:val="single" w:sz="4" w:space="0" w:color="auto"/>
              <w:left w:val="single" w:sz="4" w:space="0" w:color="auto"/>
              <w:bottom w:val="single" w:sz="4" w:space="0" w:color="auto"/>
              <w:right w:val="single" w:sz="4" w:space="0" w:color="auto"/>
            </w:tcBorders>
            <w:vAlign w:val="center"/>
          </w:tcPr>
          <w:p w14:paraId="75717605"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$2,779,281</w:t>
            </w:r>
          </w:p>
        </w:tc>
        <w:tc>
          <w:tcPr>
            <w:tcW w:w="626" w:type="pct"/>
            <w:tcBorders>
              <w:top w:val="single" w:sz="4" w:space="0" w:color="auto"/>
              <w:left w:val="single" w:sz="4" w:space="0" w:color="auto"/>
              <w:bottom w:val="single" w:sz="4" w:space="0" w:color="auto"/>
              <w:right w:val="single" w:sz="4" w:space="0" w:color="auto"/>
            </w:tcBorders>
            <w:vAlign w:val="center"/>
          </w:tcPr>
          <w:p w14:paraId="1CC98153"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$2,830,836</w:t>
            </w:r>
          </w:p>
        </w:tc>
        <w:tc>
          <w:tcPr>
            <w:tcW w:w="626" w:type="pct"/>
            <w:tcBorders>
              <w:top w:val="single" w:sz="4" w:space="0" w:color="auto"/>
              <w:left w:val="single" w:sz="4" w:space="0" w:color="auto"/>
              <w:bottom w:val="single" w:sz="4" w:space="0" w:color="auto"/>
              <w:right w:val="single" w:sz="4" w:space="0" w:color="auto"/>
            </w:tcBorders>
            <w:vAlign w:val="center"/>
          </w:tcPr>
          <w:p w14:paraId="79730904"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$2,883,348</w:t>
            </w:r>
          </w:p>
        </w:tc>
        <w:tc>
          <w:tcPr>
            <w:tcW w:w="626" w:type="pct"/>
            <w:tcBorders>
              <w:top w:val="single" w:sz="4" w:space="0" w:color="auto"/>
              <w:left w:val="single" w:sz="4" w:space="0" w:color="auto"/>
              <w:bottom w:val="single" w:sz="4" w:space="0" w:color="auto"/>
              <w:right w:val="single" w:sz="4" w:space="0" w:color="auto"/>
            </w:tcBorders>
            <w:vAlign w:val="center"/>
          </w:tcPr>
          <w:p w14:paraId="4D2DE3AD"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$2,936,835</w:t>
            </w:r>
          </w:p>
        </w:tc>
        <w:tc>
          <w:tcPr>
            <w:tcW w:w="904" w:type="pct"/>
            <w:tcBorders>
              <w:top w:val="single" w:sz="4" w:space="0" w:color="auto"/>
              <w:left w:val="single" w:sz="4" w:space="0" w:color="auto"/>
              <w:bottom w:val="single" w:sz="4" w:space="0" w:color="auto"/>
              <w:right w:val="single" w:sz="4" w:space="0" w:color="auto"/>
            </w:tcBorders>
            <w:vAlign w:val="center"/>
          </w:tcPr>
          <w:p w14:paraId="74843C2F"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$2,991,313</w:t>
            </w:r>
          </w:p>
        </w:tc>
      </w:tr>
      <w:tr w:rsidR="000C4977" w:rsidRPr="000C4977" w14:paraId="7AD45406"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4C03A666" w14:textId="77777777" w:rsidR="000C4977" w:rsidRPr="000C4977" w:rsidRDefault="000C4977" w:rsidP="00EB0C59">
            <w:pPr>
              <w:pStyle w:val="Tabletext0"/>
              <w:keepNext/>
              <w:rPr>
                <w:rFonts w:eastAsiaTheme="majorEastAsia"/>
              </w:rPr>
            </w:pPr>
            <w:r w:rsidRPr="000C4977">
              <w:rPr>
                <w:rFonts w:eastAsiaTheme="majorEastAsia"/>
                <w:szCs w:val="20"/>
              </w:rPr>
              <w:t xml:space="preserve">Net cost of testing </w:t>
            </w:r>
            <w:r w:rsidRPr="004329CF">
              <w:rPr>
                <w:rFonts w:eastAsiaTheme="majorEastAsia"/>
                <w:i/>
                <w:iCs/>
                <w:szCs w:val="20"/>
              </w:rPr>
              <w:t>BRCA</w:t>
            </w:r>
            <w:r w:rsidRPr="000C4977">
              <w:rPr>
                <w:rFonts w:eastAsiaTheme="majorEastAsia"/>
                <w:szCs w:val="20"/>
              </w:rPr>
              <w:t xml:space="preserve"> test to MBS</w:t>
            </w:r>
          </w:p>
        </w:tc>
        <w:tc>
          <w:tcPr>
            <w:tcW w:w="626" w:type="pct"/>
            <w:tcBorders>
              <w:top w:val="single" w:sz="4" w:space="0" w:color="auto"/>
              <w:left w:val="single" w:sz="4" w:space="0" w:color="auto"/>
              <w:bottom w:val="single" w:sz="4" w:space="0" w:color="auto"/>
              <w:right w:val="single" w:sz="4" w:space="0" w:color="auto"/>
            </w:tcBorders>
            <w:vAlign w:val="center"/>
          </w:tcPr>
          <w:p w14:paraId="43136BB9"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-$1,258,052</w:t>
            </w:r>
          </w:p>
        </w:tc>
        <w:tc>
          <w:tcPr>
            <w:tcW w:w="626" w:type="pct"/>
            <w:tcBorders>
              <w:top w:val="single" w:sz="4" w:space="0" w:color="auto"/>
              <w:left w:val="single" w:sz="4" w:space="0" w:color="auto"/>
              <w:bottom w:val="single" w:sz="4" w:space="0" w:color="auto"/>
              <w:right w:val="single" w:sz="4" w:space="0" w:color="auto"/>
            </w:tcBorders>
            <w:vAlign w:val="center"/>
          </w:tcPr>
          <w:p w14:paraId="5B187BC9"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-$1,281,389</w:t>
            </w:r>
          </w:p>
        </w:tc>
        <w:tc>
          <w:tcPr>
            <w:tcW w:w="626" w:type="pct"/>
            <w:tcBorders>
              <w:top w:val="single" w:sz="4" w:space="0" w:color="auto"/>
              <w:left w:val="single" w:sz="4" w:space="0" w:color="auto"/>
              <w:bottom w:val="single" w:sz="4" w:space="0" w:color="auto"/>
              <w:right w:val="single" w:sz="4" w:space="0" w:color="auto"/>
            </w:tcBorders>
            <w:vAlign w:val="center"/>
          </w:tcPr>
          <w:p w14:paraId="5551B738"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-$1,305,159</w:t>
            </w:r>
          </w:p>
        </w:tc>
        <w:tc>
          <w:tcPr>
            <w:tcW w:w="626" w:type="pct"/>
            <w:tcBorders>
              <w:top w:val="single" w:sz="4" w:space="0" w:color="auto"/>
              <w:left w:val="single" w:sz="4" w:space="0" w:color="auto"/>
              <w:bottom w:val="single" w:sz="4" w:space="0" w:color="auto"/>
              <w:right w:val="single" w:sz="4" w:space="0" w:color="auto"/>
            </w:tcBorders>
            <w:vAlign w:val="center"/>
          </w:tcPr>
          <w:p w14:paraId="3AEEBA15"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-$1,329,369</w:t>
            </w:r>
          </w:p>
        </w:tc>
        <w:tc>
          <w:tcPr>
            <w:tcW w:w="626" w:type="pct"/>
            <w:tcBorders>
              <w:top w:val="single" w:sz="4" w:space="0" w:color="auto"/>
              <w:left w:val="single" w:sz="4" w:space="0" w:color="auto"/>
              <w:bottom w:val="single" w:sz="4" w:space="0" w:color="auto"/>
              <w:right w:val="single" w:sz="4" w:space="0" w:color="auto"/>
            </w:tcBorders>
            <w:vAlign w:val="center"/>
          </w:tcPr>
          <w:p w14:paraId="73659031"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-$1,354,029</w:t>
            </w:r>
          </w:p>
        </w:tc>
        <w:tc>
          <w:tcPr>
            <w:tcW w:w="904" w:type="pct"/>
            <w:tcBorders>
              <w:top w:val="single" w:sz="4" w:space="0" w:color="auto"/>
              <w:left w:val="single" w:sz="4" w:space="0" w:color="auto"/>
              <w:bottom w:val="single" w:sz="4" w:space="0" w:color="auto"/>
              <w:right w:val="single" w:sz="4" w:space="0" w:color="auto"/>
            </w:tcBorders>
            <w:vAlign w:val="center"/>
          </w:tcPr>
          <w:p w14:paraId="1A599C77"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szCs w:val="20"/>
                <w:lang w:eastAsia="zh-CN"/>
              </w:rPr>
              <w:t>-$1,379,146</w:t>
            </w:r>
          </w:p>
        </w:tc>
      </w:tr>
      <w:tr w:rsidR="000C4977" w:rsidRPr="000C4977" w14:paraId="3F94D9C0"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3EA85F5E" w14:textId="25B05DA0" w:rsidR="000C4977" w:rsidRPr="000C4977" w:rsidRDefault="000C4977" w:rsidP="00EB0C59">
            <w:pPr>
              <w:pStyle w:val="Tabletext0"/>
              <w:keepNext/>
              <w:rPr>
                <w:rFonts w:eastAsiaTheme="majorEastAsia"/>
              </w:rPr>
            </w:pPr>
            <w:r w:rsidRPr="000C4977">
              <w:rPr>
                <w:rFonts w:eastAsiaTheme="majorEastAsia"/>
                <w:szCs w:val="20"/>
              </w:rPr>
              <w:t>Net cost of tests to MBS</w:t>
            </w:r>
          </w:p>
        </w:tc>
        <w:tc>
          <w:tcPr>
            <w:tcW w:w="626" w:type="pct"/>
            <w:tcBorders>
              <w:top w:val="single" w:sz="4" w:space="0" w:color="auto"/>
              <w:left w:val="single" w:sz="4" w:space="0" w:color="auto"/>
              <w:bottom w:val="single" w:sz="4" w:space="0" w:color="auto"/>
              <w:right w:val="single" w:sz="4" w:space="0" w:color="auto"/>
            </w:tcBorders>
            <w:vAlign w:val="center"/>
          </w:tcPr>
          <w:p w14:paraId="5C5F7648"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$1,470,612</w:t>
            </w:r>
          </w:p>
        </w:tc>
        <w:tc>
          <w:tcPr>
            <w:tcW w:w="626" w:type="pct"/>
            <w:tcBorders>
              <w:top w:val="single" w:sz="4" w:space="0" w:color="auto"/>
              <w:left w:val="single" w:sz="4" w:space="0" w:color="auto"/>
              <w:bottom w:val="single" w:sz="4" w:space="0" w:color="auto"/>
              <w:right w:val="single" w:sz="4" w:space="0" w:color="auto"/>
            </w:tcBorders>
            <w:vAlign w:val="center"/>
          </w:tcPr>
          <w:p w14:paraId="55499FE4"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$1,497,892</w:t>
            </w:r>
          </w:p>
        </w:tc>
        <w:tc>
          <w:tcPr>
            <w:tcW w:w="626" w:type="pct"/>
            <w:tcBorders>
              <w:top w:val="single" w:sz="4" w:space="0" w:color="auto"/>
              <w:left w:val="single" w:sz="4" w:space="0" w:color="auto"/>
              <w:bottom w:val="single" w:sz="4" w:space="0" w:color="auto"/>
              <w:right w:val="single" w:sz="4" w:space="0" w:color="auto"/>
            </w:tcBorders>
            <w:vAlign w:val="center"/>
          </w:tcPr>
          <w:p w14:paraId="0487D1B6"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$1,525,678</w:t>
            </w:r>
          </w:p>
        </w:tc>
        <w:tc>
          <w:tcPr>
            <w:tcW w:w="626" w:type="pct"/>
            <w:tcBorders>
              <w:top w:val="single" w:sz="4" w:space="0" w:color="auto"/>
              <w:left w:val="single" w:sz="4" w:space="0" w:color="auto"/>
              <w:bottom w:val="single" w:sz="4" w:space="0" w:color="auto"/>
              <w:right w:val="single" w:sz="4" w:space="0" w:color="auto"/>
            </w:tcBorders>
            <w:vAlign w:val="center"/>
          </w:tcPr>
          <w:p w14:paraId="6984EB76"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$1,553,979</w:t>
            </w:r>
          </w:p>
        </w:tc>
        <w:tc>
          <w:tcPr>
            <w:tcW w:w="626" w:type="pct"/>
            <w:tcBorders>
              <w:top w:val="single" w:sz="4" w:space="0" w:color="auto"/>
              <w:left w:val="single" w:sz="4" w:space="0" w:color="auto"/>
              <w:bottom w:val="single" w:sz="4" w:space="0" w:color="auto"/>
              <w:right w:val="single" w:sz="4" w:space="0" w:color="auto"/>
            </w:tcBorders>
            <w:vAlign w:val="center"/>
          </w:tcPr>
          <w:p w14:paraId="2B49FE7C"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$1,582,805</w:t>
            </w:r>
          </w:p>
        </w:tc>
        <w:tc>
          <w:tcPr>
            <w:tcW w:w="904" w:type="pct"/>
            <w:tcBorders>
              <w:top w:val="single" w:sz="4" w:space="0" w:color="auto"/>
              <w:left w:val="single" w:sz="4" w:space="0" w:color="auto"/>
              <w:bottom w:val="single" w:sz="4" w:space="0" w:color="auto"/>
              <w:right w:val="single" w:sz="4" w:space="0" w:color="auto"/>
            </w:tcBorders>
            <w:vAlign w:val="center"/>
          </w:tcPr>
          <w:p w14:paraId="50B4B51C"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color w:val="000000" w:themeColor="text1"/>
                <w:szCs w:val="20"/>
                <w:lang w:eastAsia="zh-CN"/>
              </w:rPr>
            </w:pPr>
            <w:r w:rsidRPr="004702CE">
              <w:rPr>
                <w:rFonts w:cs="Arial"/>
                <w:color w:val="000000"/>
                <w:szCs w:val="20"/>
                <w:lang w:eastAsia="zh-CN"/>
              </w:rPr>
              <w:t>$1,612,166</w:t>
            </w:r>
          </w:p>
        </w:tc>
      </w:tr>
      <w:tr w:rsidR="000C4977" w:rsidRPr="000C4977" w14:paraId="4855D4F1"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tcPr>
          <w:p w14:paraId="4C7267C7" w14:textId="77777777" w:rsidR="000C4977" w:rsidRPr="000C4977" w:rsidRDefault="000C4977" w:rsidP="00EB0C59">
            <w:pPr>
              <w:pStyle w:val="Tabletext0"/>
              <w:keepNext/>
              <w:rPr>
                <w:rFonts w:eastAsiaTheme="majorEastAsia"/>
              </w:rPr>
            </w:pPr>
            <w:r w:rsidRPr="000C4977">
              <w:rPr>
                <w:rFonts w:eastAsiaTheme="majorEastAsia"/>
                <w:szCs w:val="20"/>
              </w:rPr>
              <w:t>Net bevacizumab administration cost</w:t>
            </w:r>
          </w:p>
        </w:tc>
        <w:tc>
          <w:tcPr>
            <w:tcW w:w="626" w:type="pct"/>
            <w:tcBorders>
              <w:top w:val="single" w:sz="4" w:space="0" w:color="auto"/>
              <w:left w:val="single" w:sz="4" w:space="0" w:color="auto"/>
              <w:bottom w:val="single" w:sz="4" w:space="0" w:color="auto"/>
              <w:right w:val="single" w:sz="4" w:space="0" w:color="auto"/>
            </w:tcBorders>
            <w:vAlign w:val="center"/>
          </w:tcPr>
          <w:p w14:paraId="5C040CA4"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$14,035</w:t>
            </w:r>
          </w:p>
        </w:tc>
        <w:tc>
          <w:tcPr>
            <w:tcW w:w="626" w:type="pct"/>
            <w:tcBorders>
              <w:top w:val="single" w:sz="4" w:space="0" w:color="auto"/>
              <w:left w:val="single" w:sz="4" w:space="0" w:color="auto"/>
              <w:bottom w:val="single" w:sz="4" w:space="0" w:color="auto"/>
              <w:right w:val="single" w:sz="4" w:space="0" w:color="auto"/>
            </w:tcBorders>
            <w:vAlign w:val="center"/>
          </w:tcPr>
          <w:p w14:paraId="2265D722"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$44,305</w:t>
            </w:r>
          </w:p>
        </w:tc>
        <w:tc>
          <w:tcPr>
            <w:tcW w:w="626" w:type="pct"/>
            <w:tcBorders>
              <w:top w:val="single" w:sz="4" w:space="0" w:color="auto"/>
              <w:left w:val="single" w:sz="4" w:space="0" w:color="auto"/>
              <w:bottom w:val="single" w:sz="4" w:space="0" w:color="auto"/>
              <w:right w:val="single" w:sz="4" w:space="0" w:color="auto"/>
            </w:tcBorders>
            <w:vAlign w:val="center"/>
          </w:tcPr>
          <w:p w14:paraId="37FAE7E1"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$45,127</w:t>
            </w:r>
          </w:p>
        </w:tc>
        <w:tc>
          <w:tcPr>
            <w:tcW w:w="626" w:type="pct"/>
            <w:tcBorders>
              <w:top w:val="single" w:sz="4" w:space="0" w:color="auto"/>
              <w:left w:val="single" w:sz="4" w:space="0" w:color="auto"/>
              <w:bottom w:val="single" w:sz="4" w:space="0" w:color="auto"/>
              <w:right w:val="single" w:sz="4" w:space="0" w:color="auto"/>
            </w:tcBorders>
            <w:vAlign w:val="center"/>
          </w:tcPr>
          <w:p w14:paraId="2F9E62E1"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$45,964</w:t>
            </w:r>
          </w:p>
        </w:tc>
        <w:tc>
          <w:tcPr>
            <w:tcW w:w="626" w:type="pct"/>
            <w:tcBorders>
              <w:top w:val="single" w:sz="4" w:space="0" w:color="auto"/>
              <w:left w:val="single" w:sz="4" w:space="0" w:color="auto"/>
              <w:bottom w:val="single" w:sz="4" w:space="0" w:color="auto"/>
              <w:right w:val="single" w:sz="4" w:space="0" w:color="auto"/>
            </w:tcBorders>
            <w:vAlign w:val="center"/>
          </w:tcPr>
          <w:p w14:paraId="6A4417CB"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$46,817</w:t>
            </w:r>
          </w:p>
        </w:tc>
        <w:tc>
          <w:tcPr>
            <w:tcW w:w="904" w:type="pct"/>
            <w:tcBorders>
              <w:top w:val="single" w:sz="4" w:space="0" w:color="auto"/>
              <w:left w:val="single" w:sz="4" w:space="0" w:color="auto"/>
              <w:bottom w:val="single" w:sz="4" w:space="0" w:color="auto"/>
              <w:right w:val="single" w:sz="4" w:space="0" w:color="auto"/>
            </w:tcBorders>
            <w:vAlign w:val="center"/>
          </w:tcPr>
          <w:p w14:paraId="5151C094"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$47,686</w:t>
            </w:r>
          </w:p>
        </w:tc>
      </w:tr>
      <w:tr w:rsidR="000C4977" w:rsidRPr="000C4977" w14:paraId="66E2DCEB"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1FD6FFF6" w14:textId="2A365934" w:rsidR="000C4977" w:rsidRPr="000C4977" w:rsidRDefault="000C4977" w:rsidP="00EB0C59">
            <w:pPr>
              <w:pStyle w:val="Tabletext0"/>
              <w:keepNext/>
              <w:rPr>
                <w:rFonts w:eastAsiaTheme="majorEastAsia"/>
              </w:rPr>
            </w:pPr>
            <w:r w:rsidRPr="000C4977">
              <w:rPr>
                <w:rFonts w:eastAsiaTheme="majorEastAsia"/>
                <w:szCs w:val="20"/>
              </w:rPr>
              <w:t xml:space="preserve">Cost of replacing </w:t>
            </w:r>
            <w:r w:rsidRPr="004329CF">
              <w:rPr>
                <w:rFonts w:eastAsiaTheme="majorEastAsia"/>
                <w:i/>
                <w:iCs/>
                <w:szCs w:val="20"/>
              </w:rPr>
              <w:t>BRCA</w:t>
            </w:r>
            <w:r w:rsidRPr="000C4977">
              <w:rPr>
                <w:rFonts w:eastAsiaTheme="majorEastAsia"/>
                <w:szCs w:val="20"/>
              </w:rPr>
              <w:t xml:space="preserve"> test in </w:t>
            </w:r>
            <w:proofErr w:type="spellStart"/>
            <w:r w:rsidRPr="004329CF">
              <w:rPr>
                <w:rFonts w:eastAsiaTheme="majorEastAsia"/>
                <w:i/>
                <w:iCs/>
                <w:szCs w:val="20"/>
              </w:rPr>
              <w:t>BRCA</w:t>
            </w:r>
            <w:r w:rsidRPr="00082946">
              <w:rPr>
                <w:rFonts w:eastAsiaTheme="majorEastAsia"/>
                <w:szCs w:val="20"/>
              </w:rPr>
              <w:t>m</w:t>
            </w:r>
            <w:proofErr w:type="spellEnd"/>
            <w:r w:rsidRPr="000C4977">
              <w:rPr>
                <w:rFonts w:eastAsiaTheme="majorEastAsia"/>
                <w:szCs w:val="20"/>
              </w:rPr>
              <w:t xml:space="preserve"> patients </w:t>
            </w:r>
            <w:r w:rsidRPr="000C4977">
              <w:rPr>
                <w:rFonts w:eastAsiaTheme="majorEastAsia"/>
                <w:szCs w:val="20"/>
                <w:vertAlign w:val="superscript"/>
              </w:rPr>
              <w:t>b</w:t>
            </w:r>
          </w:p>
        </w:tc>
        <w:tc>
          <w:tcPr>
            <w:tcW w:w="626" w:type="pct"/>
            <w:tcBorders>
              <w:top w:val="single" w:sz="4" w:space="0" w:color="auto"/>
              <w:left w:val="single" w:sz="4" w:space="0" w:color="auto"/>
              <w:bottom w:val="single" w:sz="4" w:space="0" w:color="auto"/>
              <w:right w:val="single" w:sz="4" w:space="0" w:color="auto"/>
            </w:tcBorders>
            <w:vAlign w:val="center"/>
          </w:tcPr>
          <w:p w14:paraId="1626551D"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$424,125</w:t>
            </w:r>
          </w:p>
        </w:tc>
        <w:tc>
          <w:tcPr>
            <w:tcW w:w="626" w:type="pct"/>
            <w:tcBorders>
              <w:top w:val="single" w:sz="4" w:space="0" w:color="auto"/>
              <w:left w:val="single" w:sz="4" w:space="0" w:color="auto"/>
              <w:bottom w:val="single" w:sz="4" w:space="0" w:color="auto"/>
              <w:right w:val="single" w:sz="4" w:space="0" w:color="auto"/>
            </w:tcBorders>
            <w:vAlign w:val="center"/>
          </w:tcPr>
          <w:p w14:paraId="579BFDB8"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$432,000</w:t>
            </w:r>
          </w:p>
        </w:tc>
        <w:tc>
          <w:tcPr>
            <w:tcW w:w="626" w:type="pct"/>
            <w:tcBorders>
              <w:top w:val="single" w:sz="4" w:space="0" w:color="auto"/>
              <w:left w:val="single" w:sz="4" w:space="0" w:color="auto"/>
              <w:bottom w:val="single" w:sz="4" w:space="0" w:color="auto"/>
              <w:right w:val="single" w:sz="4" w:space="0" w:color="auto"/>
            </w:tcBorders>
            <w:vAlign w:val="center"/>
          </w:tcPr>
          <w:p w14:paraId="166160ED"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$440,250</w:t>
            </w:r>
          </w:p>
        </w:tc>
        <w:tc>
          <w:tcPr>
            <w:tcW w:w="626" w:type="pct"/>
            <w:tcBorders>
              <w:top w:val="single" w:sz="4" w:space="0" w:color="auto"/>
              <w:left w:val="single" w:sz="4" w:space="0" w:color="auto"/>
              <w:bottom w:val="single" w:sz="4" w:space="0" w:color="auto"/>
              <w:right w:val="single" w:sz="4" w:space="0" w:color="auto"/>
            </w:tcBorders>
            <w:vAlign w:val="center"/>
          </w:tcPr>
          <w:p w14:paraId="30D018D9"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$448,125</w:t>
            </w:r>
          </w:p>
        </w:tc>
        <w:tc>
          <w:tcPr>
            <w:tcW w:w="626" w:type="pct"/>
            <w:tcBorders>
              <w:top w:val="single" w:sz="4" w:space="0" w:color="auto"/>
              <w:left w:val="single" w:sz="4" w:space="0" w:color="auto"/>
              <w:bottom w:val="single" w:sz="4" w:space="0" w:color="auto"/>
              <w:right w:val="single" w:sz="4" w:space="0" w:color="auto"/>
            </w:tcBorders>
            <w:vAlign w:val="center"/>
          </w:tcPr>
          <w:p w14:paraId="3A5611E0"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$456,750</w:t>
            </w:r>
          </w:p>
        </w:tc>
        <w:tc>
          <w:tcPr>
            <w:tcW w:w="904" w:type="pct"/>
            <w:tcBorders>
              <w:top w:val="single" w:sz="4" w:space="0" w:color="auto"/>
              <w:left w:val="single" w:sz="4" w:space="0" w:color="auto"/>
              <w:bottom w:val="single" w:sz="4" w:space="0" w:color="auto"/>
              <w:right w:val="single" w:sz="4" w:space="0" w:color="auto"/>
            </w:tcBorders>
            <w:vAlign w:val="center"/>
          </w:tcPr>
          <w:p w14:paraId="12F89E70" w14:textId="77777777" w:rsidR="000C4977" w:rsidRPr="004702CE" w:rsidRDefault="000C4977" w:rsidP="000C4977">
            <w:pPr>
              <w:pStyle w:val="Tabletext0"/>
              <w:jc w:val="center"/>
              <w:cnfStyle w:val="000000000000" w:firstRow="0" w:lastRow="0" w:firstColumn="0" w:lastColumn="0" w:oddVBand="0" w:evenVBand="0" w:oddHBand="0" w:evenHBand="0" w:firstRowFirstColumn="0" w:firstRowLastColumn="0" w:lastRowFirstColumn="0" w:lastRowLastColumn="0"/>
              <w:rPr>
                <w:rFonts w:cs="Arial"/>
                <w:color w:val="000000"/>
                <w:szCs w:val="20"/>
                <w:lang w:eastAsia="zh-CN"/>
              </w:rPr>
            </w:pPr>
            <w:r w:rsidRPr="004702CE">
              <w:rPr>
                <w:rFonts w:cs="Arial"/>
                <w:color w:val="000000"/>
                <w:szCs w:val="20"/>
                <w:lang w:eastAsia="zh-CN"/>
              </w:rPr>
              <w:t>$465,000</w:t>
            </w:r>
          </w:p>
        </w:tc>
      </w:tr>
      <w:tr w:rsidR="000C4977" w:rsidRPr="000C4977" w14:paraId="07062D82" w14:textId="77777777" w:rsidTr="00A91280">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hideMark/>
          </w:tcPr>
          <w:p w14:paraId="2841FFFC" w14:textId="77777777" w:rsidR="000C4977" w:rsidRPr="00740924" w:rsidRDefault="000C4977" w:rsidP="00EB0C59">
            <w:pPr>
              <w:pStyle w:val="Tabletext0"/>
              <w:keepNext/>
              <w:rPr>
                <w:b/>
                <w:bCs/>
                <w:color w:val="000000" w:themeColor="text1"/>
                <w:szCs w:val="20"/>
                <w:highlight w:val="lightGray"/>
                <w:lang w:eastAsia="zh-CN"/>
              </w:rPr>
            </w:pPr>
            <w:r w:rsidRPr="004702CE">
              <w:rPr>
                <w:b/>
                <w:bCs/>
                <w:color w:val="000000" w:themeColor="text1"/>
                <w:szCs w:val="20"/>
                <w:lang w:eastAsia="zh-CN"/>
              </w:rPr>
              <w:t>Net financial implications</w:t>
            </w:r>
          </w:p>
        </w:tc>
      </w:tr>
      <w:tr w:rsidR="002F29E2" w:rsidRPr="000C4977" w14:paraId="034595A3"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130C883B" w14:textId="77777777" w:rsidR="002F29E2" w:rsidRPr="000C4977" w:rsidRDefault="002F29E2" w:rsidP="002F29E2">
            <w:pPr>
              <w:pStyle w:val="Tabletext0"/>
              <w:keepNext/>
              <w:rPr>
                <w:rFonts w:eastAsiaTheme="majorEastAsia"/>
                <w:bCs/>
              </w:rPr>
            </w:pPr>
            <w:r w:rsidRPr="000C4977">
              <w:rPr>
                <w:rFonts w:eastAsiaTheme="majorEastAsia"/>
                <w:szCs w:val="20"/>
              </w:rPr>
              <w:t>Net cost to PBS</w:t>
            </w:r>
          </w:p>
        </w:tc>
        <w:tc>
          <w:tcPr>
            <w:tcW w:w="626" w:type="pct"/>
            <w:tcBorders>
              <w:top w:val="single" w:sz="4" w:space="0" w:color="auto"/>
              <w:left w:val="single" w:sz="4" w:space="0" w:color="auto"/>
              <w:bottom w:val="single" w:sz="4" w:space="0" w:color="auto"/>
              <w:right w:val="single" w:sz="4" w:space="0" w:color="auto"/>
            </w:tcBorders>
            <w:vAlign w:val="center"/>
          </w:tcPr>
          <w:p w14:paraId="62D2F528" w14:textId="7AAB1F7B"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5213E270" w14:textId="2DC03E6E"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5FE2B389" w14:textId="684B1A1F"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170E683D" w14:textId="447FF93E"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1EC19AFE" w14:textId="635020D3"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904" w:type="pct"/>
            <w:tcBorders>
              <w:top w:val="single" w:sz="4" w:space="0" w:color="auto"/>
              <w:left w:val="single" w:sz="4" w:space="0" w:color="auto"/>
              <w:bottom w:val="single" w:sz="4" w:space="0" w:color="auto"/>
              <w:right w:val="single" w:sz="4" w:space="0" w:color="auto"/>
            </w:tcBorders>
            <w:vAlign w:val="center"/>
          </w:tcPr>
          <w:p w14:paraId="0463C9E9" w14:textId="099F638D"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r>
      <w:tr w:rsidR="000C4977" w:rsidRPr="000C4977" w14:paraId="66902BA9"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1F8A4537" w14:textId="77777777" w:rsidR="000C4977" w:rsidRPr="000C4977" w:rsidRDefault="000C4977" w:rsidP="00EB0C59">
            <w:pPr>
              <w:pStyle w:val="Tabletext0"/>
              <w:keepNext/>
              <w:rPr>
                <w:rFonts w:eastAsiaTheme="majorEastAsia"/>
                <w:bCs/>
              </w:rPr>
            </w:pPr>
            <w:r w:rsidRPr="000C4977">
              <w:rPr>
                <w:rFonts w:eastAsiaTheme="majorEastAsia"/>
                <w:szCs w:val="20"/>
              </w:rPr>
              <w:t>Net cost to MBS</w:t>
            </w:r>
          </w:p>
        </w:tc>
        <w:tc>
          <w:tcPr>
            <w:tcW w:w="626" w:type="pct"/>
            <w:tcBorders>
              <w:top w:val="single" w:sz="4" w:space="0" w:color="auto"/>
              <w:left w:val="single" w:sz="4" w:space="0" w:color="auto"/>
              <w:bottom w:val="single" w:sz="4" w:space="0" w:color="auto"/>
              <w:right w:val="single" w:sz="4" w:space="0" w:color="auto"/>
            </w:tcBorders>
            <w:vAlign w:val="center"/>
          </w:tcPr>
          <w:p w14:paraId="168E0EE6" w14:textId="24171846"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1,484,647</w:t>
            </w:r>
          </w:p>
        </w:tc>
        <w:tc>
          <w:tcPr>
            <w:tcW w:w="626" w:type="pct"/>
            <w:tcBorders>
              <w:top w:val="single" w:sz="4" w:space="0" w:color="auto"/>
              <w:left w:val="single" w:sz="4" w:space="0" w:color="auto"/>
              <w:bottom w:val="single" w:sz="4" w:space="0" w:color="auto"/>
              <w:right w:val="single" w:sz="4" w:space="0" w:color="auto"/>
            </w:tcBorders>
            <w:vAlign w:val="center"/>
          </w:tcPr>
          <w:p w14:paraId="62DE55B5" w14:textId="2F03190A"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1,542,197</w:t>
            </w:r>
          </w:p>
        </w:tc>
        <w:tc>
          <w:tcPr>
            <w:tcW w:w="626" w:type="pct"/>
            <w:tcBorders>
              <w:top w:val="single" w:sz="4" w:space="0" w:color="auto"/>
              <w:left w:val="single" w:sz="4" w:space="0" w:color="auto"/>
              <w:bottom w:val="single" w:sz="4" w:space="0" w:color="auto"/>
              <w:right w:val="single" w:sz="4" w:space="0" w:color="auto"/>
            </w:tcBorders>
            <w:vAlign w:val="center"/>
          </w:tcPr>
          <w:p w14:paraId="068AFDE3" w14:textId="69E4EFD6"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1,570,805</w:t>
            </w:r>
          </w:p>
        </w:tc>
        <w:tc>
          <w:tcPr>
            <w:tcW w:w="626" w:type="pct"/>
            <w:tcBorders>
              <w:top w:val="single" w:sz="4" w:space="0" w:color="auto"/>
              <w:left w:val="single" w:sz="4" w:space="0" w:color="auto"/>
              <w:bottom w:val="single" w:sz="4" w:space="0" w:color="auto"/>
              <w:right w:val="single" w:sz="4" w:space="0" w:color="auto"/>
            </w:tcBorders>
            <w:vAlign w:val="center"/>
          </w:tcPr>
          <w:p w14:paraId="1D3AADFB" w14:textId="205DE23C"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1,599,944</w:t>
            </w:r>
          </w:p>
        </w:tc>
        <w:tc>
          <w:tcPr>
            <w:tcW w:w="626" w:type="pct"/>
            <w:tcBorders>
              <w:top w:val="single" w:sz="4" w:space="0" w:color="auto"/>
              <w:left w:val="single" w:sz="4" w:space="0" w:color="auto"/>
              <w:bottom w:val="single" w:sz="4" w:space="0" w:color="auto"/>
              <w:right w:val="single" w:sz="4" w:space="0" w:color="auto"/>
            </w:tcBorders>
            <w:vAlign w:val="center"/>
          </w:tcPr>
          <w:p w14:paraId="6F3138B8" w14:textId="02088B85"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1,629,623</w:t>
            </w:r>
          </w:p>
        </w:tc>
        <w:tc>
          <w:tcPr>
            <w:tcW w:w="904" w:type="pct"/>
            <w:tcBorders>
              <w:top w:val="single" w:sz="4" w:space="0" w:color="auto"/>
              <w:left w:val="single" w:sz="4" w:space="0" w:color="auto"/>
              <w:bottom w:val="single" w:sz="4" w:space="0" w:color="auto"/>
              <w:right w:val="single" w:sz="4" w:space="0" w:color="auto"/>
            </w:tcBorders>
            <w:vAlign w:val="center"/>
          </w:tcPr>
          <w:p w14:paraId="4E59D012" w14:textId="69542806"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1,659,852</w:t>
            </w:r>
          </w:p>
        </w:tc>
      </w:tr>
      <w:tr w:rsidR="000C4977" w:rsidRPr="000C4977" w14:paraId="0A54E099"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43E7EC87" w14:textId="4CB96250" w:rsidR="000C4977" w:rsidRPr="000C4977" w:rsidRDefault="000C4977" w:rsidP="00EB0C59">
            <w:pPr>
              <w:pStyle w:val="Tabletext0"/>
              <w:keepNext/>
              <w:rPr>
                <w:rFonts w:eastAsiaTheme="majorEastAsia"/>
                <w:szCs w:val="20"/>
              </w:rPr>
            </w:pPr>
            <w:r w:rsidRPr="000C4977">
              <w:rPr>
                <w:rFonts w:eastAsiaTheme="majorEastAsia"/>
                <w:szCs w:val="20"/>
              </w:rPr>
              <w:t xml:space="preserve">Total </w:t>
            </w:r>
            <w:r w:rsidR="00082946">
              <w:rPr>
                <w:rFonts w:eastAsiaTheme="majorEastAsia"/>
                <w:szCs w:val="20"/>
              </w:rPr>
              <w:t xml:space="preserve">net </w:t>
            </w:r>
            <w:r w:rsidRPr="000C4977">
              <w:rPr>
                <w:rFonts w:eastAsiaTheme="majorEastAsia"/>
                <w:szCs w:val="20"/>
              </w:rPr>
              <w:t>MBS costs</w:t>
            </w:r>
          </w:p>
          <w:p w14:paraId="3369D3BB" w14:textId="77777777" w:rsidR="000C4977" w:rsidRPr="000C4977" w:rsidRDefault="000C4977" w:rsidP="00EB0C59">
            <w:pPr>
              <w:pStyle w:val="Tabletext0"/>
              <w:keepNext/>
              <w:rPr>
                <w:rFonts w:eastAsiaTheme="majorEastAsia"/>
                <w:bCs/>
              </w:rPr>
            </w:pPr>
            <w:r w:rsidRPr="000C4977">
              <w:rPr>
                <w:rFonts w:eastAsiaTheme="majorEastAsia"/>
                <w:szCs w:val="20"/>
              </w:rPr>
              <w:t xml:space="preserve">($1,000 </w:t>
            </w:r>
            <w:r w:rsidRPr="00082946">
              <w:rPr>
                <w:rFonts w:eastAsiaTheme="majorEastAsia"/>
                <w:i/>
                <w:iCs/>
                <w:szCs w:val="20"/>
              </w:rPr>
              <w:t>BRCA</w:t>
            </w:r>
            <w:r w:rsidRPr="000C4977">
              <w:rPr>
                <w:rFonts w:eastAsiaTheme="majorEastAsia"/>
                <w:szCs w:val="20"/>
              </w:rPr>
              <w:t xml:space="preserve"> test)</w:t>
            </w:r>
          </w:p>
        </w:tc>
        <w:tc>
          <w:tcPr>
            <w:tcW w:w="626" w:type="pct"/>
            <w:tcBorders>
              <w:top w:val="single" w:sz="4" w:space="0" w:color="auto"/>
              <w:left w:val="single" w:sz="4" w:space="0" w:color="auto"/>
              <w:bottom w:val="single" w:sz="4" w:space="0" w:color="auto"/>
              <w:right w:val="single" w:sz="4" w:space="0" w:color="auto"/>
            </w:tcBorders>
            <w:vAlign w:val="center"/>
          </w:tcPr>
          <w:p w14:paraId="7DEC7ADB" w14:textId="286F3F3D"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1,710,895</w:t>
            </w:r>
          </w:p>
        </w:tc>
        <w:tc>
          <w:tcPr>
            <w:tcW w:w="626" w:type="pct"/>
            <w:tcBorders>
              <w:top w:val="single" w:sz="4" w:space="0" w:color="auto"/>
              <w:left w:val="single" w:sz="4" w:space="0" w:color="auto"/>
              <w:bottom w:val="single" w:sz="4" w:space="0" w:color="auto"/>
              <w:right w:val="single" w:sz="4" w:space="0" w:color="auto"/>
            </w:tcBorders>
            <w:vAlign w:val="center"/>
          </w:tcPr>
          <w:p w14:paraId="74322029" w14:textId="12E524DD"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1,772,642</w:t>
            </w:r>
          </w:p>
        </w:tc>
        <w:tc>
          <w:tcPr>
            <w:tcW w:w="626" w:type="pct"/>
            <w:tcBorders>
              <w:top w:val="single" w:sz="4" w:space="0" w:color="auto"/>
              <w:left w:val="single" w:sz="4" w:space="0" w:color="auto"/>
              <w:bottom w:val="single" w:sz="4" w:space="0" w:color="auto"/>
              <w:right w:val="single" w:sz="4" w:space="0" w:color="auto"/>
            </w:tcBorders>
            <w:vAlign w:val="center"/>
          </w:tcPr>
          <w:p w14:paraId="4208C7CB" w14:textId="254F5BA5"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1,805,525</w:t>
            </w:r>
          </w:p>
        </w:tc>
        <w:tc>
          <w:tcPr>
            <w:tcW w:w="626" w:type="pct"/>
            <w:tcBorders>
              <w:top w:val="single" w:sz="4" w:space="0" w:color="auto"/>
              <w:left w:val="single" w:sz="4" w:space="0" w:color="auto"/>
              <w:bottom w:val="single" w:sz="4" w:space="0" w:color="auto"/>
              <w:right w:val="single" w:sz="4" w:space="0" w:color="auto"/>
            </w:tcBorders>
            <w:vAlign w:val="center"/>
          </w:tcPr>
          <w:p w14:paraId="65E59D2C" w14:textId="4CF0A014"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1,839,017</w:t>
            </w:r>
          </w:p>
        </w:tc>
        <w:tc>
          <w:tcPr>
            <w:tcW w:w="626" w:type="pct"/>
            <w:tcBorders>
              <w:top w:val="single" w:sz="4" w:space="0" w:color="auto"/>
              <w:left w:val="single" w:sz="4" w:space="0" w:color="auto"/>
              <w:bottom w:val="single" w:sz="4" w:space="0" w:color="auto"/>
              <w:right w:val="single" w:sz="4" w:space="0" w:color="auto"/>
            </w:tcBorders>
            <w:vAlign w:val="center"/>
          </w:tcPr>
          <w:p w14:paraId="34CB8670" w14:textId="36E2EBD4"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1,873,131</w:t>
            </w:r>
          </w:p>
        </w:tc>
        <w:tc>
          <w:tcPr>
            <w:tcW w:w="904" w:type="pct"/>
            <w:tcBorders>
              <w:top w:val="single" w:sz="4" w:space="0" w:color="auto"/>
              <w:left w:val="single" w:sz="4" w:space="0" w:color="auto"/>
              <w:bottom w:val="single" w:sz="4" w:space="0" w:color="auto"/>
              <w:right w:val="single" w:sz="4" w:space="0" w:color="auto"/>
            </w:tcBorders>
            <w:vAlign w:val="center"/>
          </w:tcPr>
          <w:p w14:paraId="7EF14E46" w14:textId="0EBFC963" w:rsidR="000C4977" w:rsidRPr="004702CE" w:rsidRDefault="00F35774" w:rsidP="000C4977">
            <w:pPr>
              <w:pStyle w:val="Tabletext0"/>
              <w:jc w:val="center"/>
              <w:cnfStyle w:val="000000000000" w:firstRow="0" w:lastRow="0" w:firstColumn="0" w:lastColumn="0" w:oddVBand="0" w:evenVBand="0" w:oddHBand="0" w:evenHBand="0" w:firstRowFirstColumn="0" w:firstRowLastColumn="0" w:lastRowFirstColumn="0" w:lastRowLastColumn="0"/>
              <w:rPr>
                <w:bCs/>
                <w:szCs w:val="20"/>
                <w:lang w:eastAsia="zh-CN"/>
              </w:rPr>
            </w:pPr>
            <w:r w:rsidRPr="004702CE">
              <w:rPr>
                <w:rFonts w:cs="Arial"/>
                <w:color w:val="000000"/>
                <w:szCs w:val="20"/>
                <w:lang w:eastAsia="zh-CN"/>
              </w:rPr>
              <w:t>$</w:t>
            </w:r>
            <w:r w:rsidR="000C4977" w:rsidRPr="004702CE">
              <w:rPr>
                <w:rFonts w:cs="Arial"/>
                <w:color w:val="000000"/>
                <w:szCs w:val="20"/>
                <w:lang w:eastAsia="zh-CN"/>
              </w:rPr>
              <w:t>1,907,878</w:t>
            </w:r>
          </w:p>
        </w:tc>
      </w:tr>
      <w:tr w:rsidR="002F29E2" w:rsidRPr="000C4977" w14:paraId="38DA5E25"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75390926" w14:textId="77777777" w:rsidR="002F29E2" w:rsidRPr="000C4977" w:rsidRDefault="002F29E2" w:rsidP="002F29E2">
            <w:pPr>
              <w:pStyle w:val="Tabletext0"/>
              <w:keepNext/>
              <w:rPr>
                <w:rFonts w:eastAsiaTheme="majorEastAsia"/>
                <w:bCs/>
              </w:rPr>
            </w:pPr>
            <w:r w:rsidRPr="000C4977">
              <w:rPr>
                <w:rFonts w:eastAsiaTheme="majorEastAsia"/>
                <w:bCs/>
                <w:szCs w:val="20"/>
              </w:rPr>
              <w:t>Net cost health budget</w:t>
            </w:r>
          </w:p>
        </w:tc>
        <w:tc>
          <w:tcPr>
            <w:tcW w:w="626" w:type="pct"/>
            <w:tcBorders>
              <w:top w:val="single" w:sz="4" w:space="0" w:color="auto"/>
              <w:left w:val="single" w:sz="4" w:space="0" w:color="auto"/>
              <w:bottom w:val="single" w:sz="4" w:space="0" w:color="auto"/>
              <w:right w:val="single" w:sz="4" w:space="0" w:color="auto"/>
            </w:tcBorders>
            <w:vAlign w:val="center"/>
          </w:tcPr>
          <w:p w14:paraId="2820E028" w14:textId="660525D3"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104420FF" w14:textId="469FCAE6"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20B28E89" w14:textId="232658A6"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7D12E493" w14:textId="72036A98"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58D7CE31" w14:textId="3946139F"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904" w:type="pct"/>
            <w:tcBorders>
              <w:top w:val="single" w:sz="4" w:space="0" w:color="auto"/>
              <w:left w:val="single" w:sz="4" w:space="0" w:color="auto"/>
              <w:bottom w:val="single" w:sz="4" w:space="0" w:color="auto"/>
              <w:right w:val="single" w:sz="4" w:space="0" w:color="auto"/>
            </w:tcBorders>
            <w:vAlign w:val="center"/>
          </w:tcPr>
          <w:p w14:paraId="6A0E1221" w14:textId="7C8A807A"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r>
      <w:tr w:rsidR="002F29E2" w:rsidRPr="000C4977" w14:paraId="7AC1424F" w14:textId="77777777" w:rsidTr="002F29E2">
        <w:tc>
          <w:tcPr>
            <w:cnfStyle w:val="001000000000" w:firstRow="0" w:lastRow="0" w:firstColumn="1" w:lastColumn="0" w:oddVBand="0" w:evenVBand="0" w:oddHBand="0" w:evenHBand="0" w:firstRowFirstColumn="0" w:firstRowLastColumn="0" w:lastRowFirstColumn="0" w:lastRowLastColumn="0"/>
            <w:tcW w:w="966" w:type="pct"/>
            <w:tcBorders>
              <w:top w:val="single" w:sz="4" w:space="0" w:color="auto"/>
              <w:left w:val="single" w:sz="4" w:space="0" w:color="auto"/>
              <w:bottom w:val="single" w:sz="4" w:space="0" w:color="auto"/>
              <w:right w:val="single" w:sz="4" w:space="0" w:color="auto"/>
            </w:tcBorders>
            <w:vAlign w:val="center"/>
          </w:tcPr>
          <w:p w14:paraId="2C5A8955" w14:textId="77777777" w:rsidR="002F29E2" w:rsidRPr="000C4977" w:rsidRDefault="002F29E2" w:rsidP="002F29E2">
            <w:pPr>
              <w:pStyle w:val="Tabletext0"/>
              <w:keepNext/>
              <w:rPr>
                <w:rFonts w:eastAsiaTheme="majorEastAsia"/>
                <w:bCs/>
              </w:rPr>
            </w:pPr>
            <w:r w:rsidRPr="000C4977">
              <w:rPr>
                <w:rFonts w:eastAsiaTheme="majorEastAsia"/>
                <w:bCs/>
                <w:szCs w:val="20"/>
              </w:rPr>
              <w:t xml:space="preserve">Net cost health budget ($1,000 </w:t>
            </w:r>
            <w:r w:rsidRPr="004329CF">
              <w:rPr>
                <w:rFonts w:eastAsiaTheme="majorEastAsia"/>
                <w:bCs/>
                <w:i/>
                <w:iCs/>
                <w:szCs w:val="20"/>
              </w:rPr>
              <w:t>BRCA</w:t>
            </w:r>
            <w:r w:rsidRPr="000C4977">
              <w:rPr>
                <w:rFonts w:eastAsiaTheme="majorEastAsia"/>
                <w:bCs/>
                <w:szCs w:val="20"/>
              </w:rPr>
              <w:t xml:space="preserve"> test)</w:t>
            </w:r>
          </w:p>
        </w:tc>
        <w:tc>
          <w:tcPr>
            <w:tcW w:w="626" w:type="pct"/>
            <w:tcBorders>
              <w:top w:val="single" w:sz="4" w:space="0" w:color="auto"/>
              <w:left w:val="single" w:sz="4" w:space="0" w:color="auto"/>
              <w:bottom w:val="single" w:sz="4" w:space="0" w:color="auto"/>
              <w:right w:val="single" w:sz="4" w:space="0" w:color="auto"/>
            </w:tcBorders>
            <w:vAlign w:val="center"/>
          </w:tcPr>
          <w:p w14:paraId="28535E31" w14:textId="5DB68A6B"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21514F40" w14:textId="1FEF18B4"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475A0EBC" w14:textId="5F0102BF"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00AB21C8">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64F41CE2" w14:textId="2051C731"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626" w:type="pct"/>
            <w:tcBorders>
              <w:top w:val="single" w:sz="4" w:space="0" w:color="auto"/>
              <w:left w:val="single" w:sz="4" w:space="0" w:color="auto"/>
              <w:bottom w:val="single" w:sz="4" w:space="0" w:color="auto"/>
              <w:right w:val="single" w:sz="4" w:space="0" w:color="auto"/>
            </w:tcBorders>
            <w:vAlign w:val="center"/>
          </w:tcPr>
          <w:p w14:paraId="0404FB19" w14:textId="63DF04E5"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c>
          <w:tcPr>
            <w:tcW w:w="904" w:type="pct"/>
            <w:tcBorders>
              <w:top w:val="single" w:sz="4" w:space="0" w:color="auto"/>
              <w:left w:val="single" w:sz="4" w:space="0" w:color="auto"/>
              <w:bottom w:val="single" w:sz="4" w:space="0" w:color="auto"/>
              <w:right w:val="single" w:sz="4" w:space="0" w:color="auto"/>
            </w:tcBorders>
            <w:vAlign w:val="center"/>
          </w:tcPr>
          <w:p w14:paraId="4E219E43" w14:textId="4BA20851" w:rsidR="002F29E2" w:rsidRPr="005F7683" w:rsidRDefault="002F29E2" w:rsidP="002F29E2">
            <w:pPr>
              <w:pStyle w:val="Tabletext0"/>
              <w:jc w:val="center"/>
              <w:cnfStyle w:val="000000000000" w:firstRow="0" w:lastRow="0" w:firstColumn="0" w:lastColumn="0" w:oddVBand="0" w:evenVBand="0" w:oddHBand="0" w:evenHBand="0" w:firstRowFirstColumn="0" w:firstRowLastColumn="0" w:lastRowFirstColumn="0" w:lastRowLastColumn="0"/>
              <w:rPr>
                <w:bCs/>
                <w:szCs w:val="20"/>
                <w:highlight w:val="yellow"/>
                <w:lang w:eastAsia="zh-CN"/>
              </w:rPr>
            </w:pPr>
            <w:r w:rsidRPr="00F35774">
              <w:rPr>
                <w:rFonts w:cs="Arial"/>
                <w:color w:val="000000"/>
                <w:szCs w:val="20"/>
                <w:lang w:eastAsia="zh-CN"/>
              </w:rPr>
              <w:t>$</w:t>
            </w:r>
            <w:r w:rsidR="00A8205F" w:rsidRPr="00A8205F">
              <w:rPr>
                <w:rFonts w:cs="Arial"/>
                <w:color w:val="000000"/>
                <w:szCs w:val="20"/>
                <w:shd w:val="solid" w:color="000000" w:fill="000000"/>
                <w:lang w:eastAsia="zh-CN"/>
                <w14:textFill>
                  <w14:solidFill>
                    <w14:srgbClr w14:val="000000">
                      <w14:alpha w14:val="100000"/>
                    </w14:srgbClr>
                  </w14:solidFill>
                </w14:textFill>
              </w:rPr>
              <w:t>|</w:t>
            </w:r>
            <w:r w:rsidRPr="002F29E2">
              <w:rPr>
                <w:rFonts w:cs="Arial"/>
                <w:color w:val="000000"/>
                <w:szCs w:val="20"/>
                <w:lang w:eastAsia="zh-CN"/>
              </w:rPr>
              <w:t xml:space="preserve"> </w:t>
            </w:r>
            <w:r w:rsidRPr="00BB5D4F">
              <w:rPr>
                <w:rFonts w:cs="Arial"/>
                <w:color w:val="000000"/>
                <w:szCs w:val="20"/>
                <w:vertAlign w:val="superscript"/>
                <w:lang w:eastAsia="zh-CN"/>
              </w:rPr>
              <w:t>2</w:t>
            </w:r>
          </w:p>
        </w:tc>
      </w:tr>
    </w:tbl>
    <w:p w14:paraId="6319C5F6" w14:textId="5C8431D5"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a</w:t>
      </w:r>
      <w:r w:rsidRPr="000C4977">
        <w:rPr>
          <w:rFonts w:ascii="Arial Narrow" w:eastAsia="Times New Roman" w:hAnsi="Arial Narrow" w:cs="Arial"/>
          <w:snapToGrid w:val="0"/>
          <w:sz w:val="18"/>
          <w:szCs w:val="20"/>
        </w:rPr>
        <w:t xml:space="preserve"> </w:t>
      </w:r>
      <w:proofErr w:type="gramStart"/>
      <w:r w:rsidRPr="000C4977">
        <w:rPr>
          <w:rFonts w:ascii="Arial Narrow" w:eastAsia="Times New Roman" w:hAnsi="Arial Narrow" w:cs="Arial"/>
          <w:snapToGrid w:val="0"/>
          <w:sz w:val="18"/>
          <w:szCs w:val="20"/>
        </w:rPr>
        <w:t>Based on</w:t>
      </w:r>
      <w:proofErr w:type="gramEnd"/>
      <w:r w:rsidRPr="000C4977">
        <w:rPr>
          <w:rFonts w:ascii="Arial Narrow" w:eastAsia="Times New Roman" w:hAnsi="Arial Narrow" w:cs="Arial"/>
          <w:snapToGrid w:val="0"/>
          <w:sz w:val="18"/>
          <w:szCs w:val="20"/>
        </w:rPr>
        <w:t xml:space="preserve"> submission’s assumption of 50% HRD positive and 25% HRD positive </w:t>
      </w:r>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 xml:space="preserve"> wild type</w:t>
      </w:r>
    </w:p>
    <w:p w14:paraId="6ECC528B" w14:textId="77777777" w:rsidR="000C4977" w:rsidRPr="000C4977" w:rsidRDefault="000C4977" w:rsidP="000C4977">
      <w:pPr>
        <w:keepNext/>
        <w:keepLines/>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Assumed 25% of all patients tested would be </w:t>
      </w:r>
      <w:proofErr w:type="spellStart"/>
      <w:r w:rsidRPr="000C4977">
        <w:rPr>
          <w:rFonts w:ascii="Arial Narrow" w:eastAsia="Times New Roman" w:hAnsi="Arial Narrow" w:cs="Arial"/>
          <w:i/>
          <w:iCs/>
          <w:snapToGrid w:val="0"/>
          <w:sz w:val="18"/>
          <w:szCs w:val="20"/>
        </w:rPr>
        <w:t>BRCA</w:t>
      </w:r>
      <w:r w:rsidRPr="000C4977">
        <w:rPr>
          <w:rFonts w:ascii="Arial Narrow" w:eastAsia="Times New Roman" w:hAnsi="Arial Narrow" w:cs="Arial"/>
          <w:snapToGrid w:val="0"/>
          <w:sz w:val="18"/>
          <w:szCs w:val="20"/>
        </w:rPr>
        <w:t>m</w:t>
      </w:r>
      <w:proofErr w:type="spellEnd"/>
      <w:r w:rsidRPr="000C4977">
        <w:rPr>
          <w:rFonts w:ascii="Arial Narrow" w:eastAsia="Times New Roman" w:hAnsi="Arial Narrow" w:cs="Arial"/>
          <w:snapToGrid w:val="0"/>
          <w:sz w:val="18"/>
          <w:szCs w:val="20"/>
        </w:rPr>
        <w:t>, and multiplied by incremental cost of $1,500 per test</w:t>
      </w:r>
    </w:p>
    <w:p w14:paraId="2F879915" w14:textId="30F48507" w:rsid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rPr>
        <w:t>Source: Table 4.4 and 4.6, p292, 295 of the submission, Olaparib (PAOLA1) UCM_final.xlsx</w:t>
      </w:r>
    </w:p>
    <w:p w14:paraId="30F236D8" w14:textId="77777777" w:rsidR="002F29E2" w:rsidRPr="00A549F9" w:rsidRDefault="002F29E2" w:rsidP="002F29E2">
      <w:pPr>
        <w:widowControl w:val="0"/>
        <w:spacing w:before="0" w:after="0"/>
        <w:contextualSpacing/>
        <w:rPr>
          <w:rFonts w:ascii="Arial Narrow" w:eastAsia="Times New Roman" w:hAnsi="Arial Narrow" w:cs="Arial"/>
          <w:i/>
          <w:snapToGrid w:val="0"/>
          <w:sz w:val="18"/>
          <w:szCs w:val="20"/>
        </w:rPr>
      </w:pPr>
      <w:bookmarkStart w:id="61" w:name="_Hlk114236946"/>
      <w:r w:rsidRPr="00A549F9">
        <w:rPr>
          <w:rFonts w:ascii="Arial Narrow" w:eastAsia="Times New Roman" w:hAnsi="Arial Narrow" w:cs="Arial"/>
          <w:i/>
          <w:snapToGrid w:val="0"/>
          <w:sz w:val="18"/>
          <w:szCs w:val="20"/>
        </w:rPr>
        <w:t xml:space="preserve">The redacted values correspond to the following ranges: </w:t>
      </w:r>
    </w:p>
    <w:p w14:paraId="572EC23A" w14:textId="77777777" w:rsidR="002F29E2" w:rsidRDefault="002F29E2" w:rsidP="002F29E2">
      <w:pPr>
        <w:widowControl w:val="0"/>
        <w:spacing w:before="0" w:after="0"/>
        <w:contextualSpacing/>
        <w:rPr>
          <w:rFonts w:ascii="Arial Narrow" w:eastAsia="Times New Roman" w:hAnsi="Arial Narrow" w:cs="Arial"/>
          <w:i/>
          <w:iCs/>
          <w:snapToGrid w:val="0"/>
          <w:sz w:val="18"/>
          <w:szCs w:val="20"/>
        </w:rPr>
      </w:pPr>
      <w:r w:rsidRPr="00A549F9">
        <w:rPr>
          <w:rFonts w:ascii="Arial Narrow" w:eastAsia="Times New Roman" w:hAnsi="Arial Narrow" w:cs="Arial"/>
          <w:i/>
          <w:iCs/>
          <w:snapToGrid w:val="0"/>
          <w:sz w:val="18"/>
          <w:szCs w:val="20"/>
          <w:vertAlign w:val="superscript"/>
        </w:rPr>
        <w:t>1</w:t>
      </w:r>
      <w:r w:rsidRPr="00A549F9">
        <w:rPr>
          <w:rFonts w:ascii="Arial Narrow" w:eastAsia="Times New Roman" w:hAnsi="Arial Narrow" w:cs="Arial"/>
          <w:i/>
          <w:iCs/>
          <w:snapToGrid w:val="0"/>
          <w:sz w:val="18"/>
          <w:szCs w:val="20"/>
        </w:rPr>
        <w:t xml:space="preserve"> </w:t>
      </w:r>
      <w:r w:rsidRPr="00BB5D4F">
        <w:rPr>
          <w:rFonts w:ascii="Arial Narrow" w:eastAsia="Times New Roman" w:hAnsi="Arial Narrow" w:cs="Arial"/>
          <w:i/>
          <w:iCs/>
          <w:snapToGrid w:val="0"/>
          <w:sz w:val="18"/>
          <w:szCs w:val="20"/>
        </w:rPr>
        <w:t>&lt; 500</w:t>
      </w:r>
    </w:p>
    <w:p w14:paraId="37DE0908" w14:textId="77777777" w:rsidR="002F29E2" w:rsidRPr="00835E7E" w:rsidRDefault="002F29E2" w:rsidP="002F29E2">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 xml:space="preserve">2 </w:t>
      </w:r>
      <w:r w:rsidRPr="00835E7E">
        <w:rPr>
          <w:rFonts w:ascii="Arial Narrow" w:eastAsia="Times New Roman" w:hAnsi="Arial Narrow" w:cs="Arial"/>
          <w:i/>
          <w:iCs/>
          <w:snapToGrid w:val="0"/>
          <w:sz w:val="18"/>
          <w:szCs w:val="20"/>
        </w:rPr>
        <w:t>$10 million to &lt; $20 million</w:t>
      </w:r>
    </w:p>
    <w:p w14:paraId="2FA03A88" w14:textId="760D81FB" w:rsidR="002F29E2" w:rsidRPr="002F29E2" w:rsidRDefault="002F29E2" w:rsidP="000C4977">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3</w:t>
      </w:r>
      <w:r w:rsidR="00AB21C8">
        <w:rPr>
          <w:rFonts w:ascii="Arial Narrow" w:eastAsia="Times New Roman" w:hAnsi="Arial Narrow" w:cs="Arial"/>
          <w:i/>
          <w:iCs/>
          <w:snapToGrid w:val="0"/>
          <w:sz w:val="18"/>
          <w:szCs w:val="20"/>
          <w:vertAlign w:val="superscript"/>
        </w:rPr>
        <w:t xml:space="preserve"> </w:t>
      </w:r>
      <w:r w:rsidRPr="00835E7E">
        <w:rPr>
          <w:rFonts w:ascii="Arial Narrow" w:eastAsia="Times New Roman" w:hAnsi="Arial Narrow" w:cs="Arial"/>
          <w:i/>
          <w:iCs/>
          <w:snapToGrid w:val="0"/>
          <w:sz w:val="18"/>
          <w:szCs w:val="20"/>
        </w:rPr>
        <w:t>$20 million to &lt; $30 million</w:t>
      </w:r>
    </w:p>
    <w:bookmarkEnd w:id="61"/>
    <w:p w14:paraId="00087467" w14:textId="3E3777F1" w:rsidR="000C4977" w:rsidRPr="000C4977" w:rsidRDefault="000C4977" w:rsidP="000C4977">
      <w:pPr>
        <w:spacing w:line="259" w:lineRule="auto"/>
        <w:jc w:val="left"/>
      </w:pPr>
      <w:r w:rsidRPr="000C4977">
        <w:t xml:space="preserve">Between March 2021 to February 2022, there were 788 services for </w:t>
      </w:r>
      <w:r w:rsidRPr="000C4977">
        <w:rPr>
          <w:i/>
        </w:rPr>
        <w:t>BRCA</w:t>
      </w:r>
      <w:r w:rsidRPr="000C4977">
        <w:t xml:space="preserve"> testing to determine eligibility for </w:t>
      </w:r>
      <w:proofErr w:type="spellStart"/>
      <w:r w:rsidRPr="000C4977">
        <w:t>olaparib</w:t>
      </w:r>
      <w:proofErr w:type="spellEnd"/>
      <w:r w:rsidRPr="000C4977">
        <w:t xml:space="preserve"> monotherapy (MBS item 73301) and 2,815 services for germline </w:t>
      </w:r>
      <w:r w:rsidRPr="000C4977">
        <w:rPr>
          <w:i/>
        </w:rPr>
        <w:t>BRCA</w:t>
      </w:r>
      <w:r w:rsidRPr="000C4977">
        <w:t xml:space="preserve"> testing (MBS item 73296). It is possible that patients with ovarian cancer who would have been billed under the MBS Item 73296 may switch to the proposed HRD testing.</w:t>
      </w:r>
    </w:p>
    <w:p w14:paraId="5F66489E" w14:textId="77777777" w:rsidR="000C4977" w:rsidRPr="000C4977" w:rsidRDefault="000C4977" w:rsidP="000C4977">
      <w:pPr>
        <w:spacing w:line="259" w:lineRule="auto"/>
        <w:jc w:val="left"/>
      </w:pPr>
      <w:r w:rsidRPr="000C4977">
        <w:t>Further, there were several issues with the MBS usage estimated in the submission:</w:t>
      </w:r>
    </w:p>
    <w:p w14:paraId="71FCADE3" w14:textId="7C1FE70E" w:rsidR="000C4977" w:rsidRPr="000C4977" w:rsidRDefault="000C4977" w:rsidP="000C4977">
      <w:pPr>
        <w:numPr>
          <w:ilvl w:val="0"/>
          <w:numId w:val="52"/>
        </w:numPr>
        <w:spacing w:line="259" w:lineRule="auto"/>
        <w:contextualSpacing/>
        <w:jc w:val="left"/>
      </w:pPr>
      <w:r w:rsidRPr="000C4977">
        <w:t xml:space="preserve">The submission’s estimates for MBS usage were inconsistent with the estimates for PBS usage. For the estimation of MBS item numbers, the submission inappropriately assumed only 14.3 and 13.1 bevacizumab injections per patient when used with </w:t>
      </w:r>
      <w:proofErr w:type="spellStart"/>
      <w:r w:rsidRPr="000C4977">
        <w:t>olaparib</w:t>
      </w:r>
      <w:proofErr w:type="spellEnd"/>
      <w:r w:rsidRPr="000C4977">
        <w:t xml:space="preserve"> and as monotherapy, respectively, whereas the PBS estimates assumed 15.93 and 15.35 doses, respectively. Similarly, for grandfathered patients, 7.97 doses were assumed in the PBS estimates but 7.15 was assumed for the MBS usage. For consistency, all the MBS usage per patient have been updated to reflect the PBS usage</w:t>
      </w:r>
      <w:r w:rsidR="00EB0C59">
        <w:t>.</w:t>
      </w:r>
    </w:p>
    <w:p w14:paraId="05A7D8CD" w14:textId="0A2ECDA2" w:rsidR="000C4977" w:rsidRPr="000C4977" w:rsidRDefault="000C4977" w:rsidP="000C4977">
      <w:pPr>
        <w:numPr>
          <w:ilvl w:val="0"/>
          <w:numId w:val="52"/>
        </w:numPr>
        <w:spacing w:line="259" w:lineRule="auto"/>
        <w:contextualSpacing/>
        <w:jc w:val="left"/>
      </w:pPr>
      <w:r w:rsidRPr="000C4977">
        <w:lastRenderedPageBreak/>
        <w:t>There was a further error in the estimation of MBS usage, as the number of grandfathered patients was doubled that of PBS usage</w:t>
      </w:r>
      <w:r w:rsidR="00EB0C59">
        <w:t>.</w:t>
      </w:r>
    </w:p>
    <w:p w14:paraId="1334E35A" w14:textId="289F2C95" w:rsidR="000C4977" w:rsidRPr="000C4977" w:rsidRDefault="000C4977" w:rsidP="000C4977">
      <w:pPr>
        <w:numPr>
          <w:ilvl w:val="0"/>
          <w:numId w:val="52"/>
        </w:numPr>
        <w:spacing w:line="259" w:lineRule="auto"/>
        <w:contextualSpacing/>
        <w:jc w:val="left"/>
      </w:pPr>
      <w:r w:rsidRPr="000C4977">
        <w:t xml:space="preserve">The submission’s MBS financial estimates workbook continued to assume only ‘continuing’ rather than ‘incident’ patients were treated with bevacizumab when used with </w:t>
      </w:r>
      <w:proofErr w:type="spellStart"/>
      <w:proofErr w:type="gramStart"/>
      <w:r w:rsidRPr="000C4977">
        <w:t>olaparib</w:t>
      </w:r>
      <w:proofErr w:type="spellEnd"/>
      <w:r w:rsidRPr="000C4977">
        <w:t>, and</w:t>
      </w:r>
      <w:proofErr w:type="gramEnd"/>
      <w:r w:rsidRPr="000C4977">
        <w:t xml:space="preserve"> changing the toggle to ‘incident’ in sheet 3a did not resolve the issue with the MBS sheet</w:t>
      </w:r>
      <w:r w:rsidR="00EB0C59">
        <w:t>.</w:t>
      </w:r>
    </w:p>
    <w:p w14:paraId="6F02B3FB" w14:textId="6145BE4E" w:rsidR="000C4977" w:rsidRPr="000C4977" w:rsidRDefault="000C4977" w:rsidP="000C4977">
      <w:pPr>
        <w:numPr>
          <w:ilvl w:val="0"/>
          <w:numId w:val="52"/>
        </w:numPr>
        <w:spacing w:line="259" w:lineRule="auto"/>
        <w:contextualSpacing/>
        <w:jc w:val="left"/>
      </w:pPr>
      <w:r w:rsidRPr="000C4977">
        <w:t xml:space="preserve">The submission’s assumed uptake rate of </w:t>
      </w:r>
      <w:proofErr w:type="spellStart"/>
      <w:r w:rsidRPr="000C4977">
        <w:t>olaparib</w:t>
      </w:r>
      <w:proofErr w:type="spellEnd"/>
      <w:r w:rsidRPr="000C4977">
        <w:t xml:space="preserve"> plus bevacizumab (65%) in year one was lower than the proportion who were assumed to stop using bevacizumab monotherapy (</w:t>
      </w:r>
      <w:r w:rsidRPr="004702CE">
        <w:t>80</w:t>
      </w:r>
      <w:r w:rsidRPr="000C4977">
        <w:t>%) which was implausible and led to fewer bevacizumab infusions in year one resulting in greater cost offsets</w:t>
      </w:r>
      <w:r w:rsidR="00EB0C59">
        <w:t>.</w:t>
      </w:r>
    </w:p>
    <w:p w14:paraId="55BF9E8A" w14:textId="4BA29F89" w:rsidR="000C4977" w:rsidRPr="00C67141" w:rsidRDefault="000C4977" w:rsidP="00EB0C59">
      <w:pPr>
        <w:numPr>
          <w:ilvl w:val="0"/>
          <w:numId w:val="52"/>
        </w:numPr>
        <w:spacing w:line="259" w:lineRule="auto"/>
        <w:ind w:left="714" w:hanging="357"/>
        <w:jc w:val="left"/>
      </w:pPr>
      <w:r w:rsidRPr="000C4977">
        <w:t xml:space="preserve">It was assumed that there will </w:t>
      </w:r>
      <w:r w:rsidRPr="00C67141">
        <w:t>be 15.35 fewer bevacizumab administrations for each grandfathered patient, when grandfathered patients receive only 7.97 bevacizumab administrations during year 1.</w:t>
      </w:r>
    </w:p>
    <w:p w14:paraId="333205CD" w14:textId="487A43B2" w:rsidR="000C4977" w:rsidRPr="000C4977" w:rsidRDefault="000C4977" w:rsidP="000C4977">
      <w:pPr>
        <w:spacing w:line="259" w:lineRule="auto"/>
        <w:jc w:val="left"/>
      </w:pPr>
      <w:r w:rsidRPr="000C4977">
        <w:t xml:space="preserve">As such, several changes were made to the financial spreadsheet and the financial estimates presented in </w:t>
      </w:r>
      <w:r w:rsidRPr="000C4977">
        <w:fldChar w:fldCharType="begin"/>
      </w:r>
      <w:r w:rsidRPr="000C4977">
        <w:instrText xml:space="preserve"> REF _Ref103527274 \h  \* MERGEFORMAT </w:instrText>
      </w:r>
      <w:r w:rsidRPr="000C4977">
        <w:fldChar w:fldCharType="separate"/>
      </w:r>
      <w:r w:rsidR="00D8603B" w:rsidRPr="00D8603B">
        <w:t>Table 26</w:t>
      </w:r>
      <w:r w:rsidRPr="000C4977">
        <w:fldChar w:fldCharType="end"/>
      </w:r>
      <w:r w:rsidRPr="000C4977">
        <w:t xml:space="preserve"> differed to the submission’s estimates.</w:t>
      </w:r>
    </w:p>
    <w:p w14:paraId="21155201" w14:textId="77777777" w:rsidR="000C4977" w:rsidRPr="000C4977" w:rsidRDefault="000C4977" w:rsidP="000C4977">
      <w:pPr>
        <w:spacing w:line="259" w:lineRule="auto"/>
        <w:jc w:val="left"/>
      </w:pPr>
      <w:r w:rsidRPr="000C4977">
        <w:t>During the evaluation, sensitivity analyses around the financial estimates using the different testing scenarios proposed by PASC were conducted. The results are summarised below:</w:t>
      </w:r>
    </w:p>
    <w:p w14:paraId="49F7C39C" w14:textId="3EBA7447" w:rsidR="000C4977" w:rsidRPr="000C4977" w:rsidRDefault="000C4977" w:rsidP="000C4977">
      <w:pPr>
        <w:keepNext/>
        <w:tabs>
          <w:tab w:val="left" w:pos="0"/>
        </w:tabs>
        <w:spacing w:before="0" w:after="0"/>
        <w:contextualSpacing/>
        <w:rPr>
          <w:rFonts w:ascii="Arial Narrow" w:hAnsi="Arial Narrow"/>
          <w:b/>
          <w:iCs/>
          <w:sz w:val="20"/>
          <w:szCs w:val="18"/>
        </w:rPr>
      </w:pPr>
      <w:r w:rsidRPr="000C4977">
        <w:rPr>
          <w:rFonts w:ascii="Arial Narrow" w:hAnsi="Arial Narrow"/>
          <w:b/>
          <w:iCs/>
          <w:sz w:val="20"/>
          <w:szCs w:val="18"/>
        </w:rPr>
        <w:t xml:space="preserve">Table </w:t>
      </w:r>
      <w:r w:rsidRPr="000C4977">
        <w:rPr>
          <w:rFonts w:ascii="Arial Narrow" w:hAnsi="Arial Narrow"/>
          <w:b/>
          <w:iCs/>
          <w:sz w:val="20"/>
          <w:szCs w:val="18"/>
        </w:rPr>
        <w:fldChar w:fldCharType="begin"/>
      </w:r>
      <w:r w:rsidRPr="000C4977">
        <w:rPr>
          <w:rFonts w:ascii="Arial Narrow" w:hAnsi="Arial Narrow"/>
          <w:b/>
          <w:iCs/>
          <w:sz w:val="20"/>
          <w:szCs w:val="18"/>
        </w:rPr>
        <w:instrText xml:space="preserve"> SEQ Table \* ARABIC </w:instrText>
      </w:r>
      <w:r w:rsidRPr="000C4977">
        <w:rPr>
          <w:rFonts w:ascii="Arial Narrow" w:hAnsi="Arial Narrow"/>
          <w:b/>
          <w:iCs/>
          <w:sz w:val="20"/>
          <w:szCs w:val="18"/>
        </w:rPr>
        <w:fldChar w:fldCharType="separate"/>
      </w:r>
      <w:r w:rsidR="00D8603B">
        <w:rPr>
          <w:rFonts w:ascii="Arial Narrow" w:hAnsi="Arial Narrow"/>
          <w:b/>
          <w:iCs/>
          <w:noProof/>
          <w:sz w:val="20"/>
          <w:szCs w:val="18"/>
        </w:rPr>
        <w:t>27</w:t>
      </w:r>
      <w:r w:rsidRPr="000C4977">
        <w:rPr>
          <w:rFonts w:ascii="Arial Narrow" w:hAnsi="Arial Narrow"/>
          <w:b/>
          <w:iCs/>
          <w:noProof/>
          <w:sz w:val="20"/>
          <w:szCs w:val="18"/>
        </w:rPr>
        <w:fldChar w:fldCharType="end"/>
      </w:r>
      <w:r w:rsidR="00105CF3">
        <w:rPr>
          <w:rFonts w:ascii="Arial Narrow" w:hAnsi="Arial Narrow"/>
          <w:b/>
          <w:iCs/>
          <w:noProof/>
          <w:sz w:val="20"/>
          <w:szCs w:val="18"/>
        </w:rPr>
        <w:tab/>
      </w:r>
      <w:r w:rsidRPr="000C4977">
        <w:rPr>
          <w:rFonts w:ascii="Arial Narrow" w:hAnsi="Arial Narrow"/>
          <w:b/>
          <w:iCs/>
          <w:sz w:val="20"/>
          <w:szCs w:val="18"/>
        </w:rPr>
        <w:t xml:space="preserve">Sensitivity analyses around financial impact assuming different testing scenarios assuming $1,000 </w:t>
      </w:r>
      <w:r w:rsidRPr="000C4977">
        <w:rPr>
          <w:rFonts w:ascii="Arial Narrow" w:hAnsi="Arial Narrow"/>
          <w:b/>
          <w:i/>
          <w:iCs/>
          <w:sz w:val="20"/>
          <w:szCs w:val="18"/>
        </w:rPr>
        <w:t>BRCA</w:t>
      </w:r>
      <w:r w:rsidRPr="000C4977">
        <w:rPr>
          <w:rFonts w:ascii="Arial Narrow" w:hAnsi="Arial Narrow"/>
          <w:b/>
          <w:iCs/>
          <w:sz w:val="20"/>
          <w:szCs w:val="18"/>
        </w:rPr>
        <w:t xml:space="preserve"> test fee</w:t>
      </w:r>
    </w:p>
    <w:tbl>
      <w:tblPr>
        <w:tblStyle w:val="PBAC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43"/>
        <w:gridCol w:w="1244"/>
        <w:gridCol w:w="1243"/>
        <w:gridCol w:w="1244"/>
        <w:gridCol w:w="1243"/>
        <w:gridCol w:w="1244"/>
      </w:tblGrid>
      <w:tr w:rsidR="000C4977" w:rsidRPr="000C4977" w14:paraId="3DA1D0EB" w14:textId="77777777" w:rsidTr="001D4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09F2" w14:textId="77777777" w:rsidR="000C4977" w:rsidRPr="000C4977" w:rsidRDefault="000C4977" w:rsidP="001D4496">
            <w:pPr>
              <w:pStyle w:val="TableText"/>
              <w:keepNext/>
            </w:pP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24D53"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2023</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D3CC5"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2024</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146AE"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2025</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15762"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2026</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1F9BB"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2027</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65E71" w14:textId="77777777" w:rsidR="000C4977" w:rsidRPr="000C4977" w:rsidRDefault="000C4977" w:rsidP="001D4496">
            <w:pPr>
              <w:pStyle w:val="TableText"/>
              <w:keepNext/>
              <w:cnfStyle w:val="100000000000" w:firstRow="1" w:lastRow="0" w:firstColumn="0" w:lastColumn="0" w:oddVBand="0" w:evenVBand="0" w:oddHBand="0" w:evenHBand="0" w:firstRowFirstColumn="0" w:firstRowLastColumn="0" w:lastRowFirstColumn="0" w:lastRowLastColumn="0"/>
            </w:pPr>
            <w:r w:rsidRPr="000C4977">
              <w:rPr>
                <w:lang w:eastAsia="en-AU"/>
              </w:rPr>
              <w:t>2028</w:t>
            </w:r>
          </w:p>
        </w:tc>
      </w:tr>
      <w:tr w:rsidR="000C4977" w:rsidRPr="000C4977" w14:paraId="296E14A1" w14:textId="77777777" w:rsidTr="001D4496">
        <w:trPr>
          <w:trHeight w:val="153"/>
        </w:trPr>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D8A63D" w14:textId="77777777" w:rsidR="000C4977" w:rsidRPr="00EB0C59" w:rsidRDefault="000C4977" w:rsidP="001D4496">
            <w:pPr>
              <w:pStyle w:val="TableText"/>
              <w:keepNext/>
              <w:rPr>
                <w:b/>
              </w:rPr>
            </w:pPr>
            <w:r w:rsidRPr="00EB0C59">
              <w:rPr>
                <w:b/>
              </w:rPr>
              <w:t xml:space="preserve">Base case (no </w:t>
            </w:r>
            <w:r w:rsidRPr="00EB0C59">
              <w:rPr>
                <w:b/>
                <w:i/>
                <w:iCs/>
              </w:rPr>
              <w:t>BRCA</w:t>
            </w:r>
            <w:r w:rsidRPr="00EB0C59">
              <w:rPr>
                <w:b/>
              </w:rPr>
              <w:t xml:space="preserve"> test, all patient use HRD test)</w:t>
            </w:r>
          </w:p>
        </w:tc>
      </w:tr>
      <w:tr w:rsidR="000C4977" w:rsidRPr="000C4977" w14:paraId="3BC25A0C" w14:textId="77777777" w:rsidTr="001D4496">
        <w:trPr>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F1A2D3D" w14:textId="77777777" w:rsidR="000C4977" w:rsidRPr="000C4977" w:rsidRDefault="000C4977" w:rsidP="001D4496">
            <w:pPr>
              <w:pStyle w:val="TableText"/>
              <w:keepNext/>
            </w:pPr>
            <w:r w:rsidRPr="000C4977">
              <w:t>Net cost to MBS</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A468BAD"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bCs/>
                <w:szCs w:val="28"/>
              </w:rPr>
            </w:pPr>
            <w:r w:rsidRPr="004702CE">
              <w:rPr>
                <w:rFonts w:cs="Arial"/>
                <w:color w:val="000000"/>
              </w:rPr>
              <w:t>$1,710,895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F6931E7"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bCs/>
              </w:rPr>
            </w:pPr>
            <w:r w:rsidRPr="004702CE">
              <w:rPr>
                <w:rFonts w:cs="Arial"/>
                <w:color w:val="000000"/>
              </w:rPr>
              <w:t>$1,772,642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1AC64C1"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bCs/>
              </w:rPr>
            </w:pPr>
            <w:r w:rsidRPr="004702CE">
              <w:rPr>
                <w:rFonts w:cs="Arial"/>
                <w:color w:val="000000"/>
              </w:rPr>
              <w:t>$1,805,525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DA20114"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bCs/>
              </w:rPr>
            </w:pPr>
            <w:r w:rsidRPr="004702CE">
              <w:rPr>
                <w:rFonts w:cs="Arial"/>
                <w:color w:val="000000"/>
              </w:rPr>
              <w:t>$1,839,017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B102241"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bCs/>
              </w:rPr>
            </w:pPr>
            <w:r w:rsidRPr="004702CE">
              <w:rPr>
                <w:rFonts w:cs="Arial"/>
                <w:color w:val="000000"/>
              </w:rPr>
              <w:t>$1,873,131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4FEBDC1"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bCs/>
              </w:rPr>
            </w:pPr>
            <w:r w:rsidRPr="004702CE">
              <w:rPr>
                <w:rFonts w:cs="Arial"/>
                <w:color w:val="000000"/>
              </w:rPr>
              <w:t>$1,907,878</w:t>
            </w:r>
          </w:p>
        </w:tc>
      </w:tr>
      <w:tr w:rsidR="002F29E2" w:rsidRPr="000C4977" w14:paraId="228BBA1A" w14:textId="77777777" w:rsidTr="001D4496">
        <w:trPr>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55C65" w14:textId="77777777" w:rsidR="002F29E2" w:rsidRPr="000C4977" w:rsidRDefault="002F29E2" w:rsidP="002F29E2">
            <w:pPr>
              <w:pStyle w:val="TableText"/>
              <w:keepNext/>
            </w:pPr>
            <w:r w:rsidRPr="000C4977">
              <w:t>Net cost to PBS/RPBS</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AB666F5" w14:textId="650357F9"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63"/>
                <w14:textFill>
                  <w14:solidFill>
                    <w14:srgbClr w14:val="000000">
                      <w14:alpha w14:val="100000"/>
                    </w14:srgbClr>
                  </w14:solidFill>
                </w14:textFill>
              </w:rPr>
              <w:t>|</w:t>
            </w:r>
            <w:r w:rsidR="00A8205F" w:rsidRPr="00AB21C8">
              <w:rPr>
                <w:rFonts w:cs="Arial"/>
                <w:color w:val="000000"/>
                <w:shd w:val="solid" w:color="000000" w:fill="000000"/>
                <w:fitText w:val="180" w:id="-1450962163"/>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2989DCC" w14:textId="202DF1D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62"/>
                <w14:textFill>
                  <w14:solidFill>
                    <w14:srgbClr w14:val="000000">
                      <w14:alpha w14:val="100000"/>
                    </w14:srgbClr>
                  </w14:solidFill>
                </w14:textFill>
              </w:rPr>
              <w:t>|</w:t>
            </w:r>
            <w:r w:rsidR="00A8205F" w:rsidRPr="00AB21C8">
              <w:rPr>
                <w:rFonts w:cs="Arial"/>
                <w:color w:val="000000"/>
                <w:shd w:val="solid" w:color="000000" w:fill="000000"/>
                <w:fitText w:val="180" w:id="-1450962162"/>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3EA57F4" w14:textId="34ABF61F"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61"/>
                <w14:textFill>
                  <w14:solidFill>
                    <w14:srgbClr w14:val="000000">
                      <w14:alpha w14:val="100000"/>
                    </w14:srgbClr>
                  </w14:solidFill>
                </w14:textFill>
              </w:rPr>
              <w:t>|</w:t>
            </w:r>
            <w:r w:rsidR="00A8205F" w:rsidRPr="00AB21C8">
              <w:rPr>
                <w:rFonts w:cs="Arial"/>
                <w:color w:val="000000"/>
                <w:shd w:val="solid" w:color="000000" w:fill="000000"/>
                <w:fitText w:val="180" w:id="-1450962161"/>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03CF1FF" w14:textId="63A5B794"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60"/>
                <w14:textFill>
                  <w14:solidFill>
                    <w14:srgbClr w14:val="000000">
                      <w14:alpha w14:val="100000"/>
                    </w14:srgbClr>
                  </w14:solidFill>
                </w14:textFill>
              </w:rPr>
              <w:t>|</w:t>
            </w:r>
            <w:r w:rsidR="00A8205F" w:rsidRPr="00AB21C8">
              <w:rPr>
                <w:rFonts w:cs="Arial"/>
                <w:color w:val="000000"/>
                <w:shd w:val="solid" w:color="000000" w:fill="000000"/>
                <w:fitText w:val="180" w:id="-1450962160"/>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D1CB2FA" w14:textId="4D498A7D"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76"/>
                <w14:textFill>
                  <w14:solidFill>
                    <w14:srgbClr w14:val="000000">
                      <w14:alpha w14:val="100000"/>
                    </w14:srgbClr>
                  </w14:solidFill>
                </w14:textFill>
              </w:rPr>
              <w:t>|</w:t>
            </w:r>
            <w:r w:rsidR="00A8205F" w:rsidRPr="00AB21C8">
              <w:rPr>
                <w:rFonts w:cs="Arial"/>
                <w:color w:val="000000"/>
                <w:shd w:val="solid" w:color="000000" w:fill="000000"/>
                <w:fitText w:val="180" w:id="-1450962176"/>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10B1E08" w14:textId="1899FDE7"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35774">
              <w:rPr>
                <w:rFonts w:cs="Arial"/>
                <w:color w:val="000000"/>
              </w:rPr>
              <w:t>$</w:t>
            </w:r>
            <w:r w:rsidR="00A8205F" w:rsidRPr="00AB21C8">
              <w:rPr>
                <w:rFonts w:cs="Arial"/>
                <w:color w:val="000000"/>
                <w:spacing w:val="94"/>
                <w:shd w:val="solid" w:color="000000" w:fill="000000"/>
                <w:fitText w:val="180" w:id="-1450962175"/>
                <w14:textFill>
                  <w14:solidFill>
                    <w14:srgbClr w14:val="000000">
                      <w14:alpha w14:val="100000"/>
                    </w14:srgbClr>
                  </w14:solidFill>
                </w14:textFill>
              </w:rPr>
              <w:t>|</w:t>
            </w:r>
            <w:r w:rsidR="00A8205F" w:rsidRPr="00AB21C8">
              <w:rPr>
                <w:rFonts w:cs="Arial"/>
                <w:color w:val="000000"/>
                <w:shd w:val="solid" w:color="000000" w:fill="000000"/>
                <w:fitText w:val="180" w:id="-1450962175"/>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r w:rsidR="002F29E2" w:rsidRPr="000C4977" w14:paraId="4114508D" w14:textId="77777777" w:rsidTr="001D449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hideMark/>
          </w:tcPr>
          <w:p w14:paraId="656F3CD4" w14:textId="77777777" w:rsidR="002F29E2" w:rsidRPr="000C4977" w:rsidRDefault="002F29E2" w:rsidP="002F29E2">
            <w:pPr>
              <w:pStyle w:val="TableText"/>
              <w:keepNext/>
              <w:rPr>
                <w:vertAlign w:val="superscript"/>
              </w:rPr>
            </w:pPr>
            <w:r w:rsidRPr="000C4977">
              <w:t xml:space="preserve">Net cost health budget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7DFF" w14:textId="4758EB77"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74"/>
                <w14:textFill>
                  <w14:solidFill>
                    <w14:srgbClr w14:val="000000">
                      <w14:alpha w14:val="100000"/>
                    </w14:srgbClr>
                  </w14:solidFill>
                </w14:textFill>
              </w:rPr>
              <w:t>|</w:t>
            </w:r>
            <w:r w:rsidR="00A8205F" w:rsidRPr="00AB21C8">
              <w:rPr>
                <w:rFonts w:cs="Arial"/>
                <w:color w:val="000000"/>
                <w:shd w:val="solid" w:color="000000" w:fill="000000"/>
                <w:fitText w:val="180" w:id="-1450962174"/>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943A" w14:textId="007371C1"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73"/>
                <w14:textFill>
                  <w14:solidFill>
                    <w14:srgbClr w14:val="000000">
                      <w14:alpha w14:val="100000"/>
                    </w14:srgbClr>
                  </w14:solidFill>
                </w14:textFill>
              </w:rPr>
              <w:t>|</w:t>
            </w:r>
            <w:r w:rsidR="00A8205F" w:rsidRPr="00AB21C8">
              <w:rPr>
                <w:rFonts w:cs="Arial"/>
                <w:color w:val="000000"/>
                <w:shd w:val="solid" w:color="000000" w:fill="000000"/>
                <w:fitText w:val="180" w:id="-1450962173"/>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40D2" w14:textId="08468D0E"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72"/>
                <w14:textFill>
                  <w14:solidFill>
                    <w14:srgbClr w14:val="000000">
                      <w14:alpha w14:val="100000"/>
                    </w14:srgbClr>
                  </w14:solidFill>
                </w14:textFill>
              </w:rPr>
              <w:t>|</w:t>
            </w:r>
            <w:r w:rsidR="00A8205F" w:rsidRPr="00AB21C8">
              <w:rPr>
                <w:rFonts w:cs="Arial"/>
                <w:color w:val="000000"/>
                <w:shd w:val="solid" w:color="000000" w:fill="000000"/>
                <w:fitText w:val="180" w:id="-1450962172"/>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AAA1" w14:textId="68346EE8"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71"/>
                <w14:textFill>
                  <w14:solidFill>
                    <w14:srgbClr w14:val="000000">
                      <w14:alpha w14:val="100000"/>
                    </w14:srgbClr>
                  </w14:solidFill>
                </w14:textFill>
              </w:rPr>
              <w:t>|</w:t>
            </w:r>
            <w:r w:rsidR="00A8205F" w:rsidRPr="00AB21C8">
              <w:rPr>
                <w:rFonts w:cs="Arial"/>
                <w:color w:val="000000"/>
                <w:shd w:val="solid" w:color="000000" w:fill="000000"/>
                <w:fitText w:val="180" w:id="-1450962171"/>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C35F" w14:textId="2A25E1E7"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70"/>
                <w14:textFill>
                  <w14:solidFill>
                    <w14:srgbClr w14:val="000000">
                      <w14:alpha w14:val="100000"/>
                    </w14:srgbClr>
                  </w14:solidFill>
                </w14:textFill>
              </w:rPr>
              <w:t>|</w:t>
            </w:r>
            <w:r w:rsidR="00A8205F" w:rsidRPr="00AB21C8">
              <w:rPr>
                <w:rFonts w:cs="Arial"/>
                <w:color w:val="000000"/>
                <w:shd w:val="solid" w:color="000000" w:fill="000000"/>
                <w:fitText w:val="180" w:id="-1450962170"/>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E809" w14:textId="72B6819F"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highlight w:val="yellow"/>
              </w:rPr>
            </w:pPr>
            <w:r w:rsidRPr="00F35774">
              <w:rPr>
                <w:rFonts w:cs="Arial"/>
                <w:color w:val="000000"/>
              </w:rPr>
              <w:t>$</w:t>
            </w:r>
            <w:r w:rsidR="00A8205F" w:rsidRPr="00AB21C8">
              <w:rPr>
                <w:rFonts w:cs="Arial"/>
                <w:color w:val="000000"/>
                <w:spacing w:val="94"/>
                <w:shd w:val="solid" w:color="000000" w:fill="000000"/>
                <w:fitText w:val="180" w:id="-1450962169"/>
                <w14:textFill>
                  <w14:solidFill>
                    <w14:srgbClr w14:val="000000">
                      <w14:alpha w14:val="100000"/>
                    </w14:srgbClr>
                  </w14:solidFill>
                </w14:textFill>
              </w:rPr>
              <w:t>|</w:t>
            </w:r>
            <w:r w:rsidR="00A8205F" w:rsidRPr="00AB21C8">
              <w:rPr>
                <w:rFonts w:cs="Arial"/>
                <w:color w:val="000000"/>
                <w:shd w:val="solid" w:color="000000" w:fill="000000"/>
                <w:fitText w:val="180" w:id="-1450962169"/>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r>
      <w:tr w:rsidR="000C4977" w:rsidRPr="000C4977" w14:paraId="4775EFF6"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vAlign w:val="center"/>
          </w:tcPr>
          <w:p w14:paraId="4362FC4D" w14:textId="37363C63" w:rsidR="000C4977" w:rsidRPr="004702CE" w:rsidRDefault="000C4977" w:rsidP="001D4496">
            <w:pPr>
              <w:pStyle w:val="TableText"/>
              <w:keepNext/>
              <w:rPr>
                <w:bCs/>
                <w:vertAlign w:val="superscript"/>
              </w:rPr>
            </w:pPr>
            <w:r w:rsidRPr="004702CE">
              <w:rPr>
                <w:b/>
              </w:rPr>
              <w:t xml:space="preserve">Scenario 2 (All </w:t>
            </w:r>
            <w:r w:rsidRPr="004702CE">
              <w:rPr>
                <w:b/>
                <w:i/>
                <w:iCs/>
              </w:rPr>
              <w:t>BRCA</w:t>
            </w:r>
            <w:r w:rsidRPr="004702CE">
              <w:rPr>
                <w:b/>
              </w:rPr>
              <w:t xml:space="preserve"> test, </w:t>
            </w:r>
            <w:proofErr w:type="spellStart"/>
            <w:r w:rsidRPr="004702CE">
              <w:rPr>
                <w:b/>
                <w:i/>
                <w:iCs/>
              </w:rPr>
              <w:t>BRCA</w:t>
            </w:r>
            <w:r w:rsidRPr="004702CE">
              <w:rPr>
                <w:b/>
              </w:rPr>
              <w:t>wt</w:t>
            </w:r>
            <w:proofErr w:type="spellEnd"/>
            <w:r w:rsidRPr="004702CE">
              <w:rPr>
                <w:b/>
              </w:rPr>
              <w:t xml:space="preserve"> tested for HRD)</w:t>
            </w:r>
            <w:r w:rsidR="00FF7DA3">
              <w:rPr>
                <w:b/>
              </w:rPr>
              <w:t xml:space="preserve"> </w:t>
            </w:r>
            <w:r w:rsidRPr="004702CE">
              <w:rPr>
                <w:bCs/>
                <w:vertAlign w:val="superscript"/>
              </w:rPr>
              <w:t>a</w:t>
            </w:r>
          </w:p>
        </w:tc>
      </w:tr>
      <w:tr w:rsidR="000C4977" w:rsidRPr="000C4977" w14:paraId="2197F8D6"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12838FFB" w14:textId="77777777" w:rsidR="000C4977" w:rsidRPr="000C4977" w:rsidRDefault="000C4977" w:rsidP="001D4496">
            <w:pPr>
              <w:pStyle w:val="TableText"/>
              <w:keepNext/>
              <w:rPr>
                <w:iCs/>
                <w:vertAlign w:val="superscript"/>
              </w:rPr>
            </w:pPr>
            <w:r w:rsidRPr="000C4977">
              <w:t>Net cost to MBS</w:t>
            </w:r>
          </w:p>
        </w:tc>
        <w:tc>
          <w:tcPr>
            <w:tcW w:w="1243" w:type="dxa"/>
            <w:tcBorders>
              <w:top w:val="single" w:sz="4" w:space="0" w:color="auto"/>
              <w:left w:val="single" w:sz="4" w:space="0" w:color="auto"/>
              <w:bottom w:val="single" w:sz="4" w:space="0" w:color="auto"/>
              <w:right w:val="single" w:sz="4" w:space="0" w:color="auto"/>
            </w:tcBorders>
            <w:vAlign w:val="center"/>
          </w:tcPr>
          <w:p w14:paraId="5C373AF7"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$2,060,533</w:t>
            </w:r>
          </w:p>
        </w:tc>
        <w:tc>
          <w:tcPr>
            <w:tcW w:w="1244" w:type="dxa"/>
            <w:tcBorders>
              <w:top w:val="single" w:sz="4" w:space="0" w:color="auto"/>
              <w:left w:val="single" w:sz="4" w:space="0" w:color="auto"/>
              <w:bottom w:val="single" w:sz="4" w:space="0" w:color="auto"/>
              <w:right w:val="single" w:sz="4" w:space="0" w:color="auto"/>
            </w:tcBorders>
            <w:vAlign w:val="center"/>
          </w:tcPr>
          <w:p w14:paraId="4DDE0B11"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$2,128,766</w:t>
            </w:r>
          </w:p>
        </w:tc>
        <w:tc>
          <w:tcPr>
            <w:tcW w:w="1243" w:type="dxa"/>
            <w:tcBorders>
              <w:top w:val="single" w:sz="4" w:space="0" w:color="auto"/>
              <w:left w:val="single" w:sz="4" w:space="0" w:color="auto"/>
              <w:bottom w:val="single" w:sz="4" w:space="0" w:color="auto"/>
              <w:right w:val="single" w:sz="4" w:space="0" w:color="auto"/>
            </w:tcBorders>
            <w:vAlign w:val="center"/>
          </w:tcPr>
          <w:p w14:paraId="5A5B763F"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$2,168,255</w:t>
            </w:r>
          </w:p>
        </w:tc>
        <w:tc>
          <w:tcPr>
            <w:tcW w:w="1244" w:type="dxa"/>
            <w:tcBorders>
              <w:top w:val="single" w:sz="4" w:space="0" w:color="auto"/>
              <w:left w:val="single" w:sz="4" w:space="0" w:color="auto"/>
              <w:bottom w:val="single" w:sz="4" w:space="0" w:color="auto"/>
              <w:right w:val="single" w:sz="4" w:space="0" w:color="auto"/>
            </w:tcBorders>
            <w:vAlign w:val="center"/>
          </w:tcPr>
          <w:p w14:paraId="01D43E62"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$2,208,476</w:t>
            </w:r>
          </w:p>
        </w:tc>
        <w:tc>
          <w:tcPr>
            <w:tcW w:w="1243" w:type="dxa"/>
            <w:tcBorders>
              <w:top w:val="single" w:sz="4" w:space="0" w:color="auto"/>
              <w:left w:val="single" w:sz="4" w:space="0" w:color="auto"/>
              <w:bottom w:val="single" w:sz="4" w:space="0" w:color="auto"/>
              <w:right w:val="single" w:sz="4" w:space="0" w:color="auto"/>
            </w:tcBorders>
            <w:vAlign w:val="center"/>
          </w:tcPr>
          <w:p w14:paraId="4669F3DE"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$2,249,443</w:t>
            </w:r>
          </w:p>
        </w:tc>
        <w:tc>
          <w:tcPr>
            <w:tcW w:w="1244" w:type="dxa"/>
            <w:tcBorders>
              <w:top w:val="single" w:sz="4" w:space="0" w:color="auto"/>
              <w:left w:val="single" w:sz="4" w:space="0" w:color="auto"/>
              <w:bottom w:val="single" w:sz="4" w:space="0" w:color="auto"/>
              <w:right w:val="single" w:sz="4" w:space="0" w:color="auto"/>
            </w:tcBorders>
            <w:vAlign w:val="center"/>
          </w:tcPr>
          <w:p w14:paraId="69BD6351"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$2,291,170</w:t>
            </w:r>
          </w:p>
        </w:tc>
      </w:tr>
      <w:tr w:rsidR="002F29E2" w:rsidRPr="000C4977" w14:paraId="78EC814A"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5E31FE7C" w14:textId="77777777" w:rsidR="002F29E2" w:rsidRPr="000C4977" w:rsidRDefault="002F29E2" w:rsidP="002F29E2">
            <w:pPr>
              <w:pStyle w:val="TableText"/>
              <w:keepNext/>
            </w:pPr>
            <w:r w:rsidRPr="000C4977">
              <w:t xml:space="preserve">Net cost to PBS/RPBS </w:t>
            </w:r>
          </w:p>
        </w:tc>
        <w:tc>
          <w:tcPr>
            <w:tcW w:w="1243" w:type="dxa"/>
            <w:tcBorders>
              <w:top w:val="single" w:sz="4" w:space="0" w:color="auto"/>
              <w:left w:val="single" w:sz="4" w:space="0" w:color="auto"/>
              <w:bottom w:val="single" w:sz="4" w:space="0" w:color="auto"/>
              <w:right w:val="single" w:sz="4" w:space="0" w:color="auto"/>
            </w:tcBorders>
            <w:vAlign w:val="center"/>
          </w:tcPr>
          <w:p w14:paraId="3EFCC598" w14:textId="7D4A1B71"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8"/>
                <w14:textFill>
                  <w14:solidFill>
                    <w14:srgbClr w14:val="000000">
                      <w14:alpha w14:val="100000"/>
                    </w14:srgbClr>
                  </w14:solidFill>
                </w14:textFill>
              </w:rPr>
              <w:t>|</w:t>
            </w:r>
            <w:r w:rsidR="00A8205F" w:rsidRPr="00AB21C8">
              <w:rPr>
                <w:rFonts w:cs="Arial"/>
                <w:color w:val="000000"/>
                <w:shd w:val="solid" w:color="000000" w:fill="000000"/>
                <w:fitText w:val="180" w:id="-1450962168"/>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02353D4D" w14:textId="1EEDC831"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7"/>
                <w14:textFill>
                  <w14:solidFill>
                    <w14:srgbClr w14:val="000000">
                      <w14:alpha w14:val="100000"/>
                    </w14:srgbClr>
                  </w14:solidFill>
                </w14:textFill>
              </w:rPr>
              <w:t>|</w:t>
            </w:r>
            <w:r w:rsidR="00A8205F" w:rsidRPr="00AB21C8">
              <w:rPr>
                <w:rFonts w:cs="Arial"/>
                <w:color w:val="000000"/>
                <w:shd w:val="solid" w:color="000000" w:fill="000000"/>
                <w:fitText w:val="180" w:id="-1450962167"/>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4F7D67B9" w14:textId="77F1213F"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6"/>
                <w14:textFill>
                  <w14:solidFill>
                    <w14:srgbClr w14:val="000000">
                      <w14:alpha w14:val="100000"/>
                    </w14:srgbClr>
                  </w14:solidFill>
                </w14:textFill>
              </w:rPr>
              <w:t>|</w:t>
            </w:r>
            <w:r w:rsidR="00A8205F" w:rsidRPr="00AB21C8">
              <w:rPr>
                <w:rFonts w:cs="Arial"/>
                <w:color w:val="000000"/>
                <w:shd w:val="solid" w:color="000000" w:fill="000000"/>
                <w:fitText w:val="180" w:id="-1450962166"/>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1900F941" w14:textId="17769C7D"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5"/>
                <w14:textFill>
                  <w14:solidFill>
                    <w14:srgbClr w14:val="000000">
                      <w14:alpha w14:val="100000"/>
                    </w14:srgbClr>
                  </w14:solidFill>
                </w14:textFill>
              </w:rPr>
              <w:t>|</w:t>
            </w:r>
            <w:r w:rsidR="00A8205F" w:rsidRPr="00AB21C8">
              <w:rPr>
                <w:rFonts w:cs="Arial"/>
                <w:color w:val="000000"/>
                <w:shd w:val="solid" w:color="000000" w:fill="000000"/>
                <w:fitText w:val="180" w:id="-1450962165"/>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5567034F" w14:textId="01684612"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4"/>
                <w14:textFill>
                  <w14:solidFill>
                    <w14:srgbClr w14:val="000000">
                      <w14:alpha w14:val="100000"/>
                    </w14:srgbClr>
                  </w14:solidFill>
                </w14:textFill>
              </w:rPr>
              <w:t>|</w:t>
            </w:r>
            <w:r w:rsidR="00A8205F" w:rsidRPr="00AB21C8">
              <w:rPr>
                <w:rFonts w:cs="Arial"/>
                <w:color w:val="000000"/>
                <w:shd w:val="solid" w:color="000000" w:fill="000000"/>
                <w:fitText w:val="180" w:id="-1450962164"/>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6BF6DF96" w14:textId="0AE31D48"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3"/>
                <w14:textFill>
                  <w14:solidFill>
                    <w14:srgbClr w14:val="000000">
                      <w14:alpha w14:val="100000"/>
                    </w14:srgbClr>
                  </w14:solidFill>
                </w14:textFill>
              </w:rPr>
              <w:t>|</w:t>
            </w:r>
            <w:r w:rsidR="00A8205F" w:rsidRPr="00AB21C8">
              <w:rPr>
                <w:rFonts w:cs="Arial"/>
                <w:color w:val="000000"/>
                <w:shd w:val="solid" w:color="000000" w:fill="000000"/>
                <w:fitText w:val="180" w:id="-1450962163"/>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r w:rsidR="002F29E2" w:rsidRPr="000C4977" w14:paraId="0ED83ED7"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2428E135" w14:textId="77777777" w:rsidR="002F29E2" w:rsidRPr="000C4977" w:rsidRDefault="002F29E2" w:rsidP="002F29E2">
            <w:pPr>
              <w:pStyle w:val="TableText"/>
              <w:keepNext/>
            </w:pPr>
            <w:r w:rsidRPr="000C4977">
              <w:t xml:space="preserve">Net cost health budget </w:t>
            </w:r>
          </w:p>
        </w:tc>
        <w:tc>
          <w:tcPr>
            <w:tcW w:w="1243" w:type="dxa"/>
            <w:tcBorders>
              <w:top w:val="single" w:sz="4" w:space="0" w:color="auto"/>
              <w:left w:val="single" w:sz="4" w:space="0" w:color="auto"/>
              <w:bottom w:val="single" w:sz="4" w:space="0" w:color="auto"/>
              <w:right w:val="single" w:sz="4" w:space="0" w:color="auto"/>
            </w:tcBorders>
            <w:vAlign w:val="center"/>
          </w:tcPr>
          <w:p w14:paraId="4F546254" w14:textId="4DA0F7CF"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2"/>
                <w14:textFill>
                  <w14:solidFill>
                    <w14:srgbClr w14:val="000000">
                      <w14:alpha w14:val="100000"/>
                    </w14:srgbClr>
                  </w14:solidFill>
                </w14:textFill>
              </w:rPr>
              <w:t>|</w:t>
            </w:r>
            <w:r w:rsidR="00A8205F" w:rsidRPr="00AB21C8">
              <w:rPr>
                <w:rFonts w:cs="Arial"/>
                <w:color w:val="000000"/>
                <w:shd w:val="solid" w:color="000000" w:fill="000000"/>
                <w:fitText w:val="180" w:id="-1450962162"/>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734D1391" w14:textId="0FAFE4FD"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1"/>
                <w14:textFill>
                  <w14:solidFill>
                    <w14:srgbClr w14:val="000000">
                      <w14:alpha w14:val="100000"/>
                    </w14:srgbClr>
                  </w14:solidFill>
                </w14:textFill>
              </w:rPr>
              <w:t>|</w:t>
            </w:r>
            <w:r w:rsidR="00A8205F" w:rsidRPr="00AB21C8">
              <w:rPr>
                <w:rFonts w:cs="Arial"/>
                <w:color w:val="000000"/>
                <w:shd w:val="solid" w:color="000000" w:fill="000000"/>
                <w:fitText w:val="180" w:id="-1450962161"/>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6EF4A6D2" w14:textId="4A70FB29"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60"/>
                <w14:textFill>
                  <w14:solidFill>
                    <w14:srgbClr w14:val="000000">
                      <w14:alpha w14:val="100000"/>
                    </w14:srgbClr>
                  </w14:solidFill>
                </w14:textFill>
              </w:rPr>
              <w:t>|</w:t>
            </w:r>
            <w:r w:rsidR="00A8205F" w:rsidRPr="00AB21C8">
              <w:rPr>
                <w:rFonts w:cs="Arial"/>
                <w:color w:val="000000"/>
                <w:shd w:val="solid" w:color="000000" w:fill="000000"/>
                <w:fitText w:val="180" w:id="-1450962160"/>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4" w:type="dxa"/>
            <w:tcBorders>
              <w:top w:val="single" w:sz="4" w:space="0" w:color="auto"/>
              <w:left w:val="single" w:sz="4" w:space="0" w:color="auto"/>
              <w:bottom w:val="single" w:sz="4" w:space="0" w:color="auto"/>
              <w:right w:val="single" w:sz="4" w:space="0" w:color="auto"/>
            </w:tcBorders>
            <w:vAlign w:val="center"/>
          </w:tcPr>
          <w:p w14:paraId="3AB0BDF3" w14:textId="62C7827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6"/>
                <w14:textFill>
                  <w14:solidFill>
                    <w14:srgbClr w14:val="000000">
                      <w14:alpha w14:val="100000"/>
                    </w14:srgbClr>
                  </w14:solidFill>
                </w14:textFill>
              </w:rPr>
              <w:t>|</w:t>
            </w:r>
            <w:r w:rsidR="00A8205F" w:rsidRPr="00AB21C8">
              <w:rPr>
                <w:rFonts w:cs="Arial"/>
                <w:color w:val="000000"/>
                <w:shd w:val="solid" w:color="000000" w:fill="000000"/>
                <w:fitText w:val="180" w:id="-1450962176"/>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3" w:type="dxa"/>
            <w:tcBorders>
              <w:top w:val="single" w:sz="4" w:space="0" w:color="auto"/>
              <w:left w:val="single" w:sz="4" w:space="0" w:color="auto"/>
              <w:bottom w:val="single" w:sz="4" w:space="0" w:color="auto"/>
              <w:right w:val="single" w:sz="4" w:space="0" w:color="auto"/>
            </w:tcBorders>
            <w:vAlign w:val="center"/>
          </w:tcPr>
          <w:p w14:paraId="2973F044" w14:textId="6F37FE18"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5"/>
                <w14:textFill>
                  <w14:solidFill>
                    <w14:srgbClr w14:val="000000">
                      <w14:alpha w14:val="100000"/>
                    </w14:srgbClr>
                  </w14:solidFill>
                </w14:textFill>
              </w:rPr>
              <w:t>|</w:t>
            </w:r>
            <w:r w:rsidR="00A8205F" w:rsidRPr="00AB21C8">
              <w:rPr>
                <w:rFonts w:cs="Arial"/>
                <w:color w:val="000000"/>
                <w:shd w:val="solid" w:color="000000" w:fill="000000"/>
                <w:fitText w:val="180" w:id="-1450962175"/>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c>
          <w:tcPr>
            <w:tcW w:w="1244" w:type="dxa"/>
            <w:tcBorders>
              <w:top w:val="single" w:sz="4" w:space="0" w:color="auto"/>
              <w:left w:val="single" w:sz="4" w:space="0" w:color="auto"/>
              <w:bottom w:val="single" w:sz="4" w:space="0" w:color="auto"/>
              <w:right w:val="single" w:sz="4" w:space="0" w:color="auto"/>
            </w:tcBorders>
            <w:vAlign w:val="center"/>
          </w:tcPr>
          <w:p w14:paraId="5FD52423" w14:textId="108369A9"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4"/>
                <w14:textFill>
                  <w14:solidFill>
                    <w14:srgbClr w14:val="000000">
                      <w14:alpha w14:val="100000"/>
                    </w14:srgbClr>
                  </w14:solidFill>
                </w14:textFill>
              </w:rPr>
              <w:t>|</w:t>
            </w:r>
            <w:r w:rsidR="00A8205F" w:rsidRPr="00AB21C8">
              <w:rPr>
                <w:rFonts w:cs="Arial"/>
                <w:color w:val="000000"/>
                <w:shd w:val="solid" w:color="000000" w:fill="000000"/>
                <w:fitText w:val="180" w:id="-1450962174"/>
                <w14:textFill>
                  <w14:solidFill>
                    <w14:srgbClr w14:val="000000">
                      <w14:alpha w14:val="100000"/>
                    </w14:srgbClr>
                  </w14:solidFill>
                </w14:textFill>
              </w:rPr>
              <w:t>|</w:t>
            </w:r>
            <w:r w:rsidR="00AB21C8">
              <w:rPr>
                <w:rFonts w:cs="Arial"/>
                <w:color w:val="000000"/>
              </w:rPr>
              <w:t xml:space="preserve"> </w:t>
            </w:r>
            <w:r>
              <w:rPr>
                <w:rFonts w:cs="Arial"/>
                <w:color w:val="000000"/>
                <w:vertAlign w:val="superscript"/>
              </w:rPr>
              <w:t>2</w:t>
            </w:r>
          </w:p>
        </w:tc>
      </w:tr>
      <w:tr w:rsidR="000C4977" w:rsidRPr="000C4977" w14:paraId="35834BB0"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vAlign w:val="center"/>
          </w:tcPr>
          <w:p w14:paraId="18EF75B4" w14:textId="615FCB81" w:rsidR="000C4977" w:rsidRPr="004702CE" w:rsidRDefault="000C4977" w:rsidP="001D4496">
            <w:pPr>
              <w:pStyle w:val="TableText"/>
              <w:keepNext/>
              <w:rPr>
                <w:bCs/>
                <w:vertAlign w:val="superscript"/>
              </w:rPr>
            </w:pPr>
            <w:r w:rsidRPr="004702CE">
              <w:rPr>
                <w:b/>
              </w:rPr>
              <w:t xml:space="preserve">Scenario 3a (only </w:t>
            </w:r>
            <w:proofErr w:type="spellStart"/>
            <w:r w:rsidRPr="004702CE">
              <w:rPr>
                <w:b/>
              </w:rPr>
              <w:t>pt</w:t>
            </w:r>
            <w:proofErr w:type="spellEnd"/>
            <w:r w:rsidRPr="004702CE">
              <w:rPr>
                <w:b/>
              </w:rPr>
              <w:t xml:space="preserve"> using </w:t>
            </w:r>
            <w:proofErr w:type="spellStart"/>
            <w:r w:rsidRPr="004702CE">
              <w:rPr>
                <w:b/>
              </w:rPr>
              <w:t>beva</w:t>
            </w:r>
            <w:proofErr w:type="spellEnd"/>
            <w:r w:rsidRPr="004702CE">
              <w:rPr>
                <w:b/>
              </w:rPr>
              <w:t xml:space="preserve"> with chemo [90%] test for HRD, others </w:t>
            </w:r>
            <w:r w:rsidRPr="004702CE">
              <w:rPr>
                <w:b/>
                <w:i/>
                <w:iCs/>
              </w:rPr>
              <w:t>BRCA</w:t>
            </w:r>
            <w:r w:rsidRPr="004702CE">
              <w:rPr>
                <w:b/>
              </w:rPr>
              <w:t xml:space="preserve"> test)</w:t>
            </w:r>
            <w:r w:rsidR="002653CF" w:rsidRPr="004702CE">
              <w:rPr>
                <w:b/>
              </w:rPr>
              <w:t xml:space="preserve"> </w:t>
            </w:r>
            <w:r w:rsidRPr="004702CE">
              <w:rPr>
                <w:bCs/>
                <w:vertAlign w:val="superscript"/>
              </w:rPr>
              <w:t>b</w:t>
            </w:r>
          </w:p>
        </w:tc>
      </w:tr>
      <w:tr w:rsidR="000C4977" w:rsidRPr="000C4977" w14:paraId="78D93093"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08FB7BDA" w14:textId="77777777" w:rsidR="000C4977" w:rsidRPr="000C4977" w:rsidRDefault="000C4977" w:rsidP="001D4496">
            <w:pPr>
              <w:pStyle w:val="TableText"/>
              <w:keepNext/>
            </w:pPr>
            <w:r w:rsidRPr="000C4977">
              <w:t>Net cost to MBS</w:t>
            </w:r>
          </w:p>
        </w:tc>
        <w:tc>
          <w:tcPr>
            <w:tcW w:w="1243" w:type="dxa"/>
            <w:tcBorders>
              <w:top w:val="single" w:sz="4" w:space="0" w:color="auto"/>
              <w:left w:val="single" w:sz="4" w:space="0" w:color="auto"/>
              <w:bottom w:val="single" w:sz="4" w:space="0" w:color="auto"/>
              <w:right w:val="single" w:sz="4" w:space="0" w:color="auto"/>
            </w:tcBorders>
            <w:vAlign w:val="center"/>
          </w:tcPr>
          <w:p w14:paraId="32CB16AA"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$1,548,300</w:t>
            </w:r>
          </w:p>
        </w:tc>
        <w:tc>
          <w:tcPr>
            <w:tcW w:w="1244" w:type="dxa"/>
            <w:tcBorders>
              <w:top w:val="single" w:sz="4" w:space="0" w:color="auto"/>
              <w:left w:val="single" w:sz="4" w:space="0" w:color="auto"/>
              <w:bottom w:val="single" w:sz="4" w:space="0" w:color="auto"/>
              <w:right w:val="single" w:sz="4" w:space="0" w:color="auto"/>
            </w:tcBorders>
            <w:vAlign w:val="center"/>
          </w:tcPr>
          <w:p w14:paraId="343141A3"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$1,607,366</w:t>
            </w:r>
          </w:p>
        </w:tc>
        <w:tc>
          <w:tcPr>
            <w:tcW w:w="1243" w:type="dxa"/>
            <w:tcBorders>
              <w:top w:val="single" w:sz="4" w:space="0" w:color="auto"/>
              <w:left w:val="single" w:sz="4" w:space="0" w:color="auto"/>
              <w:bottom w:val="single" w:sz="4" w:space="0" w:color="auto"/>
              <w:right w:val="single" w:sz="4" w:space="0" w:color="auto"/>
            </w:tcBorders>
            <w:vAlign w:val="center"/>
          </w:tcPr>
          <w:p w14:paraId="60AFE7CC"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$1,637,182</w:t>
            </w:r>
          </w:p>
        </w:tc>
        <w:tc>
          <w:tcPr>
            <w:tcW w:w="1244" w:type="dxa"/>
            <w:tcBorders>
              <w:top w:val="single" w:sz="4" w:space="0" w:color="auto"/>
              <w:left w:val="single" w:sz="4" w:space="0" w:color="auto"/>
              <w:bottom w:val="single" w:sz="4" w:space="0" w:color="auto"/>
              <w:right w:val="single" w:sz="4" w:space="0" w:color="auto"/>
            </w:tcBorders>
            <w:vAlign w:val="center"/>
          </w:tcPr>
          <w:p w14:paraId="575C784A"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$1,667,552</w:t>
            </w:r>
          </w:p>
        </w:tc>
        <w:tc>
          <w:tcPr>
            <w:tcW w:w="1243" w:type="dxa"/>
            <w:tcBorders>
              <w:top w:val="single" w:sz="4" w:space="0" w:color="auto"/>
              <w:left w:val="single" w:sz="4" w:space="0" w:color="auto"/>
              <w:bottom w:val="single" w:sz="4" w:space="0" w:color="auto"/>
              <w:right w:val="single" w:sz="4" w:space="0" w:color="auto"/>
            </w:tcBorders>
            <w:vAlign w:val="center"/>
          </w:tcPr>
          <w:p w14:paraId="117FA067"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$1,698,485</w:t>
            </w:r>
          </w:p>
        </w:tc>
        <w:tc>
          <w:tcPr>
            <w:tcW w:w="1244" w:type="dxa"/>
            <w:tcBorders>
              <w:top w:val="single" w:sz="4" w:space="0" w:color="auto"/>
              <w:left w:val="single" w:sz="4" w:space="0" w:color="auto"/>
              <w:bottom w:val="single" w:sz="4" w:space="0" w:color="auto"/>
              <w:right w:val="single" w:sz="4" w:space="0" w:color="auto"/>
            </w:tcBorders>
            <w:vAlign w:val="center"/>
          </w:tcPr>
          <w:p w14:paraId="68394A03" w14:textId="77777777" w:rsidR="000C4977" w:rsidRPr="004702CE" w:rsidRDefault="000C4977"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$1,729,992</w:t>
            </w:r>
          </w:p>
        </w:tc>
      </w:tr>
      <w:tr w:rsidR="002F29E2" w:rsidRPr="000C4977" w14:paraId="6C4027DB"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3F296F4A" w14:textId="77777777" w:rsidR="002F29E2" w:rsidRPr="000C4977" w:rsidRDefault="002F29E2" w:rsidP="002F29E2">
            <w:pPr>
              <w:pStyle w:val="TableText"/>
              <w:keepNext/>
            </w:pPr>
            <w:r w:rsidRPr="000C4977">
              <w:t xml:space="preserve">Net cost to PBS/RPBS </w:t>
            </w:r>
          </w:p>
        </w:tc>
        <w:tc>
          <w:tcPr>
            <w:tcW w:w="1243" w:type="dxa"/>
            <w:tcBorders>
              <w:top w:val="single" w:sz="4" w:space="0" w:color="auto"/>
              <w:left w:val="single" w:sz="4" w:space="0" w:color="auto"/>
              <w:bottom w:val="single" w:sz="4" w:space="0" w:color="auto"/>
              <w:right w:val="single" w:sz="4" w:space="0" w:color="auto"/>
            </w:tcBorders>
            <w:vAlign w:val="center"/>
          </w:tcPr>
          <w:p w14:paraId="339F3556" w14:textId="6F2A8077"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3"/>
                <w14:textFill>
                  <w14:solidFill>
                    <w14:srgbClr w14:val="000000">
                      <w14:alpha w14:val="100000"/>
                    </w14:srgbClr>
                  </w14:solidFill>
                </w14:textFill>
              </w:rPr>
              <w:t>|</w:t>
            </w:r>
            <w:r w:rsidR="00A8205F" w:rsidRPr="00AB21C8">
              <w:rPr>
                <w:rFonts w:cs="Arial"/>
                <w:color w:val="000000"/>
                <w:shd w:val="solid" w:color="000000" w:fill="000000"/>
                <w:fitText w:val="180" w:id="-1450962173"/>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7DCDFAB5" w14:textId="3196B774"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2"/>
                <w14:textFill>
                  <w14:solidFill>
                    <w14:srgbClr w14:val="000000">
                      <w14:alpha w14:val="100000"/>
                    </w14:srgbClr>
                  </w14:solidFill>
                </w14:textFill>
              </w:rPr>
              <w:t>|</w:t>
            </w:r>
            <w:r w:rsidR="00A8205F" w:rsidRPr="00AB21C8">
              <w:rPr>
                <w:rFonts w:cs="Arial"/>
                <w:color w:val="000000"/>
                <w:shd w:val="solid" w:color="000000" w:fill="000000"/>
                <w:fitText w:val="180" w:id="-1450962172"/>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6217E31E" w14:textId="2F8BAAEB"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1"/>
                <w14:textFill>
                  <w14:solidFill>
                    <w14:srgbClr w14:val="000000">
                      <w14:alpha w14:val="100000"/>
                    </w14:srgbClr>
                  </w14:solidFill>
                </w14:textFill>
              </w:rPr>
              <w:t>|</w:t>
            </w:r>
            <w:r w:rsidR="00A8205F" w:rsidRPr="00AB21C8">
              <w:rPr>
                <w:rFonts w:cs="Arial"/>
                <w:color w:val="000000"/>
                <w:shd w:val="solid" w:color="000000" w:fill="000000"/>
                <w:fitText w:val="180" w:id="-1450962171"/>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4970EF5B" w14:textId="61A9796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2170"/>
                <w14:textFill>
                  <w14:solidFill>
                    <w14:srgbClr w14:val="000000">
                      <w14:alpha w14:val="100000"/>
                    </w14:srgbClr>
                  </w14:solidFill>
                </w14:textFill>
              </w:rPr>
              <w:t>|</w:t>
            </w:r>
            <w:r w:rsidR="00A8205F" w:rsidRPr="00AB21C8">
              <w:rPr>
                <w:rFonts w:cs="Arial"/>
                <w:color w:val="000000"/>
                <w:shd w:val="solid" w:color="000000" w:fill="000000"/>
                <w:fitText w:val="180" w:id="-1450962170"/>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0C9B60C3" w14:textId="4CB1EB2D"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20"/>
                <w14:textFill>
                  <w14:solidFill>
                    <w14:srgbClr w14:val="000000">
                      <w14:alpha w14:val="100000"/>
                    </w14:srgbClr>
                  </w14:solidFill>
                </w14:textFill>
              </w:rPr>
              <w:t>|</w:t>
            </w:r>
            <w:r w:rsidR="00A8205F" w:rsidRPr="00AB21C8">
              <w:rPr>
                <w:rFonts w:cs="Arial"/>
                <w:color w:val="000000"/>
                <w:shd w:val="solid" w:color="000000" w:fill="000000"/>
                <w:fitText w:val="180" w:id="-1450961920"/>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3FDBBF21" w14:textId="3FF009C0"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9"/>
                <w14:textFill>
                  <w14:solidFill>
                    <w14:srgbClr w14:val="000000">
                      <w14:alpha w14:val="100000"/>
                    </w14:srgbClr>
                  </w14:solidFill>
                </w14:textFill>
              </w:rPr>
              <w:t>|</w:t>
            </w:r>
            <w:r w:rsidR="00A8205F" w:rsidRPr="00AB21C8">
              <w:rPr>
                <w:rFonts w:cs="Arial"/>
                <w:color w:val="000000"/>
                <w:shd w:val="solid" w:color="000000" w:fill="000000"/>
                <w:fitText w:val="180" w:id="-1450961919"/>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r w:rsidR="002F29E2" w:rsidRPr="000C4977" w14:paraId="75A109A7"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7445F8B6" w14:textId="77777777" w:rsidR="002F29E2" w:rsidRPr="000C4977" w:rsidRDefault="002F29E2" w:rsidP="002F29E2">
            <w:pPr>
              <w:pStyle w:val="TableText"/>
              <w:keepNext/>
            </w:pPr>
            <w:r w:rsidRPr="000C4977">
              <w:t xml:space="preserve">Net cost health budget </w:t>
            </w:r>
          </w:p>
        </w:tc>
        <w:tc>
          <w:tcPr>
            <w:tcW w:w="1243" w:type="dxa"/>
            <w:tcBorders>
              <w:top w:val="single" w:sz="4" w:space="0" w:color="auto"/>
              <w:left w:val="single" w:sz="4" w:space="0" w:color="auto"/>
              <w:bottom w:val="single" w:sz="4" w:space="0" w:color="auto"/>
              <w:right w:val="single" w:sz="4" w:space="0" w:color="auto"/>
            </w:tcBorders>
            <w:vAlign w:val="center"/>
          </w:tcPr>
          <w:p w14:paraId="3B635D92" w14:textId="45FE5D4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8"/>
                <w14:textFill>
                  <w14:solidFill>
                    <w14:srgbClr w14:val="000000">
                      <w14:alpha w14:val="100000"/>
                    </w14:srgbClr>
                  </w14:solidFill>
                </w14:textFill>
              </w:rPr>
              <w:t>|</w:t>
            </w:r>
            <w:r w:rsidR="00A8205F" w:rsidRPr="00AB21C8">
              <w:rPr>
                <w:rFonts w:cs="Arial"/>
                <w:color w:val="000000"/>
                <w:shd w:val="solid" w:color="000000" w:fill="000000"/>
                <w:fitText w:val="180" w:id="-1450961918"/>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6E0982D4" w14:textId="2245469B"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7"/>
                <w14:textFill>
                  <w14:solidFill>
                    <w14:srgbClr w14:val="000000">
                      <w14:alpha w14:val="100000"/>
                    </w14:srgbClr>
                  </w14:solidFill>
                </w14:textFill>
              </w:rPr>
              <w:t>|</w:t>
            </w:r>
            <w:r w:rsidR="00A8205F" w:rsidRPr="00AB21C8">
              <w:rPr>
                <w:rFonts w:cs="Arial"/>
                <w:color w:val="000000"/>
                <w:shd w:val="solid" w:color="000000" w:fill="000000"/>
                <w:fitText w:val="180" w:id="-1450961917"/>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7DECE238" w14:textId="16C519AC"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6"/>
                <w14:textFill>
                  <w14:solidFill>
                    <w14:srgbClr w14:val="000000">
                      <w14:alpha w14:val="100000"/>
                    </w14:srgbClr>
                  </w14:solidFill>
                </w14:textFill>
              </w:rPr>
              <w:t>|</w:t>
            </w:r>
            <w:r w:rsidR="00A8205F" w:rsidRPr="00AB21C8">
              <w:rPr>
                <w:rFonts w:cs="Arial"/>
                <w:color w:val="000000"/>
                <w:shd w:val="solid" w:color="000000" w:fill="000000"/>
                <w:fitText w:val="180" w:id="-1450961916"/>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03AF6B12" w14:textId="3BAD2A24"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5"/>
                <w14:textFill>
                  <w14:solidFill>
                    <w14:srgbClr w14:val="000000">
                      <w14:alpha w14:val="100000"/>
                    </w14:srgbClr>
                  </w14:solidFill>
                </w14:textFill>
              </w:rPr>
              <w:t>|</w:t>
            </w:r>
            <w:r w:rsidR="00A8205F" w:rsidRPr="00AB21C8">
              <w:rPr>
                <w:rFonts w:cs="Arial"/>
                <w:color w:val="000000"/>
                <w:shd w:val="solid" w:color="000000" w:fill="000000"/>
                <w:fitText w:val="180" w:id="-1450961915"/>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7BAB343A" w14:textId="2CF16095"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4"/>
                <w14:textFill>
                  <w14:solidFill>
                    <w14:srgbClr w14:val="000000">
                      <w14:alpha w14:val="100000"/>
                    </w14:srgbClr>
                  </w14:solidFill>
                </w14:textFill>
              </w:rPr>
              <w:t>|</w:t>
            </w:r>
            <w:r w:rsidR="00A8205F" w:rsidRPr="00AB21C8">
              <w:rPr>
                <w:rFonts w:cs="Arial"/>
                <w:color w:val="000000"/>
                <w:shd w:val="solid" w:color="000000" w:fill="000000"/>
                <w:fitText w:val="180" w:id="-1450961914"/>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71FF9917" w14:textId="4A655349"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3"/>
                <w14:textFill>
                  <w14:solidFill>
                    <w14:srgbClr w14:val="000000">
                      <w14:alpha w14:val="100000"/>
                    </w14:srgbClr>
                  </w14:solidFill>
                </w14:textFill>
              </w:rPr>
              <w:t>|</w:t>
            </w:r>
            <w:r w:rsidR="00A8205F" w:rsidRPr="00AB21C8">
              <w:rPr>
                <w:rFonts w:cs="Arial"/>
                <w:color w:val="000000"/>
                <w:shd w:val="solid" w:color="000000" w:fill="000000"/>
                <w:fitText w:val="180" w:id="-1450961913"/>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r w:rsidR="000C4977" w:rsidRPr="000C4977" w14:paraId="123F840A" w14:textId="77777777" w:rsidTr="00A91280">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vAlign w:val="center"/>
          </w:tcPr>
          <w:p w14:paraId="3DFC4713" w14:textId="77777777" w:rsidR="000C4977" w:rsidRPr="004702CE" w:rsidRDefault="000C4977" w:rsidP="001D4496">
            <w:pPr>
              <w:pStyle w:val="TableText"/>
              <w:keepNext/>
              <w:rPr>
                <w:bCs/>
                <w:vertAlign w:val="superscript"/>
              </w:rPr>
            </w:pPr>
            <w:r w:rsidRPr="004702CE">
              <w:rPr>
                <w:b/>
              </w:rPr>
              <w:t xml:space="preserve">Scenario 3b (All </w:t>
            </w:r>
            <w:proofErr w:type="spellStart"/>
            <w:r w:rsidRPr="004702CE">
              <w:rPr>
                <w:b/>
              </w:rPr>
              <w:t>pt</w:t>
            </w:r>
            <w:proofErr w:type="spellEnd"/>
            <w:r w:rsidRPr="004702CE">
              <w:rPr>
                <w:b/>
              </w:rPr>
              <w:t xml:space="preserve"> tested with </w:t>
            </w:r>
            <w:r w:rsidRPr="004702CE">
              <w:rPr>
                <w:b/>
                <w:i/>
                <w:iCs/>
              </w:rPr>
              <w:t>BRCA</w:t>
            </w:r>
            <w:r w:rsidRPr="004702CE">
              <w:rPr>
                <w:b/>
              </w:rPr>
              <w:t xml:space="preserve">, only </w:t>
            </w:r>
            <w:proofErr w:type="spellStart"/>
            <w:r w:rsidRPr="004702CE">
              <w:rPr>
                <w:b/>
                <w:i/>
                <w:iCs/>
              </w:rPr>
              <w:t>BRCA</w:t>
            </w:r>
            <w:r w:rsidRPr="004702CE">
              <w:rPr>
                <w:b/>
              </w:rPr>
              <w:t>wt</w:t>
            </w:r>
            <w:proofErr w:type="spellEnd"/>
            <w:r w:rsidRPr="004702CE">
              <w:rPr>
                <w:b/>
              </w:rPr>
              <w:t xml:space="preserve"> </w:t>
            </w:r>
            <w:proofErr w:type="spellStart"/>
            <w:r w:rsidRPr="004702CE">
              <w:rPr>
                <w:b/>
              </w:rPr>
              <w:t>pt</w:t>
            </w:r>
            <w:proofErr w:type="spellEnd"/>
            <w:r w:rsidRPr="004702CE">
              <w:rPr>
                <w:b/>
              </w:rPr>
              <w:t xml:space="preserve"> using </w:t>
            </w:r>
            <w:proofErr w:type="spellStart"/>
            <w:r w:rsidRPr="004702CE">
              <w:rPr>
                <w:b/>
              </w:rPr>
              <w:t>beva</w:t>
            </w:r>
            <w:proofErr w:type="spellEnd"/>
            <w:r w:rsidRPr="004702CE">
              <w:rPr>
                <w:b/>
              </w:rPr>
              <w:t xml:space="preserve"> with chemo [90%] test for </w:t>
            </w:r>
            <w:proofErr w:type="gramStart"/>
            <w:r w:rsidRPr="004702CE">
              <w:rPr>
                <w:b/>
              </w:rPr>
              <w:t>HRD)</w:t>
            </w:r>
            <w:r w:rsidRPr="004702CE">
              <w:rPr>
                <w:bCs/>
                <w:vertAlign w:val="superscript"/>
              </w:rPr>
              <w:t>b</w:t>
            </w:r>
            <w:proofErr w:type="gramEnd"/>
          </w:p>
        </w:tc>
      </w:tr>
      <w:tr w:rsidR="000C4977" w:rsidRPr="000C4977" w14:paraId="34E6E023"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29B928D5" w14:textId="77777777" w:rsidR="000C4977" w:rsidRPr="004702CE" w:rsidRDefault="000C4977" w:rsidP="001D4496">
            <w:pPr>
              <w:pStyle w:val="TableText"/>
              <w:keepNext/>
            </w:pPr>
            <w:r w:rsidRPr="004702CE">
              <w:t>Net cost to MBS</w:t>
            </w:r>
          </w:p>
        </w:tc>
        <w:tc>
          <w:tcPr>
            <w:tcW w:w="1243" w:type="dxa"/>
            <w:tcBorders>
              <w:top w:val="single" w:sz="4" w:space="0" w:color="auto"/>
              <w:left w:val="single" w:sz="4" w:space="0" w:color="auto"/>
              <w:bottom w:val="single" w:sz="4" w:space="0" w:color="auto"/>
              <w:right w:val="single" w:sz="4" w:space="0" w:color="auto"/>
            </w:tcBorders>
            <w:vAlign w:val="center"/>
          </w:tcPr>
          <w:p w14:paraId="3F604BDF" w14:textId="147178B3"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1,862,974</w:t>
            </w:r>
          </w:p>
        </w:tc>
        <w:tc>
          <w:tcPr>
            <w:tcW w:w="1244" w:type="dxa"/>
            <w:tcBorders>
              <w:top w:val="single" w:sz="4" w:space="0" w:color="auto"/>
              <w:left w:val="single" w:sz="4" w:space="0" w:color="auto"/>
              <w:bottom w:val="single" w:sz="4" w:space="0" w:color="auto"/>
              <w:right w:val="single" w:sz="4" w:space="0" w:color="auto"/>
            </w:tcBorders>
            <w:vAlign w:val="center"/>
          </w:tcPr>
          <w:p w14:paraId="6C4B7157" w14:textId="3473257B"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1,927,877</w:t>
            </w:r>
          </w:p>
        </w:tc>
        <w:tc>
          <w:tcPr>
            <w:tcW w:w="1243" w:type="dxa"/>
            <w:tcBorders>
              <w:top w:val="single" w:sz="4" w:space="0" w:color="auto"/>
              <w:left w:val="single" w:sz="4" w:space="0" w:color="auto"/>
              <w:bottom w:val="single" w:sz="4" w:space="0" w:color="auto"/>
              <w:right w:val="single" w:sz="4" w:space="0" w:color="auto"/>
            </w:tcBorders>
            <w:vAlign w:val="center"/>
          </w:tcPr>
          <w:p w14:paraId="254813D0" w14:textId="634C395A"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1,963,639</w:t>
            </w:r>
          </w:p>
        </w:tc>
        <w:tc>
          <w:tcPr>
            <w:tcW w:w="1244" w:type="dxa"/>
            <w:tcBorders>
              <w:top w:val="single" w:sz="4" w:space="0" w:color="auto"/>
              <w:left w:val="single" w:sz="4" w:space="0" w:color="auto"/>
              <w:bottom w:val="single" w:sz="4" w:space="0" w:color="auto"/>
              <w:right w:val="single" w:sz="4" w:space="0" w:color="auto"/>
            </w:tcBorders>
            <w:vAlign w:val="center"/>
          </w:tcPr>
          <w:p w14:paraId="592CDA1E" w14:textId="259FDC2D"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2,000,065</w:t>
            </w:r>
          </w:p>
        </w:tc>
        <w:tc>
          <w:tcPr>
            <w:tcW w:w="1243" w:type="dxa"/>
            <w:tcBorders>
              <w:top w:val="single" w:sz="4" w:space="0" w:color="auto"/>
              <w:left w:val="single" w:sz="4" w:space="0" w:color="auto"/>
              <w:bottom w:val="single" w:sz="4" w:space="0" w:color="auto"/>
              <w:right w:val="single" w:sz="4" w:space="0" w:color="auto"/>
            </w:tcBorders>
            <w:vAlign w:val="center"/>
          </w:tcPr>
          <w:p w14:paraId="28B89CA6" w14:textId="0D4A7BC5"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2,037,166</w:t>
            </w:r>
          </w:p>
        </w:tc>
        <w:tc>
          <w:tcPr>
            <w:tcW w:w="1244" w:type="dxa"/>
            <w:tcBorders>
              <w:top w:val="single" w:sz="4" w:space="0" w:color="auto"/>
              <w:left w:val="single" w:sz="4" w:space="0" w:color="auto"/>
              <w:bottom w:val="single" w:sz="4" w:space="0" w:color="auto"/>
              <w:right w:val="single" w:sz="4" w:space="0" w:color="auto"/>
            </w:tcBorders>
            <w:vAlign w:val="center"/>
          </w:tcPr>
          <w:p w14:paraId="4D5E476C" w14:textId="6E5014BD" w:rsidR="000C4977" w:rsidRPr="004702CE" w:rsidRDefault="00F35774" w:rsidP="001D4496">
            <w:pPr>
              <w:pStyle w:val="TableText"/>
              <w:keepNext/>
              <w:cnfStyle w:val="000000000000" w:firstRow="0" w:lastRow="0" w:firstColumn="0" w:lastColumn="0" w:oddVBand="0" w:evenVBand="0" w:oddHBand="0" w:evenHBand="0" w:firstRowFirstColumn="0" w:firstRowLastColumn="0" w:lastRowFirstColumn="0" w:lastRowLastColumn="0"/>
              <w:rPr>
                <w:rFonts w:cstheme="majorBidi"/>
              </w:rPr>
            </w:pPr>
            <w:r w:rsidRPr="004702CE">
              <w:rPr>
                <w:rFonts w:cs="Arial"/>
                <w:color w:val="000000"/>
              </w:rPr>
              <w:t>$</w:t>
            </w:r>
            <w:r w:rsidR="000C4977" w:rsidRPr="004702CE">
              <w:rPr>
                <w:rFonts w:cs="Arial"/>
                <w:color w:val="000000"/>
              </w:rPr>
              <w:t>2,074,955</w:t>
            </w:r>
          </w:p>
        </w:tc>
      </w:tr>
      <w:tr w:rsidR="002F29E2" w:rsidRPr="000C4977" w14:paraId="502DB1D3"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183179C1" w14:textId="77777777" w:rsidR="002F29E2" w:rsidRPr="000C4977" w:rsidRDefault="002F29E2" w:rsidP="002F29E2">
            <w:pPr>
              <w:pStyle w:val="TableText"/>
              <w:keepNext/>
            </w:pPr>
            <w:r w:rsidRPr="000C4977">
              <w:t xml:space="preserve">Net cost to PBS/RPBS </w:t>
            </w:r>
          </w:p>
        </w:tc>
        <w:tc>
          <w:tcPr>
            <w:tcW w:w="1243" w:type="dxa"/>
            <w:tcBorders>
              <w:top w:val="single" w:sz="4" w:space="0" w:color="auto"/>
              <w:left w:val="single" w:sz="4" w:space="0" w:color="auto"/>
              <w:bottom w:val="single" w:sz="4" w:space="0" w:color="auto"/>
              <w:right w:val="single" w:sz="4" w:space="0" w:color="auto"/>
            </w:tcBorders>
            <w:vAlign w:val="center"/>
          </w:tcPr>
          <w:p w14:paraId="3D18AF30" w14:textId="21845198"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2"/>
                <w14:textFill>
                  <w14:solidFill>
                    <w14:srgbClr w14:val="000000">
                      <w14:alpha w14:val="100000"/>
                    </w14:srgbClr>
                  </w14:solidFill>
                </w14:textFill>
              </w:rPr>
              <w:t>|</w:t>
            </w:r>
            <w:r w:rsidR="00A8205F" w:rsidRPr="00AB21C8">
              <w:rPr>
                <w:rFonts w:cs="Arial"/>
                <w:color w:val="000000"/>
                <w:shd w:val="solid" w:color="000000" w:fill="000000"/>
                <w:fitText w:val="180" w:id="-1450961912"/>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7705A89D" w14:textId="2C8C55AE"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1"/>
                <w14:textFill>
                  <w14:solidFill>
                    <w14:srgbClr w14:val="000000">
                      <w14:alpha w14:val="100000"/>
                    </w14:srgbClr>
                  </w14:solidFill>
                </w14:textFill>
              </w:rPr>
              <w:t>|</w:t>
            </w:r>
            <w:r w:rsidR="00A8205F" w:rsidRPr="00AB21C8">
              <w:rPr>
                <w:rFonts w:cs="Arial"/>
                <w:color w:val="000000"/>
                <w:shd w:val="solid" w:color="000000" w:fill="000000"/>
                <w:fitText w:val="180" w:id="-1450961911"/>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2F22899F" w14:textId="3D6230A4"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0"/>
                <w14:textFill>
                  <w14:solidFill>
                    <w14:srgbClr w14:val="000000">
                      <w14:alpha w14:val="100000"/>
                    </w14:srgbClr>
                  </w14:solidFill>
                </w14:textFill>
              </w:rPr>
              <w:t>|</w:t>
            </w:r>
            <w:r w:rsidR="00A8205F" w:rsidRPr="00AB21C8">
              <w:rPr>
                <w:rFonts w:cs="Arial"/>
                <w:color w:val="000000"/>
                <w:shd w:val="solid" w:color="000000" w:fill="000000"/>
                <w:fitText w:val="180" w:id="-1450961910"/>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5B065288" w14:textId="025786FB"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9"/>
                <w14:textFill>
                  <w14:solidFill>
                    <w14:srgbClr w14:val="000000">
                      <w14:alpha w14:val="100000"/>
                    </w14:srgbClr>
                  </w14:solidFill>
                </w14:textFill>
              </w:rPr>
              <w:t>|</w:t>
            </w:r>
            <w:r w:rsidR="00A8205F" w:rsidRPr="00AB21C8">
              <w:rPr>
                <w:rFonts w:cs="Arial"/>
                <w:color w:val="000000"/>
                <w:shd w:val="solid" w:color="000000" w:fill="000000"/>
                <w:fitText w:val="180" w:id="-1450961909"/>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1C9906F9" w14:textId="65604F22"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8"/>
                <w14:textFill>
                  <w14:solidFill>
                    <w14:srgbClr w14:val="000000">
                      <w14:alpha w14:val="100000"/>
                    </w14:srgbClr>
                  </w14:solidFill>
                </w14:textFill>
              </w:rPr>
              <w:t>|</w:t>
            </w:r>
            <w:r w:rsidR="00A8205F" w:rsidRPr="00AB21C8">
              <w:rPr>
                <w:rFonts w:cs="Arial"/>
                <w:color w:val="000000"/>
                <w:shd w:val="solid" w:color="000000" w:fill="000000"/>
                <w:fitText w:val="180" w:id="-1450961908"/>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35AD3096" w14:textId="40AF40DE"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7"/>
                <w14:textFill>
                  <w14:solidFill>
                    <w14:srgbClr w14:val="000000">
                      <w14:alpha w14:val="100000"/>
                    </w14:srgbClr>
                  </w14:solidFill>
                </w14:textFill>
              </w:rPr>
              <w:t>|</w:t>
            </w:r>
            <w:r w:rsidR="00A8205F" w:rsidRPr="00AB21C8">
              <w:rPr>
                <w:rFonts w:cs="Arial"/>
                <w:color w:val="000000"/>
                <w:shd w:val="solid" w:color="000000" w:fill="000000"/>
                <w:fitText w:val="180" w:id="-1450961907"/>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r w:rsidR="002F29E2" w:rsidRPr="000C4977" w14:paraId="03663DD2" w14:textId="77777777" w:rsidTr="00A91280">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40BC280" w14:textId="77777777" w:rsidR="002F29E2" w:rsidRPr="000C4977" w:rsidRDefault="002F29E2" w:rsidP="002F29E2">
            <w:pPr>
              <w:pStyle w:val="TableText"/>
              <w:keepNext/>
            </w:pPr>
            <w:r w:rsidRPr="000C4977">
              <w:t xml:space="preserve">Net cost health budget </w:t>
            </w:r>
          </w:p>
        </w:tc>
        <w:tc>
          <w:tcPr>
            <w:tcW w:w="1243" w:type="dxa"/>
            <w:tcBorders>
              <w:top w:val="single" w:sz="4" w:space="0" w:color="auto"/>
              <w:left w:val="single" w:sz="4" w:space="0" w:color="auto"/>
              <w:bottom w:val="single" w:sz="4" w:space="0" w:color="auto"/>
              <w:right w:val="single" w:sz="4" w:space="0" w:color="auto"/>
            </w:tcBorders>
            <w:vAlign w:val="center"/>
          </w:tcPr>
          <w:p w14:paraId="5231499E" w14:textId="3D8FC5B5"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6"/>
                <w14:textFill>
                  <w14:solidFill>
                    <w14:srgbClr w14:val="000000">
                      <w14:alpha w14:val="100000"/>
                    </w14:srgbClr>
                  </w14:solidFill>
                </w14:textFill>
              </w:rPr>
              <w:t>|</w:t>
            </w:r>
            <w:r w:rsidR="00A8205F" w:rsidRPr="00AB21C8">
              <w:rPr>
                <w:rFonts w:cs="Arial"/>
                <w:color w:val="000000"/>
                <w:shd w:val="solid" w:color="000000" w:fill="000000"/>
                <w:fitText w:val="180" w:id="-1450961906"/>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47E2172D" w14:textId="59D29ED8"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5"/>
                <w14:textFill>
                  <w14:solidFill>
                    <w14:srgbClr w14:val="000000">
                      <w14:alpha w14:val="100000"/>
                    </w14:srgbClr>
                  </w14:solidFill>
                </w14:textFill>
              </w:rPr>
              <w:t>|</w:t>
            </w:r>
            <w:r w:rsidR="00A8205F" w:rsidRPr="00AB21C8">
              <w:rPr>
                <w:rFonts w:cs="Arial"/>
                <w:color w:val="000000"/>
                <w:shd w:val="solid" w:color="000000" w:fill="000000"/>
                <w:fitText w:val="180" w:id="-1450961905"/>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479FFEF3" w14:textId="16FF9834"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04"/>
                <w14:textFill>
                  <w14:solidFill>
                    <w14:srgbClr w14:val="000000">
                      <w14:alpha w14:val="100000"/>
                    </w14:srgbClr>
                  </w14:solidFill>
                </w14:textFill>
              </w:rPr>
              <w:t>|</w:t>
            </w:r>
            <w:r w:rsidR="00A8205F" w:rsidRPr="00AB21C8">
              <w:rPr>
                <w:rFonts w:cs="Arial"/>
                <w:color w:val="000000"/>
                <w:shd w:val="solid" w:color="000000" w:fill="000000"/>
                <w:fitText w:val="180" w:id="-1450961904"/>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600495CE" w14:textId="27074A1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20"/>
                <w14:textFill>
                  <w14:solidFill>
                    <w14:srgbClr w14:val="000000">
                      <w14:alpha w14:val="100000"/>
                    </w14:srgbClr>
                  </w14:solidFill>
                </w14:textFill>
              </w:rPr>
              <w:t>|</w:t>
            </w:r>
            <w:r w:rsidR="00A8205F" w:rsidRPr="00AB21C8">
              <w:rPr>
                <w:rFonts w:cs="Arial"/>
                <w:color w:val="000000"/>
                <w:shd w:val="solid" w:color="000000" w:fill="000000"/>
                <w:fitText w:val="180" w:id="-1450961920"/>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3" w:type="dxa"/>
            <w:tcBorders>
              <w:top w:val="single" w:sz="4" w:space="0" w:color="auto"/>
              <w:left w:val="single" w:sz="4" w:space="0" w:color="auto"/>
              <w:bottom w:val="single" w:sz="4" w:space="0" w:color="auto"/>
              <w:right w:val="single" w:sz="4" w:space="0" w:color="auto"/>
            </w:tcBorders>
            <w:vAlign w:val="center"/>
          </w:tcPr>
          <w:p w14:paraId="2AF3DE66" w14:textId="271933C2"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9"/>
                <w14:textFill>
                  <w14:solidFill>
                    <w14:srgbClr w14:val="000000">
                      <w14:alpha w14:val="100000"/>
                    </w14:srgbClr>
                  </w14:solidFill>
                </w14:textFill>
              </w:rPr>
              <w:t>|</w:t>
            </w:r>
            <w:r w:rsidR="00A8205F" w:rsidRPr="00AB21C8">
              <w:rPr>
                <w:rFonts w:cs="Arial"/>
                <w:color w:val="000000"/>
                <w:shd w:val="solid" w:color="000000" w:fill="000000"/>
                <w:fitText w:val="180" w:id="-1450961919"/>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c>
          <w:tcPr>
            <w:tcW w:w="1244" w:type="dxa"/>
            <w:tcBorders>
              <w:top w:val="single" w:sz="4" w:space="0" w:color="auto"/>
              <w:left w:val="single" w:sz="4" w:space="0" w:color="auto"/>
              <w:bottom w:val="single" w:sz="4" w:space="0" w:color="auto"/>
              <w:right w:val="single" w:sz="4" w:space="0" w:color="auto"/>
            </w:tcBorders>
            <w:vAlign w:val="center"/>
          </w:tcPr>
          <w:p w14:paraId="68A7AB5F" w14:textId="077099CA" w:rsidR="002F29E2" w:rsidRPr="005A26E9" w:rsidRDefault="002F29E2" w:rsidP="002F29E2">
            <w:pPr>
              <w:pStyle w:val="TableText"/>
              <w:keepNext/>
              <w:cnfStyle w:val="000000000000" w:firstRow="0" w:lastRow="0" w:firstColumn="0" w:lastColumn="0" w:oddVBand="0" w:evenVBand="0" w:oddHBand="0" w:evenHBand="0" w:firstRowFirstColumn="0" w:firstRowLastColumn="0" w:lastRowFirstColumn="0" w:lastRowLastColumn="0"/>
              <w:rPr>
                <w:rFonts w:cstheme="majorBidi"/>
                <w:highlight w:val="yellow"/>
              </w:rPr>
            </w:pPr>
            <w:r w:rsidRPr="00F35774">
              <w:rPr>
                <w:rFonts w:cs="Arial"/>
                <w:color w:val="000000"/>
              </w:rPr>
              <w:t>$</w:t>
            </w:r>
            <w:r w:rsidR="00A8205F" w:rsidRPr="00AB21C8">
              <w:rPr>
                <w:rFonts w:cs="Arial"/>
                <w:color w:val="000000"/>
                <w:spacing w:val="94"/>
                <w:shd w:val="solid" w:color="000000" w:fill="000000"/>
                <w:fitText w:val="180" w:id="-1450961918"/>
                <w14:textFill>
                  <w14:solidFill>
                    <w14:srgbClr w14:val="000000">
                      <w14:alpha w14:val="100000"/>
                    </w14:srgbClr>
                  </w14:solidFill>
                </w14:textFill>
              </w:rPr>
              <w:t>|</w:t>
            </w:r>
            <w:r w:rsidR="00A8205F" w:rsidRPr="00AB21C8">
              <w:rPr>
                <w:rFonts w:cs="Arial"/>
                <w:color w:val="000000"/>
                <w:shd w:val="solid" w:color="000000" w:fill="000000"/>
                <w:fitText w:val="180" w:id="-1450961918"/>
                <w14:textFill>
                  <w14:solidFill>
                    <w14:srgbClr w14:val="000000">
                      <w14:alpha w14:val="100000"/>
                    </w14:srgbClr>
                  </w14:solidFill>
                </w14:textFill>
              </w:rPr>
              <w:t>|</w:t>
            </w:r>
            <w:r w:rsidR="00AB21C8">
              <w:rPr>
                <w:rFonts w:cs="Arial"/>
                <w:color w:val="000000"/>
              </w:rPr>
              <w:t xml:space="preserve"> </w:t>
            </w:r>
            <w:r w:rsidRPr="00835E7E">
              <w:rPr>
                <w:rFonts w:cs="Arial"/>
                <w:color w:val="000000"/>
                <w:vertAlign w:val="superscript"/>
              </w:rPr>
              <w:t>1</w:t>
            </w:r>
          </w:p>
        </w:tc>
      </w:tr>
    </w:tbl>
    <w:p w14:paraId="045E60C2" w14:textId="77777777" w:rsidR="000C4977" w:rsidRPr="000C4977" w:rsidRDefault="000C4977" w:rsidP="001D4496">
      <w:pPr>
        <w:keepNext/>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a</w:t>
      </w:r>
      <w:r w:rsidRPr="000C4977">
        <w:rPr>
          <w:rFonts w:ascii="Arial Narrow" w:eastAsia="Times New Roman" w:hAnsi="Arial Narrow" w:cs="Arial"/>
          <w:snapToGrid w:val="0"/>
          <w:sz w:val="18"/>
          <w:szCs w:val="20"/>
        </w:rPr>
        <w:t xml:space="preserve"> Results in same number of treated patients as in base case. Incremental </w:t>
      </w: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admin cost is same as base case, no offset from </w:t>
      </w: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testing.</w:t>
      </w:r>
    </w:p>
    <w:p w14:paraId="33B2A02F" w14:textId="79709360" w:rsidR="000C4977" w:rsidRDefault="000C4977" w:rsidP="000C4977">
      <w:pPr>
        <w:widowControl w:val="0"/>
        <w:spacing w:before="0" w:after="0"/>
        <w:contextualSpacing/>
        <w:rPr>
          <w:rFonts w:ascii="Arial Narrow" w:eastAsia="Times New Roman" w:hAnsi="Arial Narrow" w:cs="Arial"/>
          <w:snapToGrid w:val="0"/>
          <w:sz w:val="18"/>
          <w:szCs w:val="20"/>
        </w:rPr>
      </w:pPr>
      <w:r w:rsidRPr="000C4977">
        <w:rPr>
          <w:rFonts w:ascii="Arial Narrow" w:eastAsia="Times New Roman" w:hAnsi="Arial Narrow" w:cs="Arial"/>
          <w:snapToGrid w:val="0"/>
          <w:sz w:val="18"/>
          <w:szCs w:val="20"/>
          <w:vertAlign w:val="superscript"/>
        </w:rPr>
        <w:t>b</w:t>
      </w:r>
      <w:r w:rsidRPr="000C4977">
        <w:rPr>
          <w:rFonts w:ascii="Arial Narrow" w:eastAsia="Times New Roman" w:hAnsi="Arial Narrow" w:cs="Arial"/>
          <w:snapToGrid w:val="0"/>
          <w:sz w:val="18"/>
          <w:szCs w:val="20"/>
        </w:rPr>
        <w:t xml:space="preserve"> Results in 10% fewer patients than in base case, therefore incremental </w:t>
      </w:r>
      <w:r w:rsidRPr="000C4977">
        <w:rPr>
          <w:rFonts w:ascii="Arial Narrow" w:eastAsia="Times New Roman" w:hAnsi="Arial Narrow" w:cs="Arial"/>
          <w:i/>
          <w:snapToGrid w:val="0"/>
          <w:sz w:val="18"/>
          <w:szCs w:val="20"/>
        </w:rPr>
        <w:t>BRCA</w:t>
      </w:r>
      <w:r w:rsidRPr="000C4977">
        <w:rPr>
          <w:rFonts w:ascii="Arial Narrow" w:eastAsia="Times New Roman" w:hAnsi="Arial Narrow" w:cs="Arial"/>
          <w:snapToGrid w:val="0"/>
          <w:sz w:val="18"/>
          <w:szCs w:val="20"/>
        </w:rPr>
        <w:t xml:space="preserve"> admin cost is lower, and PBS cost lower</w:t>
      </w:r>
    </w:p>
    <w:p w14:paraId="25B5191A" w14:textId="77777777" w:rsidR="002F29E2" w:rsidRPr="00A549F9" w:rsidRDefault="002F29E2" w:rsidP="002F29E2">
      <w:pPr>
        <w:widowControl w:val="0"/>
        <w:spacing w:before="0" w:after="0"/>
        <w:contextualSpacing/>
        <w:rPr>
          <w:rFonts w:ascii="Arial Narrow" w:eastAsia="Times New Roman" w:hAnsi="Arial Narrow" w:cs="Arial"/>
          <w:i/>
          <w:snapToGrid w:val="0"/>
          <w:sz w:val="18"/>
          <w:szCs w:val="20"/>
        </w:rPr>
      </w:pPr>
      <w:r w:rsidRPr="00A549F9">
        <w:rPr>
          <w:rFonts w:ascii="Arial Narrow" w:eastAsia="Times New Roman" w:hAnsi="Arial Narrow" w:cs="Arial"/>
          <w:i/>
          <w:snapToGrid w:val="0"/>
          <w:sz w:val="18"/>
          <w:szCs w:val="20"/>
        </w:rPr>
        <w:t xml:space="preserve">The redacted values correspond to the following ranges: </w:t>
      </w:r>
    </w:p>
    <w:p w14:paraId="2F90C41A" w14:textId="77777777" w:rsidR="002F29E2" w:rsidRDefault="002F29E2" w:rsidP="002F29E2">
      <w:pPr>
        <w:widowControl w:val="0"/>
        <w:spacing w:before="0" w:after="0"/>
        <w:contextualSpacing/>
        <w:rPr>
          <w:rFonts w:ascii="Arial Narrow" w:eastAsia="Times New Roman" w:hAnsi="Arial Narrow" w:cs="Arial"/>
          <w:i/>
          <w:iCs/>
          <w:snapToGrid w:val="0"/>
          <w:sz w:val="18"/>
          <w:szCs w:val="20"/>
        </w:rPr>
      </w:pPr>
      <w:r w:rsidRPr="00A549F9">
        <w:rPr>
          <w:rFonts w:ascii="Arial Narrow" w:eastAsia="Times New Roman" w:hAnsi="Arial Narrow" w:cs="Arial"/>
          <w:i/>
          <w:iCs/>
          <w:snapToGrid w:val="0"/>
          <w:sz w:val="18"/>
          <w:szCs w:val="20"/>
          <w:vertAlign w:val="superscript"/>
        </w:rPr>
        <w:t>1</w:t>
      </w:r>
      <w:r w:rsidRPr="00A549F9">
        <w:rPr>
          <w:rFonts w:ascii="Arial Narrow" w:eastAsia="Times New Roman" w:hAnsi="Arial Narrow" w:cs="Arial"/>
          <w:i/>
          <w:iCs/>
          <w:snapToGrid w:val="0"/>
          <w:sz w:val="18"/>
          <w:szCs w:val="20"/>
        </w:rPr>
        <w:t xml:space="preserve"> </w:t>
      </w:r>
      <w:r w:rsidRPr="00835E7E">
        <w:rPr>
          <w:rFonts w:ascii="Arial Narrow" w:eastAsia="Times New Roman" w:hAnsi="Arial Narrow" w:cs="Arial"/>
          <w:i/>
          <w:iCs/>
          <w:snapToGrid w:val="0"/>
          <w:sz w:val="18"/>
          <w:szCs w:val="20"/>
        </w:rPr>
        <w:t>$10 million to &lt; $20 million</w:t>
      </w:r>
    </w:p>
    <w:p w14:paraId="5FBFE220" w14:textId="77777777" w:rsidR="002F29E2" w:rsidRPr="00835E7E" w:rsidRDefault="002F29E2" w:rsidP="002F29E2">
      <w:pPr>
        <w:widowControl w:val="0"/>
        <w:spacing w:before="0" w:after="0"/>
        <w:contextualSpacing/>
        <w:rPr>
          <w:rFonts w:ascii="Arial Narrow" w:eastAsia="Times New Roman" w:hAnsi="Arial Narrow" w:cs="Arial"/>
          <w:i/>
          <w:iCs/>
          <w:snapToGrid w:val="0"/>
          <w:sz w:val="18"/>
          <w:szCs w:val="20"/>
        </w:rPr>
      </w:pPr>
      <w:r>
        <w:rPr>
          <w:rFonts w:ascii="Arial Narrow" w:eastAsia="Times New Roman" w:hAnsi="Arial Narrow" w:cs="Arial"/>
          <w:i/>
          <w:iCs/>
          <w:snapToGrid w:val="0"/>
          <w:sz w:val="18"/>
          <w:szCs w:val="20"/>
          <w:vertAlign w:val="superscript"/>
        </w:rPr>
        <w:t xml:space="preserve">2 </w:t>
      </w:r>
      <w:r w:rsidRPr="00835E7E">
        <w:rPr>
          <w:rFonts w:ascii="Arial Narrow" w:eastAsia="Times New Roman" w:hAnsi="Arial Narrow" w:cs="Arial"/>
          <w:i/>
          <w:iCs/>
          <w:snapToGrid w:val="0"/>
          <w:sz w:val="18"/>
          <w:szCs w:val="20"/>
        </w:rPr>
        <w:t>$20 million to &lt; $30 million</w:t>
      </w:r>
    </w:p>
    <w:p w14:paraId="6ED2BD4D" w14:textId="77777777" w:rsidR="002F29E2" w:rsidRPr="000C4977" w:rsidRDefault="002F29E2" w:rsidP="000C4977">
      <w:pPr>
        <w:widowControl w:val="0"/>
        <w:spacing w:before="0" w:after="0"/>
        <w:contextualSpacing/>
        <w:rPr>
          <w:rFonts w:ascii="Arial Narrow" w:eastAsia="Times New Roman" w:hAnsi="Arial Narrow" w:cs="Arial"/>
          <w:snapToGrid w:val="0"/>
          <w:sz w:val="18"/>
          <w:szCs w:val="20"/>
        </w:rPr>
      </w:pPr>
    </w:p>
    <w:p w14:paraId="66B7FD45" w14:textId="451DF295" w:rsidR="000C4977" w:rsidRPr="000C4977" w:rsidRDefault="000C4977" w:rsidP="000C4977">
      <w:pPr>
        <w:spacing w:line="259" w:lineRule="auto"/>
        <w:jc w:val="left"/>
      </w:pPr>
      <w:r w:rsidRPr="000C4977">
        <w:t>Overall, Scenario 3a had the lowest MBS costs (around 9.0% lower than base case) and the lowest overall costs due to having 10% fewer patients treated compared to the base case. Scenario 2 represented the highest MBS costs (around 20% higher than base case).</w:t>
      </w:r>
    </w:p>
    <w:p w14:paraId="3B7C23DF" w14:textId="042B5B5F" w:rsidR="000C4977" w:rsidRPr="000C4977" w:rsidRDefault="000C4977" w:rsidP="000C4977">
      <w:pPr>
        <w:keepNext/>
        <w:keepLines/>
        <w:spacing w:before="360" w:after="240"/>
        <w:jc w:val="left"/>
        <w:outlineLvl w:val="1"/>
        <w:rPr>
          <w:rFonts w:ascii="Franklin Gothic Medium" w:eastAsiaTheme="majorEastAsia" w:hAnsi="Franklin Gothic Medium" w:cstheme="majorBidi"/>
          <w:color w:val="000000" w:themeColor="text1"/>
          <w:sz w:val="32"/>
          <w:szCs w:val="26"/>
        </w:rPr>
      </w:pPr>
      <w:bookmarkStart w:id="62" w:name="_Toc69491427"/>
      <w:r w:rsidRPr="000C4977">
        <w:rPr>
          <w:rFonts w:ascii="Franklin Gothic Medium" w:eastAsiaTheme="majorEastAsia" w:hAnsi="Franklin Gothic Medium" w:cstheme="majorBidi"/>
          <w:color w:val="000000" w:themeColor="text1"/>
          <w:sz w:val="32"/>
          <w:szCs w:val="26"/>
        </w:rPr>
        <w:lastRenderedPageBreak/>
        <w:t>1</w:t>
      </w:r>
      <w:r w:rsidR="004C0EB2">
        <w:rPr>
          <w:rFonts w:ascii="Franklin Gothic Medium" w:eastAsiaTheme="majorEastAsia" w:hAnsi="Franklin Gothic Medium" w:cstheme="majorBidi"/>
          <w:color w:val="000000" w:themeColor="text1"/>
          <w:sz w:val="32"/>
          <w:szCs w:val="26"/>
        </w:rPr>
        <w:t>5</w:t>
      </w:r>
      <w:r w:rsidRPr="000C4977">
        <w:rPr>
          <w:rFonts w:ascii="Franklin Gothic Medium" w:eastAsiaTheme="majorEastAsia" w:hAnsi="Franklin Gothic Medium" w:cstheme="majorBidi"/>
          <w:color w:val="000000" w:themeColor="text1"/>
          <w:sz w:val="32"/>
          <w:szCs w:val="26"/>
        </w:rPr>
        <w:t>.</w:t>
      </w:r>
      <w:r w:rsidRPr="000C4977">
        <w:rPr>
          <w:rFonts w:ascii="Franklin Gothic Medium" w:eastAsiaTheme="majorEastAsia" w:hAnsi="Franklin Gothic Medium" w:cstheme="majorBidi"/>
          <w:color w:val="000000" w:themeColor="text1"/>
          <w:sz w:val="32"/>
          <w:szCs w:val="26"/>
        </w:rPr>
        <w:tab/>
        <w:t xml:space="preserve">Other relevant </w:t>
      </w:r>
      <w:bookmarkEnd w:id="62"/>
      <w:r w:rsidRPr="000C4977">
        <w:rPr>
          <w:rFonts w:ascii="Franklin Gothic Medium" w:eastAsiaTheme="majorEastAsia" w:hAnsi="Franklin Gothic Medium" w:cstheme="majorBidi"/>
          <w:color w:val="000000" w:themeColor="text1"/>
          <w:sz w:val="32"/>
          <w:szCs w:val="26"/>
        </w:rPr>
        <w:t>information</w:t>
      </w:r>
    </w:p>
    <w:p w14:paraId="2478F9C1" w14:textId="710140B3" w:rsidR="000C4977" w:rsidRPr="000C4977" w:rsidRDefault="000C4977" w:rsidP="000C4977">
      <w:pPr>
        <w:spacing w:line="259" w:lineRule="auto"/>
        <w:jc w:val="left"/>
      </w:pPr>
      <w:r w:rsidRPr="000C4977">
        <w:t xml:space="preserve">The ESCs considered that there were substantial implementation issues to ensure that only clinically validated HRD tests are used and reimbursed to determine eligibility for </w:t>
      </w:r>
      <w:proofErr w:type="spellStart"/>
      <w:r w:rsidRPr="000C4977">
        <w:t>ol</w:t>
      </w:r>
      <w:r w:rsidR="00B1384A">
        <w:t>a</w:t>
      </w:r>
      <w:r w:rsidRPr="000C4977">
        <w:t>parib</w:t>
      </w:r>
      <w:proofErr w:type="spellEnd"/>
      <w:r w:rsidRPr="000C4977">
        <w:t xml:space="preserve"> and bevacizumab therapy.</w:t>
      </w:r>
    </w:p>
    <w:p w14:paraId="64B4A819" w14:textId="0F53807C" w:rsidR="000C4977" w:rsidRPr="00D32B21" w:rsidRDefault="000C4977" w:rsidP="000C4977">
      <w:pPr>
        <w:spacing w:line="259" w:lineRule="auto"/>
        <w:jc w:val="left"/>
      </w:pPr>
      <w:bookmarkStart w:id="63" w:name="_Hlk103723891"/>
      <w:r w:rsidRPr="00D32B21">
        <w:t xml:space="preserve">The Greatest Permissible Gap is currently set at $87.90, which means that </w:t>
      </w:r>
      <w:r w:rsidRPr="00D32B21">
        <w:rPr>
          <w:i/>
          <w:iCs/>
        </w:rPr>
        <w:t>BRCA</w:t>
      </w:r>
      <w:r w:rsidRPr="00D32B21">
        <w:t xml:space="preserve"> testing (and HRD testing if implemented) will attract a benefit that is greater than 85% of the MBS fee so that patients do not incur a gap fee greater than $87.90. As the cost of </w:t>
      </w:r>
      <w:r w:rsidRPr="00B1384A">
        <w:rPr>
          <w:i/>
          <w:iCs/>
        </w:rPr>
        <w:t>BRCA</w:t>
      </w:r>
      <w:r w:rsidRPr="00D32B21">
        <w:t xml:space="preserve"> testing has decreased such that 85% of the MBS fee may be sufficient to cover the test with </w:t>
      </w:r>
      <w:proofErr w:type="gramStart"/>
      <w:r w:rsidRPr="00D32B21">
        <w:t>no</w:t>
      </w:r>
      <w:proofErr w:type="gramEnd"/>
      <w:r w:rsidRPr="00D32B21">
        <w:t xml:space="preserve"> out of pocket payments (e.g. private laboratories are listing a fee of $400 for non</w:t>
      </w:r>
      <w:r w:rsidRPr="000C4977">
        <w:t>-</w:t>
      </w:r>
      <w:r w:rsidRPr="009326C6">
        <w:t xml:space="preserve">Medicare rebated </w:t>
      </w:r>
      <w:r w:rsidRPr="00D32B21">
        <w:rPr>
          <w:i/>
          <w:iCs/>
        </w:rPr>
        <w:t>BRCA</w:t>
      </w:r>
      <w:r w:rsidRPr="00D32B21">
        <w:t xml:space="preserve"> tests)</w:t>
      </w:r>
      <w:r w:rsidRPr="00D32B21">
        <w:rPr>
          <w:vertAlign w:val="superscript"/>
        </w:rPr>
        <w:footnoteReference w:id="8"/>
      </w:r>
      <w:r w:rsidRPr="00D32B21">
        <w:t xml:space="preserve">. </w:t>
      </w:r>
      <w:proofErr w:type="gramStart"/>
      <w:r w:rsidRPr="00D32B21">
        <w:t>Therefore</w:t>
      </w:r>
      <w:proofErr w:type="gramEnd"/>
      <w:r w:rsidRPr="00D32B21">
        <w:t xml:space="preserve"> patients may incur out-of-pocket costs for HRD testing that they would not incur for </w:t>
      </w:r>
      <w:r w:rsidRPr="00B1384A">
        <w:rPr>
          <w:i/>
          <w:iCs/>
        </w:rPr>
        <w:t xml:space="preserve">BRCA </w:t>
      </w:r>
      <w:r w:rsidRPr="00D32B21">
        <w:t>testing alone. Patients may incur further out-of-pocket costs for HRD testing if pathology providers charge a fee higher than the proposed fee of $</w:t>
      </w:r>
      <w:r w:rsidRPr="004702CE">
        <w:t>2,500</w:t>
      </w:r>
      <w:r w:rsidRPr="00D32B21">
        <w:t xml:space="preserve"> as this would not be covered by the Greatest Permissible Gap.</w:t>
      </w:r>
    </w:p>
    <w:bookmarkEnd w:id="63"/>
    <w:p w14:paraId="01A1B12F" w14:textId="53574600" w:rsidR="000C4977" w:rsidRDefault="000C4977" w:rsidP="000C4977">
      <w:pPr>
        <w:spacing w:line="259" w:lineRule="auto"/>
        <w:jc w:val="left"/>
      </w:pPr>
      <w:r w:rsidRPr="00D32B21">
        <w:t>The potentially high out of pocket costs could also lead to potential equity issues.</w:t>
      </w:r>
    </w:p>
    <w:p w14:paraId="50B88F1C" w14:textId="7B6314EF" w:rsidR="00FC0432" w:rsidRPr="000C4977" w:rsidRDefault="00FC0432" w:rsidP="00FC0432">
      <w:pPr>
        <w:keepNext/>
        <w:keepLines/>
        <w:spacing w:before="360" w:after="240"/>
        <w:jc w:val="left"/>
        <w:outlineLvl w:val="1"/>
        <w:rPr>
          <w:rFonts w:ascii="Franklin Gothic Medium" w:eastAsiaTheme="majorEastAsia" w:hAnsi="Franklin Gothic Medium" w:cstheme="majorBidi"/>
          <w:color w:val="000000" w:themeColor="text1"/>
          <w:sz w:val="32"/>
          <w:szCs w:val="26"/>
        </w:rPr>
      </w:pPr>
      <w:r w:rsidRPr="000C4977">
        <w:rPr>
          <w:rFonts w:ascii="Franklin Gothic Medium" w:eastAsiaTheme="majorEastAsia" w:hAnsi="Franklin Gothic Medium" w:cstheme="majorBidi"/>
          <w:color w:val="000000" w:themeColor="text1"/>
          <w:sz w:val="32"/>
          <w:szCs w:val="26"/>
        </w:rPr>
        <w:t>1</w:t>
      </w:r>
      <w:r>
        <w:rPr>
          <w:rFonts w:ascii="Franklin Gothic Medium" w:eastAsiaTheme="majorEastAsia" w:hAnsi="Franklin Gothic Medium" w:cstheme="majorBidi"/>
          <w:color w:val="000000" w:themeColor="text1"/>
          <w:sz w:val="32"/>
          <w:szCs w:val="26"/>
        </w:rPr>
        <w:t>6</w:t>
      </w:r>
      <w:r w:rsidRPr="000C4977">
        <w:rPr>
          <w:rFonts w:ascii="Franklin Gothic Medium" w:eastAsiaTheme="majorEastAsia" w:hAnsi="Franklin Gothic Medium" w:cstheme="majorBidi"/>
          <w:color w:val="000000" w:themeColor="text1"/>
          <w:sz w:val="32"/>
          <w:szCs w:val="26"/>
        </w:rPr>
        <w:t>.</w:t>
      </w:r>
      <w:r w:rsidRPr="000C4977">
        <w:rPr>
          <w:rFonts w:ascii="Franklin Gothic Medium" w:eastAsiaTheme="majorEastAsia" w:hAnsi="Franklin Gothic Medium" w:cstheme="majorBidi"/>
          <w:color w:val="000000" w:themeColor="text1"/>
          <w:sz w:val="32"/>
          <w:szCs w:val="26"/>
        </w:rPr>
        <w:tab/>
      </w:r>
      <w:r>
        <w:rPr>
          <w:rFonts w:ascii="Franklin Gothic Medium" w:eastAsiaTheme="majorEastAsia" w:hAnsi="Franklin Gothic Medium" w:cstheme="majorBidi"/>
          <w:color w:val="000000" w:themeColor="text1"/>
          <w:sz w:val="32"/>
          <w:szCs w:val="26"/>
        </w:rPr>
        <w:t>Key issues from ESC to MSAC</w:t>
      </w:r>
    </w:p>
    <w:tbl>
      <w:tblPr>
        <w:tblStyle w:val="PBACtable1"/>
        <w:tblW w:w="9209" w:type="dxa"/>
        <w:tblInd w:w="-147" w:type="dxa"/>
        <w:tblLook w:val="04A0" w:firstRow="1" w:lastRow="0" w:firstColumn="1" w:lastColumn="0" w:noHBand="0" w:noVBand="1"/>
      </w:tblPr>
      <w:tblGrid>
        <w:gridCol w:w="9209"/>
      </w:tblGrid>
      <w:tr w:rsidR="00DA3EED" w:rsidRPr="000C4977" w14:paraId="50AF1A66" w14:textId="77777777" w:rsidTr="00DA3EED">
        <w:tc>
          <w:tcPr>
            <w:tcW w:w="9209" w:type="dxa"/>
          </w:tcPr>
          <w:p w14:paraId="13735EF4" w14:textId="77777777" w:rsidR="00DA3EED" w:rsidRPr="000C4977" w:rsidRDefault="00DA3EED" w:rsidP="00DA3EED">
            <w:pPr>
              <w:spacing w:before="240" w:after="240" w:line="259" w:lineRule="auto"/>
              <w:jc w:val="left"/>
              <w:rPr>
                <w:rFonts w:eastAsia="Calibri" w:cs="Times New Roman"/>
                <w:b/>
                <w:bCs/>
                <w:szCs w:val="24"/>
              </w:rPr>
            </w:pPr>
            <w:r w:rsidRPr="000C4977">
              <w:rPr>
                <w:rFonts w:eastAsia="Calibri" w:cs="Times New Roman"/>
                <w:b/>
                <w:bCs/>
                <w:szCs w:val="24"/>
              </w:rPr>
              <w:t>Main issues for MSAC consideration</w:t>
            </w:r>
          </w:p>
          <w:p w14:paraId="4C0E78BA" w14:textId="77777777" w:rsidR="00DA3EED" w:rsidRPr="000C4977" w:rsidRDefault="00DA3EED" w:rsidP="00DA3EED">
            <w:pPr>
              <w:spacing w:after="160" w:line="259" w:lineRule="auto"/>
              <w:jc w:val="left"/>
              <w:rPr>
                <w:rFonts w:eastAsia="Calibri" w:cs="Times New Roman"/>
                <w:b/>
              </w:rPr>
            </w:pPr>
            <w:r w:rsidRPr="000C4977">
              <w:rPr>
                <w:rFonts w:eastAsia="Calibri" w:cs="Times New Roman"/>
                <w:b/>
              </w:rPr>
              <w:t>Clinical issues:</w:t>
            </w:r>
          </w:p>
          <w:p w14:paraId="623A595A" w14:textId="048E4601" w:rsidR="00DA3EED" w:rsidRPr="000C4977" w:rsidRDefault="00DA3EED" w:rsidP="00DA3EED">
            <w:pPr>
              <w:numPr>
                <w:ilvl w:val="0"/>
                <w:numId w:val="53"/>
              </w:numPr>
              <w:tabs>
                <w:tab w:val="left" w:pos="170"/>
              </w:tabs>
              <w:spacing w:after="120" w:line="259" w:lineRule="auto"/>
              <w:contextualSpacing/>
              <w:jc w:val="left"/>
              <w:rPr>
                <w:rFonts w:eastAsia="Calibri" w:cs="Times New Roman"/>
              </w:rPr>
            </w:pPr>
            <w:r w:rsidRPr="000C4977">
              <w:rPr>
                <w:rFonts w:eastAsia="Calibri" w:cs="Times New Roman"/>
              </w:rPr>
              <w:t>The available study results showed that proposed test’s assessment of genomic instability (</w:t>
            </w:r>
            <w:proofErr w:type="spellStart"/>
            <w:r w:rsidRPr="000C4977">
              <w:rPr>
                <w:rFonts w:eastAsia="Calibri" w:cs="Times New Roman"/>
              </w:rPr>
              <w:t>SOPHiA</w:t>
            </w:r>
            <w:proofErr w:type="spellEnd"/>
            <w:r w:rsidRPr="000C4977">
              <w:rPr>
                <w:rFonts w:eastAsia="Calibri" w:cs="Times New Roman"/>
              </w:rPr>
              <w:t xml:space="preserve"> HRD test, genomic instability index) was not fully concordant with the clinical utility standard (Myriad </w:t>
            </w:r>
            <w:proofErr w:type="spellStart"/>
            <w:r w:rsidRPr="000C4977">
              <w:rPr>
                <w:rFonts w:eastAsia="Calibri" w:cs="Times New Roman"/>
              </w:rPr>
              <w:t>MyChoice</w:t>
            </w:r>
            <w:proofErr w:type="spellEnd"/>
            <w:r w:rsidRPr="000C4977">
              <w:rPr>
                <w:rFonts w:eastAsia="Calibri" w:cs="Times New Roman"/>
              </w:rPr>
              <w:t xml:space="preserve"> </w:t>
            </w:r>
            <w:r w:rsidR="00EE062D">
              <w:rPr>
                <w:rFonts w:eastAsia="Calibri" w:cs="Times New Roman"/>
              </w:rPr>
              <w:t>G</w:t>
            </w:r>
            <w:r w:rsidRPr="000C4977">
              <w:rPr>
                <w:rFonts w:eastAsia="Calibri" w:cs="Times New Roman"/>
              </w:rPr>
              <w:t xml:space="preserve">enomic </w:t>
            </w:r>
            <w:r w:rsidR="00EE062D">
              <w:rPr>
                <w:rFonts w:eastAsia="Calibri" w:cs="Times New Roman"/>
              </w:rPr>
              <w:t>I</w:t>
            </w:r>
            <w:r w:rsidRPr="000C4977">
              <w:rPr>
                <w:rFonts w:eastAsia="Calibri" w:cs="Times New Roman"/>
              </w:rPr>
              <w:t xml:space="preserve">nstability </w:t>
            </w:r>
            <w:r w:rsidR="00EE062D">
              <w:rPr>
                <w:rFonts w:eastAsia="Calibri" w:cs="Times New Roman"/>
              </w:rPr>
              <w:t>S</w:t>
            </w:r>
            <w:r w:rsidRPr="000C4977">
              <w:rPr>
                <w:rFonts w:eastAsia="Calibri" w:cs="Times New Roman"/>
              </w:rPr>
              <w:t>core [GIS]). The available results suggest the</w:t>
            </w:r>
            <w:r w:rsidRPr="000C4977">
              <w:t xml:space="preserve"> </w:t>
            </w:r>
            <w:proofErr w:type="spellStart"/>
            <w:r w:rsidRPr="000C4977">
              <w:rPr>
                <w:rFonts w:eastAsia="Calibri" w:cs="Times New Roman"/>
              </w:rPr>
              <w:t>SOPHiA</w:t>
            </w:r>
            <w:proofErr w:type="spellEnd"/>
            <w:r w:rsidRPr="000C4977">
              <w:rPr>
                <w:rFonts w:eastAsia="Calibri" w:cs="Times New Roman"/>
              </w:rPr>
              <w:t xml:space="preserve"> HRD test would identify a slightly different patient cohort as having genomic instability. MSAC may wish to consider the implications of </w:t>
            </w:r>
            <w:r>
              <w:rPr>
                <w:rFonts w:eastAsia="Calibri" w:cs="Times New Roman"/>
              </w:rPr>
              <w:t xml:space="preserve">the </w:t>
            </w:r>
            <w:r w:rsidRPr="000C4977">
              <w:rPr>
                <w:rFonts w:eastAsia="Calibri" w:cs="Times New Roman"/>
              </w:rPr>
              <w:t xml:space="preserve">discordant results. The interpretation of the results is affected by a high risk of bias, incomplete </w:t>
            </w:r>
            <w:r>
              <w:rPr>
                <w:rFonts w:eastAsia="Calibri" w:cs="Times New Roman"/>
              </w:rPr>
              <w:t>results</w:t>
            </w:r>
            <w:r w:rsidRPr="000C4977">
              <w:rPr>
                <w:rFonts w:eastAsia="Calibri" w:cs="Times New Roman"/>
              </w:rPr>
              <w:t>, limited reporting of study methods</w:t>
            </w:r>
            <w:r>
              <w:rPr>
                <w:rFonts w:eastAsia="Calibri" w:cs="Times New Roman"/>
              </w:rPr>
              <w:t>, sample sources and patient characteristics</w:t>
            </w:r>
            <w:r w:rsidRPr="000C4977">
              <w:rPr>
                <w:rFonts w:eastAsia="Calibri" w:cs="Times New Roman"/>
              </w:rPr>
              <w:t>, use of HRD tests other than the clinical utility standard, and high rates of inconclusive test results.</w:t>
            </w:r>
          </w:p>
          <w:p w14:paraId="7382AD1B" w14:textId="77777777" w:rsidR="00DA3EED" w:rsidRPr="000C4977" w:rsidRDefault="00DA3EED" w:rsidP="00DA3EED">
            <w:pPr>
              <w:numPr>
                <w:ilvl w:val="0"/>
                <w:numId w:val="53"/>
              </w:numPr>
              <w:tabs>
                <w:tab w:val="left" w:pos="170"/>
              </w:tabs>
              <w:spacing w:after="120" w:line="259" w:lineRule="auto"/>
              <w:contextualSpacing/>
              <w:jc w:val="left"/>
              <w:rPr>
                <w:rFonts w:eastAsia="Calibri" w:cs="Times New Roman"/>
              </w:rPr>
            </w:pPr>
            <w:r w:rsidRPr="000C4977">
              <w:rPr>
                <w:rFonts w:eastAsia="Calibri" w:cs="Times New Roman"/>
              </w:rPr>
              <w:t xml:space="preserve">HRD is a broad concept that includes testing for pathogenic genetic variants (such as </w:t>
            </w:r>
            <w:r w:rsidRPr="000C4977">
              <w:rPr>
                <w:rFonts w:eastAsia="Calibri" w:cs="Times New Roman"/>
                <w:i/>
                <w:iCs/>
              </w:rPr>
              <w:t xml:space="preserve">BRCA </w:t>
            </w:r>
            <w:r w:rsidRPr="000C4977">
              <w:rPr>
                <w:rFonts w:eastAsia="Calibri" w:cs="Times New Roman"/>
              </w:rPr>
              <w:t>and others), assessment of genomic signatures and instability, and functional assessment. The submission focussed on genomic instability. There are different scoring methods and algorithms for assessing genomic instability that identify different but potentially overlapping populations.</w:t>
            </w:r>
          </w:p>
          <w:p w14:paraId="7737D5B9" w14:textId="77777777" w:rsidR="00DA3EED" w:rsidRPr="000C4977" w:rsidRDefault="00DA3EED" w:rsidP="00DA3EED">
            <w:pPr>
              <w:numPr>
                <w:ilvl w:val="0"/>
                <w:numId w:val="53"/>
              </w:numPr>
              <w:tabs>
                <w:tab w:val="left" w:pos="170"/>
              </w:tabs>
              <w:spacing w:after="120" w:line="259" w:lineRule="auto"/>
              <w:contextualSpacing/>
              <w:jc w:val="left"/>
              <w:rPr>
                <w:rFonts w:eastAsia="Calibri" w:cs="Times New Roman"/>
              </w:rPr>
            </w:pPr>
            <w:r w:rsidRPr="000C4977">
              <w:rPr>
                <w:rFonts w:eastAsia="Calibri" w:cs="Times New Roman"/>
              </w:rPr>
              <w:t xml:space="preserve">The ESCs considered parallel testing of </w:t>
            </w:r>
            <w:r w:rsidRPr="000C4977">
              <w:rPr>
                <w:rFonts w:eastAsia="Calibri" w:cs="Times New Roman"/>
                <w:i/>
                <w:iCs/>
              </w:rPr>
              <w:t xml:space="preserve">BRCA </w:t>
            </w:r>
            <w:r w:rsidRPr="000C4977">
              <w:rPr>
                <w:rFonts w:eastAsia="Calibri" w:cs="Times New Roman"/>
              </w:rPr>
              <w:t>status and genomic instability as preferable as this is simple</w:t>
            </w:r>
            <w:r>
              <w:rPr>
                <w:rFonts w:eastAsia="Calibri" w:cs="Times New Roman"/>
              </w:rPr>
              <w:t>r</w:t>
            </w:r>
            <w:r w:rsidRPr="000C4977">
              <w:rPr>
                <w:rFonts w:eastAsia="Calibri" w:cs="Times New Roman"/>
              </w:rPr>
              <w:t xml:space="preserve">, uses less tissue, produces faster test results, and avoids testing at multiple sites. However, there is a potential for lower </w:t>
            </w:r>
            <w:r>
              <w:rPr>
                <w:rFonts w:eastAsia="Calibri" w:cs="Times New Roman"/>
              </w:rPr>
              <w:t xml:space="preserve">testing </w:t>
            </w:r>
            <w:r w:rsidRPr="000C4977">
              <w:rPr>
                <w:rFonts w:eastAsia="Calibri" w:cs="Times New Roman"/>
              </w:rPr>
              <w:t xml:space="preserve">costs where </w:t>
            </w:r>
            <w:r>
              <w:rPr>
                <w:rFonts w:eastAsia="Calibri" w:cs="Times New Roman"/>
              </w:rPr>
              <w:t xml:space="preserve">the addition of </w:t>
            </w:r>
            <w:r w:rsidRPr="000C4977">
              <w:rPr>
                <w:rFonts w:eastAsia="Calibri" w:cs="Times New Roman"/>
              </w:rPr>
              <w:t xml:space="preserve">genomic instability testing </w:t>
            </w:r>
            <w:r>
              <w:rPr>
                <w:rFonts w:eastAsia="Calibri" w:cs="Times New Roman"/>
              </w:rPr>
              <w:t xml:space="preserve">to </w:t>
            </w:r>
            <w:r w:rsidRPr="00F90CC4">
              <w:rPr>
                <w:rFonts w:eastAsia="Calibri" w:cs="Times New Roman"/>
                <w:i/>
                <w:iCs/>
              </w:rPr>
              <w:t>BRCA</w:t>
            </w:r>
            <w:r>
              <w:rPr>
                <w:rFonts w:eastAsia="Calibri" w:cs="Times New Roman"/>
              </w:rPr>
              <w:t xml:space="preserve"> testing </w:t>
            </w:r>
            <w:r w:rsidRPr="000C4977">
              <w:rPr>
                <w:rFonts w:eastAsia="Calibri" w:cs="Times New Roman"/>
              </w:rPr>
              <w:t xml:space="preserve">is limited to </w:t>
            </w:r>
            <w:r>
              <w:rPr>
                <w:rFonts w:eastAsia="Calibri" w:cs="Times New Roman"/>
              </w:rPr>
              <w:t xml:space="preserve">those </w:t>
            </w:r>
            <w:r w:rsidRPr="000C4977">
              <w:rPr>
                <w:rFonts w:eastAsia="Calibri" w:cs="Times New Roman"/>
              </w:rPr>
              <w:t xml:space="preserve">patients </w:t>
            </w:r>
            <w:r>
              <w:rPr>
                <w:rFonts w:eastAsia="Calibri" w:cs="Times New Roman"/>
              </w:rPr>
              <w:t xml:space="preserve">treated with </w:t>
            </w:r>
            <w:r w:rsidRPr="000C4977">
              <w:rPr>
                <w:rFonts w:eastAsia="Calibri" w:cs="Times New Roman"/>
              </w:rPr>
              <w:t>bevacizumab and chemotherapy</w:t>
            </w:r>
            <w:r>
              <w:rPr>
                <w:rFonts w:eastAsia="Calibri" w:cs="Times New Roman"/>
              </w:rPr>
              <w:t xml:space="preserve"> before starting maintenance therapy with </w:t>
            </w:r>
            <w:proofErr w:type="spellStart"/>
            <w:r>
              <w:rPr>
                <w:rFonts w:eastAsia="Calibri" w:cs="Times New Roman"/>
              </w:rPr>
              <w:t>olaparib</w:t>
            </w:r>
            <w:proofErr w:type="spellEnd"/>
            <w:r w:rsidRPr="000C4977">
              <w:rPr>
                <w:rFonts w:eastAsia="Calibri" w:cs="Times New Roman"/>
              </w:rPr>
              <w:t>.</w:t>
            </w:r>
          </w:p>
          <w:p w14:paraId="340F1038" w14:textId="77777777" w:rsidR="00DA3EED" w:rsidRPr="000C4977" w:rsidRDefault="00DA3EED" w:rsidP="00DA3EED">
            <w:pPr>
              <w:keepLines/>
              <w:numPr>
                <w:ilvl w:val="0"/>
                <w:numId w:val="53"/>
              </w:numPr>
              <w:tabs>
                <w:tab w:val="left" w:pos="170"/>
              </w:tabs>
              <w:spacing w:after="120" w:line="259" w:lineRule="auto"/>
              <w:ind w:left="714" w:hanging="357"/>
              <w:contextualSpacing/>
              <w:jc w:val="left"/>
              <w:rPr>
                <w:rFonts w:eastAsia="Calibri" w:cs="Times New Roman"/>
              </w:rPr>
            </w:pPr>
            <w:r w:rsidRPr="000C4977">
              <w:rPr>
                <w:rFonts w:eastAsia="Calibri" w:cs="Times New Roman"/>
              </w:rPr>
              <w:t xml:space="preserve">The </w:t>
            </w:r>
            <w:proofErr w:type="spellStart"/>
            <w:r w:rsidRPr="000C4977">
              <w:rPr>
                <w:rFonts w:eastAsia="Calibri" w:cs="Times New Roman"/>
              </w:rPr>
              <w:t>SOPHiA</w:t>
            </w:r>
            <w:proofErr w:type="spellEnd"/>
            <w:r w:rsidRPr="000C4977">
              <w:rPr>
                <w:rFonts w:eastAsia="Calibri" w:cs="Times New Roman"/>
              </w:rPr>
              <w:t xml:space="preserve"> HRD test also tests for other genes involved in the HRD pathway. Clinical guidelines recommend germline testing for some genes. MBS items for germline and cascade testing </w:t>
            </w:r>
            <w:r>
              <w:rPr>
                <w:rFonts w:eastAsia="Calibri" w:cs="Times New Roman"/>
              </w:rPr>
              <w:t xml:space="preserve">involving these additional genes </w:t>
            </w:r>
            <w:r w:rsidRPr="000C4977">
              <w:rPr>
                <w:rFonts w:eastAsia="Calibri" w:cs="Times New Roman"/>
              </w:rPr>
              <w:t>may be required but have not been considered in the submission.</w:t>
            </w:r>
          </w:p>
          <w:p w14:paraId="40EE117B" w14:textId="77777777" w:rsidR="00DA3EED" w:rsidRPr="000C4977" w:rsidRDefault="00DA3EED" w:rsidP="00DA3EED">
            <w:pPr>
              <w:spacing w:before="160" w:after="160" w:line="259" w:lineRule="auto"/>
              <w:jc w:val="left"/>
              <w:rPr>
                <w:rFonts w:eastAsia="Calibri" w:cs="Times New Roman"/>
                <w:b/>
              </w:rPr>
            </w:pPr>
            <w:r w:rsidRPr="000C4977">
              <w:rPr>
                <w:rFonts w:eastAsia="Calibri" w:cs="Times New Roman"/>
                <w:b/>
              </w:rPr>
              <w:lastRenderedPageBreak/>
              <w:t>Economic issues:</w:t>
            </w:r>
          </w:p>
          <w:p w14:paraId="08216D0F" w14:textId="77777777" w:rsidR="00DA3EED" w:rsidRDefault="00DA3EED" w:rsidP="00DA3EED">
            <w:pPr>
              <w:numPr>
                <w:ilvl w:val="0"/>
                <w:numId w:val="53"/>
              </w:numPr>
              <w:tabs>
                <w:tab w:val="left" w:pos="170"/>
              </w:tabs>
              <w:spacing w:after="120" w:line="259" w:lineRule="auto"/>
              <w:contextualSpacing/>
              <w:jc w:val="left"/>
              <w:rPr>
                <w:rFonts w:eastAsia="Calibri" w:cs="Times New Roman"/>
              </w:rPr>
            </w:pPr>
            <w:r w:rsidRPr="000C4977">
              <w:rPr>
                <w:rFonts w:eastAsia="Calibri" w:cs="Times New Roman"/>
              </w:rPr>
              <w:t xml:space="preserve">The economic evaluation did not consider the impact of test failures and is </w:t>
            </w:r>
            <w:r>
              <w:rPr>
                <w:rFonts w:eastAsia="Calibri" w:cs="Times New Roman"/>
              </w:rPr>
              <w:t xml:space="preserve">also </w:t>
            </w:r>
            <w:r w:rsidRPr="000C4977">
              <w:rPr>
                <w:rFonts w:eastAsia="Calibri" w:cs="Times New Roman"/>
              </w:rPr>
              <w:t xml:space="preserve">affected by uncertainty in the comparative analytical performance of the </w:t>
            </w:r>
            <w:proofErr w:type="spellStart"/>
            <w:r w:rsidRPr="000C4977">
              <w:rPr>
                <w:rFonts w:eastAsia="Calibri" w:cs="Times New Roman"/>
              </w:rPr>
              <w:t>SOPHiA</w:t>
            </w:r>
            <w:proofErr w:type="spellEnd"/>
            <w:r w:rsidRPr="000C4977">
              <w:rPr>
                <w:rFonts w:eastAsia="Calibri" w:cs="Times New Roman"/>
              </w:rPr>
              <w:t xml:space="preserve"> HRD test</w:t>
            </w:r>
            <w:r>
              <w:rPr>
                <w:rFonts w:eastAsia="Calibri" w:cs="Times New Roman"/>
              </w:rPr>
              <w:t xml:space="preserve"> against the clinical utility standard test</w:t>
            </w:r>
            <w:r w:rsidRPr="000C4977">
              <w:rPr>
                <w:rFonts w:eastAsia="Calibri" w:cs="Times New Roman"/>
              </w:rPr>
              <w:t>.</w:t>
            </w:r>
          </w:p>
          <w:p w14:paraId="056195F8" w14:textId="77777777" w:rsidR="00DA3EED" w:rsidRPr="000C4977" w:rsidRDefault="00DA3EED" w:rsidP="00DA3EED">
            <w:pPr>
              <w:numPr>
                <w:ilvl w:val="0"/>
                <w:numId w:val="53"/>
              </w:numPr>
              <w:tabs>
                <w:tab w:val="left" w:pos="170"/>
              </w:tabs>
              <w:spacing w:after="120" w:line="259" w:lineRule="auto"/>
              <w:contextualSpacing/>
              <w:jc w:val="left"/>
              <w:rPr>
                <w:rFonts w:eastAsia="Calibri" w:cs="Times New Roman"/>
              </w:rPr>
            </w:pPr>
            <w:r>
              <w:rPr>
                <w:rFonts w:eastAsia="Calibri" w:cs="Times New Roman"/>
              </w:rPr>
              <w:t xml:space="preserve">Uncertainty in </w:t>
            </w:r>
            <w:r w:rsidRPr="000C4977">
              <w:rPr>
                <w:rFonts w:eastAsia="Calibri" w:cs="Times New Roman"/>
              </w:rPr>
              <w:t xml:space="preserve">the treatment phase of the economic model </w:t>
            </w:r>
            <w:r>
              <w:rPr>
                <w:rFonts w:eastAsia="Calibri" w:cs="Times New Roman"/>
              </w:rPr>
              <w:t xml:space="preserve">has greater implications than the testing phase of the model. </w:t>
            </w:r>
            <w:r w:rsidRPr="000C4977">
              <w:rPr>
                <w:rFonts w:eastAsia="Calibri" w:cs="Times New Roman"/>
              </w:rPr>
              <w:t>The re</w:t>
            </w:r>
            <w:r>
              <w:rPr>
                <w:rFonts w:eastAsia="Calibri" w:cs="Times New Roman"/>
              </w:rPr>
              <w:t>specified</w:t>
            </w:r>
            <w:r w:rsidRPr="000C4977">
              <w:rPr>
                <w:rFonts w:eastAsia="Calibri" w:cs="Times New Roman"/>
              </w:rPr>
              <w:t xml:space="preserve"> base case that changed </w:t>
            </w:r>
            <w:r>
              <w:rPr>
                <w:rFonts w:eastAsia="Calibri" w:cs="Times New Roman"/>
              </w:rPr>
              <w:t xml:space="preserve">parameters in the treatment phase </w:t>
            </w:r>
            <w:r w:rsidRPr="000C4977">
              <w:rPr>
                <w:rFonts w:eastAsia="Calibri" w:cs="Times New Roman"/>
              </w:rPr>
              <w:t>substantially increased the ICER.</w:t>
            </w:r>
          </w:p>
          <w:p w14:paraId="0BC30371" w14:textId="77777777" w:rsidR="00DA3EED" w:rsidRPr="000C4977" w:rsidRDefault="00DA3EED" w:rsidP="00DA3EED">
            <w:pPr>
              <w:spacing w:before="160" w:after="160" w:line="259" w:lineRule="auto"/>
              <w:jc w:val="left"/>
              <w:rPr>
                <w:rFonts w:eastAsia="Calibri" w:cs="Times New Roman"/>
                <w:b/>
              </w:rPr>
            </w:pPr>
            <w:r w:rsidRPr="000C4977">
              <w:rPr>
                <w:rFonts w:eastAsia="Calibri" w:cs="Times New Roman"/>
                <w:b/>
              </w:rPr>
              <w:t>Other relevant information:</w:t>
            </w:r>
          </w:p>
          <w:p w14:paraId="5367D04E" w14:textId="77777777" w:rsidR="00DA3EED" w:rsidRPr="000C4977" w:rsidRDefault="00DA3EED" w:rsidP="00DA3EED">
            <w:pPr>
              <w:numPr>
                <w:ilvl w:val="0"/>
                <w:numId w:val="54"/>
              </w:numPr>
              <w:spacing w:after="120" w:line="259" w:lineRule="auto"/>
              <w:contextualSpacing/>
              <w:jc w:val="left"/>
              <w:rPr>
                <w:rFonts w:eastAsia="Calibri" w:cs="Times New Roman"/>
              </w:rPr>
            </w:pPr>
            <w:r w:rsidRPr="000C4977">
              <w:rPr>
                <w:rFonts w:eastAsia="Calibri" w:cs="Times New Roman"/>
              </w:rPr>
              <w:t xml:space="preserve">It is important that only validated </w:t>
            </w:r>
            <w:r>
              <w:rPr>
                <w:rFonts w:eastAsia="Calibri" w:cs="Times New Roman"/>
              </w:rPr>
              <w:t xml:space="preserve">HRD </w:t>
            </w:r>
            <w:r w:rsidRPr="000C4977">
              <w:rPr>
                <w:rFonts w:eastAsia="Calibri" w:cs="Times New Roman"/>
              </w:rPr>
              <w:t>tests with sufficient level of concordance with the clinical utility standard</w:t>
            </w:r>
            <w:r>
              <w:rPr>
                <w:rFonts w:eastAsia="Calibri" w:cs="Times New Roman"/>
              </w:rPr>
              <w:t xml:space="preserve"> are funded on the MBS for the intended codependent purpose</w:t>
            </w:r>
            <w:r w:rsidRPr="000C4977">
              <w:rPr>
                <w:rFonts w:eastAsia="Calibri" w:cs="Times New Roman"/>
              </w:rPr>
              <w:t>. Further advice with stakeholders may be needed to achieve this.</w:t>
            </w:r>
          </w:p>
        </w:tc>
      </w:tr>
    </w:tbl>
    <w:p w14:paraId="6894A1A1" w14:textId="77777777" w:rsidR="00DA3EED" w:rsidRPr="000C4977" w:rsidRDefault="00DA3EED" w:rsidP="00DA3EED">
      <w:pPr>
        <w:keepNext/>
        <w:spacing w:before="240" w:after="240"/>
        <w:jc w:val="left"/>
        <w:outlineLvl w:val="1"/>
        <w:rPr>
          <w:rFonts w:eastAsia="Times New Roman" w:cs="Arial"/>
          <w:b/>
          <w:bCs/>
          <w:iCs/>
          <w:color w:val="000000"/>
          <w:szCs w:val="28"/>
          <w:lang w:eastAsia="en-AU"/>
        </w:rPr>
      </w:pPr>
      <w:r w:rsidRPr="000C4977">
        <w:rPr>
          <w:rFonts w:eastAsia="Times New Roman" w:cs="Arial"/>
          <w:b/>
          <w:bCs/>
          <w:iCs/>
          <w:color w:val="000000"/>
          <w:szCs w:val="28"/>
          <w:lang w:eastAsia="en-AU"/>
        </w:rPr>
        <w:lastRenderedPageBreak/>
        <w:t>ESC</w:t>
      </w:r>
      <w:r>
        <w:rPr>
          <w:rFonts w:eastAsia="Times New Roman" w:cs="Arial"/>
          <w:b/>
          <w:bCs/>
          <w:iCs/>
          <w:color w:val="000000"/>
          <w:szCs w:val="28"/>
          <w:lang w:eastAsia="en-AU"/>
        </w:rPr>
        <w:t>s</w:t>
      </w:r>
      <w:r w:rsidRPr="000C4977">
        <w:rPr>
          <w:rFonts w:eastAsia="Times New Roman" w:cs="Arial"/>
          <w:b/>
          <w:bCs/>
          <w:iCs/>
          <w:color w:val="000000"/>
          <w:szCs w:val="28"/>
          <w:lang w:eastAsia="en-AU"/>
        </w:rPr>
        <w:t xml:space="preserve"> </w:t>
      </w:r>
      <w:r w:rsidRPr="00FC0432">
        <w:rPr>
          <w:rFonts w:eastAsia="Times New Roman" w:cs="Arial"/>
          <w:b/>
          <w:bCs/>
          <w:iCs/>
          <w:color w:val="000000"/>
          <w:lang w:eastAsia="en-AU"/>
        </w:rPr>
        <w:t>discussion</w:t>
      </w:r>
    </w:p>
    <w:p w14:paraId="290990E1" w14:textId="77777777" w:rsidR="00DA3EED" w:rsidRPr="000C4977" w:rsidRDefault="00DA3EED" w:rsidP="00DA3EED">
      <w:pPr>
        <w:spacing w:line="259" w:lineRule="auto"/>
        <w:jc w:val="left"/>
        <w:rPr>
          <w:rFonts w:ascii="Calibri" w:eastAsia="Calibri" w:hAnsi="Calibri" w:cs="Times New Roman"/>
        </w:rPr>
      </w:pPr>
      <w:r w:rsidRPr="000C4977">
        <w:rPr>
          <w:rFonts w:eastAsia="Calibri" w:cs="Times New Roman"/>
          <w:iCs/>
        </w:rPr>
        <w:t xml:space="preserve">The ESCs noted that the </w:t>
      </w:r>
      <w:r>
        <w:rPr>
          <w:rFonts w:eastAsia="Calibri" w:cs="Times New Roman"/>
          <w:iCs/>
        </w:rPr>
        <w:t xml:space="preserve">integrated </w:t>
      </w:r>
      <w:r w:rsidRPr="000C4977">
        <w:rPr>
          <w:rFonts w:eastAsia="Calibri" w:cs="Times New Roman"/>
          <w:iCs/>
        </w:rPr>
        <w:t>codependent submission sought Medicare Benefits Schedule (MBS) listing of homologous recombination deficiency (HRD) testing of tumour tissue to establish genomic instability (GI) and breast cancer gene (</w:t>
      </w:r>
      <w:r w:rsidRPr="000C4977">
        <w:rPr>
          <w:rFonts w:eastAsia="Calibri" w:cs="Times New Roman"/>
          <w:i/>
        </w:rPr>
        <w:t>BRCA</w:t>
      </w:r>
      <w:r w:rsidRPr="000C4977">
        <w:rPr>
          <w:rFonts w:eastAsia="Calibri" w:cs="Times New Roman"/>
          <w:iCs/>
        </w:rPr>
        <w:t xml:space="preserve">) status to determine eligibility for </w:t>
      </w:r>
      <w:proofErr w:type="spellStart"/>
      <w:r w:rsidRPr="000C4977">
        <w:rPr>
          <w:rFonts w:eastAsia="Calibri" w:cs="Times New Roman"/>
          <w:iCs/>
        </w:rPr>
        <w:t>olaparib</w:t>
      </w:r>
      <w:proofErr w:type="spellEnd"/>
      <w:r w:rsidRPr="000C4977">
        <w:rPr>
          <w:rFonts w:eastAsia="Calibri" w:cs="Times New Roman"/>
          <w:iCs/>
        </w:rPr>
        <w:t xml:space="preserve"> in combination with bevacizumab on the Pharmaceutical Benefits Scheme (PBS) for the treatment of newly diagnosed advanced high grade epithelial ovarian cancer (HGEOC).</w:t>
      </w:r>
    </w:p>
    <w:p w14:paraId="6F07D716" w14:textId="77777777" w:rsidR="00DA3EED" w:rsidRPr="000C4977" w:rsidRDefault="00DA3EED" w:rsidP="00DA3EED">
      <w:pPr>
        <w:spacing w:line="259" w:lineRule="auto"/>
        <w:ind w:right="397"/>
        <w:jc w:val="left"/>
        <w:rPr>
          <w:rFonts w:eastAsia="Calibri" w:cs="Times New Roman"/>
        </w:rPr>
      </w:pPr>
      <w:r w:rsidRPr="000C4977">
        <w:rPr>
          <w:rFonts w:eastAsia="Calibri" w:cs="Times New Roman"/>
        </w:rPr>
        <w:t xml:space="preserve">HRD occurs where cells cannot effectively repair </w:t>
      </w:r>
      <w:proofErr w:type="gramStart"/>
      <w:r w:rsidRPr="000C4977">
        <w:rPr>
          <w:rFonts w:eastAsia="Calibri" w:cs="Times New Roman"/>
        </w:rPr>
        <w:t>double-strand</w:t>
      </w:r>
      <w:proofErr w:type="gramEnd"/>
      <w:r w:rsidRPr="000C4977">
        <w:rPr>
          <w:rFonts w:eastAsia="Calibri" w:cs="Times New Roman"/>
        </w:rPr>
        <w:t xml:space="preserve"> breaks in DNA using the homologous recombination repair (HRR) pathway.</w:t>
      </w:r>
      <w:r w:rsidRPr="000C4977">
        <w:t xml:space="preserve"> </w:t>
      </w:r>
      <w:r>
        <w:t xml:space="preserve">The </w:t>
      </w:r>
      <w:r w:rsidRPr="000C4977">
        <w:rPr>
          <w:rFonts w:eastAsia="Calibri" w:cs="Times New Roman"/>
        </w:rPr>
        <w:t>ESC</w:t>
      </w:r>
      <w:r>
        <w:rPr>
          <w:rFonts w:eastAsia="Calibri" w:cs="Times New Roman"/>
        </w:rPr>
        <w:t>s</w:t>
      </w:r>
      <w:r w:rsidRPr="000C4977">
        <w:rPr>
          <w:rFonts w:eastAsia="Calibri" w:cs="Times New Roman"/>
        </w:rPr>
        <w:t xml:space="preserve"> noted that this could occur due to pathogenic genetic alterations (germline or somatic</w:t>
      </w:r>
      <w:proofErr w:type="gramStart"/>
      <w:r w:rsidRPr="000C4977">
        <w:rPr>
          <w:rFonts w:eastAsia="Calibri" w:cs="Times New Roman"/>
        </w:rPr>
        <w:t>)</w:t>
      </w:r>
      <w:proofErr w:type="gramEnd"/>
      <w:r w:rsidRPr="000C4977">
        <w:rPr>
          <w:rFonts w:eastAsia="Calibri" w:cs="Times New Roman"/>
        </w:rPr>
        <w:t xml:space="preserve"> or epigenetic alterations of genes involved in the HRR pathway. HRD can be assessed by different methods. This includes testing for pathogenic genetic variants that result in a loss of function of the HRR pathway (such as </w:t>
      </w:r>
      <w:r w:rsidRPr="000C4977">
        <w:rPr>
          <w:rFonts w:eastAsia="Calibri" w:cs="Times New Roman"/>
          <w:i/>
          <w:iCs/>
        </w:rPr>
        <w:t>BRCA1/2</w:t>
      </w:r>
      <w:r w:rsidRPr="000C4977">
        <w:rPr>
          <w:rFonts w:eastAsia="Calibri" w:cs="Times New Roman"/>
        </w:rPr>
        <w:t xml:space="preserve"> and other genes), functional assessment, or by assessing genomic signatures such as chromosomal instability and other genomic instability. The focus of the submission was HRD status as defined by genomic instability. The ESCs noted that unlike detection of gene variants, there are different scoring methods and algorithms for assessing genomic instability. The ESCs considered that these different tests identify different but potentially overlapping populations. The ESC</w:t>
      </w:r>
      <w:r>
        <w:rPr>
          <w:rFonts w:eastAsia="Calibri" w:cs="Times New Roman"/>
        </w:rPr>
        <w:t>s</w:t>
      </w:r>
      <w:r w:rsidRPr="000C4977">
        <w:rPr>
          <w:rFonts w:eastAsia="Calibri" w:cs="Times New Roman"/>
        </w:rPr>
        <w:t xml:space="preserve"> noted the biological rationale that impairment of the HRR pathway can sensitise tumours to </w:t>
      </w:r>
      <w:proofErr w:type="gramStart"/>
      <w:r w:rsidRPr="000C4977">
        <w:rPr>
          <w:rFonts w:eastAsia="Calibri" w:cs="Times New Roman"/>
        </w:rPr>
        <w:t>poly(</w:t>
      </w:r>
      <w:proofErr w:type="gramEnd"/>
      <w:r w:rsidRPr="000C4977">
        <w:rPr>
          <w:rFonts w:eastAsia="Calibri" w:cs="Times New Roman"/>
        </w:rPr>
        <w:t xml:space="preserve">adenosine diphosphate [ADP]-ribose) polymerase (PARP) inhibitors such as </w:t>
      </w:r>
      <w:proofErr w:type="spellStart"/>
      <w:r w:rsidRPr="000C4977">
        <w:rPr>
          <w:rFonts w:eastAsia="Calibri" w:cs="Times New Roman"/>
        </w:rPr>
        <w:t>olaparib</w:t>
      </w:r>
      <w:proofErr w:type="spellEnd"/>
      <w:r w:rsidRPr="000C4977">
        <w:rPr>
          <w:rFonts w:eastAsia="Calibri" w:cs="Times New Roman"/>
        </w:rPr>
        <w:t xml:space="preserve"> and platinum-based chemotherapy.</w:t>
      </w:r>
    </w:p>
    <w:p w14:paraId="1AD34E8C" w14:textId="53EB0DF3" w:rsidR="00DA3EED" w:rsidRPr="000C4977" w:rsidRDefault="00DA3EED" w:rsidP="00DA3EED">
      <w:pPr>
        <w:spacing w:line="259" w:lineRule="auto"/>
        <w:jc w:val="left"/>
        <w:rPr>
          <w:rFonts w:eastAsia="Calibri" w:cs="Times New Roman"/>
        </w:rPr>
      </w:pPr>
      <w:r w:rsidRPr="00C94D2B">
        <w:rPr>
          <w:rFonts w:eastAsia="Calibri" w:cs="Times New Roman"/>
        </w:rPr>
        <w:t xml:space="preserve">The ESCs noted that the proposed test, the </w:t>
      </w:r>
      <w:proofErr w:type="spellStart"/>
      <w:r w:rsidRPr="00C94D2B">
        <w:rPr>
          <w:rFonts w:eastAsia="Calibri" w:cs="Times New Roman"/>
        </w:rPr>
        <w:t>SOPHiA</w:t>
      </w:r>
      <w:proofErr w:type="spellEnd"/>
      <w:r w:rsidRPr="00C94D2B">
        <w:rPr>
          <w:rFonts w:eastAsia="Calibri" w:cs="Times New Roman"/>
        </w:rPr>
        <w:t xml:space="preserve"> HRD assay, is a next</w:t>
      </w:r>
      <w:r w:rsidR="002F0BC8" w:rsidRPr="00C94D2B">
        <w:rPr>
          <w:rFonts w:eastAsia="Calibri" w:cs="Times New Roman"/>
        </w:rPr>
        <w:t xml:space="preserve"> </w:t>
      </w:r>
      <w:r w:rsidRPr="00C94D2B">
        <w:rPr>
          <w:rFonts w:eastAsia="Calibri" w:cs="Times New Roman"/>
        </w:rPr>
        <w:t>generation sequencing (NGS) based test. The ESCs noted that this appeared to be different test to that considered by PASC at its April 2021 and August 2021 considerations of the application.</w:t>
      </w:r>
      <w:r w:rsidRPr="00C94D2B">
        <w:t xml:space="preserve"> </w:t>
      </w:r>
      <w:r w:rsidRPr="00C94D2B">
        <w:rPr>
          <w:rFonts w:eastAsia="Calibri" w:cs="Times New Roman"/>
        </w:rPr>
        <w:t xml:space="preserve">The </w:t>
      </w:r>
      <w:proofErr w:type="spellStart"/>
      <w:r w:rsidRPr="00C94D2B">
        <w:rPr>
          <w:rFonts w:eastAsia="Calibri" w:cs="Times New Roman"/>
        </w:rPr>
        <w:t>SOPHiA</w:t>
      </w:r>
      <w:proofErr w:type="spellEnd"/>
      <w:r w:rsidRPr="00C94D2B">
        <w:rPr>
          <w:rFonts w:eastAsia="Calibri" w:cs="Times New Roman"/>
        </w:rPr>
        <w:t xml:space="preserve"> HRD assay assesses tumour samples for </w:t>
      </w:r>
      <w:r w:rsidRPr="00C94D2B">
        <w:rPr>
          <w:rFonts w:eastAsia="Calibri" w:cs="Times New Roman"/>
          <w:i/>
          <w:iCs/>
        </w:rPr>
        <w:t>BRCA1/2</w:t>
      </w:r>
      <w:r w:rsidRPr="00C94D2B">
        <w:rPr>
          <w:rFonts w:eastAsia="Calibri" w:cs="Times New Roman"/>
        </w:rPr>
        <w:t xml:space="preserve"> variants and pathogenic variants in several other HRR genes, while also estimating genomic instability via a </w:t>
      </w:r>
      <w:r w:rsidR="00D916CA" w:rsidRPr="00C94D2B">
        <w:rPr>
          <w:rFonts w:eastAsia="Calibri" w:cs="Times New Roman"/>
        </w:rPr>
        <w:t>G</w:t>
      </w:r>
      <w:r w:rsidRPr="00C94D2B">
        <w:rPr>
          <w:rFonts w:eastAsia="Calibri" w:cs="Times New Roman"/>
        </w:rPr>
        <w:t xml:space="preserve">enomic </w:t>
      </w:r>
      <w:r w:rsidR="00D916CA" w:rsidRPr="00C94D2B">
        <w:rPr>
          <w:rFonts w:eastAsia="Calibri" w:cs="Times New Roman"/>
        </w:rPr>
        <w:t>I</w:t>
      </w:r>
      <w:r w:rsidRPr="00C94D2B">
        <w:rPr>
          <w:rFonts w:eastAsia="Calibri" w:cs="Times New Roman"/>
        </w:rPr>
        <w:t xml:space="preserve">ntegrity </w:t>
      </w:r>
      <w:r w:rsidR="00D916CA" w:rsidRPr="00C94D2B">
        <w:rPr>
          <w:rFonts w:eastAsia="Calibri" w:cs="Times New Roman"/>
        </w:rPr>
        <w:t>I</w:t>
      </w:r>
      <w:r w:rsidRPr="00C94D2B">
        <w:rPr>
          <w:rFonts w:eastAsia="Calibri" w:cs="Times New Roman"/>
        </w:rPr>
        <w:t>ndex (GII). The ESCs noted that low-pass whole genome sequencing (</w:t>
      </w:r>
      <w:proofErr w:type="spellStart"/>
      <w:r w:rsidRPr="00C94D2B">
        <w:rPr>
          <w:rFonts w:eastAsia="Calibri" w:cs="Times New Roman"/>
        </w:rPr>
        <w:t>lpWGS</w:t>
      </w:r>
      <w:proofErr w:type="spellEnd"/>
      <w:r w:rsidRPr="00C94D2B">
        <w:rPr>
          <w:rFonts w:eastAsia="Calibri" w:cs="Times New Roman"/>
        </w:rPr>
        <w:t xml:space="preserve">) data is processed by a deep-learning analytical algorithm capable of quantifying genomic integrity to produce the GII. The proposed GII threshold for HRD-positivity in Australia is a score greater than zero. The codependent submission sought to demonstrate that the </w:t>
      </w:r>
      <w:proofErr w:type="spellStart"/>
      <w:r w:rsidRPr="00C94D2B">
        <w:rPr>
          <w:rFonts w:eastAsia="Calibri" w:cs="Times New Roman"/>
        </w:rPr>
        <w:t>SOPHiA</w:t>
      </w:r>
      <w:proofErr w:type="spellEnd"/>
      <w:r w:rsidRPr="00C94D2B">
        <w:rPr>
          <w:rFonts w:eastAsia="Calibri" w:cs="Times New Roman"/>
        </w:rPr>
        <w:t xml:space="preserve"> HRD assay’s GII (using a threshold of &gt;0) identified the same group of patients for as the clinical utility standard – the Myriad </w:t>
      </w:r>
      <w:proofErr w:type="spellStart"/>
      <w:r w:rsidRPr="00C94D2B">
        <w:rPr>
          <w:rFonts w:eastAsia="Calibri" w:cs="Times New Roman"/>
        </w:rPr>
        <w:t>myChoice</w:t>
      </w:r>
      <w:proofErr w:type="spellEnd"/>
      <w:r w:rsidRPr="00C94D2B">
        <w:rPr>
          <w:rFonts w:eastAsia="Calibri" w:cs="Times New Roman"/>
        </w:rPr>
        <w:t xml:space="preserve"> HRD Plus test’s Genomic Instability Score (GIS, using a threshold of ≥42). The submission claimed that treatment with </w:t>
      </w:r>
      <w:proofErr w:type="spellStart"/>
      <w:r w:rsidRPr="00C94D2B">
        <w:rPr>
          <w:rFonts w:eastAsia="Calibri" w:cs="Times New Roman"/>
        </w:rPr>
        <w:t>olaparib</w:t>
      </w:r>
      <w:proofErr w:type="spellEnd"/>
      <w:r w:rsidRPr="00C94D2B">
        <w:rPr>
          <w:rFonts w:eastAsia="Calibri" w:cs="Times New Roman"/>
        </w:rPr>
        <w:t xml:space="preserve"> and bevacizumab as maintenance therapy following a response to platinum-based chemotherapy and bevacizumab is superior to standard of care (represented by maintenance therapy with placebo + bevacizumab) in terms of efficacy and non-inferior in terms of safety with manageable adverse events for the treatment of HGEOC patients who test HRD positive </w:t>
      </w:r>
      <w:r w:rsidRPr="00C94D2B">
        <w:rPr>
          <w:rFonts w:eastAsia="Calibri" w:cs="Times New Roman"/>
          <w:i/>
          <w:iCs/>
        </w:rPr>
        <w:t>BRCA</w:t>
      </w:r>
      <w:r w:rsidR="00FD157D" w:rsidRPr="00C94D2B">
        <w:rPr>
          <w:rFonts w:eastAsia="Calibri" w:cs="Times New Roman"/>
        </w:rPr>
        <w:t xml:space="preserve"> </w:t>
      </w:r>
      <w:r w:rsidRPr="00C94D2B">
        <w:rPr>
          <w:rFonts w:eastAsia="Calibri" w:cs="Times New Roman"/>
        </w:rPr>
        <w:t>wild type (</w:t>
      </w:r>
      <w:proofErr w:type="spellStart"/>
      <w:r w:rsidRPr="00C94D2B">
        <w:rPr>
          <w:rFonts w:eastAsia="Calibri" w:cs="Times New Roman"/>
        </w:rPr>
        <w:t>wt</w:t>
      </w:r>
      <w:proofErr w:type="spellEnd"/>
      <w:r w:rsidRPr="00C94D2B">
        <w:rPr>
          <w:rFonts w:eastAsia="Calibri" w:cs="Times New Roman"/>
        </w:rPr>
        <w:t>).</w:t>
      </w:r>
    </w:p>
    <w:p w14:paraId="37790589" w14:textId="77777777" w:rsidR="00DA3EED" w:rsidRPr="000C4977" w:rsidRDefault="00DA3EED" w:rsidP="00DA3EED">
      <w:pPr>
        <w:spacing w:line="259" w:lineRule="auto"/>
        <w:jc w:val="left"/>
        <w:rPr>
          <w:rFonts w:eastAsia="Calibri" w:cs="Times New Roman"/>
        </w:rPr>
      </w:pPr>
      <w:r w:rsidRPr="000C4977">
        <w:rPr>
          <w:rFonts w:eastAsia="Calibri" w:cs="Times New Roman"/>
        </w:rPr>
        <w:lastRenderedPageBreak/>
        <w:t xml:space="preserve">The ESCs noted that the GII component of the test is a 'black box' and there is limited information about the genomic signature being assessed. The Myriad </w:t>
      </w:r>
      <w:proofErr w:type="spellStart"/>
      <w:r w:rsidRPr="000C4977">
        <w:rPr>
          <w:rFonts w:eastAsia="Calibri" w:cs="Times New Roman"/>
        </w:rPr>
        <w:t>myChoice</w:t>
      </w:r>
      <w:proofErr w:type="spellEnd"/>
      <w:r w:rsidRPr="000C4977">
        <w:rPr>
          <w:rFonts w:eastAsia="Calibri" w:cs="Times New Roman"/>
        </w:rPr>
        <w:t xml:space="preserve"> HRD tests assess GIS based on loss of heterozygosity (LOH), telomeric allelic imbalance (TAI), and large-scale state transitions (LST). The ESCs noted that the Myriad GIS threshold of 42 was developed to have 95% sensitivity for </w:t>
      </w:r>
      <w:r w:rsidRPr="000C4977">
        <w:rPr>
          <w:rFonts w:eastAsia="Calibri" w:cs="Times New Roman"/>
          <w:i/>
          <w:iCs/>
        </w:rPr>
        <w:t xml:space="preserve">BRCA </w:t>
      </w:r>
      <w:r w:rsidRPr="000C4977">
        <w:rPr>
          <w:rFonts w:eastAsia="Calibri" w:cs="Times New Roman"/>
        </w:rPr>
        <w:t>pathogenic variants. However, the PAOLA-1 trial suggests t</w:t>
      </w:r>
      <w:r>
        <w:rPr>
          <w:rFonts w:eastAsia="Calibri" w:cs="Times New Roman"/>
        </w:rPr>
        <w:t xml:space="preserve">hat this test threshold </w:t>
      </w:r>
      <w:r w:rsidRPr="000C4977">
        <w:rPr>
          <w:rFonts w:eastAsia="Calibri" w:cs="Times New Roman"/>
        </w:rPr>
        <w:t xml:space="preserve">may </w:t>
      </w:r>
      <w:r>
        <w:rPr>
          <w:rFonts w:eastAsia="Calibri" w:cs="Times New Roman"/>
        </w:rPr>
        <w:t>also</w:t>
      </w:r>
      <w:r w:rsidRPr="000C4977">
        <w:rPr>
          <w:rFonts w:eastAsia="Calibri" w:cs="Times New Roman"/>
        </w:rPr>
        <w:t xml:space="preserve"> identify a larger group of </w:t>
      </w:r>
      <w:proofErr w:type="spellStart"/>
      <w:r w:rsidRPr="0094174F">
        <w:rPr>
          <w:rFonts w:eastAsia="Calibri" w:cs="Times New Roman"/>
          <w:i/>
          <w:iCs/>
        </w:rPr>
        <w:t>BRCA</w:t>
      </w:r>
      <w:r>
        <w:rPr>
          <w:rFonts w:eastAsia="Calibri" w:cs="Times New Roman"/>
        </w:rPr>
        <w:t>wt</w:t>
      </w:r>
      <w:proofErr w:type="spellEnd"/>
      <w:r>
        <w:rPr>
          <w:rFonts w:eastAsia="Calibri" w:cs="Times New Roman"/>
        </w:rPr>
        <w:t xml:space="preserve"> </w:t>
      </w:r>
      <w:r w:rsidRPr="000C4977">
        <w:rPr>
          <w:rFonts w:eastAsia="Calibri" w:cs="Times New Roman"/>
        </w:rPr>
        <w:t>ovarian tumours as having genomic instability.</w:t>
      </w:r>
    </w:p>
    <w:p w14:paraId="38D626D8" w14:textId="77777777" w:rsidR="00DA3EED" w:rsidRPr="000C4977" w:rsidRDefault="00DA3EED" w:rsidP="00DA3EED">
      <w:pPr>
        <w:spacing w:line="259" w:lineRule="auto"/>
        <w:jc w:val="left"/>
        <w:rPr>
          <w:rFonts w:eastAsia="Calibri" w:cs="Times New Roman"/>
        </w:rPr>
      </w:pPr>
      <w:r w:rsidRPr="000C4977">
        <w:rPr>
          <w:rFonts w:eastAsia="Calibri" w:cs="Times New Roman"/>
        </w:rPr>
        <w:t xml:space="preserve">The ESCs noted the submission sought to amend MBS item 73301 for </w:t>
      </w:r>
      <w:r w:rsidRPr="000C4977">
        <w:rPr>
          <w:rFonts w:eastAsia="Calibri" w:cs="Times New Roman"/>
          <w:i/>
          <w:iCs/>
        </w:rPr>
        <w:t>BRCA</w:t>
      </w:r>
      <w:r w:rsidRPr="000C4977">
        <w:rPr>
          <w:rFonts w:eastAsia="Calibri" w:cs="Times New Roman"/>
        </w:rPr>
        <w:t xml:space="preserve"> testing of ovarian tumour tissue to </w:t>
      </w:r>
      <w:r>
        <w:rPr>
          <w:rFonts w:eastAsia="Calibri" w:cs="Times New Roman"/>
        </w:rPr>
        <w:t xml:space="preserve">add genomic instability testing in parallel with </w:t>
      </w:r>
      <w:r w:rsidRPr="000C4977">
        <w:rPr>
          <w:rFonts w:eastAsia="Calibri" w:cs="Times New Roman"/>
          <w:i/>
          <w:iCs/>
        </w:rPr>
        <w:t>BRCA</w:t>
      </w:r>
      <w:r w:rsidRPr="0094174F">
        <w:rPr>
          <w:rFonts w:eastAsia="Calibri" w:cs="Times New Roman"/>
        </w:rPr>
        <w:t xml:space="preserve"> </w:t>
      </w:r>
      <w:r w:rsidRPr="000C4977">
        <w:rPr>
          <w:rFonts w:eastAsia="Calibri" w:cs="Times New Roman"/>
        </w:rPr>
        <w:t>testing. The ESCs noted that parallel testing requires less tumour tissue and would have a faster turnaround time than sequential testing.</w:t>
      </w:r>
    </w:p>
    <w:p w14:paraId="0A9D10A7" w14:textId="236D9CEF" w:rsidR="00DA3EED" w:rsidRDefault="00DA3EED" w:rsidP="00DA3EED">
      <w:pPr>
        <w:spacing w:line="259" w:lineRule="auto"/>
        <w:jc w:val="left"/>
        <w:rPr>
          <w:rFonts w:cs="Calibri"/>
        </w:rPr>
      </w:pPr>
      <w:r w:rsidRPr="00DC2EA0">
        <w:rPr>
          <w:rFonts w:cs="Calibri"/>
        </w:rPr>
        <w:t>The ESCs considered that a single test that uses less tumour tissue would be beneficial for consumers. The ESCs considered that consumers should be informed of the 'black box' nature of the test. The ESCs considered this lack of transparency could be problematic for consumers. The ESCs considered that consumers should be informed that the proposed test does not necessarily produce the same result as the clinical utility standard. The ESCs considered that it was important that consumers were informed that some patients would be incorrectly classified and the implications of this as a part of the informed consent process. The ESCs noted that some patients who have non-</w:t>
      </w:r>
      <w:r w:rsidRPr="00DC2EA0">
        <w:rPr>
          <w:rFonts w:cs="Calibri"/>
          <w:i/>
        </w:rPr>
        <w:t>BRCA</w:t>
      </w:r>
      <w:r w:rsidRPr="00DC2EA0">
        <w:rPr>
          <w:rFonts w:cs="Calibri"/>
        </w:rPr>
        <w:t xml:space="preserve"> somatic HRR gene variants would not be eligible for treatment. The ESCs considered that consumers should receive genetic counselling.</w:t>
      </w:r>
    </w:p>
    <w:p w14:paraId="46948486" w14:textId="77777777" w:rsidR="00DA3EED" w:rsidRPr="000C4977" w:rsidRDefault="00DA3EED" w:rsidP="00DA3EED">
      <w:pPr>
        <w:spacing w:line="259" w:lineRule="auto"/>
        <w:jc w:val="left"/>
        <w:rPr>
          <w:rFonts w:cs="Calibri"/>
        </w:rPr>
      </w:pPr>
      <w:r w:rsidRPr="000C4977">
        <w:rPr>
          <w:rFonts w:cs="Calibri"/>
        </w:rPr>
        <w:t>The ESCs noted that clinical guidelines recommend germline testing for some non-</w:t>
      </w:r>
      <w:r w:rsidRPr="000C4977">
        <w:rPr>
          <w:rFonts w:cs="Calibri"/>
          <w:i/>
          <w:iCs/>
        </w:rPr>
        <w:t>BRCA</w:t>
      </w:r>
      <w:r w:rsidRPr="000C4977">
        <w:rPr>
          <w:rFonts w:cs="Calibri"/>
        </w:rPr>
        <w:t xml:space="preserve"> HRR genes identified in tumour tissue</w:t>
      </w:r>
      <w:r>
        <w:rPr>
          <w:rFonts w:cs="Calibri"/>
        </w:rPr>
        <w:t xml:space="preserve"> which are not covered by MBS item 73296</w:t>
      </w:r>
      <w:r w:rsidRPr="000C4977">
        <w:rPr>
          <w:rFonts w:cs="Calibri"/>
        </w:rPr>
        <w:t xml:space="preserve">: </w:t>
      </w:r>
      <w:r w:rsidRPr="000C4977">
        <w:rPr>
          <w:rFonts w:cs="Calibri"/>
          <w:i/>
          <w:iCs/>
        </w:rPr>
        <w:t>BRIP1</w:t>
      </w:r>
      <w:r w:rsidRPr="000C4977">
        <w:rPr>
          <w:rFonts w:cs="Calibri"/>
        </w:rPr>
        <w:t xml:space="preserve">, </w:t>
      </w:r>
      <w:r w:rsidRPr="000C4977">
        <w:rPr>
          <w:rFonts w:cs="Calibri"/>
          <w:i/>
          <w:iCs/>
        </w:rPr>
        <w:t>RAD51C</w:t>
      </w:r>
      <w:r w:rsidRPr="000C4977">
        <w:rPr>
          <w:rFonts w:cs="Calibri"/>
        </w:rPr>
        <w:t xml:space="preserve">, and </w:t>
      </w:r>
      <w:r w:rsidRPr="000C4977">
        <w:rPr>
          <w:rFonts w:cs="Calibri"/>
          <w:i/>
          <w:iCs/>
        </w:rPr>
        <w:t>RAD51D</w:t>
      </w:r>
      <w:r w:rsidRPr="000C4977">
        <w:rPr>
          <w:rFonts w:cs="Calibri"/>
        </w:rPr>
        <w:t>. The ESCs noted that guidance for germline testing of other pathogenic variants are dependent on other factors such as the specific variant</w:t>
      </w:r>
      <w:r>
        <w:rPr>
          <w:rFonts w:cs="Calibri"/>
        </w:rPr>
        <w:t xml:space="preserve"> detected</w:t>
      </w:r>
      <w:r w:rsidRPr="000C4977">
        <w:rPr>
          <w:rFonts w:cs="Calibri"/>
        </w:rPr>
        <w:t xml:space="preserve">, </w:t>
      </w:r>
      <w:r>
        <w:rPr>
          <w:rFonts w:cs="Calibri"/>
        </w:rPr>
        <w:t>the</w:t>
      </w:r>
      <w:r w:rsidRPr="000C4977">
        <w:rPr>
          <w:rFonts w:cs="Calibri"/>
        </w:rPr>
        <w:t xml:space="preserve"> age of </w:t>
      </w:r>
      <w:r>
        <w:rPr>
          <w:rFonts w:cs="Calibri"/>
        </w:rPr>
        <w:t xml:space="preserve">the patient at cancer </w:t>
      </w:r>
      <w:r w:rsidRPr="000C4977">
        <w:rPr>
          <w:rFonts w:cs="Calibri"/>
        </w:rPr>
        <w:t>diagnosis</w:t>
      </w:r>
      <w:r>
        <w:rPr>
          <w:rFonts w:cs="Calibri"/>
        </w:rPr>
        <w:t xml:space="preserve"> and their </w:t>
      </w:r>
      <w:r w:rsidRPr="000C4977">
        <w:rPr>
          <w:rFonts w:cs="Calibri"/>
        </w:rPr>
        <w:t xml:space="preserve">family history. The ESCs </w:t>
      </w:r>
      <w:r>
        <w:rPr>
          <w:rFonts w:cs="Calibri"/>
        </w:rPr>
        <w:t xml:space="preserve">therefore </w:t>
      </w:r>
      <w:r w:rsidRPr="000C4977">
        <w:rPr>
          <w:rFonts w:cs="Calibri"/>
        </w:rPr>
        <w:t xml:space="preserve">queried whether </w:t>
      </w:r>
      <w:r>
        <w:rPr>
          <w:rFonts w:cs="Calibri"/>
        </w:rPr>
        <w:t xml:space="preserve">specific HRD-relevant genes should be identified in the proposed item descriptor and whether </w:t>
      </w:r>
      <w:r w:rsidRPr="000C4977">
        <w:rPr>
          <w:rFonts w:cs="Calibri"/>
        </w:rPr>
        <w:t xml:space="preserve">germline and cascade testing items </w:t>
      </w:r>
      <w:r>
        <w:rPr>
          <w:rFonts w:cs="Calibri"/>
        </w:rPr>
        <w:t xml:space="preserve">would </w:t>
      </w:r>
      <w:r w:rsidRPr="000C4977">
        <w:rPr>
          <w:rFonts w:cs="Calibri"/>
        </w:rPr>
        <w:t xml:space="preserve">need to </w:t>
      </w:r>
      <w:r>
        <w:rPr>
          <w:rFonts w:cs="Calibri"/>
        </w:rPr>
        <w:t xml:space="preserve">be </w:t>
      </w:r>
      <w:r w:rsidRPr="000C4977">
        <w:rPr>
          <w:rFonts w:cs="Calibri"/>
        </w:rPr>
        <w:t>created</w:t>
      </w:r>
      <w:r>
        <w:rPr>
          <w:rFonts w:cs="Calibri"/>
        </w:rPr>
        <w:t xml:space="preserve"> if pathogenic variants were detected and reported for these genes in tumour tissue</w:t>
      </w:r>
      <w:r w:rsidRPr="000C4977">
        <w:rPr>
          <w:rFonts w:cs="Calibri"/>
        </w:rPr>
        <w:t>.</w:t>
      </w:r>
    </w:p>
    <w:p w14:paraId="4AACE8D0" w14:textId="65225D24" w:rsidR="00DA3EED" w:rsidRPr="000C4977" w:rsidRDefault="00DA3EED" w:rsidP="00DA3EED">
      <w:pPr>
        <w:spacing w:line="259" w:lineRule="auto"/>
        <w:jc w:val="left"/>
        <w:rPr>
          <w:rFonts w:eastAsia="Calibri" w:cs="Times New Roman"/>
        </w:rPr>
      </w:pPr>
      <w:r w:rsidRPr="000C4977">
        <w:rPr>
          <w:rFonts w:eastAsia="Calibri" w:cs="Times New Roman"/>
        </w:rPr>
        <w:t xml:space="preserve">The ESCs noted the MBS fee of </w:t>
      </w:r>
      <w:r w:rsidRPr="004702CE">
        <w:rPr>
          <w:rFonts w:eastAsia="Calibri" w:cs="Times New Roman"/>
        </w:rPr>
        <w:t>$2,500</w:t>
      </w:r>
      <w:r>
        <w:rPr>
          <w:rFonts w:eastAsia="Calibri" w:cs="Times New Roman"/>
        </w:rPr>
        <w:t xml:space="preserve"> included in the submission for the proposed test</w:t>
      </w:r>
      <w:r w:rsidRPr="000C4977">
        <w:rPr>
          <w:rFonts w:eastAsia="Calibri" w:cs="Times New Roman"/>
        </w:rPr>
        <w:t xml:space="preserve">. The ESCs considered the fee was not fully justified. The ESCs considered that it was difficult to benchmark the test </w:t>
      </w:r>
      <w:r>
        <w:rPr>
          <w:rFonts w:eastAsia="Calibri" w:cs="Times New Roman"/>
        </w:rPr>
        <w:t xml:space="preserve">cost </w:t>
      </w:r>
      <w:r w:rsidRPr="000C4977">
        <w:rPr>
          <w:rFonts w:eastAsia="Calibri" w:cs="Times New Roman"/>
        </w:rPr>
        <w:t xml:space="preserve">with </w:t>
      </w:r>
      <w:r>
        <w:rPr>
          <w:rFonts w:eastAsia="Calibri" w:cs="Times New Roman"/>
        </w:rPr>
        <w:t xml:space="preserve">that of </w:t>
      </w:r>
      <w:r w:rsidRPr="000C4977">
        <w:rPr>
          <w:rFonts w:eastAsia="Calibri" w:cs="Times New Roman"/>
        </w:rPr>
        <w:t xml:space="preserve">similar tests as the </w:t>
      </w:r>
      <w:proofErr w:type="spellStart"/>
      <w:r w:rsidRPr="000C4977">
        <w:rPr>
          <w:rFonts w:eastAsia="Calibri" w:cs="Times New Roman"/>
        </w:rPr>
        <w:t>SOPHiA</w:t>
      </w:r>
      <w:proofErr w:type="spellEnd"/>
      <w:r w:rsidRPr="000C4977">
        <w:rPr>
          <w:rFonts w:eastAsia="Calibri" w:cs="Times New Roman"/>
        </w:rPr>
        <w:t xml:space="preserve"> HRD test includes </w:t>
      </w:r>
      <w:proofErr w:type="spellStart"/>
      <w:r w:rsidRPr="000C4977">
        <w:rPr>
          <w:rFonts w:eastAsia="Calibri" w:cs="Times New Roman"/>
        </w:rPr>
        <w:t>lpWGS</w:t>
      </w:r>
      <w:proofErr w:type="spellEnd"/>
      <w:r w:rsidRPr="000C4977">
        <w:rPr>
          <w:rFonts w:eastAsia="Calibri" w:cs="Times New Roman"/>
        </w:rPr>
        <w:t xml:space="preserve">. The ESCs noted the fee is lower than MBS fees for whole exome/genome sequencing ($2,100 to $2,900) and substantially lower than the Myriad </w:t>
      </w:r>
      <w:proofErr w:type="spellStart"/>
      <w:r w:rsidRPr="000C4977">
        <w:rPr>
          <w:rFonts w:eastAsia="Calibri" w:cs="Times New Roman"/>
        </w:rPr>
        <w:t>MyChoice</w:t>
      </w:r>
      <w:proofErr w:type="spellEnd"/>
      <w:r w:rsidRPr="000C4977">
        <w:rPr>
          <w:rFonts w:eastAsia="Calibri" w:cs="Times New Roman"/>
        </w:rPr>
        <w:t xml:space="preserve"> (US$4,040). The ESCs considered a breakdown of the </w:t>
      </w:r>
      <w:r>
        <w:rPr>
          <w:rFonts w:eastAsia="Calibri" w:cs="Times New Roman"/>
        </w:rPr>
        <w:t xml:space="preserve">costs of the </w:t>
      </w:r>
      <w:r w:rsidRPr="000C4977">
        <w:rPr>
          <w:rFonts w:eastAsia="Calibri" w:cs="Times New Roman"/>
        </w:rPr>
        <w:t xml:space="preserve">proposed test </w:t>
      </w:r>
      <w:r>
        <w:rPr>
          <w:rFonts w:eastAsia="Calibri" w:cs="Times New Roman"/>
        </w:rPr>
        <w:t xml:space="preserve">(such as sequencing, quality control, bioinformatics, consumables) </w:t>
      </w:r>
      <w:r w:rsidRPr="000C4977">
        <w:rPr>
          <w:rFonts w:eastAsia="Calibri" w:cs="Times New Roman"/>
        </w:rPr>
        <w:t>may be informative.</w:t>
      </w:r>
      <w:r w:rsidRPr="000C4977">
        <w:t xml:space="preserve"> </w:t>
      </w:r>
      <w:r w:rsidRPr="000C4977">
        <w:rPr>
          <w:rFonts w:eastAsia="Calibri" w:cs="Times New Roman"/>
        </w:rPr>
        <w:t xml:space="preserve">The ESCs considered the fee </w:t>
      </w:r>
      <w:r>
        <w:rPr>
          <w:rFonts w:eastAsia="Calibri" w:cs="Times New Roman"/>
        </w:rPr>
        <w:t>might be reasonable</w:t>
      </w:r>
      <w:r w:rsidRPr="000C4977">
        <w:rPr>
          <w:rFonts w:eastAsia="Calibri" w:cs="Times New Roman"/>
        </w:rPr>
        <w:t xml:space="preserve"> due to the complexity of the test, including reviewing samples for purity, tumour area, and bioinformatics. The ESCs considered that patients could incur </w:t>
      </w:r>
      <w:r w:rsidRPr="65106A7D">
        <w:rPr>
          <w:rFonts w:eastAsia="Calibri" w:cs="Times New Roman"/>
        </w:rPr>
        <w:t>out</w:t>
      </w:r>
      <w:r w:rsidR="00F1310C">
        <w:rPr>
          <w:rFonts w:eastAsia="Calibri" w:cs="Times New Roman"/>
        </w:rPr>
        <w:noBreakHyphen/>
      </w:r>
      <w:r w:rsidRPr="65106A7D">
        <w:rPr>
          <w:rFonts w:eastAsia="Calibri" w:cs="Times New Roman"/>
        </w:rPr>
        <w:t>of</w:t>
      </w:r>
      <w:r w:rsidR="00F1310C">
        <w:rPr>
          <w:rFonts w:eastAsia="Calibri" w:cs="Times New Roman"/>
        </w:rPr>
        <w:noBreakHyphen/>
      </w:r>
      <w:r w:rsidRPr="65106A7D">
        <w:rPr>
          <w:rFonts w:eastAsia="Calibri" w:cs="Times New Roman"/>
        </w:rPr>
        <w:t>pocket</w:t>
      </w:r>
      <w:r w:rsidRPr="000C4977">
        <w:rPr>
          <w:rFonts w:eastAsia="Calibri" w:cs="Times New Roman"/>
        </w:rPr>
        <w:t xml:space="preserve"> costs if pathology providers charge fees higher than the MBS rebate.</w:t>
      </w:r>
    </w:p>
    <w:p w14:paraId="666C4F1F" w14:textId="77777777" w:rsidR="00DA3EED" w:rsidRPr="000C4977" w:rsidRDefault="00DA3EED" w:rsidP="00DA3EED">
      <w:pPr>
        <w:spacing w:line="259" w:lineRule="auto"/>
        <w:jc w:val="left"/>
        <w:rPr>
          <w:rFonts w:eastAsia="Calibri" w:cs="Times New Roman"/>
        </w:rPr>
      </w:pPr>
      <w:r w:rsidRPr="000C4977">
        <w:rPr>
          <w:rFonts w:eastAsia="Calibri" w:cs="Times New Roman"/>
        </w:rPr>
        <w:t xml:space="preserve">The ESCs </w:t>
      </w:r>
      <w:r>
        <w:rPr>
          <w:rFonts w:eastAsia="Calibri" w:cs="Times New Roman"/>
        </w:rPr>
        <w:t xml:space="preserve">also supported </w:t>
      </w:r>
      <w:r w:rsidRPr="000C4977">
        <w:rPr>
          <w:rFonts w:eastAsia="Calibri" w:cs="Times New Roman"/>
        </w:rPr>
        <w:t>modifying item 7</w:t>
      </w:r>
      <w:r>
        <w:rPr>
          <w:rFonts w:eastAsia="Calibri" w:cs="Times New Roman"/>
        </w:rPr>
        <w:t>3</w:t>
      </w:r>
      <w:r w:rsidRPr="000C4977">
        <w:rPr>
          <w:rFonts w:eastAsia="Calibri" w:cs="Times New Roman"/>
        </w:rPr>
        <w:t xml:space="preserve">301 </w:t>
      </w:r>
      <w:r w:rsidRPr="004E67C5">
        <w:rPr>
          <w:rFonts w:eastAsia="Calibri" w:cs="Times New Roman"/>
        </w:rPr>
        <w:t xml:space="preserve">to determine eligibility for PARP inhibitors rather </w:t>
      </w:r>
      <w:r w:rsidRPr="00800993">
        <w:rPr>
          <w:rFonts w:eastAsia="Calibri" w:cs="Times New Roman"/>
        </w:rPr>
        <w:t xml:space="preserve">than </w:t>
      </w:r>
      <w:proofErr w:type="spellStart"/>
      <w:r w:rsidRPr="00800993">
        <w:rPr>
          <w:rFonts w:eastAsia="Calibri" w:cs="Times New Roman"/>
        </w:rPr>
        <w:t>olaparib</w:t>
      </w:r>
      <w:proofErr w:type="spellEnd"/>
      <w:r w:rsidRPr="00800993">
        <w:rPr>
          <w:rFonts w:eastAsia="Calibri" w:cs="Times New Roman"/>
        </w:rPr>
        <w:t xml:space="preserve"> alone, consistent with the April 2022 advice of the MSAC Executive to accommodate PBAC’s recommendation for the PBS listing of niraparib with reference to </w:t>
      </w:r>
      <w:r w:rsidRPr="00800993">
        <w:rPr>
          <w:rFonts w:eastAsia="Calibri" w:cs="Times New Roman"/>
          <w:i/>
          <w:iCs/>
        </w:rPr>
        <w:t>BRCA</w:t>
      </w:r>
      <w:r w:rsidRPr="00800993">
        <w:rPr>
          <w:rFonts w:eastAsia="Calibri" w:cs="Times New Roman"/>
        </w:rPr>
        <w:t xml:space="preserve"> status. The ESCs considered that a technology agnostic item descriptor would be appropriate. The ESCs queried whether the other HRR genes tested should be included in the item descriptor</w:t>
      </w:r>
      <w:r w:rsidRPr="000C4977">
        <w:rPr>
          <w:rFonts w:eastAsia="Calibri" w:cs="Times New Roman"/>
        </w:rPr>
        <w:t>.</w:t>
      </w:r>
    </w:p>
    <w:p w14:paraId="6424571D" w14:textId="77777777" w:rsidR="00DA3EED" w:rsidRPr="004702CE" w:rsidRDefault="00DA3EED" w:rsidP="00DA3EED">
      <w:pPr>
        <w:spacing w:line="259" w:lineRule="auto"/>
        <w:jc w:val="left"/>
        <w:rPr>
          <w:rFonts w:eastAsia="Calibri" w:cs="Times New Roman"/>
        </w:rPr>
      </w:pPr>
      <w:r w:rsidRPr="000C4977">
        <w:rPr>
          <w:rFonts w:eastAsia="Calibri" w:cs="Times New Roman"/>
        </w:rPr>
        <w:t xml:space="preserve">The ESCs suggested the </w:t>
      </w:r>
      <w:r>
        <w:rPr>
          <w:rFonts w:eastAsia="Calibri" w:cs="Times New Roman"/>
        </w:rPr>
        <w:t xml:space="preserve">amended </w:t>
      </w:r>
      <w:r w:rsidRPr="000C4977">
        <w:rPr>
          <w:rFonts w:eastAsia="Calibri" w:cs="Times New Roman"/>
        </w:rPr>
        <w:t>MBS item descriptor could refer to a ‘clinically validated’ test</w:t>
      </w:r>
      <w:r>
        <w:rPr>
          <w:rFonts w:eastAsia="Calibri" w:cs="Times New Roman"/>
        </w:rPr>
        <w:t>,</w:t>
      </w:r>
      <w:r w:rsidRPr="000C4977">
        <w:rPr>
          <w:rFonts w:eastAsia="Calibri" w:cs="Times New Roman"/>
        </w:rPr>
        <w:t xml:space="preserve"> but considered that there are several, complex implementation issues for </w:t>
      </w:r>
      <w:r>
        <w:rPr>
          <w:rFonts w:eastAsia="Calibri" w:cs="Times New Roman"/>
        </w:rPr>
        <w:t xml:space="preserve">testing </w:t>
      </w:r>
      <w:r w:rsidRPr="000C4977">
        <w:rPr>
          <w:rFonts w:eastAsia="Calibri" w:cs="Times New Roman"/>
        </w:rPr>
        <w:t>genomic instability a</w:t>
      </w:r>
      <w:r>
        <w:rPr>
          <w:rFonts w:eastAsia="Calibri" w:cs="Times New Roman"/>
        </w:rPr>
        <w:t>s part of</w:t>
      </w:r>
      <w:r w:rsidRPr="000C4977">
        <w:rPr>
          <w:rFonts w:eastAsia="Calibri" w:cs="Times New Roman"/>
        </w:rPr>
        <w:t xml:space="preserve"> HRD testing. The ESCs considered that it was important that genomic instability tests are clinically validated as HRD tests identify different (potentially overlapping) populations</w:t>
      </w:r>
      <w:r>
        <w:rPr>
          <w:rFonts w:eastAsia="Calibri" w:cs="Times New Roman"/>
        </w:rPr>
        <w:t xml:space="preserve"> and so the MBS should only fund HRD </w:t>
      </w:r>
      <w:r w:rsidRPr="000C4977">
        <w:rPr>
          <w:rFonts w:eastAsia="Calibri" w:cs="Times New Roman"/>
        </w:rPr>
        <w:t>tests with sufficient level of concordance with the clinical utility standard</w:t>
      </w:r>
      <w:r>
        <w:rPr>
          <w:rFonts w:eastAsia="Calibri" w:cs="Times New Roman"/>
        </w:rPr>
        <w:t xml:space="preserve"> for the intended codependent purpose</w:t>
      </w:r>
      <w:r w:rsidRPr="000C4977">
        <w:rPr>
          <w:rFonts w:eastAsia="Calibri" w:cs="Times New Roman"/>
        </w:rPr>
        <w:t xml:space="preserve">. The ESCs noted that other </w:t>
      </w:r>
      <w:r w:rsidRPr="00272DEA">
        <w:rPr>
          <w:rFonts w:eastAsia="Calibri" w:cs="Times New Roman"/>
        </w:rPr>
        <w:lastRenderedPageBreak/>
        <w:t>pathology providers were also developing HRD tests. The ESCs noted advice from National Pathology Accreditation Advisory Council (NPAAC) that validation of clinical utility is a major issue. NPAAC advised that the concordance of HRD assays is unclear and there is no external quality assurance program which is a prerequisite to MBS listing. NPAAC advised that a sample exchange program would need to be developed for the purpose of external quality assurance. To increase confidence that such clinical validation would ensure that any other test option would identify similar patients as the clinical utility standard, the ESCs recommended that the PBS restriction include a criterion that ensures that such test options have been validated against the clinical utility standard including its GIS threshold of ≥42.</w:t>
      </w:r>
    </w:p>
    <w:p w14:paraId="612EE13A" w14:textId="77777777" w:rsidR="00DA3EED" w:rsidRPr="000C4977" w:rsidRDefault="00DA3EED" w:rsidP="00DA3EED">
      <w:pPr>
        <w:spacing w:line="259" w:lineRule="auto"/>
        <w:jc w:val="left"/>
        <w:rPr>
          <w:rFonts w:eastAsia="Calibri" w:cs="Times New Roman"/>
        </w:rPr>
      </w:pPr>
      <w:r w:rsidRPr="00174627">
        <w:rPr>
          <w:rFonts w:eastAsia="Calibri" w:cs="Times New Roman"/>
        </w:rPr>
        <w:t>The ESCs supported the Department's advice that the criteria for HRD/genomic instability positivity should be stated in the PBS restriction (rather than the MBS item descriptor) as the threshold for positivity is a criterion for the eligibility for the medicine and not an eligibility criterion for the test. The ESCs considered the threshold for test positivity should be clear for the validation of any HRD test used</w:t>
      </w:r>
      <w:r>
        <w:rPr>
          <w:rFonts w:eastAsia="Calibri" w:cs="Times New Roman"/>
        </w:rPr>
        <w:t xml:space="preserve"> to perform the proposed 73301 MBS service</w:t>
      </w:r>
      <w:r w:rsidRPr="000C4977">
        <w:rPr>
          <w:rFonts w:eastAsia="Calibri" w:cs="Times New Roman"/>
        </w:rPr>
        <w:t xml:space="preserve">. The ESCs noted that the policy and implementation issues for HRD testing may apply to other </w:t>
      </w:r>
      <w:r>
        <w:rPr>
          <w:rFonts w:eastAsia="Calibri" w:cs="Times New Roman"/>
        </w:rPr>
        <w:t xml:space="preserve">types of </w:t>
      </w:r>
      <w:r w:rsidRPr="000C4977">
        <w:rPr>
          <w:rFonts w:eastAsia="Calibri" w:cs="Times New Roman"/>
        </w:rPr>
        <w:t>cancer as the predictive evidence for HRD positivity may emerge for other cancer</w:t>
      </w:r>
      <w:r>
        <w:rPr>
          <w:rFonts w:eastAsia="Calibri" w:cs="Times New Roman"/>
        </w:rPr>
        <w:t xml:space="preserve"> type</w:t>
      </w:r>
      <w:r w:rsidRPr="000C4977">
        <w:rPr>
          <w:rFonts w:eastAsia="Calibri" w:cs="Times New Roman"/>
        </w:rPr>
        <w:t>s.</w:t>
      </w:r>
    </w:p>
    <w:p w14:paraId="5E836B46" w14:textId="77777777" w:rsidR="00DA3EED" w:rsidRPr="000C4977" w:rsidRDefault="00DA3EED" w:rsidP="00DA3EED">
      <w:pPr>
        <w:spacing w:line="259" w:lineRule="auto"/>
        <w:jc w:val="left"/>
        <w:rPr>
          <w:rFonts w:cs="Calibri"/>
        </w:rPr>
      </w:pPr>
      <w:r w:rsidRPr="000C4977">
        <w:rPr>
          <w:rFonts w:cs="Calibri"/>
        </w:rPr>
        <w:t xml:space="preserve">The ESCs noted that </w:t>
      </w:r>
      <w:proofErr w:type="gramStart"/>
      <w:r w:rsidRPr="000C4977">
        <w:rPr>
          <w:rFonts w:cs="Calibri"/>
        </w:rPr>
        <w:t>the majority of</w:t>
      </w:r>
      <w:proofErr w:type="gramEnd"/>
      <w:r w:rsidRPr="000C4977">
        <w:rPr>
          <w:rFonts w:cs="Calibri"/>
        </w:rPr>
        <w:t xml:space="preserve"> consultation feedback was received during the PASC considerations and responses were not specific to the </w:t>
      </w:r>
      <w:proofErr w:type="spellStart"/>
      <w:r w:rsidRPr="000C4977">
        <w:rPr>
          <w:rFonts w:cs="Calibri"/>
        </w:rPr>
        <w:t>SOPHiA</w:t>
      </w:r>
      <w:proofErr w:type="spellEnd"/>
      <w:r w:rsidRPr="000C4977">
        <w:rPr>
          <w:rFonts w:cs="Calibri"/>
        </w:rPr>
        <w:t xml:space="preserve"> HRD test which was not included in the original application form. </w:t>
      </w:r>
      <w:r w:rsidRPr="00977E50">
        <w:rPr>
          <w:rFonts w:cs="Calibri"/>
        </w:rPr>
        <w:t>The ESCs noted feedback from the Royal College of Pathologists of Australasia (RCPA)</w:t>
      </w:r>
      <w:r w:rsidRPr="00977E50">
        <w:t xml:space="preserve"> </w:t>
      </w:r>
      <w:r w:rsidRPr="00977E50">
        <w:rPr>
          <w:rFonts w:cs="Calibri"/>
        </w:rPr>
        <w:t>that an MBS item should not be funded for a test that is not clearly defined and is not currently widely available in Australia. The ESCs considered it may be beneficial to seek further advice from RCPA and NPAAC on how</w:t>
      </w:r>
      <w:r w:rsidRPr="000C4977">
        <w:rPr>
          <w:rFonts w:cs="Calibri"/>
        </w:rPr>
        <w:t xml:space="preserve"> to ensure that only clinically validated tests are used and reimbursed on the MBS.</w:t>
      </w:r>
    </w:p>
    <w:p w14:paraId="72B74A46" w14:textId="5251F736" w:rsidR="00DA3EED" w:rsidRPr="000C4977" w:rsidRDefault="00DA3EED" w:rsidP="00DA3EED">
      <w:pPr>
        <w:spacing w:line="259" w:lineRule="auto"/>
        <w:jc w:val="left"/>
        <w:rPr>
          <w:rFonts w:eastAsia="Calibri" w:cs="Times New Roman"/>
        </w:rPr>
      </w:pPr>
      <w:r w:rsidRPr="000C4977">
        <w:rPr>
          <w:rFonts w:eastAsia="Calibri" w:cs="Times New Roman"/>
        </w:rPr>
        <w:t xml:space="preserve">The ESCs noted that the </w:t>
      </w:r>
      <w:proofErr w:type="spellStart"/>
      <w:r w:rsidRPr="000C4977">
        <w:rPr>
          <w:rFonts w:eastAsia="Calibri" w:cs="Times New Roman"/>
        </w:rPr>
        <w:t>SOPHiA</w:t>
      </w:r>
      <w:proofErr w:type="spellEnd"/>
      <w:r w:rsidRPr="000C4977">
        <w:rPr>
          <w:rFonts w:eastAsia="Calibri" w:cs="Times New Roman"/>
        </w:rPr>
        <w:t xml:space="preserve"> HRD assay was currently being validated by the </w:t>
      </w:r>
      <w:r w:rsidR="00A8205F" w:rsidRPr="00B97B49">
        <w:rPr>
          <w:color w:val="000000"/>
          <w:spacing w:val="77"/>
          <w:w w:val="85"/>
          <w:shd w:val="solid" w:color="000000" w:fill="000000"/>
          <w:fitText w:val="264" w:id="-1450961663"/>
          <w14:textFill>
            <w14:solidFill>
              <w14:srgbClr w14:val="000000">
                <w14:alpha w14:val="100000"/>
              </w14:srgbClr>
            </w14:solidFill>
          </w14:textFill>
        </w:rPr>
        <w:t>|</w:t>
      </w:r>
      <w:r w:rsidR="00A8205F" w:rsidRPr="00B97B49">
        <w:rPr>
          <w:color w:val="000000"/>
          <w:spacing w:val="1"/>
          <w:w w:val="85"/>
          <w:shd w:val="solid" w:color="000000" w:fill="000000"/>
          <w:fitText w:val="264" w:id="-1450961663"/>
          <w14:textFill>
            <w14:solidFill>
              <w14:srgbClr w14:val="000000">
                <w14:alpha w14:val="100000"/>
              </w14:srgbClr>
            </w14:solidFill>
          </w14:textFill>
        </w:rPr>
        <w:t>|</w:t>
      </w:r>
      <w:r w:rsidR="00A8205F" w:rsidRPr="000C4977">
        <w:rPr>
          <w:rFonts w:eastAsia="Calibri" w:cs="Times New Roman"/>
        </w:rPr>
        <w:t xml:space="preserve"> </w:t>
      </w:r>
      <w:r w:rsidRPr="000C4977">
        <w:rPr>
          <w:rFonts w:eastAsia="Calibri" w:cs="Times New Roman"/>
        </w:rPr>
        <w:t>(</w:t>
      </w:r>
      <w:r w:rsidR="00A8205F" w:rsidRPr="00B97B49">
        <w:rPr>
          <w:rFonts w:eastAsia="Calibri" w:cs="Times New Roman"/>
          <w:color w:val="000000"/>
          <w:spacing w:val="77"/>
          <w:w w:val="85"/>
          <w:shd w:val="solid" w:color="000000" w:fill="000000"/>
          <w:fitText w:val="264" w:id="-1450961917"/>
          <w14:textFill>
            <w14:solidFill>
              <w14:srgbClr w14:val="000000">
                <w14:alpha w14:val="100000"/>
              </w14:srgbClr>
            </w14:solidFill>
          </w14:textFill>
        </w:rPr>
        <w:t>|</w:t>
      </w:r>
      <w:r w:rsidR="00A8205F" w:rsidRPr="00B97B49">
        <w:rPr>
          <w:rFonts w:eastAsia="Calibri" w:cs="Times New Roman"/>
          <w:color w:val="000000"/>
          <w:spacing w:val="1"/>
          <w:w w:val="85"/>
          <w:shd w:val="solid" w:color="000000" w:fill="000000"/>
          <w:fitText w:val="264" w:id="-1450961917"/>
          <w14:textFill>
            <w14:solidFill>
              <w14:srgbClr w14:val="000000">
                <w14:alpha w14:val="100000"/>
              </w14:srgbClr>
            </w14:solidFill>
          </w14:textFill>
        </w:rPr>
        <w:t>|</w:t>
      </w:r>
      <w:r w:rsidRPr="1CD16233">
        <w:rPr>
          <w:rFonts w:eastAsia="Calibri" w:cs="Times New Roman"/>
        </w:rPr>
        <w:t>).</w:t>
      </w:r>
      <w:r w:rsidRPr="000C4977">
        <w:rPr>
          <w:rFonts w:eastAsia="Calibri" w:cs="Times New Roman"/>
        </w:rPr>
        <w:t xml:space="preserve"> The pre-ESC response advised that accreditation by </w:t>
      </w:r>
      <w:r>
        <w:rPr>
          <w:rFonts w:eastAsia="Calibri" w:cs="Times New Roman"/>
        </w:rPr>
        <w:t xml:space="preserve">the </w:t>
      </w:r>
      <w:r w:rsidRPr="000C4977">
        <w:rPr>
          <w:rFonts w:eastAsia="Calibri" w:cs="Times New Roman"/>
        </w:rPr>
        <w:t xml:space="preserve">National Association of Testing Authorities (NATA) and subsequent Therapeutic Goods Administration (TGA) notification is expected to occur by September (Q3) 2022. The ESCs agreed with the pre-ESC response that the </w:t>
      </w:r>
      <w:r w:rsidR="00A8205F" w:rsidRPr="00B97B49">
        <w:rPr>
          <w:rFonts w:eastAsia="Calibri" w:cs="Times New Roman"/>
          <w:color w:val="000000"/>
          <w:spacing w:val="73"/>
          <w:w w:val="81"/>
          <w:shd w:val="solid" w:color="000000" w:fill="000000"/>
          <w:fitText w:val="252" w:id="-1450961916"/>
          <w14:textFill>
            <w14:solidFill>
              <w14:srgbClr w14:val="000000">
                <w14:alpha w14:val="100000"/>
              </w14:srgbClr>
            </w14:solidFill>
          </w14:textFill>
        </w:rPr>
        <w:t>|</w:t>
      </w:r>
      <w:r w:rsidR="00A8205F" w:rsidRPr="00B97B49">
        <w:rPr>
          <w:rFonts w:eastAsia="Calibri" w:cs="Times New Roman"/>
          <w:color w:val="000000"/>
          <w:spacing w:val="1"/>
          <w:w w:val="81"/>
          <w:shd w:val="solid" w:color="000000" w:fill="000000"/>
          <w:fitText w:val="252" w:id="-1450961916"/>
          <w14:textFill>
            <w14:solidFill>
              <w14:srgbClr w14:val="000000">
                <w14:alpha w14:val="100000"/>
              </w14:srgbClr>
            </w14:solidFill>
          </w14:textFill>
        </w:rPr>
        <w:t>|</w:t>
      </w:r>
      <w:r w:rsidR="002F29E2" w:rsidRPr="002F29E2">
        <w:rPr>
          <w:rFonts w:eastAsia="Calibri" w:cs="Times New Roman"/>
        </w:rPr>
        <w:t xml:space="preserve"> </w:t>
      </w:r>
      <w:r w:rsidRPr="000C4977">
        <w:rPr>
          <w:rFonts w:eastAsia="Calibri" w:cs="Times New Roman"/>
        </w:rPr>
        <w:t xml:space="preserve">may be able to meet national demand for HRD testing as it already performs over </w:t>
      </w:r>
      <w:r w:rsidR="00A8205F" w:rsidRPr="00B97B49">
        <w:rPr>
          <w:rFonts w:eastAsia="Calibri" w:cs="Times New Roman"/>
          <w:color w:val="000000"/>
          <w:spacing w:val="77"/>
          <w:w w:val="85"/>
          <w:shd w:val="solid" w:color="000000" w:fill="000000"/>
          <w:fitText w:val="264" w:id="-1450961915"/>
          <w14:textFill>
            <w14:solidFill>
              <w14:srgbClr w14:val="000000">
                <w14:alpha w14:val="100000"/>
              </w14:srgbClr>
            </w14:solidFill>
          </w14:textFill>
        </w:rPr>
        <w:t>|</w:t>
      </w:r>
      <w:r w:rsidR="00A8205F" w:rsidRPr="00B97B49">
        <w:rPr>
          <w:rFonts w:eastAsia="Calibri" w:cs="Times New Roman"/>
          <w:color w:val="000000"/>
          <w:spacing w:val="1"/>
          <w:w w:val="85"/>
          <w:shd w:val="solid" w:color="000000" w:fill="000000"/>
          <w:fitText w:val="264" w:id="-1450961915"/>
          <w14:textFill>
            <w14:solidFill>
              <w14:srgbClr w14:val="000000">
                <w14:alpha w14:val="100000"/>
              </w14:srgbClr>
            </w14:solidFill>
          </w14:textFill>
        </w:rPr>
        <w:t>|</w:t>
      </w:r>
      <w:r w:rsidR="002F29E2" w:rsidRPr="002F29E2">
        <w:rPr>
          <w:rFonts w:eastAsia="Calibri" w:cs="Times New Roman"/>
        </w:rPr>
        <w:t xml:space="preserve"> </w:t>
      </w:r>
      <w:r w:rsidRPr="004702CE">
        <w:rPr>
          <w:rFonts w:eastAsia="Calibri" w:cs="Times New Roman"/>
        </w:rPr>
        <w:t>%</w:t>
      </w:r>
      <w:r w:rsidRPr="000C4977">
        <w:rPr>
          <w:rFonts w:eastAsia="Calibri" w:cs="Times New Roman"/>
        </w:rPr>
        <w:t xml:space="preserve"> of </w:t>
      </w:r>
      <w:r w:rsidRPr="00B76CF2">
        <w:rPr>
          <w:rFonts w:eastAsia="Calibri" w:cs="Times New Roman"/>
        </w:rPr>
        <w:t xml:space="preserve">tumour </w:t>
      </w:r>
      <w:r w:rsidRPr="00B76CF2">
        <w:rPr>
          <w:rFonts w:eastAsia="Calibri" w:cs="Times New Roman"/>
          <w:i/>
          <w:iCs/>
        </w:rPr>
        <w:t>BRCA1/2</w:t>
      </w:r>
      <w:r w:rsidRPr="00B76CF2">
        <w:rPr>
          <w:rFonts w:eastAsia="Calibri" w:cs="Times New Roman"/>
        </w:rPr>
        <w:t xml:space="preserve"> testing in Australia. However, t</w:t>
      </w:r>
      <w:r w:rsidRPr="00B76CF2">
        <w:rPr>
          <w:rFonts w:cs="Calibri"/>
        </w:rPr>
        <w:t>he ESCs considered that if HRD testing was performed by a single pathology provider, this would not facilitate a competitive environment that was beneficial for consumers by reducing the risks of being charged out-of-pocket payments.</w:t>
      </w:r>
    </w:p>
    <w:p w14:paraId="7CA94434" w14:textId="602088C5" w:rsidR="00DA3EED" w:rsidRPr="000C4977" w:rsidRDefault="00DA3EED" w:rsidP="00DA3EED">
      <w:pPr>
        <w:spacing w:line="259" w:lineRule="auto"/>
        <w:jc w:val="left"/>
        <w:rPr>
          <w:rFonts w:eastAsia="Calibri" w:cs="Times New Roman"/>
        </w:rPr>
      </w:pPr>
      <w:r w:rsidRPr="000C4977">
        <w:rPr>
          <w:rFonts w:cs="Calibri"/>
        </w:rPr>
        <w:t xml:space="preserve">The ESCs noted that the </w:t>
      </w:r>
      <w:r w:rsidR="00A8205F" w:rsidRPr="00AB21C8">
        <w:rPr>
          <w:rFonts w:cs="Calibri"/>
          <w:color w:val="000000"/>
          <w:spacing w:val="77"/>
          <w:w w:val="85"/>
          <w:shd w:val="solid" w:color="000000" w:fill="000000"/>
          <w:fitText w:val="264" w:id="-1450961914"/>
          <w14:textFill>
            <w14:solidFill>
              <w14:srgbClr w14:val="000000">
                <w14:alpha w14:val="100000"/>
              </w14:srgbClr>
            </w14:solidFill>
          </w14:textFill>
        </w:rPr>
        <w:t>|</w:t>
      </w:r>
      <w:r w:rsidR="00A8205F" w:rsidRPr="00AB21C8">
        <w:rPr>
          <w:rFonts w:cs="Calibri"/>
          <w:color w:val="000000"/>
          <w:w w:val="85"/>
          <w:shd w:val="solid" w:color="000000" w:fill="000000"/>
          <w:fitText w:val="264" w:id="-1450961914"/>
          <w14:textFill>
            <w14:solidFill>
              <w14:srgbClr w14:val="000000">
                <w14:alpha w14:val="100000"/>
              </w14:srgbClr>
            </w14:solidFill>
          </w14:textFill>
        </w:rPr>
        <w:t>|</w:t>
      </w:r>
      <w:r w:rsidR="00AB21C8">
        <w:rPr>
          <w:rFonts w:cs="Calibri"/>
        </w:rPr>
        <w:t xml:space="preserve"> </w:t>
      </w:r>
      <w:r w:rsidRPr="000C4977">
        <w:rPr>
          <w:rFonts w:cs="Calibri"/>
        </w:rPr>
        <w:t xml:space="preserve">validation study was the key evidence to support the submission’s claim that genomic instability as assessed by the </w:t>
      </w:r>
      <w:proofErr w:type="spellStart"/>
      <w:r w:rsidRPr="000C4977">
        <w:rPr>
          <w:rFonts w:cs="Calibri"/>
        </w:rPr>
        <w:t>SOPHiA</w:t>
      </w:r>
      <w:proofErr w:type="spellEnd"/>
      <w:r w:rsidRPr="000C4977">
        <w:rPr>
          <w:rFonts w:cs="Calibri"/>
        </w:rPr>
        <w:t xml:space="preserve"> HRD assay’s GII (using a threshold of &gt;0) identified the same group of patients for as the clinical utility standard</w:t>
      </w:r>
      <w:r>
        <w:rPr>
          <w:rFonts w:cs="Calibri"/>
        </w:rPr>
        <w:t xml:space="preserve"> using a GIS threshold of </w:t>
      </w:r>
      <w:r w:rsidRPr="000C4977">
        <w:rPr>
          <w:rFonts w:eastAsia="Calibri" w:cs="Times New Roman"/>
        </w:rPr>
        <w:t>≥42</w:t>
      </w:r>
      <w:r w:rsidRPr="000C4977">
        <w:rPr>
          <w:rFonts w:cs="Calibri"/>
        </w:rPr>
        <w:t xml:space="preserve">. The ESCs noted that the full results of the </w:t>
      </w:r>
      <w:r w:rsidR="00A8205F" w:rsidRPr="00AB21C8">
        <w:rPr>
          <w:rFonts w:cs="Calibri"/>
          <w:color w:val="000000"/>
          <w:spacing w:val="77"/>
          <w:w w:val="85"/>
          <w:shd w:val="solid" w:color="000000" w:fill="000000"/>
          <w:fitText w:val="264" w:id="-1450961913"/>
          <w14:textFill>
            <w14:solidFill>
              <w14:srgbClr w14:val="000000">
                <w14:alpha w14:val="100000"/>
              </w14:srgbClr>
            </w14:solidFill>
          </w14:textFill>
        </w:rPr>
        <w:t>|</w:t>
      </w:r>
      <w:r w:rsidR="00A8205F" w:rsidRPr="00AB21C8">
        <w:rPr>
          <w:rFonts w:cs="Calibri"/>
          <w:color w:val="000000"/>
          <w:w w:val="85"/>
          <w:shd w:val="solid" w:color="000000" w:fill="000000"/>
          <w:fitText w:val="264" w:id="-1450961913"/>
          <w14:textFill>
            <w14:solidFill>
              <w14:srgbClr w14:val="000000">
                <w14:alpha w14:val="100000"/>
              </w14:srgbClr>
            </w14:solidFill>
          </w14:textFill>
        </w:rPr>
        <w:t>|</w:t>
      </w:r>
      <w:r w:rsidR="00AB21C8">
        <w:rPr>
          <w:rFonts w:cs="Calibri"/>
        </w:rPr>
        <w:t xml:space="preserve"> </w:t>
      </w:r>
      <w:r w:rsidRPr="000C4977">
        <w:rPr>
          <w:rFonts w:cs="Calibri"/>
        </w:rPr>
        <w:t xml:space="preserve">validation study were delayed and </w:t>
      </w:r>
      <w:r>
        <w:rPr>
          <w:rFonts w:cs="Calibri"/>
        </w:rPr>
        <w:t xml:space="preserve">were </w:t>
      </w:r>
      <w:r w:rsidRPr="000C4977">
        <w:rPr>
          <w:rFonts w:cs="Calibri"/>
        </w:rPr>
        <w:t xml:space="preserve">expected </w:t>
      </w:r>
      <w:r>
        <w:rPr>
          <w:rFonts w:cs="Calibri"/>
        </w:rPr>
        <w:t xml:space="preserve">by the applicant </w:t>
      </w:r>
      <w:r w:rsidRPr="000C4977">
        <w:rPr>
          <w:rFonts w:cs="Calibri"/>
        </w:rPr>
        <w:t>to be included in the pre-MSAC response.</w:t>
      </w:r>
    </w:p>
    <w:p w14:paraId="04AA8AF0" w14:textId="3FE2BB66" w:rsidR="00DA3EED" w:rsidRPr="000C4977" w:rsidRDefault="00DA3EED" w:rsidP="00DA3EED">
      <w:pPr>
        <w:spacing w:line="259" w:lineRule="auto"/>
        <w:jc w:val="left"/>
        <w:rPr>
          <w:rFonts w:eastAsia="Calibri" w:cs="Times New Roman"/>
        </w:rPr>
      </w:pPr>
      <w:r w:rsidRPr="000C4977">
        <w:rPr>
          <w:rFonts w:eastAsia="Calibri" w:cs="Times New Roman"/>
        </w:rPr>
        <w:t xml:space="preserve">The ESCs noted that </w:t>
      </w:r>
      <w:r>
        <w:rPr>
          <w:rFonts w:eastAsia="Calibri" w:cs="Times New Roman"/>
        </w:rPr>
        <w:t xml:space="preserve">the </w:t>
      </w:r>
      <w:r w:rsidRPr="000C4977">
        <w:rPr>
          <w:rFonts w:eastAsia="Calibri" w:cs="Times New Roman"/>
        </w:rPr>
        <w:t>pre-ESC response stated that high quality tissue is needed. The ESCs noted that PAO</w:t>
      </w:r>
      <w:r w:rsidR="00206388">
        <w:rPr>
          <w:rFonts w:eastAsia="Calibri" w:cs="Times New Roman"/>
        </w:rPr>
        <w:t>L</w:t>
      </w:r>
      <w:r w:rsidRPr="000C4977">
        <w:rPr>
          <w:rFonts w:eastAsia="Calibri" w:cs="Times New Roman"/>
        </w:rPr>
        <w:t xml:space="preserve">A-1 study had a test failure rate of 17.6%. The rates of test failure were higher in the </w:t>
      </w:r>
      <w:r w:rsidR="00A8205F" w:rsidRPr="00AB21C8">
        <w:rPr>
          <w:rFonts w:eastAsia="Calibri" w:cs="Times New Roman"/>
          <w:color w:val="000000"/>
          <w:spacing w:val="77"/>
          <w:w w:val="85"/>
          <w:shd w:val="solid" w:color="000000" w:fill="000000"/>
          <w:fitText w:val="264" w:id="-1450961912"/>
          <w14:textFill>
            <w14:solidFill>
              <w14:srgbClr w14:val="000000">
                <w14:alpha w14:val="100000"/>
              </w14:srgbClr>
            </w14:solidFill>
          </w14:textFill>
        </w:rPr>
        <w:t>|</w:t>
      </w:r>
      <w:r w:rsidR="00A8205F" w:rsidRPr="00AB21C8">
        <w:rPr>
          <w:rFonts w:eastAsia="Calibri" w:cs="Times New Roman"/>
          <w:color w:val="000000"/>
          <w:w w:val="85"/>
          <w:shd w:val="solid" w:color="000000" w:fill="000000"/>
          <w:fitText w:val="264" w:id="-1450961912"/>
          <w14:textFill>
            <w14:solidFill>
              <w14:srgbClr w14:val="000000">
                <w14:alpha w14:val="100000"/>
              </w14:srgbClr>
            </w14:solidFill>
          </w14:textFill>
        </w:rPr>
        <w:t>|</w:t>
      </w:r>
      <w:r w:rsidR="00AB21C8">
        <w:rPr>
          <w:rFonts w:eastAsia="Calibri" w:cs="Times New Roman"/>
        </w:rPr>
        <w:t xml:space="preserve"> </w:t>
      </w:r>
      <w:r w:rsidRPr="000C4977">
        <w:rPr>
          <w:rFonts w:eastAsia="Calibri" w:cs="Times New Roman"/>
        </w:rPr>
        <w:t>validation study. The ESCs considered that this could be due to use in the research setting where testing is performed using leftover samples</w:t>
      </w:r>
      <w:r w:rsidRPr="005B207C">
        <w:rPr>
          <w:rFonts w:eastAsia="Calibri" w:cs="Times New Roman"/>
        </w:rPr>
        <w:t xml:space="preserve">. The pre-ESC response considered that 10% of patients will, in clinical practice, require subsequent testing due to an inconclusive HRD result. </w:t>
      </w:r>
      <w:bookmarkStart w:id="64" w:name="_Hlk106261989"/>
      <w:r w:rsidRPr="005B207C">
        <w:rPr>
          <w:rFonts w:eastAsia="Calibri" w:cs="Times New Roman"/>
        </w:rPr>
        <w:t xml:space="preserve">The ESCs noted the pre-ESC response that the </w:t>
      </w:r>
      <w:r w:rsidR="00A8205F" w:rsidRPr="00AB21C8">
        <w:rPr>
          <w:rFonts w:eastAsia="Calibri" w:cs="Times New Roman"/>
          <w:color w:val="000000"/>
          <w:spacing w:val="77"/>
          <w:w w:val="85"/>
          <w:shd w:val="solid" w:color="000000" w:fill="000000"/>
          <w:fitText w:val="264" w:id="-1450961911"/>
          <w14:textFill>
            <w14:solidFill>
              <w14:srgbClr w14:val="000000">
                <w14:alpha w14:val="100000"/>
              </w14:srgbClr>
            </w14:solidFill>
          </w14:textFill>
        </w:rPr>
        <w:t>|</w:t>
      </w:r>
      <w:r w:rsidR="00A8205F" w:rsidRPr="00AB21C8">
        <w:rPr>
          <w:rFonts w:eastAsia="Calibri" w:cs="Times New Roman"/>
          <w:color w:val="000000"/>
          <w:w w:val="85"/>
          <w:shd w:val="solid" w:color="000000" w:fill="000000"/>
          <w:fitText w:val="264" w:id="-1450961911"/>
          <w14:textFill>
            <w14:solidFill>
              <w14:srgbClr w14:val="000000">
                <w14:alpha w14:val="100000"/>
              </w14:srgbClr>
            </w14:solidFill>
          </w14:textFill>
        </w:rPr>
        <w:t>|</w:t>
      </w:r>
      <w:r w:rsidR="00AB21C8">
        <w:rPr>
          <w:rFonts w:eastAsia="Calibri" w:cs="Times New Roman"/>
        </w:rPr>
        <w:t xml:space="preserve"> </w:t>
      </w:r>
      <w:r w:rsidRPr="005B207C">
        <w:rPr>
          <w:rFonts w:eastAsia="Calibri" w:cs="Times New Roman"/>
        </w:rPr>
        <w:t xml:space="preserve">validation is being repeated using 100 ng input DNA due to the high number of inconclusive results when using 50 ng input DNA (as per manufacturer recommendation). The ESCs noted the pre-ESC response reported the proportion of samples with a ≥30% tumour purity as a quality metric for the </w:t>
      </w:r>
      <w:proofErr w:type="spellStart"/>
      <w:r w:rsidRPr="005B207C">
        <w:rPr>
          <w:rFonts w:eastAsia="Calibri" w:cs="Times New Roman"/>
        </w:rPr>
        <w:t>SOPHiA</w:t>
      </w:r>
      <w:proofErr w:type="spellEnd"/>
      <w:r w:rsidRPr="005B207C">
        <w:rPr>
          <w:rFonts w:eastAsia="Calibri" w:cs="Times New Roman"/>
        </w:rPr>
        <w:t xml:space="preserve"> HRD assay. The ESCs queried whether this meant that some samples would not be suitable for testing or if microdissection would be needed to enable testing.</w:t>
      </w:r>
    </w:p>
    <w:bookmarkEnd w:id="64"/>
    <w:p w14:paraId="1DA0B909" w14:textId="30BE6FF0" w:rsidR="00DA3EED" w:rsidRPr="000C4977" w:rsidRDefault="00DA3EED" w:rsidP="00DA3EED">
      <w:pPr>
        <w:spacing w:line="259" w:lineRule="auto"/>
        <w:jc w:val="left"/>
      </w:pPr>
      <w:r w:rsidRPr="000C4977">
        <w:lastRenderedPageBreak/>
        <w:t xml:space="preserve">The </w:t>
      </w:r>
      <w:r w:rsidR="00A8205F" w:rsidRPr="00AB21C8">
        <w:rPr>
          <w:color w:val="000000"/>
          <w:spacing w:val="73"/>
          <w:w w:val="81"/>
          <w:shd w:val="solid" w:color="000000" w:fill="000000"/>
          <w:fitText w:val="252" w:id="-1450961910"/>
          <w14:textFill>
            <w14:solidFill>
              <w14:srgbClr w14:val="000000">
                <w14:alpha w14:val="100000"/>
              </w14:srgbClr>
            </w14:solidFill>
          </w14:textFill>
        </w:rPr>
        <w:t>|</w:t>
      </w:r>
      <w:r w:rsidR="00A8205F" w:rsidRPr="00AB21C8">
        <w:rPr>
          <w:color w:val="000000"/>
          <w:w w:val="81"/>
          <w:shd w:val="solid" w:color="000000" w:fill="000000"/>
          <w:fitText w:val="252" w:id="-1450961910"/>
          <w14:textFill>
            <w14:solidFill>
              <w14:srgbClr w14:val="000000">
                <w14:alpha w14:val="100000"/>
              </w14:srgbClr>
            </w14:solidFill>
          </w14:textFill>
        </w:rPr>
        <w:t>|</w:t>
      </w:r>
      <w:r w:rsidR="00AB21C8">
        <w:t xml:space="preserve"> </w:t>
      </w:r>
      <w:r w:rsidRPr="000C4977">
        <w:t xml:space="preserve">validation study assessed the comparative analytical performance of the </w:t>
      </w:r>
      <w:bookmarkStart w:id="65" w:name="_Hlk106227800"/>
      <w:proofErr w:type="spellStart"/>
      <w:r w:rsidRPr="000C4977">
        <w:t>SOPHiA</w:t>
      </w:r>
      <w:proofErr w:type="spellEnd"/>
      <w:r w:rsidRPr="000C4977">
        <w:t xml:space="preserve"> HRD test and the Myriad </w:t>
      </w:r>
      <w:proofErr w:type="spellStart"/>
      <w:r w:rsidRPr="000C4977">
        <w:t>MyChoice</w:t>
      </w:r>
      <w:proofErr w:type="spellEnd"/>
      <w:r w:rsidRPr="000C4977">
        <w:t xml:space="preserve"> </w:t>
      </w:r>
      <w:proofErr w:type="spellStart"/>
      <w:r w:rsidRPr="000C4977">
        <w:t>CDx</w:t>
      </w:r>
      <w:proofErr w:type="spellEnd"/>
      <w:r w:rsidRPr="000C4977">
        <w:t xml:space="preserve"> test. </w:t>
      </w:r>
      <w:bookmarkEnd w:id="65"/>
      <w:r w:rsidRPr="000C4977">
        <w:t xml:space="preserve">The ESCs noted that there were multiple Myriad </w:t>
      </w:r>
      <w:proofErr w:type="spellStart"/>
      <w:r w:rsidRPr="000C4977">
        <w:t>MyChoice</w:t>
      </w:r>
      <w:proofErr w:type="spellEnd"/>
      <w:r w:rsidRPr="000C4977">
        <w:t xml:space="preserve"> HRD tests that the submission referred to as the clinical utility standard. The ESCs noted that the </w:t>
      </w:r>
      <w:r>
        <w:t xml:space="preserve">various exploratory </w:t>
      </w:r>
      <w:r w:rsidRPr="000C4977">
        <w:t xml:space="preserve">subgroup analyses from the PAOLA-1 trial using the Myriad </w:t>
      </w:r>
      <w:proofErr w:type="spellStart"/>
      <w:r w:rsidRPr="000C4977">
        <w:t>MyChoice</w:t>
      </w:r>
      <w:proofErr w:type="spellEnd"/>
      <w:r w:rsidRPr="000C4977">
        <w:t xml:space="preserve"> </w:t>
      </w:r>
      <w:proofErr w:type="spellStart"/>
      <w:r w:rsidRPr="000C4977">
        <w:t>CDx</w:t>
      </w:r>
      <w:proofErr w:type="spellEnd"/>
      <w:r w:rsidRPr="000C4977">
        <w:t xml:space="preserve"> test </w:t>
      </w:r>
      <w:r>
        <w:t xml:space="preserve">compared with the Myriad </w:t>
      </w:r>
      <w:proofErr w:type="spellStart"/>
      <w:r>
        <w:t>MyChoice</w:t>
      </w:r>
      <w:proofErr w:type="spellEnd"/>
      <w:r>
        <w:t xml:space="preserve"> HRD Plus test </w:t>
      </w:r>
      <w:r w:rsidRPr="000C4977">
        <w:t>presented in the commentary showed only small differences in progression-free survival (PFS) outcomes</w:t>
      </w:r>
      <w:r>
        <w:t xml:space="preserve"> as the basis for </w:t>
      </w:r>
      <w:r w:rsidRPr="000C4977">
        <w:t>support</w:t>
      </w:r>
      <w:r>
        <w:t>ing</w:t>
      </w:r>
      <w:r w:rsidRPr="000C4977">
        <w:t xml:space="preserve"> that the Myriad </w:t>
      </w:r>
      <w:proofErr w:type="spellStart"/>
      <w:r w:rsidRPr="000C4977">
        <w:t>MyChoice</w:t>
      </w:r>
      <w:proofErr w:type="spellEnd"/>
      <w:r w:rsidRPr="000C4977">
        <w:t xml:space="preserve"> </w:t>
      </w:r>
      <w:proofErr w:type="spellStart"/>
      <w:r w:rsidRPr="000C4977">
        <w:t>CDx</w:t>
      </w:r>
      <w:proofErr w:type="spellEnd"/>
      <w:r w:rsidRPr="000C4977">
        <w:t xml:space="preserve"> test also had predictive value. The ESCs </w:t>
      </w:r>
      <w:r>
        <w:t xml:space="preserve">therefore </w:t>
      </w:r>
      <w:r w:rsidRPr="000C4977">
        <w:t>accepted the applicant</w:t>
      </w:r>
      <w:r>
        <w:t>’</w:t>
      </w:r>
      <w:r w:rsidRPr="000C4977">
        <w:t xml:space="preserve">s arguments that it is </w:t>
      </w:r>
      <w:bookmarkStart w:id="66" w:name="_Hlk106281235"/>
      <w:r w:rsidRPr="000C4977">
        <w:t xml:space="preserve">reasonable to consider </w:t>
      </w:r>
      <w:r>
        <w:t xml:space="preserve">either </w:t>
      </w:r>
      <w:r w:rsidRPr="000C4977">
        <w:t xml:space="preserve">the </w:t>
      </w:r>
      <w:r>
        <w:t xml:space="preserve">Myriad </w:t>
      </w:r>
      <w:proofErr w:type="spellStart"/>
      <w:r>
        <w:t>MyChoice</w:t>
      </w:r>
      <w:proofErr w:type="spellEnd"/>
      <w:r>
        <w:t xml:space="preserve"> HRD test and the </w:t>
      </w:r>
      <w:r w:rsidRPr="000C4977">
        <w:t xml:space="preserve">Myriad </w:t>
      </w:r>
      <w:proofErr w:type="spellStart"/>
      <w:r w:rsidRPr="000C4977">
        <w:t>MyChoice</w:t>
      </w:r>
      <w:proofErr w:type="spellEnd"/>
      <w:r w:rsidRPr="000C4977">
        <w:t xml:space="preserve"> </w:t>
      </w:r>
      <w:proofErr w:type="spellStart"/>
      <w:r w:rsidRPr="000C4977">
        <w:t>CDx</w:t>
      </w:r>
      <w:proofErr w:type="spellEnd"/>
      <w:r w:rsidRPr="000C4977">
        <w:t xml:space="preserve"> </w:t>
      </w:r>
      <w:r>
        <w:t xml:space="preserve">test </w:t>
      </w:r>
      <w:r w:rsidRPr="000C4977">
        <w:t>a</w:t>
      </w:r>
      <w:r>
        <w:t>s the</w:t>
      </w:r>
      <w:r w:rsidRPr="000C4977">
        <w:t xml:space="preserve"> clinical utility standard.</w:t>
      </w:r>
      <w:bookmarkEnd w:id="66"/>
    </w:p>
    <w:p w14:paraId="39E74950" w14:textId="672B8A87" w:rsidR="00DA3EED" w:rsidRPr="000C4977" w:rsidRDefault="00DA3EED" w:rsidP="00DA3EED">
      <w:pPr>
        <w:spacing w:line="259" w:lineRule="auto"/>
        <w:jc w:val="left"/>
      </w:pPr>
      <w:r w:rsidRPr="000C4977">
        <w:t xml:space="preserve">The ESCs noted that the available results from the </w:t>
      </w:r>
      <w:r w:rsidR="00A8205F" w:rsidRPr="00AB21C8">
        <w:rPr>
          <w:color w:val="000000"/>
          <w:spacing w:val="77"/>
          <w:w w:val="85"/>
          <w:shd w:val="solid" w:color="000000" w:fill="000000"/>
          <w:fitText w:val="264" w:id="-1450961909"/>
          <w14:textFill>
            <w14:solidFill>
              <w14:srgbClr w14:val="000000">
                <w14:alpha w14:val="100000"/>
              </w14:srgbClr>
            </w14:solidFill>
          </w14:textFill>
        </w:rPr>
        <w:t>|</w:t>
      </w:r>
      <w:r w:rsidR="00A8205F" w:rsidRPr="00AB21C8">
        <w:rPr>
          <w:color w:val="000000"/>
          <w:w w:val="85"/>
          <w:shd w:val="solid" w:color="000000" w:fill="000000"/>
          <w:fitText w:val="264" w:id="-1450961909"/>
          <w14:textFill>
            <w14:solidFill>
              <w14:srgbClr w14:val="000000">
                <w14:alpha w14:val="100000"/>
              </w14:srgbClr>
            </w14:solidFill>
          </w14:textFill>
        </w:rPr>
        <w:t>|</w:t>
      </w:r>
      <w:r w:rsidR="00AB21C8">
        <w:t xml:space="preserve"> </w:t>
      </w:r>
      <w:r w:rsidRPr="000C4977">
        <w:t xml:space="preserve">validation study showed that </w:t>
      </w:r>
      <w:r w:rsidR="00D916CA">
        <w:t xml:space="preserve">the </w:t>
      </w:r>
      <w:proofErr w:type="spellStart"/>
      <w:r w:rsidRPr="000C4977">
        <w:t>SOPHiA</w:t>
      </w:r>
      <w:proofErr w:type="spellEnd"/>
      <w:r w:rsidRPr="000C4977">
        <w:t xml:space="preserve"> HRD test GII was not fully concordant with the Myriad </w:t>
      </w:r>
      <w:proofErr w:type="spellStart"/>
      <w:r w:rsidRPr="000C4977">
        <w:t>MyChoice</w:t>
      </w:r>
      <w:proofErr w:type="spellEnd"/>
      <w:r w:rsidRPr="000C4977">
        <w:t xml:space="preserve"> GIS score and would identify a somewhat different patient cohort has having genomic instability. The ESCs considered that MSAC would need to consider the implications of this discordanc</w:t>
      </w:r>
      <w:r w:rsidRPr="007B4CCE">
        <w:t>e. The ESCs considered the false negative results may have greater clinical consequence as patients may forego an effective treatment.</w:t>
      </w:r>
    </w:p>
    <w:p w14:paraId="78F460FE" w14:textId="7C4A819D" w:rsidR="00DA3EED" w:rsidRPr="000C4977" w:rsidRDefault="00DA3EED" w:rsidP="00DA3EED">
      <w:pPr>
        <w:spacing w:line="259" w:lineRule="auto"/>
        <w:jc w:val="left"/>
      </w:pPr>
      <w:r w:rsidRPr="000C4977">
        <w:t xml:space="preserve">The ESCs considered the </w:t>
      </w:r>
      <w:r>
        <w:t xml:space="preserve">risk of bias in the </w:t>
      </w:r>
      <w:r w:rsidR="00A8205F" w:rsidRPr="00AB21C8">
        <w:rPr>
          <w:color w:val="000000"/>
          <w:spacing w:val="77"/>
          <w:w w:val="85"/>
          <w:shd w:val="solid" w:color="000000" w:fill="000000"/>
          <w:fitText w:val="264" w:id="-1450961908"/>
          <w14:textFill>
            <w14:solidFill>
              <w14:srgbClr w14:val="000000">
                <w14:alpha w14:val="100000"/>
              </w14:srgbClr>
            </w14:solidFill>
          </w14:textFill>
        </w:rPr>
        <w:t>|</w:t>
      </w:r>
      <w:r w:rsidR="00A8205F" w:rsidRPr="00AB21C8">
        <w:rPr>
          <w:color w:val="000000"/>
          <w:w w:val="85"/>
          <w:shd w:val="solid" w:color="000000" w:fill="000000"/>
          <w:fitText w:val="264" w:id="-1450961908"/>
          <w14:textFill>
            <w14:solidFill>
              <w14:srgbClr w14:val="000000">
                <w14:alpha w14:val="100000"/>
              </w14:srgbClr>
            </w14:solidFill>
          </w14:textFill>
        </w:rPr>
        <w:t>|</w:t>
      </w:r>
      <w:r w:rsidR="00AB21C8">
        <w:t xml:space="preserve"> </w:t>
      </w:r>
      <w:r w:rsidRPr="000C4977">
        <w:t>validation study to be high as there was likely selection bias in the source of samples and prior HRD testing. The ESCs considered that there was limited information about the source of the samples</w:t>
      </w:r>
      <w:r>
        <w:t xml:space="preserve"> in the study or the characteristics of patients who provided the samples</w:t>
      </w:r>
      <w:r w:rsidRPr="000C4977">
        <w:t xml:space="preserve">. </w:t>
      </w:r>
      <w:r>
        <w:t xml:space="preserve">The </w:t>
      </w:r>
      <w:r w:rsidRPr="000C4977">
        <w:t>ESC</w:t>
      </w:r>
      <w:r>
        <w:t>s</w:t>
      </w:r>
      <w:r w:rsidRPr="000C4977">
        <w:t xml:space="preserve"> considered that it was unclear how many of the 92 unique samples contributed to the 'Myriad tested' samples (n=72) and the 'HRD tested' samples (n=88). </w:t>
      </w:r>
      <w:r>
        <w:t xml:space="preserve">The </w:t>
      </w:r>
      <w:r w:rsidRPr="000C4977">
        <w:t>ESC</w:t>
      </w:r>
      <w:r>
        <w:t>s</w:t>
      </w:r>
      <w:r w:rsidRPr="000C4977">
        <w:t xml:space="preserve"> noted the updated </w:t>
      </w:r>
      <w:r w:rsidRPr="0014783E">
        <w:t>results reported 86% agreement (PPA 83%, NPA 91%) for</w:t>
      </w:r>
      <w:r w:rsidRPr="000C4977">
        <w:t xml:space="preserve"> genomic instability based on 51 samples. </w:t>
      </w:r>
      <w:bookmarkStart w:id="67" w:name="_Hlk106275798"/>
      <w:r>
        <w:t xml:space="preserve">The </w:t>
      </w:r>
      <w:r w:rsidRPr="000C4977">
        <w:t>ESC</w:t>
      </w:r>
      <w:r>
        <w:t>s</w:t>
      </w:r>
      <w:r w:rsidRPr="000C4977">
        <w:t xml:space="preserve"> noted that some of the updated analyses included comparisons that had undergone 'proxy' assessments of HRD positivity (rather than the Myriad </w:t>
      </w:r>
      <w:proofErr w:type="spellStart"/>
      <w:r w:rsidRPr="000C4977">
        <w:t>MyChoice</w:t>
      </w:r>
      <w:proofErr w:type="spellEnd"/>
      <w:r w:rsidRPr="000C4977">
        <w:t xml:space="preserve"> </w:t>
      </w:r>
      <w:proofErr w:type="spellStart"/>
      <w:r w:rsidRPr="000C4977">
        <w:t>CDx</w:t>
      </w:r>
      <w:proofErr w:type="spellEnd"/>
      <w:r w:rsidRPr="000C4977">
        <w:t xml:space="preserve"> test). These included:</w:t>
      </w:r>
    </w:p>
    <w:p w14:paraId="5239F5CB" w14:textId="77777777" w:rsidR="00DA3EED" w:rsidRPr="000C4977" w:rsidRDefault="00DA3EED" w:rsidP="00DA3EED">
      <w:pPr>
        <w:numPr>
          <w:ilvl w:val="0"/>
          <w:numId w:val="42"/>
        </w:numPr>
        <w:spacing w:line="259" w:lineRule="auto"/>
        <w:contextualSpacing/>
        <w:jc w:val="left"/>
      </w:pPr>
      <w:r w:rsidRPr="000C4977">
        <w:t>Whole genome sequencing with algorithmic measurement by HRDETECT2 and CHORD3 (± assessment of carboplatin sensitivity)</w:t>
      </w:r>
    </w:p>
    <w:p w14:paraId="149760F6" w14:textId="77777777" w:rsidR="00DA3EED" w:rsidRPr="000C4977" w:rsidRDefault="00DA3EED" w:rsidP="00DA3EED">
      <w:pPr>
        <w:numPr>
          <w:ilvl w:val="0"/>
          <w:numId w:val="42"/>
        </w:numPr>
        <w:spacing w:line="259" w:lineRule="auto"/>
        <w:ind w:left="714" w:hanging="357"/>
        <w:jc w:val="left"/>
      </w:pPr>
      <w:r w:rsidRPr="000C4977">
        <w:t xml:space="preserve">Comprehensive genomic profiling for mutational evidence for (or against) HRR. This was defined as canonical activating </w:t>
      </w:r>
      <w:r w:rsidRPr="000C4977">
        <w:rPr>
          <w:i/>
          <w:iCs/>
        </w:rPr>
        <w:t>RAS</w:t>
      </w:r>
      <w:r w:rsidRPr="000C4977">
        <w:t>/</w:t>
      </w:r>
      <w:r w:rsidRPr="000C4977">
        <w:rPr>
          <w:i/>
          <w:iCs/>
        </w:rPr>
        <w:t>RAF</w:t>
      </w:r>
      <w:r w:rsidRPr="000C4977">
        <w:t xml:space="preserve"> variants or high tumour mutation burden and non-ovarian/breast/prostate/sarcoma histology considered strong evidence against HRR. For ovarian samples, canonical activating </w:t>
      </w:r>
      <w:r w:rsidRPr="000C4977">
        <w:rPr>
          <w:i/>
          <w:iCs/>
        </w:rPr>
        <w:t>RAS</w:t>
      </w:r>
      <w:r w:rsidRPr="000C4977">
        <w:t xml:space="preserve"> variants with low grade histology was considered strong evidence against HRR.</w:t>
      </w:r>
    </w:p>
    <w:p w14:paraId="0E6F8CA5" w14:textId="77777777" w:rsidR="00DA3EED" w:rsidRPr="000C4977" w:rsidRDefault="00DA3EED" w:rsidP="00DA3EED">
      <w:pPr>
        <w:spacing w:line="259" w:lineRule="auto"/>
        <w:jc w:val="left"/>
      </w:pPr>
      <w:r w:rsidRPr="000C4977">
        <w:t xml:space="preserve">The ESCs considered that there was no information provided on the validity of the proxy but </w:t>
      </w:r>
      <w:r>
        <w:t xml:space="preserve">noted that </w:t>
      </w:r>
      <w:r w:rsidRPr="000C4977">
        <w:t xml:space="preserve">the pre-ESC response considered this </w:t>
      </w:r>
      <w:r>
        <w:t xml:space="preserve">study </w:t>
      </w:r>
      <w:r w:rsidRPr="000C4977">
        <w:t>to reflect strong evidence.</w:t>
      </w:r>
    </w:p>
    <w:bookmarkEnd w:id="67"/>
    <w:p w14:paraId="68735029" w14:textId="39805126" w:rsidR="00DA3EED" w:rsidRPr="000C4977" w:rsidRDefault="00DA3EED" w:rsidP="00DA3EED">
      <w:pPr>
        <w:spacing w:line="259" w:lineRule="auto"/>
        <w:jc w:val="left"/>
      </w:pPr>
      <w:r w:rsidRPr="000C4977">
        <w:t xml:space="preserve">The ESCs noted that the </w:t>
      </w:r>
      <w:r w:rsidR="00A8205F" w:rsidRPr="00AB21C8">
        <w:rPr>
          <w:color w:val="000000"/>
          <w:spacing w:val="77"/>
          <w:w w:val="85"/>
          <w:shd w:val="solid" w:color="000000" w:fill="000000"/>
          <w:fitText w:val="264" w:id="-1450961907"/>
          <w14:textFill>
            <w14:solidFill>
              <w14:srgbClr w14:val="000000">
                <w14:alpha w14:val="100000"/>
              </w14:srgbClr>
            </w14:solidFill>
          </w14:textFill>
        </w:rPr>
        <w:t>|</w:t>
      </w:r>
      <w:r w:rsidR="00A8205F" w:rsidRPr="00AB21C8">
        <w:rPr>
          <w:color w:val="000000"/>
          <w:w w:val="85"/>
          <w:shd w:val="solid" w:color="000000" w:fill="000000"/>
          <w:fitText w:val="264" w:id="-1450961907"/>
          <w14:textFill>
            <w14:solidFill>
              <w14:srgbClr w14:val="000000">
                <w14:alpha w14:val="100000"/>
              </w14:srgbClr>
            </w14:solidFill>
          </w14:textFill>
        </w:rPr>
        <w:t>|</w:t>
      </w:r>
      <w:r w:rsidR="00AB21C8">
        <w:t xml:space="preserve"> </w:t>
      </w:r>
      <w:r w:rsidRPr="000C4977">
        <w:t xml:space="preserve">evidence comparing the analytical performance of </w:t>
      </w:r>
      <w:r w:rsidRPr="000C4977">
        <w:rPr>
          <w:i/>
          <w:iCs/>
        </w:rPr>
        <w:t>BRCA</w:t>
      </w:r>
      <w:r w:rsidRPr="000C4977">
        <w:t xml:space="preserve"> testing in the Sophia HRD test was limited to a comparison with </w:t>
      </w:r>
      <w:r w:rsidRPr="000C4977">
        <w:rPr>
          <w:i/>
          <w:iCs/>
        </w:rPr>
        <w:t>BRCA</w:t>
      </w:r>
      <w:r w:rsidRPr="000C4977">
        <w:t xml:space="preserve"> testing </w:t>
      </w:r>
      <w:r>
        <w:t xml:space="preserve">by </w:t>
      </w:r>
      <w:r w:rsidRPr="000C4977">
        <w:t xml:space="preserve">the Myriad </w:t>
      </w:r>
      <w:proofErr w:type="spellStart"/>
      <w:r w:rsidRPr="000C4977">
        <w:t>MyChoice</w:t>
      </w:r>
      <w:proofErr w:type="spellEnd"/>
      <w:r w:rsidRPr="000C4977">
        <w:t xml:space="preserve"> </w:t>
      </w:r>
      <w:proofErr w:type="spellStart"/>
      <w:r w:rsidRPr="000C4977">
        <w:t>CDx</w:t>
      </w:r>
      <w:proofErr w:type="spellEnd"/>
      <w:r w:rsidRPr="000C4977">
        <w:t xml:space="preserve"> test </w:t>
      </w:r>
      <w:r>
        <w:t xml:space="preserve">rather than also </w:t>
      </w:r>
      <w:r w:rsidR="00A8205F" w:rsidRPr="00B97B49">
        <w:rPr>
          <w:color w:val="000000"/>
          <w:spacing w:val="77"/>
          <w:w w:val="85"/>
          <w:shd w:val="solid" w:color="000000" w:fill="000000"/>
          <w:fitText w:val="264" w:id="-1450961906"/>
          <w14:textFill>
            <w14:solidFill>
              <w14:srgbClr w14:val="000000">
                <w14:alpha w14:val="100000"/>
              </w14:srgbClr>
            </w14:solidFill>
          </w14:textFill>
        </w:rPr>
        <w:t>|</w:t>
      </w:r>
      <w:r w:rsidR="00A8205F" w:rsidRPr="00B97B49">
        <w:rPr>
          <w:color w:val="000000"/>
          <w:spacing w:val="1"/>
          <w:w w:val="85"/>
          <w:shd w:val="solid" w:color="000000" w:fill="000000"/>
          <w:fitText w:val="264" w:id="-1450961906"/>
          <w14:textFill>
            <w14:solidFill>
              <w14:srgbClr w14:val="000000">
                <w14:alpha w14:val="100000"/>
              </w14:srgbClr>
            </w14:solidFill>
          </w14:textFill>
        </w:rPr>
        <w:t>|</w:t>
      </w:r>
      <w:r w:rsidR="002F29E2" w:rsidRPr="002F29E2">
        <w:t xml:space="preserve"> </w:t>
      </w:r>
      <w:r>
        <w:t>'s</w:t>
      </w:r>
      <w:r w:rsidRPr="000C4977">
        <w:t xml:space="preserve"> NGS-based </w:t>
      </w:r>
      <w:r w:rsidRPr="000C4977">
        <w:rPr>
          <w:i/>
        </w:rPr>
        <w:t>BRCA</w:t>
      </w:r>
      <w:r w:rsidRPr="000C4977">
        <w:t xml:space="preserve"> testing.</w:t>
      </w:r>
    </w:p>
    <w:p w14:paraId="2AD713E8" w14:textId="2EB4A2AC" w:rsidR="00DA3EED" w:rsidRPr="000C4977" w:rsidRDefault="00DA3EED" w:rsidP="00DA3EED">
      <w:pPr>
        <w:spacing w:line="259" w:lineRule="auto"/>
        <w:jc w:val="left"/>
      </w:pPr>
      <w:r w:rsidRPr="000C4977">
        <w:t xml:space="preserve">The ESCs considered that PAOLA-1 trial supported that genomic instability using the Myriad </w:t>
      </w:r>
      <w:proofErr w:type="spellStart"/>
      <w:r w:rsidRPr="000C4977">
        <w:t>MyChoice</w:t>
      </w:r>
      <w:proofErr w:type="spellEnd"/>
      <w:r w:rsidRPr="000C4977">
        <w:t xml:space="preserve"> GIS threshold of ≥42 was predictive of </w:t>
      </w:r>
      <w:r>
        <w:t xml:space="preserve">variation in </w:t>
      </w:r>
      <w:r w:rsidRPr="000C4977">
        <w:t>response (progression</w:t>
      </w:r>
      <w:r w:rsidR="002F0BC8">
        <w:t>-</w:t>
      </w:r>
      <w:r w:rsidRPr="000C4977">
        <w:t xml:space="preserve">free survival) to </w:t>
      </w:r>
      <w:proofErr w:type="spellStart"/>
      <w:r w:rsidRPr="000C4977">
        <w:t>olaparib</w:t>
      </w:r>
      <w:proofErr w:type="spellEnd"/>
      <w:r w:rsidRPr="000C4977">
        <w:t xml:space="preserve"> with bevacizumab. The ESCs considered that the predictive value appeared to be smaller for patients with </w:t>
      </w:r>
      <w:proofErr w:type="spellStart"/>
      <w:r w:rsidRPr="000C4977">
        <w:rPr>
          <w:i/>
        </w:rPr>
        <w:t>BRCA</w:t>
      </w:r>
      <w:r w:rsidRPr="000C4977">
        <w:t>wt</w:t>
      </w:r>
      <w:proofErr w:type="spellEnd"/>
      <w:r w:rsidRPr="000C4977">
        <w:t xml:space="preserve"> HRD-positive tumours </w:t>
      </w:r>
      <w:r>
        <w:t xml:space="preserve">(based on genomic instability) </w:t>
      </w:r>
      <w:r w:rsidRPr="000C4977">
        <w:t xml:space="preserve">than patients with </w:t>
      </w:r>
      <w:proofErr w:type="spellStart"/>
      <w:r w:rsidRPr="000C4977">
        <w:rPr>
          <w:i/>
        </w:rPr>
        <w:t>BRCA</w:t>
      </w:r>
      <w:r>
        <w:t>m</w:t>
      </w:r>
      <w:proofErr w:type="spellEnd"/>
      <w:r w:rsidRPr="000C4977">
        <w:t xml:space="preserve"> tumours. The ESCs considered that the studies presented in the submission </w:t>
      </w:r>
      <w:r>
        <w:t xml:space="preserve">consistently </w:t>
      </w:r>
      <w:r w:rsidRPr="000C4977">
        <w:t>showed a</w:t>
      </w:r>
      <w:r>
        <w:t xml:space="preserve"> numerical interaction</w:t>
      </w:r>
      <w:r w:rsidRPr="000C4977">
        <w:t xml:space="preserve"> between response to PARP inhibitors and HRD-positivity. The ESCs noted that some other studies of PARP inhibitors showed evidence of treatment benefit for HRD-negative patients which appears to be smaller than for patients with HRD-positive tumours. </w:t>
      </w:r>
      <w:r>
        <w:t>However, t</w:t>
      </w:r>
      <w:r w:rsidRPr="000C4977">
        <w:t xml:space="preserve">he ESCs noted that in many of the trials, including PAOLA-1, the analysis of outcomes by HRD status </w:t>
      </w:r>
      <w:r>
        <w:t xml:space="preserve">based on genomic instability status other than </w:t>
      </w:r>
      <w:r w:rsidRPr="00D57176">
        <w:rPr>
          <w:i/>
          <w:iCs/>
        </w:rPr>
        <w:t>BRCA</w:t>
      </w:r>
      <w:r>
        <w:t xml:space="preserve"> status </w:t>
      </w:r>
      <w:r w:rsidRPr="00D07D2F">
        <w:t xml:space="preserve">was not prespecified. The ESCs also noted that updated overall survival results from PAOLA-1 are </w:t>
      </w:r>
      <w:r w:rsidRPr="00D07D2F">
        <w:lastRenderedPageBreak/>
        <w:t>expected but considered that the trial may be underpowered to detect differences in overall survival.</w:t>
      </w:r>
    </w:p>
    <w:p w14:paraId="18236B0C" w14:textId="25954DCD" w:rsidR="00DA3EED" w:rsidRPr="000C4977" w:rsidRDefault="00DA3EED" w:rsidP="00DA3EED">
      <w:pPr>
        <w:spacing w:line="259" w:lineRule="auto"/>
        <w:jc w:val="left"/>
      </w:pPr>
      <w:r w:rsidRPr="000C4977">
        <w:t>The ESCs noted the economic model presented a cost-utility analysis where patients undergo testing and treatment</w:t>
      </w:r>
      <w:r>
        <w:t xml:space="preserve"> phases</w:t>
      </w:r>
      <w:r w:rsidRPr="000C4977">
        <w:t xml:space="preserve">. The ESCs considered a key limitation of the economic model </w:t>
      </w:r>
      <w:r>
        <w:t xml:space="preserve">in the testing phase for MSAC consideration </w:t>
      </w:r>
      <w:r w:rsidRPr="000C4977">
        <w:t xml:space="preserve">was the uncertainty in the comparative analytical performance between the </w:t>
      </w:r>
      <w:proofErr w:type="spellStart"/>
      <w:r w:rsidRPr="000C4977">
        <w:t>SOPHiA</w:t>
      </w:r>
      <w:proofErr w:type="spellEnd"/>
      <w:r w:rsidRPr="000C4977">
        <w:t xml:space="preserve"> HRD assay and clinical utility standard. The economic model assessed three testing populations requested by PASC. The ESCs noted that some of the sequential testing scenarios had higher testing costs than parallel testing. The ESCs considered that this, in combination with other benefits (less tumour tissue, faster result) supported parallel testing. The ESCs noted the economic model had not considered test failure. The ESCs considered the full data should also present clinical and economic analysis</w:t>
      </w:r>
      <w:r>
        <w:t>, with</w:t>
      </w:r>
      <w:r w:rsidRPr="000C4977">
        <w:t xml:space="preserve"> inconclusive results </w:t>
      </w:r>
      <w:r>
        <w:t xml:space="preserve">and </w:t>
      </w:r>
      <w:r w:rsidRPr="000C4977">
        <w:t>negative</w:t>
      </w:r>
      <w:r>
        <w:t xml:space="preserve"> results classified together</w:t>
      </w:r>
      <w:r w:rsidRPr="00DA4E37">
        <w:t xml:space="preserve">. The ESCs considered the scenario analysis where testing was uninformative (all </w:t>
      </w:r>
      <w:proofErr w:type="spellStart"/>
      <w:r w:rsidRPr="00DA4E37">
        <w:rPr>
          <w:i/>
          <w:iCs/>
        </w:rPr>
        <w:t>BRCA</w:t>
      </w:r>
      <w:r w:rsidRPr="00DA4E37">
        <w:t>wt</w:t>
      </w:r>
      <w:proofErr w:type="spellEnd"/>
      <w:r w:rsidRPr="00DA4E37">
        <w:t xml:space="preserve"> patients receive </w:t>
      </w:r>
      <w:proofErr w:type="spellStart"/>
      <w:r w:rsidRPr="00DA4E37">
        <w:t>olaparib</w:t>
      </w:r>
      <w:proofErr w:type="spellEnd"/>
      <w:r w:rsidRPr="00DA4E37">
        <w:t xml:space="preserve"> + bevacizumab) and test costs were removed provided support for the </w:t>
      </w:r>
      <w:proofErr w:type="spellStart"/>
      <w:r w:rsidRPr="00DA4E37">
        <w:t>codependency</w:t>
      </w:r>
      <w:proofErr w:type="spellEnd"/>
      <w:r w:rsidRPr="00DA4E37">
        <w:t xml:space="preserve"> from an economic perspective if MSAC and PBAC accept that the </w:t>
      </w:r>
      <w:proofErr w:type="spellStart"/>
      <w:r w:rsidRPr="00DA4E37">
        <w:t>codependency</w:t>
      </w:r>
      <w:proofErr w:type="spellEnd"/>
      <w:r w:rsidRPr="00DA4E37">
        <w:t xml:space="preserve"> has been sufficiently demonstrated. The ESCs considered the treatment phase of the economic model had several limitations. The ESCs considered a respecified base-case with a 15-year time horizon, Weibull extrapolation for bevacizumab monotherapy PFS, post-progression utility values from PAOLA-1, and revised </w:t>
      </w:r>
      <w:r w:rsidRPr="00DA4E37">
        <w:rPr>
          <w:i/>
        </w:rPr>
        <w:t>BRCA</w:t>
      </w:r>
      <w:r w:rsidRPr="00DA4E37">
        <w:t xml:space="preserve"> testing costs resulted in an incremental cost-effectiveness ratio of </w:t>
      </w:r>
      <w:r w:rsidR="0033153F" w:rsidRPr="0033153F">
        <w:t>$95,000 to &lt; $115,000</w:t>
      </w:r>
      <w:r w:rsidR="00BD0399">
        <w:t>.</w:t>
      </w:r>
      <w:r w:rsidRPr="00DA4E37">
        <w:t xml:space="preserve"> The ESCs considered that the ICER could still be underestimated due to the inability to respecify further to account for the high cure fraction, test failures and the uncertain comparative analytical performance of the </w:t>
      </w:r>
      <w:proofErr w:type="spellStart"/>
      <w:r w:rsidRPr="00DA4E37">
        <w:t>SOPHiA</w:t>
      </w:r>
      <w:proofErr w:type="spellEnd"/>
      <w:r w:rsidRPr="00DA4E37">
        <w:t xml:space="preserve"> HRD assay against the clinical utility standard test.</w:t>
      </w:r>
    </w:p>
    <w:p w14:paraId="0028A90E" w14:textId="55E85597" w:rsidR="00DA3EED" w:rsidRDefault="00DA3EED" w:rsidP="000C4977">
      <w:pPr>
        <w:spacing w:line="259" w:lineRule="auto"/>
        <w:jc w:val="left"/>
      </w:pPr>
      <w:r w:rsidRPr="000C4977">
        <w:t xml:space="preserve">The ESCs noted that </w:t>
      </w:r>
      <w:r>
        <w:t xml:space="preserve">the </w:t>
      </w:r>
      <w:r w:rsidRPr="000C4977">
        <w:t>financial estimate</w:t>
      </w:r>
      <w:r>
        <w:t>s also</w:t>
      </w:r>
      <w:r w:rsidRPr="000C4977">
        <w:t xml:space="preserve"> modelled the different testing scenarios with the base case (parallel testing) being less costly than two of the three sequential testing scenarios. The ESCs noted that the testing costs accounted for a larger proportion of net costs than is typical for </w:t>
      </w:r>
      <w:r>
        <w:t xml:space="preserve">most </w:t>
      </w:r>
      <w:r w:rsidRPr="000C4977">
        <w:t xml:space="preserve">codependent submissions due to the </w:t>
      </w:r>
      <w:r>
        <w:t xml:space="preserve">relatively </w:t>
      </w:r>
      <w:r w:rsidRPr="000C4977">
        <w:t>high cost of genetic testing.</w:t>
      </w:r>
      <w:bookmarkEnd w:id="0"/>
      <w:bookmarkEnd w:id="1"/>
    </w:p>
    <w:p w14:paraId="01DC3478" w14:textId="77777777" w:rsidR="00FC0432" w:rsidRPr="00FC0432" w:rsidRDefault="00FC0432" w:rsidP="00FC0432">
      <w:pPr>
        <w:keepNext/>
        <w:keepLines/>
        <w:spacing w:before="360" w:after="240"/>
        <w:jc w:val="left"/>
        <w:outlineLvl w:val="1"/>
        <w:rPr>
          <w:rFonts w:ascii="Franklin Gothic Medium" w:eastAsiaTheme="majorEastAsia" w:hAnsi="Franklin Gothic Medium" w:cstheme="majorBidi"/>
          <w:color w:val="000000" w:themeColor="text1"/>
          <w:sz w:val="32"/>
          <w:szCs w:val="26"/>
        </w:rPr>
      </w:pPr>
      <w:r w:rsidRPr="00FC0432">
        <w:rPr>
          <w:rFonts w:ascii="Franklin Gothic Medium" w:eastAsiaTheme="majorEastAsia" w:hAnsi="Franklin Gothic Medium" w:cstheme="majorBidi"/>
          <w:color w:val="000000" w:themeColor="text1"/>
          <w:sz w:val="32"/>
          <w:szCs w:val="26"/>
        </w:rPr>
        <w:t>17.</w:t>
      </w:r>
      <w:r w:rsidRPr="00FC0432">
        <w:rPr>
          <w:rFonts w:ascii="Franklin Gothic Medium" w:eastAsiaTheme="majorEastAsia" w:hAnsi="Franklin Gothic Medium" w:cstheme="majorBidi"/>
          <w:color w:val="000000" w:themeColor="text1"/>
          <w:sz w:val="32"/>
          <w:szCs w:val="26"/>
        </w:rPr>
        <w:tab/>
        <w:t>Applicant comments on MSAC’s Public Summary Document</w:t>
      </w:r>
    </w:p>
    <w:p w14:paraId="55ABB81A" w14:textId="77777777" w:rsidR="00A624B7" w:rsidRPr="00BD0399" w:rsidRDefault="00A624B7" w:rsidP="00A624B7">
      <w:pPr>
        <w:spacing w:line="259" w:lineRule="auto"/>
        <w:jc w:val="left"/>
      </w:pPr>
      <w:r w:rsidRPr="00BD0399">
        <w:t>The applicant had no comment.</w:t>
      </w:r>
    </w:p>
    <w:p w14:paraId="56A614A7" w14:textId="77777777" w:rsidR="00FC0432" w:rsidRPr="00FC0432" w:rsidRDefault="00FC0432" w:rsidP="00FC0432">
      <w:pPr>
        <w:keepNext/>
        <w:keepLines/>
        <w:spacing w:before="360" w:after="240"/>
        <w:ind w:left="720" w:hanging="720"/>
        <w:jc w:val="left"/>
        <w:outlineLvl w:val="1"/>
        <w:rPr>
          <w:rFonts w:ascii="Franklin Gothic Medium" w:eastAsiaTheme="majorEastAsia" w:hAnsi="Franklin Gothic Medium" w:cstheme="majorBidi"/>
          <w:color w:val="000000" w:themeColor="text1"/>
          <w:sz w:val="32"/>
          <w:szCs w:val="26"/>
        </w:rPr>
      </w:pPr>
      <w:r w:rsidRPr="00FC0432">
        <w:rPr>
          <w:rFonts w:ascii="Franklin Gothic Medium" w:eastAsiaTheme="majorEastAsia" w:hAnsi="Franklin Gothic Medium" w:cstheme="majorBidi"/>
          <w:color w:val="000000" w:themeColor="text1"/>
          <w:sz w:val="32"/>
          <w:szCs w:val="26"/>
        </w:rPr>
        <w:t>18.</w:t>
      </w:r>
      <w:r w:rsidRPr="00FC0432">
        <w:rPr>
          <w:rFonts w:ascii="Franklin Gothic Medium" w:eastAsiaTheme="majorEastAsia" w:hAnsi="Franklin Gothic Medium" w:cstheme="majorBidi"/>
          <w:color w:val="000000" w:themeColor="text1"/>
          <w:sz w:val="32"/>
          <w:szCs w:val="26"/>
        </w:rPr>
        <w:tab/>
        <w:t>Further information on MSAC</w:t>
      </w:r>
    </w:p>
    <w:p w14:paraId="4D287804" w14:textId="7DAD6EBF" w:rsidR="00FC0432" w:rsidRPr="00FC0432" w:rsidRDefault="00FC0432" w:rsidP="00FC0432">
      <w:pPr>
        <w:spacing w:line="256" w:lineRule="auto"/>
        <w:jc w:val="left"/>
      </w:pPr>
      <w:r w:rsidRPr="00FC0432">
        <w:t xml:space="preserve">MSAC Terms of Reference and other information are available on the MSAC Website: </w:t>
      </w:r>
      <w:hyperlink r:id="rId26" w:tooltip="Link to the MSAC website" w:history="1">
        <w:r w:rsidRPr="00FC0432">
          <w:rPr>
            <w:color w:val="0070C0"/>
            <w:u w:val="single"/>
          </w:rPr>
          <w:t>visit the MSAC website</w:t>
        </w:r>
      </w:hyperlink>
    </w:p>
    <w:sectPr w:rsidR="00FC0432" w:rsidRPr="00FC0432" w:rsidSect="0085139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C7EE" w14:textId="77777777" w:rsidR="006A5543" w:rsidRDefault="006A5543" w:rsidP="00BA3306">
      <w:pPr>
        <w:spacing w:before="0" w:after="0"/>
      </w:pPr>
      <w:r>
        <w:separator/>
      </w:r>
    </w:p>
    <w:p w14:paraId="202DDF90" w14:textId="77777777" w:rsidR="006A5543" w:rsidRDefault="006A5543"/>
  </w:endnote>
  <w:endnote w:type="continuationSeparator" w:id="0">
    <w:p w14:paraId="10FAEB9C" w14:textId="77777777" w:rsidR="006A5543" w:rsidRDefault="006A5543" w:rsidP="00BA3306">
      <w:pPr>
        <w:spacing w:before="0" w:after="0"/>
      </w:pPr>
      <w:r>
        <w:continuationSeparator/>
      </w:r>
    </w:p>
    <w:p w14:paraId="052D6C1C" w14:textId="77777777" w:rsidR="006A5543" w:rsidRDefault="006A5543"/>
  </w:endnote>
  <w:endnote w:type="continuationNotice" w:id="1">
    <w:p w14:paraId="1E0621FD" w14:textId="77777777" w:rsidR="006A5543" w:rsidRDefault="006A55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93082"/>
      <w:docPartObj>
        <w:docPartGallery w:val="Page Numbers (Bottom of Page)"/>
        <w:docPartUnique/>
      </w:docPartObj>
    </w:sdtPr>
    <w:sdtEndPr>
      <w:rPr>
        <w:noProof/>
      </w:rPr>
    </w:sdtEndPr>
    <w:sdtContent>
      <w:p w14:paraId="599628E9" w14:textId="1EDC1BF9" w:rsidR="00127838" w:rsidRDefault="00127838" w:rsidP="008513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8D14" w14:textId="77777777" w:rsidR="006A5543" w:rsidRDefault="006A5543" w:rsidP="00BA3306">
      <w:pPr>
        <w:spacing w:before="0" w:after="0"/>
      </w:pPr>
      <w:r>
        <w:separator/>
      </w:r>
    </w:p>
    <w:p w14:paraId="10A6F842" w14:textId="77777777" w:rsidR="006A5543" w:rsidRDefault="006A5543"/>
  </w:footnote>
  <w:footnote w:type="continuationSeparator" w:id="0">
    <w:p w14:paraId="2D9FFECC" w14:textId="77777777" w:rsidR="006A5543" w:rsidRDefault="006A5543" w:rsidP="00BA3306">
      <w:pPr>
        <w:spacing w:before="0" w:after="0"/>
      </w:pPr>
      <w:r>
        <w:continuationSeparator/>
      </w:r>
    </w:p>
    <w:p w14:paraId="6DFE982C" w14:textId="77777777" w:rsidR="006A5543" w:rsidRDefault="006A5543"/>
  </w:footnote>
  <w:footnote w:type="continuationNotice" w:id="1">
    <w:p w14:paraId="10DD616F" w14:textId="77777777" w:rsidR="006A5543" w:rsidRDefault="006A5543">
      <w:pPr>
        <w:spacing w:before="0" w:after="0"/>
      </w:pPr>
    </w:p>
  </w:footnote>
  <w:footnote w:id="2">
    <w:p w14:paraId="3C2C87FB" w14:textId="77777777" w:rsidR="00127838" w:rsidRDefault="00127838" w:rsidP="00610A6A">
      <w:pPr>
        <w:pStyle w:val="FootnoteText"/>
      </w:pPr>
      <w:r>
        <w:rPr>
          <w:rStyle w:val="FootnoteReference"/>
        </w:rPr>
        <w:footnoteRef/>
      </w:r>
      <w:r>
        <w:t xml:space="preserve"> </w:t>
      </w:r>
      <w:r w:rsidRPr="00B53D84">
        <w:t xml:space="preserve">Miller </w:t>
      </w:r>
      <w:r w:rsidRPr="00B53D84">
        <w:rPr>
          <w:i/>
          <w:iCs/>
        </w:rPr>
        <w:t>et al.</w:t>
      </w:r>
      <w:r w:rsidRPr="00B53D84">
        <w:t xml:space="preserve"> ESMO recommendations on predictive biomarker testing for homologous recombination deficiency and PARP inhibitor benefit in ovarian cancer. </w:t>
      </w:r>
      <w:r w:rsidRPr="00B53D84">
        <w:rPr>
          <w:i/>
          <w:iCs/>
        </w:rPr>
        <w:t>Ann Oncol</w:t>
      </w:r>
      <w:r w:rsidRPr="00B53D84">
        <w:t>. 2020;31(12):1606-1622.</w:t>
      </w:r>
    </w:p>
  </w:footnote>
  <w:footnote w:id="3">
    <w:p w14:paraId="5ED53105" w14:textId="7E3226CA" w:rsidR="00E2537C" w:rsidRDefault="00E2537C">
      <w:pPr>
        <w:pStyle w:val="FootnoteText"/>
      </w:pPr>
      <w:r>
        <w:rPr>
          <w:rStyle w:val="FootnoteReference"/>
        </w:rPr>
        <w:footnoteRef/>
      </w:r>
      <w:r>
        <w:t xml:space="preserve"> Feedback provided in March 2021 based on </w:t>
      </w:r>
      <w:r w:rsidR="00870285">
        <w:t xml:space="preserve">information provided in </w:t>
      </w:r>
      <w:r>
        <w:t xml:space="preserve">the </w:t>
      </w:r>
      <w:hyperlink r:id="rId1" w:history="1">
        <w:r w:rsidRPr="00E2537C">
          <w:rPr>
            <w:rStyle w:val="Hyperlink"/>
          </w:rPr>
          <w:t>Application 1658 application form</w:t>
        </w:r>
      </w:hyperlink>
      <w:r>
        <w:t>.</w:t>
      </w:r>
      <w:r w:rsidR="00072EDF">
        <w:t xml:space="preserve"> A description of the proposed HRD test was not available for public consultation.  </w:t>
      </w:r>
    </w:p>
  </w:footnote>
  <w:footnote w:id="4">
    <w:p w14:paraId="2A57E07C" w14:textId="77777777" w:rsidR="00127838" w:rsidRDefault="00127838" w:rsidP="000C4977">
      <w:pPr>
        <w:pStyle w:val="FootnoteText"/>
      </w:pPr>
      <w:r>
        <w:rPr>
          <w:rStyle w:val="FootnoteReference"/>
        </w:rPr>
        <w:footnoteRef/>
      </w:r>
      <w:r>
        <w:t xml:space="preserve"> </w:t>
      </w:r>
      <w:r w:rsidRPr="007D6F49">
        <w:t xml:space="preserve">Mills et al. </w:t>
      </w:r>
      <w:hyperlink r:id="rId2" w:history="1">
        <w:r w:rsidRPr="007D6F49">
          <w:rPr>
            <w:rStyle w:val="Hyperlink"/>
          </w:rPr>
          <w:t>Comparison of genomic instability (GI) scores for predicting PARP activity in ovarian cancer (confex.com)</w:t>
        </w:r>
      </w:hyperlink>
      <w:r>
        <w:t xml:space="preserve"> </w:t>
      </w:r>
      <w:hyperlink r:id="rId3" w:history="1">
        <w:r w:rsidRPr="00786D34">
          <w:rPr>
            <w:rStyle w:val="Hyperlink"/>
          </w:rPr>
          <w:t>https://sgo.confex.com/sgo/2020/meetingapp.cgi/Paper/15650</w:t>
        </w:r>
      </w:hyperlink>
      <w:r>
        <w:t xml:space="preserve"> </w:t>
      </w:r>
    </w:p>
  </w:footnote>
  <w:footnote w:id="5">
    <w:p w14:paraId="084BB38A" w14:textId="45D20C95" w:rsidR="00127838" w:rsidRDefault="00127838" w:rsidP="000C4977">
      <w:pPr>
        <w:pStyle w:val="FootnoteText"/>
      </w:pPr>
      <w:r>
        <w:rPr>
          <w:rStyle w:val="FootnoteReference"/>
        </w:rPr>
        <w:footnoteRef/>
      </w:r>
      <w:r>
        <w:t xml:space="preserve"> </w:t>
      </w:r>
      <w:proofErr w:type="spellStart"/>
      <w:r w:rsidRPr="0010738B">
        <w:t>eviQ</w:t>
      </w:r>
      <w:proofErr w:type="spellEnd"/>
      <w:r w:rsidRPr="0010738B">
        <w:t xml:space="preserve"> Cancer Treatments Online, Considerations for germline testing for variants identified in solid tumours</w:t>
      </w:r>
      <w:r>
        <w:t xml:space="preserve"> (2022). Available from: </w:t>
      </w:r>
      <w:hyperlink r:id="rId4" w:anchor="gene-table" w:history="1">
        <w:r w:rsidRPr="001D19E9">
          <w:rPr>
            <w:rStyle w:val="Hyperlink"/>
          </w:rPr>
          <w:t>https://www.eviq.org.au/cancer-genetics/resources/4056-considerations-for-germline-testing-for-varia#gene-table</w:t>
        </w:r>
      </w:hyperlink>
      <w:r>
        <w:t xml:space="preserve"> </w:t>
      </w:r>
    </w:p>
  </w:footnote>
  <w:footnote w:id="6">
    <w:p w14:paraId="5B337B57" w14:textId="77777777" w:rsidR="00127838" w:rsidRDefault="00127838" w:rsidP="000C4977">
      <w:pPr>
        <w:pStyle w:val="FootnoteText"/>
      </w:pPr>
      <w:r>
        <w:rPr>
          <w:rStyle w:val="FootnoteReference"/>
        </w:rPr>
        <w:footnoteRef/>
      </w:r>
      <w:r>
        <w:t xml:space="preserve"> </w:t>
      </w:r>
      <w:hyperlink r:id="rId5" w:history="1">
        <w:r>
          <w:rPr>
            <w:rStyle w:val="Hyperlink"/>
          </w:rPr>
          <w:t>https://academic.oup.com/oncolo/article/27/3/167/6515681</w:t>
        </w:r>
      </w:hyperlink>
    </w:p>
  </w:footnote>
  <w:footnote w:id="7">
    <w:p w14:paraId="610F9A03" w14:textId="60E8DDB1" w:rsidR="00127838" w:rsidRDefault="00127838" w:rsidP="000C4977">
      <w:pPr>
        <w:pStyle w:val="FootnoteText"/>
      </w:pPr>
      <w:r>
        <w:rPr>
          <w:rStyle w:val="FootnoteReference"/>
        </w:rPr>
        <w:footnoteRef/>
      </w:r>
      <w:hyperlink r:id="rId6" w:history="1">
        <w:r w:rsidRPr="00B86058">
          <w:rPr>
            <w:rStyle w:val="Hyperlink"/>
          </w:rPr>
          <w:t>https://myriad-library.s3.amazonaws.com/technical-specifications/myChoice+CDx+Plus+Technical+Specifications.pdf</w:t>
        </w:r>
      </w:hyperlink>
      <w:r>
        <w:t xml:space="preserve"> , Accessed 11 May 2022</w:t>
      </w:r>
    </w:p>
  </w:footnote>
  <w:footnote w:id="8">
    <w:p w14:paraId="09027958" w14:textId="77777777" w:rsidR="00127838" w:rsidRDefault="00127838" w:rsidP="000C4977">
      <w:pPr>
        <w:pStyle w:val="FootnoteText"/>
      </w:pPr>
      <w:r>
        <w:rPr>
          <w:rStyle w:val="FootnoteReference"/>
        </w:rPr>
        <w:footnoteRef/>
      </w:r>
      <w:r>
        <w:t xml:space="preserve"> </w:t>
      </w:r>
      <w:hyperlink r:id="rId7" w:history="1">
        <w:r w:rsidRPr="00CB52EF">
          <w:rPr>
            <w:rStyle w:val="Hyperlink"/>
          </w:rPr>
          <w:t>https://www.sonicgenetics.com.au/our-tests/all-tests/breast-and-ovarian-cancer-germline/</w:t>
        </w:r>
      </w:hyperlink>
      <w:r>
        <w:t xml:space="preserve"> Accessed 17 April 2022</w:t>
      </w:r>
    </w:p>
  </w:footnote>
</w:footnotes>
</file>

<file path=word/intelligence2.xml><?xml version="1.0" encoding="utf-8"?>
<int2:intelligence xmlns:int2="http://schemas.microsoft.com/office/intelligence/2020/intelligence" xmlns:oel="http://schemas.microsoft.com/office/2019/extlst">
  <int2:observations>
    <int2:textHash int2:hashCode="whmaucOdri29A6" int2:id="0peMJgak">
      <int2:state int2:value="Rejected" int2:type="LegacyProofing"/>
    </int2:textHash>
    <int2:textHash int2:hashCode="OhwhpVntQtbOF8" int2:id="1Nlm3nWe">
      <int2:state int2:value="Rejected" int2:type="LegacyProofing"/>
    </int2:textHash>
    <int2:textHash int2:hashCode="y2Q9PjsF/a1h+t" int2:id="41fpS6V1">
      <int2:state int2:value="Rejected" int2:type="LegacyProofing"/>
    </int2:textHash>
    <int2:textHash int2:hashCode="0rqh4xiqJcbU4N" int2:id="5BRKvMKW">
      <int2:state int2:value="Rejected" int2:type="LegacyProofing"/>
    </int2:textHash>
    <int2:textHash int2:hashCode="crEllT+KzTwJnq" int2:id="6fwhYG26">
      <int2:state int2:value="Rejected" int2:type="LegacyProofing"/>
    </int2:textHash>
    <int2:textHash int2:hashCode="v2qJQo7x0GDVDw" int2:id="6pI2QexQ">
      <int2:state int2:value="Rejected" int2:type="LegacyProofing"/>
    </int2:textHash>
    <int2:textHash int2:hashCode="YSxE5rJG7Reqrx" int2:id="6qCUHtUb">
      <int2:state int2:value="Rejected" int2:type="LegacyProofing"/>
    </int2:textHash>
    <int2:textHash int2:hashCode="UNi0qUHCa4lILJ" int2:id="76PUyhdT">
      <int2:state int2:value="Rejected" int2:type="LegacyProofing"/>
    </int2:textHash>
    <int2:textHash int2:hashCode="x9SmMGYc1xnqUE" int2:id="8V9OECIQ">
      <int2:state int2:value="Rejected" int2:type="LegacyProofing"/>
    </int2:textHash>
    <int2:textHash int2:hashCode="Cy8twNclQg1Kby" int2:id="BNv67Qo8">
      <int2:state int2:value="Rejected" int2:type="LegacyProofing"/>
    </int2:textHash>
    <int2:textHash int2:hashCode="/pyhLIcYimPssN" int2:id="BsM955aa">
      <int2:state int2:value="Rejected" int2:type="LegacyProofing"/>
    </int2:textHash>
    <int2:textHash int2:hashCode="BC3EUS+j05HFFw" int2:id="DIg08yZH">
      <int2:state int2:value="Rejected" int2:type="LegacyProofing"/>
    </int2:textHash>
    <int2:textHash int2:hashCode="XpvWX74Xylhfxc" int2:id="DpPoQ2hM">
      <int2:state int2:value="Rejected" int2:type="LegacyProofing"/>
    </int2:textHash>
    <int2:textHash int2:hashCode="oO4N1dCfoYVrox" int2:id="EBAeDAQ3">
      <int2:state int2:value="Rejected" int2:type="LegacyProofing"/>
    </int2:textHash>
    <int2:textHash int2:hashCode="3ggF426mighhyR" int2:id="EV7CRlLr">
      <int2:state int2:value="Rejected" int2:type="LegacyProofing"/>
    </int2:textHash>
    <int2:textHash int2:hashCode="3getwLgVudyPPE" int2:id="EdxMVfCM">
      <int2:state int2:value="Rejected" int2:type="LegacyProofing"/>
    </int2:textHash>
    <int2:textHash int2:hashCode="K6+HRdMrycWPuZ" int2:id="PehPsezx">
      <int2:state int2:value="Rejected" int2:type="LegacyProofing"/>
    </int2:textHash>
    <int2:textHash int2:hashCode="RDUCp3W7CLodCw" int2:id="RD4Xjsg9">
      <int2:state int2:value="Rejected" int2:type="LegacyProofing"/>
    </int2:textHash>
    <int2:textHash int2:hashCode="3dT8u70zSCJcSR" int2:id="REoqpLs1">
      <int2:state int2:value="Rejected" int2:type="LegacyProofing"/>
    </int2:textHash>
    <int2:textHash int2:hashCode="HAGmXHpBJegpPc" int2:id="VJhKFJJw">
      <int2:state int2:value="Rejected" int2:type="LegacyProofing"/>
    </int2:textHash>
    <int2:textHash int2:hashCode="p3CuhYsysqgM9b" int2:id="VS7rTbYR">
      <int2:state int2:value="Rejected" int2:type="LegacyProofing"/>
    </int2:textHash>
    <int2:textHash int2:hashCode="5DSYyQXrgIDlyd" int2:id="Wx8n9sUe">
      <int2:state int2:value="Rejected" int2:type="LegacyProofing"/>
    </int2:textHash>
    <int2:textHash int2:hashCode="vIESWK6fn8sElL" int2:id="aIzfgMCn">
      <int2:state int2:value="Rejected" int2:type="LegacyProofing"/>
    </int2:textHash>
    <int2:textHash int2:hashCode="pX+vGxdChOGcSQ" int2:id="cYb0zK8Y">
      <int2:state int2:value="Rejected" int2:type="LegacyProofing"/>
    </int2:textHash>
    <int2:textHash int2:hashCode="F8UNjjR3ul+387" int2:id="dJskmNWx">
      <int2:state int2:value="Rejected" int2:type="LegacyProofing"/>
    </int2:textHash>
    <int2:textHash int2:hashCode="RqikfmQFOk1LvD" int2:id="hJzOECia">
      <int2:state int2:value="Rejected" int2:type="LegacyProofing"/>
    </int2:textHash>
    <int2:textHash int2:hashCode="9ST93kY9cBQRgY" int2:id="hXlNWYaw">
      <int2:state int2:value="Rejected" int2:type="LegacyProofing"/>
    </int2:textHash>
    <int2:textHash int2:hashCode="JK+Lh3+AP81cOk" int2:id="hzgcGBe6">
      <int2:state int2:value="Rejected" int2:type="LegacyProofing"/>
    </int2:textHash>
    <int2:textHash int2:hashCode="3SR9Wm7/fB8t83" int2:id="ijG85ej4">
      <int2:state int2:value="Rejected" int2:type="LegacyProofing"/>
    </int2:textHash>
    <int2:textHash int2:hashCode="l5jVp6cJ8On5Zm" int2:id="j054PRjE">
      <int2:state int2:value="Rejected" int2:type="LegacyProofing"/>
    </int2:textHash>
    <int2:textHash int2:hashCode="XVLKRWJ4lBW7Mr" int2:id="l42PmnGd">
      <int2:state int2:value="Rejected" int2:type="LegacyProofing"/>
    </int2:textHash>
    <int2:textHash int2:hashCode="Xe7SI0VRSu2m1h" int2:id="mEQXvtw1">
      <int2:state int2:value="Rejected" int2:type="LegacyProofing"/>
    </int2:textHash>
    <int2:textHash int2:hashCode="RKjIWls3QGWTt6" int2:id="naCqEhJg">
      <int2:state int2:value="Rejected" int2:type="LegacyProofing"/>
    </int2:textHash>
    <int2:textHash int2:hashCode="ZeNioP9goL0ADP" int2:id="p3xDYlr7">
      <int2:state int2:value="Rejected" int2:type="LegacyProofing"/>
    </int2:textHash>
    <int2:textHash int2:hashCode="MZnKpyA1HehN83" int2:id="tzRuxbAO">
      <int2:state int2:value="Rejected" int2:type="LegacyProofing"/>
    </int2:textHash>
    <int2:textHash int2:hashCode="RmgKZl0ISEoohg" int2:id="uqiXyTuw">
      <int2:state int2:value="Rejected" int2:type="LegacyProofing"/>
    </int2:textHash>
    <int2:textHash int2:hashCode="E+68CtmYt6Y5lk" int2:id="x8u3D02Q">
      <int2:state int2:value="Rejected" int2:type="LegacyProofing"/>
    </int2:textHash>
    <int2:textHash int2:hashCode="KC1HwxYwH8adZg" int2:id="xx1iNjYD">
      <int2:state int2:value="Rejected" int2:type="LegacyProofing"/>
    </int2:textHash>
    <int2:bookmark int2:bookmarkName="_Int_YkJtnHTF" int2:invalidationBookmarkName="" int2:hashCode="ZXTOBqomvE/38h" int2:id="4NVSfsMT">
      <int2:state int2:value="Rejected" int2:type="LegacyProofing"/>
    </int2:bookmark>
    <int2:bookmark int2:bookmarkName="_Int_HNpbnSzx" int2:invalidationBookmarkName="" int2:hashCode="LDoO9u9DFubl0c" int2:id="5GlYsanK">
      <int2:state int2:value="Rejected" int2:type="LegacyProofing"/>
    </int2:bookmark>
    <int2:bookmark int2:bookmarkName="_Int_gfBQ07cH" int2:invalidationBookmarkName="" int2:hashCode="TaDD3hnn3JhFqH" int2:id="AwClA2gd">
      <int2:state int2:value="Rejected" int2:type="LegacyProofing"/>
    </int2:bookmark>
    <int2:bookmark int2:bookmarkName="_Int_LXwzKteX" int2:invalidationBookmarkName="" int2:hashCode="LDoO9u9DFubl0c" int2:id="JKRIJjHo">
      <int2:state int2:value="Rejected" int2:type="LegacyProofing"/>
    </int2:bookmark>
    <int2:bookmark int2:bookmarkName="_Int_BltGxoN6" int2:invalidationBookmarkName="" int2:hashCode="LDoO9u9DFubl0c" int2:id="S97M9tyP">
      <int2:state int2:value="Rejected" int2:type="LegacyProofing"/>
    </int2:bookmark>
    <int2:bookmark int2:bookmarkName="_Int_M9wTeLeL" int2:invalidationBookmarkName="" int2:hashCode="KEweyWvAVWiOMn" int2:id="Ucy61iC1">
      <int2:state int2:value="Rejected" int2:type="LegacyProofing"/>
    </int2:bookmark>
    <int2:bookmark int2:bookmarkName="_Int_fWK4avW0" int2:invalidationBookmarkName="" int2:hashCode="HJ2a+IP0XYD27/" int2:id="VPBtxgbZ">
      <int2:state int2:value="Rejected" int2:type="LegacyProofing"/>
    </int2:bookmark>
    <int2:bookmark int2:bookmarkName="_Int_guXtRWmv" int2:invalidationBookmarkName="" int2:hashCode="++QFjF3PhAyDTS" int2:id="lxKcKvmv">
      <int2:state int2:value="Rejected" int2:type="LegacyProofing"/>
    </int2:bookmark>
    <int2:bookmark int2:bookmarkName="_Int_rhqo7hC5" int2:invalidationBookmarkName="" int2:hashCode="LDoO9u9DFubl0c" int2:id="qKkkPQw1">
      <int2:state int2:value="Rejected" int2:type="LegacyProofing"/>
    </int2:bookmark>
    <int2:bookmark int2:bookmarkName="_Int_v4nnTojE" int2:invalidationBookmarkName="" int2:hashCode="SgoZIY4IKjQ6Gx" int2:id="rE6YUrRB">
      <int2:state int2:value="Rejected" int2:type="LegacyProofing"/>
    </int2:bookmark>
    <int2:bookmark int2:bookmarkName="_Int_V3RitJLP" int2:invalidationBookmarkName="" int2:hashCode="LDoO9u9DFubl0c" int2:id="rJwcNDM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A0409"/>
    <w:multiLevelType w:val="hybridMultilevel"/>
    <w:tmpl w:val="E8DE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824E9"/>
    <w:multiLevelType w:val="hybridMultilevel"/>
    <w:tmpl w:val="54B8A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871CC"/>
    <w:multiLevelType w:val="hybridMultilevel"/>
    <w:tmpl w:val="C6B0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B7B44"/>
    <w:multiLevelType w:val="hybridMultilevel"/>
    <w:tmpl w:val="A252BA9E"/>
    <w:lvl w:ilvl="0" w:tplc="FFFFFFFF">
      <w:start w:val="1"/>
      <w:numFmt w:val="decimal"/>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FFF556F"/>
    <w:multiLevelType w:val="hybridMultilevel"/>
    <w:tmpl w:val="591E677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68059B6"/>
    <w:multiLevelType w:val="hybridMultilevel"/>
    <w:tmpl w:val="EBBC4E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22A39"/>
    <w:multiLevelType w:val="hybridMultilevel"/>
    <w:tmpl w:val="A33E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90F8C"/>
    <w:multiLevelType w:val="multilevel"/>
    <w:tmpl w:val="2D56BAD0"/>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AA600C2"/>
    <w:multiLevelType w:val="hybridMultilevel"/>
    <w:tmpl w:val="9E4C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4"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5" w15:restartNumberingAfterBreak="0">
    <w:nsid w:val="23B6274A"/>
    <w:multiLevelType w:val="hybridMultilevel"/>
    <w:tmpl w:val="3C725714"/>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463409"/>
    <w:multiLevelType w:val="hybridMultilevel"/>
    <w:tmpl w:val="F402B514"/>
    <w:styleLink w:val="Heading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8517D"/>
    <w:multiLevelType w:val="hybridMultilevel"/>
    <w:tmpl w:val="EDAEAE14"/>
    <w:styleLink w:val="MSACESBulletpoin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575C58"/>
    <w:multiLevelType w:val="multilevel"/>
    <w:tmpl w:val="CD8602C0"/>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EFA79CB"/>
    <w:multiLevelType w:val="multilevel"/>
    <w:tmpl w:val="4B7E90D2"/>
    <w:styleLink w:val="Style21"/>
    <w:lvl w:ilvl="0">
      <w:start w:val="1"/>
      <w:numFmt w:val="decimal"/>
      <w:lvlText w:val="%1"/>
      <w:lvlJc w:val="left"/>
      <w:pPr>
        <w:ind w:left="862"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F093983"/>
    <w:multiLevelType w:val="hybridMultilevel"/>
    <w:tmpl w:val="25CC6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9666F"/>
    <w:multiLevelType w:val="hybridMultilevel"/>
    <w:tmpl w:val="F3CEB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65214E"/>
    <w:multiLevelType w:val="hybridMultilevel"/>
    <w:tmpl w:val="C56AE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F35F67"/>
    <w:multiLevelType w:val="hybridMultilevel"/>
    <w:tmpl w:val="8BEC6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A0173"/>
    <w:multiLevelType w:val="hybridMultilevel"/>
    <w:tmpl w:val="ACDE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13077A"/>
    <w:multiLevelType w:val="hybridMultilevel"/>
    <w:tmpl w:val="1C2E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8D67A6"/>
    <w:multiLevelType w:val="hybridMultilevel"/>
    <w:tmpl w:val="51CA1480"/>
    <w:styleLink w:val="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12A3B"/>
    <w:multiLevelType w:val="multilevel"/>
    <w:tmpl w:val="99D40288"/>
    <w:styleLink w:val="Style11"/>
    <w:lvl w:ilvl="0">
      <w:start w:val="1"/>
      <w:numFmt w:val="decimal"/>
      <w:lvlText w:val="%1"/>
      <w:lvlJc w:val="left"/>
      <w:pPr>
        <w:ind w:left="862"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7CB73D5"/>
    <w:multiLevelType w:val="hybridMultilevel"/>
    <w:tmpl w:val="487E60EA"/>
    <w:lvl w:ilvl="0" w:tplc="2EB2AC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4B0849B3"/>
    <w:multiLevelType w:val="hybridMultilevel"/>
    <w:tmpl w:val="64DCC3A2"/>
    <w:lvl w:ilvl="0" w:tplc="DC564E04">
      <w:start w:val="1"/>
      <w:numFmt w:val="bullet"/>
      <w:pStyle w:val="ListBullet-H41"/>
      <w:lvlText w:val=""/>
      <w:lvlJc w:val="left"/>
      <w:pPr>
        <w:ind w:left="928" w:hanging="360"/>
      </w:pPr>
      <w:rPr>
        <w:rFonts w:ascii="Symbol" w:hAnsi="Symbol" w:hint="default"/>
        <w:color w:val="44546A" w:themeColor="text2"/>
      </w:rPr>
    </w:lvl>
    <w:lvl w:ilvl="1" w:tplc="BB1CB03A">
      <w:start w:val="1"/>
      <w:numFmt w:val="bullet"/>
      <w:pStyle w:val="ListLevel2-H41a"/>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6D63A0"/>
    <w:multiLevelType w:val="hybridMultilevel"/>
    <w:tmpl w:val="6F32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9A69BE"/>
    <w:multiLevelType w:val="hybridMultilevel"/>
    <w:tmpl w:val="E1DE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E40417"/>
    <w:multiLevelType w:val="hybridMultilevel"/>
    <w:tmpl w:val="0A9C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381E5C"/>
    <w:multiLevelType w:val="hybridMultilevel"/>
    <w:tmpl w:val="7C34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D44060"/>
    <w:multiLevelType w:val="hybridMultilevel"/>
    <w:tmpl w:val="F442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EE6C47"/>
    <w:multiLevelType w:val="multilevel"/>
    <w:tmpl w:val="6B5E7682"/>
    <w:lvl w:ilvl="0">
      <w:start w:val="1"/>
      <w:numFmt w:val="none"/>
      <w:pStyle w:val="H1S2"/>
      <w:lvlText w:val="3A"/>
      <w:lvlJc w:val="left"/>
      <w:pPr>
        <w:ind w:left="1191" w:hanging="1191"/>
      </w:pPr>
      <w:rPr>
        <w:rFonts w:hint="default"/>
      </w:rPr>
    </w:lvl>
    <w:lvl w:ilvl="1">
      <w:start w:val="1"/>
      <w:numFmt w:val="decimal"/>
      <w:pStyle w:val="H2S2"/>
      <w:lvlText w:val="2C%1.%2"/>
      <w:lvlJc w:val="left"/>
      <w:pPr>
        <w:ind w:left="2608" w:hanging="1191"/>
      </w:pPr>
      <w:rPr>
        <w:rFonts w:hint="default"/>
      </w:rPr>
    </w:lvl>
    <w:lvl w:ilvl="2">
      <w:start w:val="1"/>
      <w:numFmt w:val="decimal"/>
      <w:pStyle w:val="H3S2"/>
      <w:lvlText w:val="2%1.%2.%3"/>
      <w:lvlJc w:val="left"/>
      <w:pPr>
        <w:ind w:left="1191" w:hanging="119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Text w:val="2%1.%2.%3.%4"/>
      <w:lvlJc w:val="left"/>
      <w:pPr>
        <w:ind w:left="1588" w:hanging="1588"/>
      </w:pPr>
      <w:rPr>
        <w:rFonts w:hint="default"/>
      </w:rPr>
    </w:lvl>
    <w:lvl w:ilvl="4">
      <w:start w:val="1"/>
      <w:numFmt w:val="decimal"/>
      <w:lvlText w:val="2%1.%2.%3.%4.%5"/>
      <w:lvlJc w:val="left"/>
      <w:pPr>
        <w:ind w:left="1008" w:hanging="1008"/>
      </w:pPr>
      <w:rPr>
        <w:rFonts w:hint="default"/>
      </w:rPr>
    </w:lvl>
    <w:lvl w:ilvl="5">
      <w:start w:val="1"/>
      <w:numFmt w:val="decimal"/>
      <w:lvlText w:val="2%1.%2.%3.%4.%5.%6"/>
      <w:lvlJc w:val="left"/>
      <w:pPr>
        <w:ind w:left="1152" w:hanging="1152"/>
      </w:pPr>
      <w:rPr>
        <w:rFonts w:hint="default"/>
      </w:rPr>
    </w:lvl>
    <w:lvl w:ilvl="6">
      <w:start w:val="1"/>
      <w:numFmt w:val="decimal"/>
      <w:lvlText w:val="2%1.%2.%3.%4.%5.%6.%7"/>
      <w:lvlJc w:val="left"/>
      <w:pPr>
        <w:ind w:left="1296" w:hanging="1296"/>
      </w:pPr>
      <w:rPr>
        <w:rFonts w:hint="default"/>
      </w:rPr>
    </w:lvl>
    <w:lvl w:ilvl="7">
      <w:start w:val="1"/>
      <w:numFmt w:val="decimal"/>
      <w:lvlText w:val="2%1.%2.%3.%4.%5.%6.%7.%8"/>
      <w:lvlJc w:val="left"/>
      <w:pPr>
        <w:ind w:left="1440" w:hanging="1440"/>
      </w:pPr>
      <w:rPr>
        <w:rFonts w:hint="default"/>
      </w:rPr>
    </w:lvl>
    <w:lvl w:ilvl="8">
      <w:start w:val="1"/>
      <w:numFmt w:val="decimal"/>
      <w:lvlText w:val="2%1.%2.%3.%4.%5.%6.%7.%8.%9"/>
      <w:lvlJc w:val="left"/>
      <w:pPr>
        <w:ind w:left="1584" w:hanging="1584"/>
      </w:pPr>
      <w:rPr>
        <w:rFonts w:hint="default"/>
      </w:rPr>
    </w:lvl>
  </w:abstractNum>
  <w:abstractNum w:abstractNumId="44" w15:restartNumberingAfterBreak="0">
    <w:nsid w:val="5E3F6A65"/>
    <w:multiLevelType w:val="hybridMultilevel"/>
    <w:tmpl w:val="D72A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DA67AF"/>
    <w:multiLevelType w:val="hybridMultilevel"/>
    <w:tmpl w:val="E7A2B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447562"/>
    <w:multiLevelType w:val="multilevel"/>
    <w:tmpl w:val="64ACACF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7" w15:restartNumberingAfterBreak="0">
    <w:nsid w:val="6E5E5CB5"/>
    <w:multiLevelType w:val="hybridMultilevel"/>
    <w:tmpl w:val="B59A5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8D4B7D"/>
    <w:multiLevelType w:val="hybridMultilevel"/>
    <w:tmpl w:val="599C1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FD2AEE"/>
    <w:multiLevelType w:val="hybridMultilevel"/>
    <w:tmpl w:val="64C2D54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15:restartNumberingAfterBreak="0">
    <w:nsid w:val="784D033C"/>
    <w:multiLevelType w:val="multilevel"/>
    <w:tmpl w:val="1CA0959E"/>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9"/>
  </w:num>
  <w:num w:numId="2">
    <w:abstractNumId w:val="7"/>
  </w:num>
  <w:num w:numId="3">
    <w:abstractNumId w:val="50"/>
  </w:num>
  <w:num w:numId="4">
    <w:abstractNumId w:val="35"/>
  </w:num>
  <w:num w:numId="5">
    <w:abstractNumId w:val="2"/>
  </w:num>
  <w:num w:numId="6">
    <w:abstractNumId w:val="42"/>
  </w:num>
  <w:num w:numId="7">
    <w:abstractNumId w:val="0"/>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25"/>
  </w:num>
  <w:num w:numId="11">
    <w:abstractNumId w:val="33"/>
  </w:num>
  <w:num w:numId="12">
    <w:abstractNumId w:val="6"/>
  </w:num>
  <w:num w:numId="13">
    <w:abstractNumId w:val="30"/>
  </w:num>
  <w:num w:numId="14">
    <w:abstractNumId w:val="4"/>
  </w:num>
  <w:num w:numId="15">
    <w:abstractNumId w:val="18"/>
  </w:num>
  <w:num w:numId="16">
    <w:abstractNumId w:val="36"/>
  </w:num>
  <w:num w:numId="17">
    <w:abstractNumId w:val="2"/>
  </w:num>
  <w:num w:numId="18">
    <w:abstractNumId w:val="38"/>
  </w:num>
  <w:num w:numId="19">
    <w:abstractNumId w:val="44"/>
  </w:num>
  <w:num w:numId="20">
    <w:abstractNumId w:val="4"/>
  </w:num>
  <w:num w:numId="21">
    <w:abstractNumId w:val="48"/>
  </w:num>
  <w:num w:numId="22">
    <w:abstractNumId w:val="39"/>
  </w:num>
  <w:num w:numId="23">
    <w:abstractNumId w:val="16"/>
  </w:num>
  <w:num w:numId="24">
    <w:abstractNumId w:val="17"/>
  </w:num>
  <w:num w:numId="25">
    <w:abstractNumId w:val="1"/>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num>
  <w:num w:numId="31">
    <w:abstractNumId w:val="49"/>
  </w:num>
  <w:num w:numId="32">
    <w:abstractNumId w:val="43"/>
  </w:num>
  <w:num w:numId="33">
    <w:abstractNumId w:val="10"/>
  </w:num>
  <w:num w:numId="34">
    <w:abstractNumId w:val="15"/>
  </w:num>
  <w:num w:numId="35">
    <w:abstractNumId w:val="13"/>
  </w:num>
  <w:num w:numId="36">
    <w:abstractNumId w:val="34"/>
  </w:num>
  <w:num w:numId="37">
    <w:abstractNumId w:val="52"/>
  </w:num>
  <w:num w:numId="38">
    <w:abstractNumId w:val="14"/>
  </w:num>
  <w:num w:numId="39">
    <w:abstractNumId w:val="12"/>
  </w:num>
  <w:num w:numId="40">
    <w:abstractNumId w:val="20"/>
  </w:num>
  <w:num w:numId="41">
    <w:abstractNumId w:val="23"/>
  </w:num>
  <w:num w:numId="42">
    <w:abstractNumId w:val="24"/>
  </w:num>
  <w:num w:numId="43">
    <w:abstractNumId w:val="29"/>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7"/>
  </w:num>
  <w:num w:numId="51">
    <w:abstractNumId w:val="28"/>
  </w:num>
  <w:num w:numId="52">
    <w:abstractNumId w:val="3"/>
  </w:num>
  <w:num w:numId="53">
    <w:abstractNumId w:val="41"/>
  </w:num>
  <w:num w:numId="54">
    <w:abstractNumId w:val="9"/>
  </w:num>
  <w:num w:numId="55">
    <w:abstractNumId w:val="37"/>
  </w:num>
  <w:num w:numId="56">
    <w:abstractNumId w:val="40"/>
  </w:num>
  <w:num w:numId="57">
    <w:abstractNumId w:val="45"/>
  </w:num>
  <w:num w:numId="58">
    <w:abstractNumId w:val="21"/>
  </w:num>
  <w:num w:numId="59">
    <w:abstractNumId w:val="32"/>
  </w:num>
  <w:num w:numId="60">
    <w:abstractNumId w:val="18"/>
  </w:num>
  <w:num w:numId="61">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09"/>
    <w:rsid w:val="0000019E"/>
    <w:rsid w:val="0000099C"/>
    <w:rsid w:val="000009EC"/>
    <w:rsid w:val="00000E0A"/>
    <w:rsid w:val="00000F3B"/>
    <w:rsid w:val="00000FD6"/>
    <w:rsid w:val="000010C0"/>
    <w:rsid w:val="00001AB4"/>
    <w:rsid w:val="00001E65"/>
    <w:rsid w:val="00002009"/>
    <w:rsid w:val="00002811"/>
    <w:rsid w:val="0000282F"/>
    <w:rsid w:val="00002A27"/>
    <w:rsid w:val="00003126"/>
    <w:rsid w:val="0000318A"/>
    <w:rsid w:val="000031AA"/>
    <w:rsid w:val="00003231"/>
    <w:rsid w:val="00003386"/>
    <w:rsid w:val="0000338B"/>
    <w:rsid w:val="0000354C"/>
    <w:rsid w:val="00003C0B"/>
    <w:rsid w:val="00003CED"/>
    <w:rsid w:val="00004655"/>
    <w:rsid w:val="00004898"/>
    <w:rsid w:val="00004913"/>
    <w:rsid w:val="00005155"/>
    <w:rsid w:val="0000526D"/>
    <w:rsid w:val="000052C1"/>
    <w:rsid w:val="000054F1"/>
    <w:rsid w:val="00005DDF"/>
    <w:rsid w:val="00005E98"/>
    <w:rsid w:val="00006045"/>
    <w:rsid w:val="000060A2"/>
    <w:rsid w:val="000062E0"/>
    <w:rsid w:val="00006398"/>
    <w:rsid w:val="00006436"/>
    <w:rsid w:val="000066E3"/>
    <w:rsid w:val="000067C8"/>
    <w:rsid w:val="00006855"/>
    <w:rsid w:val="00006AE0"/>
    <w:rsid w:val="00006B05"/>
    <w:rsid w:val="000074B9"/>
    <w:rsid w:val="000077D6"/>
    <w:rsid w:val="00007864"/>
    <w:rsid w:val="00007DCD"/>
    <w:rsid w:val="00010069"/>
    <w:rsid w:val="000101D4"/>
    <w:rsid w:val="000103AB"/>
    <w:rsid w:val="0001045C"/>
    <w:rsid w:val="0001066F"/>
    <w:rsid w:val="000107D8"/>
    <w:rsid w:val="000109F2"/>
    <w:rsid w:val="00011053"/>
    <w:rsid w:val="0001194B"/>
    <w:rsid w:val="00011B6A"/>
    <w:rsid w:val="0001200B"/>
    <w:rsid w:val="0001220E"/>
    <w:rsid w:val="00012451"/>
    <w:rsid w:val="000124CF"/>
    <w:rsid w:val="0001266D"/>
    <w:rsid w:val="0001281E"/>
    <w:rsid w:val="00012BBB"/>
    <w:rsid w:val="00013087"/>
    <w:rsid w:val="000130A3"/>
    <w:rsid w:val="000131C9"/>
    <w:rsid w:val="00013222"/>
    <w:rsid w:val="000134B3"/>
    <w:rsid w:val="000134D6"/>
    <w:rsid w:val="00013E19"/>
    <w:rsid w:val="000142C1"/>
    <w:rsid w:val="000144C7"/>
    <w:rsid w:val="00014660"/>
    <w:rsid w:val="0001467E"/>
    <w:rsid w:val="0001484B"/>
    <w:rsid w:val="00014A3A"/>
    <w:rsid w:val="000151D6"/>
    <w:rsid w:val="00015290"/>
    <w:rsid w:val="00015346"/>
    <w:rsid w:val="0001548D"/>
    <w:rsid w:val="000159FA"/>
    <w:rsid w:val="00015B12"/>
    <w:rsid w:val="00016E32"/>
    <w:rsid w:val="00016E72"/>
    <w:rsid w:val="00016F05"/>
    <w:rsid w:val="000170E1"/>
    <w:rsid w:val="000171FC"/>
    <w:rsid w:val="0001722E"/>
    <w:rsid w:val="0001724A"/>
    <w:rsid w:val="00017B1A"/>
    <w:rsid w:val="00017C9E"/>
    <w:rsid w:val="000200EF"/>
    <w:rsid w:val="00020489"/>
    <w:rsid w:val="00020641"/>
    <w:rsid w:val="000206DB"/>
    <w:rsid w:val="0002095B"/>
    <w:rsid w:val="00020BD1"/>
    <w:rsid w:val="00021589"/>
    <w:rsid w:val="00022583"/>
    <w:rsid w:val="0002268C"/>
    <w:rsid w:val="00022918"/>
    <w:rsid w:val="0002299A"/>
    <w:rsid w:val="00022B43"/>
    <w:rsid w:val="00022C00"/>
    <w:rsid w:val="00022E27"/>
    <w:rsid w:val="00023139"/>
    <w:rsid w:val="000238A4"/>
    <w:rsid w:val="000239BE"/>
    <w:rsid w:val="000241EA"/>
    <w:rsid w:val="00024296"/>
    <w:rsid w:val="0002446E"/>
    <w:rsid w:val="0002501A"/>
    <w:rsid w:val="000252DD"/>
    <w:rsid w:val="000256F8"/>
    <w:rsid w:val="0002582F"/>
    <w:rsid w:val="00025B1B"/>
    <w:rsid w:val="00025BBD"/>
    <w:rsid w:val="00025D3E"/>
    <w:rsid w:val="00025FB2"/>
    <w:rsid w:val="00026518"/>
    <w:rsid w:val="00026594"/>
    <w:rsid w:val="0002688C"/>
    <w:rsid w:val="000269E8"/>
    <w:rsid w:val="00026C5B"/>
    <w:rsid w:val="00026D08"/>
    <w:rsid w:val="00026D19"/>
    <w:rsid w:val="00026F50"/>
    <w:rsid w:val="0002702C"/>
    <w:rsid w:val="00027342"/>
    <w:rsid w:val="00027560"/>
    <w:rsid w:val="000277F5"/>
    <w:rsid w:val="00030057"/>
    <w:rsid w:val="000304C1"/>
    <w:rsid w:val="0003089F"/>
    <w:rsid w:val="00030BC9"/>
    <w:rsid w:val="00030D9F"/>
    <w:rsid w:val="00031179"/>
    <w:rsid w:val="0003168F"/>
    <w:rsid w:val="0003175F"/>
    <w:rsid w:val="00031C35"/>
    <w:rsid w:val="00031EA3"/>
    <w:rsid w:val="00032CD0"/>
    <w:rsid w:val="00033416"/>
    <w:rsid w:val="0003377E"/>
    <w:rsid w:val="000338E2"/>
    <w:rsid w:val="00033CE0"/>
    <w:rsid w:val="00033CE1"/>
    <w:rsid w:val="00033E11"/>
    <w:rsid w:val="00033E33"/>
    <w:rsid w:val="00033E86"/>
    <w:rsid w:val="00033F33"/>
    <w:rsid w:val="000341DD"/>
    <w:rsid w:val="00034404"/>
    <w:rsid w:val="000345A0"/>
    <w:rsid w:val="00034891"/>
    <w:rsid w:val="00034949"/>
    <w:rsid w:val="0003497C"/>
    <w:rsid w:val="00034C93"/>
    <w:rsid w:val="00034DFC"/>
    <w:rsid w:val="00035079"/>
    <w:rsid w:val="0003520D"/>
    <w:rsid w:val="00035339"/>
    <w:rsid w:val="0003584A"/>
    <w:rsid w:val="000358AE"/>
    <w:rsid w:val="000359BA"/>
    <w:rsid w:val="00035E06"/>
    <w:rsid w:val="00035E76"/>
    <w:rsid w:val="0003676B"/>
    <w:rsid w:val="00036E1A"/>
    <w:rsid w:val="000371BF"/>
    <w:rsid w:val="000372F4"/>
    <w:rsid w:val="000374AD"/>
    <w:rsid w:val="00037640"/>
    <w:rsid w:val="00037A92"/>
    <w:rsid w:val="00037E76"/>
    <w:rsid w:val="00037F72"/>
    <w:rsid w:val="00040603"/>
    <w:rsid w:val="000407A3"/>
    <w:rsid w:val="00040EE7"/>
    <w:rsid w:val="000416BD"/>
    <w:rsid w:val="0004189D"/>
    <w:rsid w:val="00042622"/>
    <w:rsid w:val="00042821"/>
    <w:rsid w:val="000429C8"/>
    <w:rsid w:val="000434C1"/>
    <w:rsid w:val="000435F5"/>
    <w:rsid w:val="00043616"/>
    <w:rsid w:val="00043660"/>
    <w:rsid w:val="00043DF6"/>
    <w:rsid w:val="0004410A"/>
    <w:rsid w:val="00044194"/>
    <w:rsid w:val="0004441D"/>
    <w:rsid w:val="00044B60"/>
    <w:rsid w:val="000451EC"/>
    <w:rsid w:val="00045375"/>
    <w:rsid w:val="0004566E"/>
    <w:rsid w:val="000458A1"/>
    <w:rsid w:val="000458AE"/>
    <w:rsid w:val="000459AB"/>
    <w:rsid w:val="00045EA9"/>
    <w:rsid w:val="000461CF"/>
    <w:rsid w:val="000465A9"/>
    <w:rsid w:val="0004676F"/>
    <w:rsid w:val="00046B60"/>
    <w:rsid w:val="00046C02"/>
    <w:rsid w:val="000470DF"/>
    <w:rsid w:val="00047102"/>
    <w:rsid w:val="0004736A"/>
    <w:rsid w:val="0004758F"/>
    <w:rsid w:val="00047867"/>
    <w:rsid w:val="00047A51"/>
    <w:rsid w:val="00047BA2"/>
    <w:rsid w:val="00047CF6"/>
    <w:rsid w:val="00047F96"/>
    <w:rsid w:val="00050CFA"/>
    <w:rsid w:val="00050FA2"/>
    <w:rsid w:val="00051707"/>
    <w:rsid w:val="0005188B"/>
    <w:rsid w:val="0005199B"/>
    <w:rsid w:val="00051C7E"/>
    <w:rsid w:val="000522EE"/>
    <w:rsid w:val="000524E3"/>
    <w:rsid w:val="00052BCD"/>
    <w:rsid w:val="00052D24"/>
    <w:rsid w:val="00052E68"/>
    <w:rsid w:val="000533B8"/>
    <w:rsid w:val="0005375E"/>
    <w:rsid w:val="00054171"/>
    <w:rsid w:val="000546EF"/>
    <w:rsid w:val="00055271"/>
    <w:rsid w:val="00055606"/>
    <w:rsid w:val="00055DCD"/>
    <w:rsid w:val="00055E0A"/>
    <w:rsid w:val="00055F21"/>
    <w:rsid w:val="00056BCE"/>
    <w:rsid w:val="00056CFD"/>
    <w:rsid w:val="00057170"/>
    <w:rsid w:val="000575F9"/>
    <w:rsid w:val="000578D9"/>
    <w:rsid w:val="00057F71"/>
    <w:rsid w:val="0006006A"/>
    <w:rsid w:val="00060217"/>
    <w:rsid w:val="00060447"/>
    <w:rsid w:val="000609A7"/>
    <w:rsid w:val="00061130"/>
    <w:rsid w:val="00062018"/>
    <w:rsid w:val="00062067"/>
    <w:rsid w:val="0006287B"/>
    <w:rsid w:val="00062C2C"/>
    <w:rsid w:val="00062D34"/>
    <w:rsid w:val="00063460"/>
    <w:rsid w:val="00063800"/>
    <w:rsid w:val="00063ACB"/>
    <w:rsid w:val="00063BE6"/>
    <w:rsid w:val="00063C38"/>
    <w:rsid w:val="00063CD9"/>
    <w:rsid w:val="00063DBC"/>
    <w:rsid w:val="00064083"/>
    <w:rsid w:val="0006427B"/>
    <w:rsid w:val="000643FA"/>
    <w:rsid w:val="0006442F"/>
    <w:rsid w:val="000647CB"/>
    <w:rsid w:val="00064D04"/>
    <w:rsid w:val="00064EA0"/>
    <w:rsid w:val="00065466"/>
    <w:rsid w:val="00065BC3"/>
    <w:rsid w:val="00065C62"/>
    <w:rsid w:val="00065CDE"/>
    <w:rsid w:val="00065F4A"/>
    <w:rsid w:val="00065F60"/>
    <w:rsid w:val="00066143"/>
    <w:rsid w:val="000661D4"/>
    <w:rsid w:val="00066AE5"/>
    <w:rsid w:val="00066B18"/>
    <w:rsid w:val="00066BC8"/>
    <w:rsid w:val="000670F2"/>
    <w:rsid w:val="000676E5"/>
    <w:rsid w:val="000677DE"/>
    <w:rsid w:val="00067ED6"/>
    <w:rsid w:val="0007011F"/>
    <w:rsid w:val="00070413"/>
    <w:rsid w:val="0007043F"/>
    <w:rsid w:val="000705A8"/>
    <w:rsid w:val="0007063B"/>
    <w:rsid w:val="00070641"/>
    <w:rsid w:val="000708AA"/>
    <w:rsid w:val="00070D0A"/>
    <w:rsid w:val="00070D75"/>
    <w:rsid w:val="00070F2E"/>
    <w:rsid w:val="000710DA"/>
    <w:rsid w:val="0007137E"/>
    <w:rsid w:val="000719A0"/>
    <w:rsid w:val="0007212E"/>
    <w:rsid w:val="000721FB"/>
    <w:rsid w:val="000722AD"/>
    <w:rsid w:val="00072392"/>
    <w:rsid w:val="000723B1"/>
    <w:rsid w:val="000725D2"/>
    <w:rsid w:val="000729D2"/>
    <w:rsid w:val="00072C9B"/>
    <w:rsid w:val="00072DC3"/>
    <w:rsid w:val="00072E9F"/>
    <w:rsid w:val="00072EDF"/>
    <w:rsid w:val="00073CD6"/>
    <w:rsid w:val="00073D18"/>
    <w:rsid w:val="00073EA7"/>
    <w:rsid w:val="00073F60"/>
    <w:rsid w:val="000746A6"/>
    <w:rsid w:val="000753BD"/>
    <w:rsid w:val="0007550F"/>
    <w:rsid w:val="00075575"/>
    <w:rsid w:val="00075775"/>
    <w:rsid w:val="000761A3"/>
    <w:rsid w:val="0007632E"/>
    <w:rsid w:val="0007637A"/>
    <w:rsid w:val="000764A7"/>
    <w:rsid w:val="0007664C"/>
    <w:rsid w:val="00076B05"/>
    <w:rsid w:val="00077A86"/>
    <w:rsid w:val="00077AAC"/>
    <w:rsid w:val="00077EED"/>
    <w:rsid w:val="00077F1E"/>
    <w:rsid w:val="00080108"/>
    <w:rsid w:val="00080507"/>
    <w:rsid w:val="00080609"/>
    <w:rsid w:val="000806D2"/>
    <w:rsid w:val="00080813"/>
    <w:rsid w:val="00080FF3"/>
    <w:rsid w:val="00081383"/>
    <w:rsid w:val="000816DF"/>
    <w:rsid w:val="00081967"/>
    <w:rsid w:val="00081C34"/>
    <w:rsid w:val="0008223A"/>
    <w:rsid w:val="00082359"/>
    <w:rsid w:val="00082422"/>
    <w:rsid w:val="000825EF"/>
    <w:rsid w:val="00082622"/>
    <w:rsid w:val="00082868"/>
    <w:rsid w:val="00082946"/>
    <w:rsid w:val="000829F7"/>
    <w:rsid w:val="00083493"/>
    <w:rsid w:val="00083D7A"/>
    <w:rsid w:val="00084356"/>
    <w:rsid w:val="00084529"/>
    <w:rsid w:val="00084599"/>
    <w:rsid w:val="000847FE"/>
    <w:rsid w:val="000848A6"/>
    <w:rsid w:val="00084B18"/>
    <w:rsid w:val="00084FE2"/>
    <w:rsid w:val="0008561C"/>
    <w:rsid w:val="00085730"/>
    <w:rsid w:val="00086075"/>
    <w:rsid w:val="00086087"/>
    <w:rsid w:val="00086133"/>
    <w:rsid w:val="00086C76"/>
    <w:rsid w:val="00086CAE"/>
    <w:rsid w:val="00086D85"/>
    <w:rsid w:val="000874F8"/>
    <w:rsid w:val="000877C8"/>
    <w:rsid w:val="00087898"/>
    <w:rsid w:val="00087A1A"/>
    <w:rsid w:val="00087DB5"/>
    <w:rsid w:val="00087E1A"/>
    <w:rsid w:val="0009000A"/>
    <w:rsid w:val="000909F1"/>
    <w:rsid w:val="00091067"/>
    <w:rsid w:val="0009131A"/>
    <w:rsid w:val="00091561"/>
    <w:rsid w:val="00091632"/>
    <w:rsid w:val="00091A4D"/>
    <w:rsid w:val="00091C35"/>
    <w:rsid w:val="000923A2"/>
    <w:rsid w:val="0009267E"/>
    <w:rsid w:val="00092727"/>
    <w:rsid w:val="00092945"/>
    <w:rsid w:val="00092DD7"/>
    <w:rsid w:val="00093876"/>
    <w:rsid w:val="0009474A"/>
    <w:rsid w:val="00094CDE"/>
    <w:rsid w:val="000952A6"/>
    <w:rsid w:val="0009556C"/>
    <w:rsid w:val="0009560A"/>
    <w:rsid w:val="0009688E"/>
    <w:rsid w:val="0009689E"/>
    <w:rsid w:val="000968EE"/>
    <w:rsid w:val="00096BCD"/>
    <w:rsid w:val="0009705E"/>
    <w:rsid w:val="000970F6"/>
    <w:rsid w:val="00097101"/>
    <w:rsid w:val="0009756C"/>
    <w:rsid w:val="000975A1"/>
    <w:rsid w:val="000976FF"/>
    <w:rsid w:val="00097919"/>
    <w:rsid w:val="000A027E"/>
    <w:rsid w:val="000A073B"/>
    <w:rsid w:val="000A07D1"/>
    <w:rsid w:val="000A0919"/>
    <w:rsid w:val="000A0D41"/>
    <w:rsid w:val="000A0E09"/>
    <w:rsid w:val="000A135D"/>
    <w:rsid w:val="000A16B2"/>
    <w:rsid w:val="000A1CD1"/>
    <w:rsid w:val="000A1F7B"/>
    <w:rsid w:val="000A243B"/>
    <w:rsid w:val="000A2694"/>
    <w:rsid w:val="000A2E47"/>
    <w:rsid w:val="000A2EF1"/>
    <w:rsid w:val="000A2F73"/>
    <w:rsid w:val="000A300B"/>
    <w:rsid w:val="000A3891"/>
    <w:rsid w:val="000A3D99"/>
    <w:rsid w:val="000A3F4C"/>
    <w:rsid w:val="000A409D"/>
    <w:rsid w:val="000A47D2"/>
    <w:rsid w:val="000A492F"/>
    <w:rsid w:val="000A4C74"/>
    <w:rsid w:val="000A56C6"/>
    <w:rsid w:val="000A5961"/>
    <w:rsid w:val="000A5AE3"/>
    <w:rsid w:val="000A5D44"/>
    <w:rsid w:val="000A6AD9"/>
    <w:rsid w:val="000A6FBD"/>
    <w:rsid w:val="000A72CD"/>
    <w:rsid w:val="000A7333"/>
    <w:rsid w:val="000A75EE"/>
    <w:rsid w:val="000A76CE"/>
    <w:rsid w:val="000A797F"/>
    <w:rsid w:val="000A7C0C"/>
    <w:rsid w:val="000A7E6B"/>
    <w:rsid w:val="000A7EA5"/>
    <w:rsid w:val="000B0C78"/>
    <w:rsid w:val="000B0DA2"/>
    <w:rsid w:val="000B10E0"/>
    <w:rsid w:val="000B1D2D"/>
    <w:rsid w:val="000B1DA0"/>
    <w:rsid w:val="000B2054"/>
    <w:rsid w:val="000B2883"/>
    <w:rsid w:val="000B29AD"/>
    <w:rsid w:val="000B2BE3"/>
    <w:rsid w:val="000B2C0D"/>
    <w:rsid w:val="000B2C8C"/>
    <w:rsid w:val="000B2D04"/>
    <w:rsid w:val="000B2EB1"/>
    <w:rsid w:val="000B2FA4"/>
    <w:rsid w:val="000B32B2"/>
    <w:rsid w:val="000B3419"/>
    <w:rsid w:val="000B35CF"/>
    <w:rsid w:val="000B35EA"/>
    <w:rsid w:val="000B3EF0"/>
    <w:rsid w:val="000B45C3"/>
    <w:rsid w:val="000B498F"/>
    <w:rsid w:val="000B4F21"/>
    <w:rsid w:val="000B4FD4"/>
    <w:rsid w:val="000B508B"/>
    <w:rsid w:val="000B51A0"/>
    <w:rsid w:val="000B51D6"/>
    <w:rsid w:val="000B5431"/>
    <w:rsid w:val="000B5473"/>
    <w:rsid w:val="000B56CD"/>
    <w:rsid w:val="000B5DD8"/>
    <w:rsid w:val="000B60CD"/>
    <w:rsid w:val="000B61A8"/>
    <w:rsid w:val="000B63C4"/>
    <w:rsid w:val="000B63DC"/>
    <w:rsid w:val="000B6630"/>
    <w:rsid w:val="000B6B69"/>
    <w:rsid w:val="000B7AED"/>
    <w:rsid w:val="000C005D"/>
    <w:rsid w:val="000C0142"/>
    <w:rsid w:val="000C0172"/>
    <w:rsid w:val="000C0C57"/>
    <w:rsid w:val="000C11CC"/>
    <w:rsid w:val="000C1396"/>
    <w:rsid w:val="000C1987"/>
    <w:rsid w:val="000C1E14"/>
    <w:rsid w:val="000C2294"/>
    <w:rsid w:val="000C2BE0"/>
    <w:rsid w:val="000C3573"/>
    <w:rsid w:val="000C38AF"/>
    <w:rsid w:val="000C393A"/>
    <w:rsid w:val="000C39ED"/>
    <w:rsid w:val="000C3BBF"/>
    <w:rsid w:val="000C413E"/>
    <w:rsid w:val="000C4650"/>
    <w:rsid w:val="000C4666"/>
    <w:rsid w:val="000C4977"/>
    <w:rsid w:val="000C52A1"/>
    <w:rsid w:val="000C56C5"/>
    <w:rsid w:val="000C5EDA"/>
    <w:rsid w:val="000C5EE4"/>
    <w:rsid w:val="000C6007"/>
    <w:rsid w:val="000C6391"/>
    <w:rsid w:val="000C63B4"/>
    <w:rsid w:val="000C65D4"/>
    <w:rsid w:val="000C668E"/>
    <w:rsid w:val="000C6A40"/>
    <w:rsid w:val="000C6B34"/>
    <w:rsid w:val="000C6D63"/>
    <w:rsid w:val="000C7883"/>
    <w:rsid w:val="000C793A"/>
    <w:rsid w:val="000C7B1E"/>
    <w:rsid w:val="000D0023"/>
    <w:rsid w:val="000D0997"/>
    <w:rsid w:val="000D0A81"/>
    <w:rsid w:val="000D0BC6"/>
    <w:rsid w:val="000D0C34"/>
    <w:rsid w:val="000D10B5"/>
    <w:rsid w:val="000D1540"/>
    <w:rsid w:val="000D1583"/>
    <w:rsid w:val="000D15AD"/>
    <w:rsid w:val="000D169F"/>
    <w:rsid w:val="000D16D7"/>
    <w:rsid w:val="000D17EB"/>
    <w:rsid w:val="000D19D0"/>
    <w:rsid w:val="000D1AA8"/>
    <w:rsid w:val="000D1AB4"/>
    <w:rsid w:val="000D1C63"/>
    <w:rsid w:val="000D1D2F"/>
    <w:rsid w:val="000D1D5F"/>
    <w:rsid w:val="000D1FAC"/>
    <w:rsid w:val="000D2A1B"/>
    <w:rsid w:val="000D2BF3"/>
    <w:rsid w:val="000D2F9A"/>
    <w:rsid w:val="000D37E7"/>
    <w:rsid w:val="000D39EF"/>
    <w:rsid w:val="000D3DFB"/>
    <w:rsid w:val="000D44A4"/>
    <w:rsid w:val="000D44D0"/>
    <w:rsid w:val="000D4793"/>
    <w:rsid w:val="000D48CA"/>
    <w:rsid w:val="000D4936"/>
    <w:rsid w:val="000D4989"/>
    <w:rsid w:val="000D4C33"/>
    <w:rsid w:val="000D5375"/>
    <w:rsid w:val="000D56BD"/>
    <w:rsid w:val="000D56FD"/>
    <w:rsid w:val="000D6116"/>
    <w:rsid w:val="000D6888"/>
    <w:rsid w:val="000D6950"/>
    <w:rsid w:val="000D769B"/>
    <w:rsid w:val="000D7A9C"/>
    <w:rsid w:val="000E0135"/>
    <w:rsid w:val="000E0636"/>
    <w:rsid w:val="000E07CD"/>
    <w:rsid w:val="000E0AB9"/>
    <w:rsid w:val="000E0CA4"/>
    <w:rsid w:val="000E0D70"/>
    <w:rsid w:val="000E0E6C"/>
    <w:rsid w:val="000E17E6"/>
    <w:rsid w:val="000E1A32"/>
    <w:rsid w:val="000E1AF1"/>
    <w:rsid w:val="000E23BB"/>
    <w:rsid w:val="000E294F"/>
    <w:rsid w:val="000E2C8D"/>
    <w:rsid w:val="000E2DB7"/>
    <w:rsid w:val="000E2EFE"/>
    <w:rsid w:val="000E2FC3"/>
    <w:rsid w:val="000E3283"/>
    <w:rsid w:val="000E3577"/>
    <w:rsid w:val="000E3989"/>
    <w:rsid w:val="000E39B3"/>
    <w:rsid w:val="000E3DDD"/>
    <w:rsid w:val="000E3F65"/>
    <w:rsid w:val="000E414A"/>
    <w:rsid w:val="000E4326"/>
    <w:rsid w:val="000E4492"/>
    <w:rsid w:val="000E46F2"/>
    <w:rsid w:val="000E4B96"/>
    <w:rsid w:val="000E4C48"/>
    <w:rsid w:val="000E4D14"/>
    <w:rsid w:val="000E552E"/>
    <w:rsid w:val="000E6360"/>
    <w:rsid w:val="000E6750"/>
    <w:rsid w:val="000E6A60"/>
    <w:rsid w:val="000E6FF1"/>
    <w:rsid w:val="000E7019"/>
    <w:rsid w:val="000E7051"/>
    <w:rsid w:val="000E7688"/>
    <w:rsid w:val="000E7A25"/>
    <w:rsid w:val="000F06F2"/>
    <w:rsid w:val="000F08AD"/>
    <w:rsid w:val="000F0D2B"/>
    <w:rsid w:val="000F1236"/>
    <w:rsid w:val="000F19AC"/>
    <w:rsid w:val="000F1B6E"/>
    <w:rsid w:val="000F2342"/>
    <w:rsid w:val="000F243A"/>
    <w:rsid w:val="000F2534"/>
    <w:rsid w:val="000F26BE"/>
    <w:rsid w:val="000F293C"/>
    <w:rsid w:val="000F3107"/>
    <w:rsid w:val="000F313A"/>
    <w:rsid w:val="000F3494"/>
    <w:rsid w:val="000F3568"/>
    <w:rsid w:val="000F3652"/>
    <w:rsid w:val="000F47EE"/>
    <w:rsid w:val="000F5369"/>
    <w:rsid w:val="000F550A"/>
    <w:rsid w:val="000F587A"/>
    <w:rsid w:val="000F5A06"/>
    <w:rsid w:val="000F5ADF"/>
    <w:rsid w:val="000F65A9"/>
    <w:rsid w:val="000F6EF2"/>
    <w:rsid w:val="000F71D0"/>
    <w:rsid w:val="000F796C"/>
    <w:rsid w:val="000F7B3A"/>
    <w:rsid w:val="000F7BE8"/>
    <w:rsid w:val="000F7E2C"/>
    <w:rsid w:val="0010002A"/>
    <w:rsid w:val="00100646"/>
    <w:rsid w:val="0010086D"/>
    <w:rsid w:val="00100944"/>
    <w:rsid w:val="00100979"/>
    <w:rsid w:val="00100B4A"/>
    <w:rsid w:val="00100C4C"/>
    <w:rsid w:val="0010157D"/>
    <w:rsid w:val="0010161D"/>
    <w:rsid w:val="001018A8"/>
    <w:rsid w:val="0010273F"/>
    <w:rsid w:val="00103015"/>
    <w:rsid w:val="0010303B"/>
    <w:rsid w:val="0010317D"/>
    <w:rsid w:val="00103251"/>
    <w:rsid w:val="00103C38"/>
    <w:rsid w:val="00103E24"/>
    <w:rsid w:val="00103FF5"/>
    <w:rsid w:val="001041C8"/>
    <w:rsid w:val="0010461A"/>
    <w:rsid w:val="0010464E"/>
    <w:rsid w:val="00104800"/>
    <w:rsid w:val="00104A1D"/>
    <w:rsid w:val="00104A61"/>
    <w:rsid w:val="00104BFE"/>
    <w:rsid w:val="00104DE3"/>
    <w:rsid w:val="001050BC"/>
    <w:rsid w:val="001054F7"/>
    <w:rsid w:val="001059D6"/>
    <w:rsid w:val="00105CF3"/>
    <w:rsid w:val="00105D53"/>
    <w:rsid w:val="00106289"/>
    <w:rsid w:val="0010629F"/>
    <w:rsid w:val="001063B4"/>
    <w:rsid w:val="001063E9"/>
    <w:rsid w:val="00106990"/>
    <w:rsid w:val="001069A7"/>
    <w:rsid w:val="00106F40"/>
    <w:rsid w:val="00107381"/>
    <w:rsid w:val="0010738B"/>
    <w:rsid w:val="00107B3A"/>
    <w:rsid w:val="00107C44"/>
    <w:rsid w:val="00107C94"/>
    <w:rsid w:val="00107D5F"/>
    <w:rsid w:val="00107FDF"/>
    <w:rsid w:val="00111312"/>
    <w:rsid w:val="00111667"/>
    <w:rsid w:val="00111951"/>
    <w:rsid w:val="00111F9C"/>
    <w:rsid w:val="00112E20"/>
    <w:rsid w:val="00112EE3"/>
    <w:rsid w:val="00112F1A"/>
    <w:rsid w:val="0011310F"/>
    <w:rsid w:val="0011322C"/>
    <w:rsid w:val="00113266"/>
    <w:rsid w:val="001136A7"/>
    <w:rsid w:val="001139A9"/>
    <w:rsid w:val="00113A9C"/>
    <w:rsid w:val="001141E8"/>
    <w:rsid w:val="001143A6"/>
    <w:rsid w:val="0011484B"/>
    <w:rsid w:val="0011525C"/>
    <w:rsid w:val="0011588F"/>
    <w:rsid w:val="00115D20"/>
    <w:rsid w:val="00115F88"/>
    <w:rsid w:val="0011620A"/>
    <w:rsid w:val="00116B54"/>
    <w:rsid w:val="00116FEE"/>
    <w:rsid w:val="0011733D"/>
    <w:rsid w:val="00117643"/>
    <w:rsid w:val="00117932"/>
    <w:rsid w:val="00117F86"/>
    <w:rsid w:val="00120466"/>
    <w:rsid w:val="001207B3"/>
    <w:rsid w:val="0012082B"/>
    <w:rsid w:val="001208AB"/>
    <w:rsid w:val="001208AC"/>
    <w:rsid w:val="00121DFD"/>
    <w:rsid w:val="00121ED2"/>
    <w:rsid w:val="001223F8"/>
    <w:rsid w:val="00122507"/>
    <w:rsid w:val="00122B74"/>
    <w:rsid w:val="00122C04"/>
    <w:rsid w:val="00123746"/>
    <w:rsid w:val="00123CD2"/>
    <w:rsid w:val="00124106"/>
    <w:rsid w:val="001242A5"/>
    <w:rsid w:val="00124803"/>
    <w:rsid w:val="00124E9E"/>
    <w:rsid w:val="0012501E"/>
    <w:rsid w:val="0012508B"/>
    <w:rsid w:val="001251DF"/>
    <w:rsid w:val="0012523C"/>
    <w:rsid w:val="00125325"/>
    <w:rsid w:val="00125673"/>
    <w:rsid w:val="0012597C"/>
    <w:rsid w:val="00125BD9"/>
    <w:rsid w:val="00125D00"/>
    <w:rsid w:val="00126695"/>
    <w:rsid w:val="0012701F"/>
    <w:rsid w:val="00127838"/>
    <w:rsid w:val="00127848"/>
    <w:rsid w:val="001279AE"/>
    <w:rsid w:val="00127F24"/>
    <w:rsid w:val="00127F9B"/>
    <w:rsid w:val="00130B32"/>
    <w:rsid w:val="0013127D"/>
    <w:rsid w:val="0013153A"/>
    <w:rsid w:val="001319F7"/>
    <w:rsid w:val="00131ABC"/>
    <w:rsid w:val="00131B14"/>
    <w:rsid w:val="00131D90"/>
    <w:rsid w:val="00131F1F"/>
    <w:rsid w:val="0013207A"/>
    <w:rsid w:val="001322BC"/>
    <w:rsid w:val="001323D6"/>
    <w:rsid w:val="00132402"/>
    <w:rsid w:val="001324C3"/>
    <w:rsid w:val="00132869"/>
    <w:rsid w:val="00133373"/>
    <w:rsid w:val="00133489"/>
    <w:rsid w:val="00133577"/>
    <w:rsid w:val="0013364E"/>
    <w:rsid w:val="00133671"/>
    <w:rsid w:val="001336F8"/>
    <w:rsid w:val="00133B1C"/>
    <w:rsid w:val="001344EA"/>
    <w:rsid w:val="00134B08"/>
    <w:rsid w:val="00134F4B"/>
    <w:rsid w:val="00135050"/>
    <w:rsid w:val="00135311"/>
    <w:rsid w:val="0013585D"/>
    <w:rsid w:val="0013595B"/>
    <w:rsid w:val="00135A44"/>
    <w:rsid w:val="00135C6A"/>
    <w:rsid w:val="00136399"/>
    <w:rsid w:val="00136983"/>
    <w:rsid w:val="001369B0"/>
    <w:rsid w:val="00136B82"/>
    <w:rsid w:val="00136E76"/>
    <w:rsid w:val="00136F0F"/>
    <w:rsid w:val="00137303"/>
    <w:rsid w:val="0013794F"/>
    <w:rsid w:val="001379FF"/>
    <w:rsid w:val="00137DD1"/>
    <w:rsid w:val="00140566"/>
    <w:rsid w:val="001405D3"/>
    <w:rsid w:val="00140945"/>
    <w:rsid w:val="00140A20"/>
    <w:rsid w:val="00140C75"/>
    <w:rsid w:val="0014146B"/>
    <w:rsid w:val="001417BD"/>
    <w:rsid w:val="00141B8C"/>
    <w:rsid w:val="00141D64"/>
    <w:rsid w:val="00141EFB"/>
    <w:rsid w:val="00142204"/>
    <w:rsid w:val="0014262F"/>
    <w:rsid w:val="00142642"/>
    <w:rsid w:val="001426D3"/>
    <w:rsid w:val="001434DB"/>
    <w:rsid w:val="00143903"/>
    <w:rsid w:val="00143BB2"/>
    <w:rsid w:val="00143CF2"/>
    <w:rsid w:val="001445AE"/>
    <w:rsid w:val="0014468E"/>
    <w:rsid w:val="00145898"/>
    <w:rsid w:val="00145BB5"/>
    <w:rsid w:val="001466EF"/>
    <w:rsid w:val="001468C6"/>
    <w:rsid w:val="00146C0F"/>
    <w:rsid w:val="00146C34"/>
    <w:rsid w:val="00146C47"/>
    <w:rsid w:val="00146D59"/>
    <w:rsid w:val="00146DF3"/>
    <w:rsid w:val="00146EC1"/>
    <w:rsid w:val="001475FE"/>
    <w:rsid w:val="0014783E"/>
    <w:rsid w:val="0014792F"/>
    <w:rsid w:val="0014793C"/>
    <w:rsid w:val="00147DA2"/>
    <w:rsid w:val="00147F74"/>
    <w:rsid w:val="00150690"/>
    <w:rsid w:val="0015150F"/>
    <w:rsid w:val="00151828"/>
    <w:rsid w:val="00151A69"/>
    <w:rsid w:val="00151B6A"/>
    <w:rsid w:val="0015247C"/>
    <w:rsid w:val="00152635"/>
    <w:rsid w:val="00152F93"/>
    <w:rsid w:val="00153755"/>
    <w:rsid w:val="00153A3C"/>
    <w:rsid w:val="00153E0E"/>
    <w:rsid w:val="00154044"/>
    <w:rsid w:val="0015415D"/>
    <w:rsid w:val="00154632"/>
    <w:rsid w:val="0015463B"/>
    <w:rsid w:val="0015463F"/>
    <w:rsid w:val="00154735"/>
    <w:rsid w:val="00154F67"/>
    <w:rsid w:val="00155008"/>
    <w:rsid w:val="001550B3"/>
    <w:rsid w:val="001551C9"/>
    <w:rsid w:val="001555C4"/>
    <w:rsid w:val="00155609"/>
    <w:rsid w:val="001563C1"/>
    <w:rsid w:val="00156553"/>
    <w:rsid w:val="0015683C"/>
    <w:rsid w:val="00156AB7"/>
    <w:rsid w:val="00156FFD"/>
    <w:rsid w:val="001575C2"/>
    <w:rsid w:val="00157B84"/>
    <w:rsid w:val="00157C7C"/>
    <w:rsid w:val="001602FA"/>
    <w:rsid w:val="00160364"/>
    <w:rsid w:val="001609A4"/>
    <w:rsid w:val="00160CF2"/>
    <w:rsid w:val="0016124A"/>
    <w:rsid w:val="001613EF"/>
    <w:rsid w:val="0016160E"/>
    <w:rsid w:val="00161642"/>
    <w:rsid w:val="00161C03"/>
    <w:rsid w:val="00163598"/>
    <w:rsid w:val="00163610"/>
    <w:rsid w:val="001636D7"/>
    <w:rsid w:val="001638E4"/>
    <w:rsid w:val="00163B21"/>
    <w:rsid w:val="00164050"/>
    <w:rsid w:val="00164248"/>
    <w:rsid w:val="0016489D"/>
    <w:rsid w:val="00164C86"/>
    <w:rsid w:val="00164C8C"/>
    <w:rsid w:val="00164D5C"/>
    <w:rsid w:val="00164FE3"/>
    <w:rsid w:val="00165890"/>
    <w:rsid w:val="001658B6"/>
    <w:rsid w:val="00165A49"/>
    <w:rsid w:val="00165C75"/>
    <w:rsid w:val="00165E91"/>
    <w:rsid w:val="00166140"/>
    <w:rsid w:val="001664B3"/>
    <w:rsid w:val="001667A9"/>
    <w:rsid w:val="00166C13"/>
    <w:rsid w:val="00166FDC"/>
    <w:rsid w:val="00167236"/>
    <w:rsid w:val="00167875"/>
    <w:rsid w:val="00167E09"/>
    <w:rsid w:val="00170619"/>
    <w:rsid w:val="0017089F"/>
    <w:rsid w:val="001709D4"/>
    <w:rsid w:val="00170CF8"/>
    <w:rsid w:val="00170F65"/>
    <w:rsid w:val="00171BF1"/>
    <w:rsid w:val="00171C58"/>
    <w:rsid w:val="001724B2"/>
    <w:rsid w:val="00172776"/>
    <w:rsid w:val="00172C26"/>
    <w:rsid w:val="00172E13"/>
    <w:rsid w:val="0017300B"/>
    <w:rsid w:val="00173577"/>
    <w:rsid w:val="0017369B"/>
    <w:rsid w:val="00173E55"/>
    <w:rsid w:val="00174058"/>
    <w:rsid w:val="00174136"/>
    <w:rsid w:val="0017416E"/>
    <w:rsid w:val="001742CD"/>
    <w:rsid w:val="0017439D"/>
    <w:rsid w:val="00174482"/>
    <w:rsid w:val="00174627"/>
    <w:rsid w:val="00174BA9"/>
    <w:rsid w:val="00174DAE"/>
    <w:rsid w:val="0017500F"/>
    <w:rsid w:val="00175707"/>
    <w:rsid w:val="00175823"/>
    <w:rsid w:val="00175853"/>
    <w:rsid w:val="00175872"/>
    <w:rsid w:val="001759A7"/>
    <w:rsid w:val="00175D21"/>
    <w:rsid w:val="00176658"/>
    <w:rsid w:val="00176AA5"/>
    <w:rsid w:val="00176BB1"/>
    <w:rsid w:val="00176BB9"/>
    <w:rsid w:val="00176D97"/>
    <w:rsid w:val="001770A7"/>
    <w:rsid w:val="001770E4"/>
    <w:rsid w:val="0017720E"/>
    <w:rsid w:val="001772CC"/>
    <w:rsid w:val="00177488"/>
    <w:rsid w:val="00177633"/>
    <w:rsid w:val="00177893"/>
    <w:rsid w:val="001779B1"/>
    <w:rsid w:val="00177AE9"/>
    <w:rsid w:val="00177DB2"/>
    <w:rsid w:val="00177F25"/>
    <w:rsid w:val="00180217"/>
    <w:rsid w:val="0018024E"/>
    <w:rsid w:val="00180554"/>
    <w:rsid w:val="001809C6"/>
    <w:rsid w:val="00180AD3"/>
    <w:rsid w:val="00180FB9"/>
    <w:rsid w:val="001811A7"/>
    <w:rsid w:val="0018141A"/>
    <w:rsid w:val="00182344"/>
    <w:rsid w:val="00182586"/>
    <w:rsid w:val="00183124"/>
    <w:rsid w:val="0018373E"/>
    <w:rsid w:val="001839C0"/>
    <w:rsid w:val="00183A87"/>
    <w:rsid w:val="00183B79"/>
    <w:rsid w:val="00183BE1"/>
    <w:rsid w:val="001841AF"/>
    <w:rsid w:val="00184221"/>
    <w:rsid w:val="0018443E"/>
    <w:rsid w:val="001856C7"/>
    <w:rsid w:val="00185C35"/>
    <w:rsid w:val="00185C70"/>
    <w:rsid w:val="00186115"/>
    <w:rsid w:val="00186230"/>
    <w:rsid w:val="00186307"/>
    <w:rsid w:val="001863F7"/>
    <w:rsid w:val="001868C3"/>
    <w:rsid w:val="001869EF"/>
    <w:rsid w:val="00186CCF"/>
    <w:rsid w:val="00186EBC"/>
    <w:rsid w:val="001870F8"/>
    <w:rsid w:val="001909D8"/>
    <w:rsid w:val="00190D85"/>
    <w:rsid w:val="00191102"/>
    <w:rsid w:val="001914EE"/>
    <w:rsid w:val="00191536"/>
    <w:rsid w:val="001916C0"/>
    <w:rsid w:val="00191B1A"/>
    <w:rsid w:val="00191C49"/>
    <w:rsid w:val="00191F40"/>
    <w:rsid w:val="00192270"/>
    <w:rsid w:val="00192594"/>
    <w:rsid w:val="001928BF"/>
    <w:rsid w:val="00192A5D"/>
    <w:rsid w:val="00192AD5"/>
    <w:rsid w:val="00192EE3"/>
    <w:rsid w:val="00193203"/>
    <w:rsid w:val="0019327E"/>
    <w:rsid w:val="00193844"/>
    <w:rsid w:val="00193994"/>
    <w:rsid w:val="00193C5D"/>
    <w:rsid w:val="00194297"/>
    <w:rsid w:val="00194406"/>
    <w:rsid w:val="001945E0"/>
    <w:rsid w:val="00194637"/>
    <w:rsid w:val="001948A6"/>
    <w:rsid w:val="00194A55"/>
    <w:rsid w:val="00194B11"/>
    <w:rsid w:val="001952BB"/>
    <w:rsid w:val="00195C56"/>
    <w:rsid w:val="00195DA4"/>
    <w:rsid w:val="00195E86"/>
    <w:rsid w:val="001962B8"/>
    <w:rsid w:val="001963C7"/>
    <w:rsid w:val="001964ED"/>
    <w:rsid w:val="00196655"/>
    <w:rsid w:val="00196871"/>
    <w:rsid w:val="00196A7E"/>
    <w:rsid w:val="00196D3F"/>
    <w:rsid w:val="0019705B"/>
    <w:rsid w:val="001972E0"/>
    <w:rsid w:val="00197464"/>
    <w:rsid w:val="001976EE"/>
    <w:rsid w:val="00197D31"/>
    <w:rsid w:val="00197E01"/>
    <w:rsid w:val="001A0142"/>
    <w:rsid w:val="001A091D"/>
    <w:rsid w:val="001A10DC"/>
    <w:rsid w:val="001A1807"/>
    <w:rsid w:val="001A1B94"/>
    <w:rsid w:val="001A20DC"/>
    <w:rsid w:val="001A2536"/>
    <w:rsid w:val="001A254D"/>
    <w:rsid w:val="001A25C8"/>
    <w:rsid w:val="001A2AEE"/>
    <w:rsid w:val="001A2B50"/>
    <w:rsid w:val="001A34B8"/>
    <w:rsid w:val="001A38A6"/>
    <w:rsid w:val="001A3DC9"/>
    <w:rsid w:val="001A478A"/>
    <w:rsid w:val="001A4BA0"/>
    <w:rsid w:val="001A4DA5"/>
    <w:rsid w:val="001A4FD7"/>
    <w:rsid w:val="001A56FA"/>
    <w:rsid w:val="001A6067"/>
    <w:rsid w:val="001A651E"/>
    <w:rsid w:val="001A6571"/>
    <w:rsid w:val="001A6A49"/>
    <w:rsid w:val="001A6D54"/>
    <w:rsid w:val="001A6F61"/>
    <w:rsid w:val="001A6F74"/>
    <w:rsid w:val="001A74F1"/>
    <w:rsid w:val="001A798B"/>
    <w:rsid w:val="001A7FFC"/>
    <w:rsid w:val="001B00CE"/>
    <w:rsid w:val="001B0106"/>
    <w:rsid w:val="001B067F"/>
    <w:rsid w:val="001B08AF"/>
    <w:rsid w:val="001B0907"/>
    <w:rsid w:val="001B12A9"/>
    <w:rsid w:val="001B1600"/>
    <w:rsid w:val="001B1D29"/>
    <w:rsid w:val="001B2373"/>
    <w:rsid w:val="001B2429"/>
    <w:rsid w:val="001B2645"/>
    <w:rsid w:val="001B26E9"/>
    <w:rsid w:val="001B2791"/>
    <w:rsid w:val="001B288B"/>
    <w:rsid w:val="001B2A2F"/>
    <w:rsid w:val="001B2B12"/>
    <w:rsid w:val="001B2EAA"/>
    <w:rsid w:val="001B3016"/>
    <w:rsid w:val="001B3EC8"/>
    <w:rsid w:val="001B42E7"/>
    <w:rsid w:val="001B4304"/>
    <w:rsid w:val="001B4C83"/>
    <w:rsid w:val="001B4E96"/>
    <w:rsid w:val="001B54EB"/>
    <w:rsid w:val="001B5B6B"/>
    <w:rsid w:val="001B5D05"/>
    <w:rsid w:val="001B62AC"/>
    <w:rsid w:val="001B6389"/>
    <w:rsid w:val="001B6682"/>
    <w:rsid w:val="001B77EC"/>
    <w:rsid w:val="001B7AC6"/>
    <w:rsid w:val="001C01DE"/>
    <w:rsid w:val="001C04CC"/>
    <w:rsid w:val="001C051E"/>
    <w:rsid w:val="001C06A9"/>
    <w:rsid w:val="001C06AA"/>
    <w:rsid w:val="001C0988"/>
    <w:rsid w:val="001C12CD"/>
    <w:rsid w:val="001C1683"/>
    <w:rsid w:val="001C243E"/>
    <w:rsid w:val="001C24C5"/>
    <w:rsid w:val="001C2D84"/>
    <w:rsid w:val="001C355E"/>
    <w:rsid w:val="001C36AB"/>
    <w:rsid w:val="001C39C4"/>
    <w:rsid w:val="001C3AD4"/>
    <w:rsid w:val="001C3F56"/>
    <w:rsid w:val="001C40A1"/>
    <w:rsid w:val="001C41CB"/>
    <w:rsid w:val="001C6841"/>
    <w:rsid w:val="001C69D7"/>
    <w:rsid w:val="001C6B22"/>
    <w:rsid w:val="001C6B64"/>
    <w:rsid w:val="001C6BE8"/>
    <w:rsid w:val="001C6C4C"/>
    <w:rsid w:val="001C6F38"/>
    <w:rsid w:val="001C7101"/>
    <w:rsid w:val="001C716F"/>
    <w:rsid w:val="001C7497"/>
    <w:rsid w:val="001C796E"/>
    <w:rsid w:val="001C7A13"/>
    <w:rsid w:val="001C7B6A"/>
    <w:rsid w:val="001C7D17"/>
    <w:rsid w:val="001C7D1B"/>
    <w:rsid w:val="001D0015"/>
    <w:rsid w:val="001D0167"/>
    <w:rsid w:val="001D024E"/>
    <w:rsid w:val="001D0E6B"/>
    <w:rsid w:val="001D1303"/>
    <w:rsid w:val="001D16B1"/>
    <w:rsid w:val="001D17DF"/>
    <w:rsid w:val="001D1FD4"/>
    <w:rsid w:val="001D29DE"/>
    <w:rsid w:val="001D2AB4"/>
    <w:rsid w:val="001D2C41"/>
    <w:rsid w:val="001D3854"/>
    <w:rsid w:val="001D390B"/>
    <w:rsid w:val="001D4193"/>
    <w:rsid w:val="001D4496"/>
    <w:rsid w:val="001D476D"/>
    <w:rsid w:val="001D5185"/>
    <w:rsid w:val="001D5205"/>
    <w:rsid w:val="001D5740"/>
    <w:rsid w:val="001D57E6"/>
    <w:rsid w:val="001D5D47"/>
    <w:rsid w:val="001D5DE3"/>
    <w:rsid w:val="001D5E68"/>
    <w:rsid w:val="001D632A"/>
    <w:rsid w:val="001D6F1D"/>
    <w:rsid w:val="001D6FAC"/>
    <w:rsid w:val="001D720E"/>
    <w:rsid w:val="001D7AD3"/>
    <w:rsid w:val="001D7B90"/>
    <w:rsid w:val="001D7CF1"/>
    <w:rsid w:val="001E01E9"/>
    <w:rsid w:val="001E04E2"/>
    <w:rsid w:val="001E0994"/>
    <w:rsid w:val="001E0B0D"/>
    <w:rsid w:val="001E1138"/>
    <w:rsid w:val="001E1576"/>
    <w:rsid w:val="001E1791"/>
    <w:rsid w:val="001E1827"/>
    <w:rsid w:val="001E1B9A"/>
    <w:rsid w:val="001E1D9A"/>
    <w:rsid w:val="001E1DBC"/>
    <w:rsid w:val="001E25EC"/>
    <w:rsid w:val="001E27EB"/>
    <w:rsid w:val="001E2CFA"/>
    <w:rsid w:val="001E30FD"/>
    <w:rsid w:val="001E3C0C"/>
    <w:rsid w:val="001E3D31"/>
    <w:rsid w:val="001E3DAF"/>
    <w:rsid w:val="001E3FBC"/>
    <w:rsid w:val="001E4452"/>
    <w:rsid w:val="001E4621"/>
    <w:rsid w:val="001E4A74"/>
    <w:rsid w:val="001E4E98"/>
    <w:rsid w:val="001E509E"/>
    <w:rsid w:val="001E50B3"/>
    <w:rsid w:val="001E5896"/>
    <w:rsid w:val="001E5918"/>
    <w:rsid w:val="001E5AC8"/>
    <w:rsid w:val="001E7125"/>
    <w:rsid w:val="001E72DF"/>
    <w:rsid w:val="001E7A60"/>
    <w:rsid w:val="001F069C"/>
    <w:rsid w:val="001F073C"/>
    <w:rsid w:val="001F0D0A"/>
    <w:rsid w:val="001F14AA"/>
    <w:rsid w:val="001F26A1"/>
    <w:rsid w:val="001F2912"/>
    <w:rsid w:val="001F2922"/>
    <w:rsid w:val="001F2C3D"/>
    <w:rsid w:val="001F2C60"/>
    <w:rsid w:val="001F2D1B"/>
    <w:rsid w:val="001F2F47"/>
    <w:rsid w:val="001F3569"/>
    <w:rsid w:val="001F3BD2"/>
    <w:rsid w:val="001F44AF"/>
    <w:rsid w:val="001F44F8"/>
    <w:rsid w:val="001F4748"/>
    <w:rsid w:val="001F5016"/>
    <w:rsid w:val="001F5903"/>
    <w:rsid w:val="001F5962"/>
    <w:rsid w:val="001F60D9"/>
    <w:rsid w:val="001F6306"/>
    <w:rsid w:val="001F6896"/>
    <w:rsid w:val="001F68D2"/>
    <w:rsid w:val="001F6B9D"/>
    <w:rsid w:val="001F6E22"/>
    <w:rsid w:val="001F7264"/>
    <w:rsid w:val="001F7620"/>
    <w:rsid w:val="001F7689"/>
    <w:rsid w:val="001F7873"/>
    <w:rsid w:val="001F78BF"/>
    <w:rsid w:val="00200018"/>
    <w:rsid w:val="00200296"/>
    <w:rsid w:val="00200565"/>
    <w:rsid w:val="002008E3"/>
    <w:rsid w:val="002009CC"/>
    <w:rsid w:val="00200B93"/>
    <w:rsid w:val="00200D21"/>
    <w:rsid w:val="002017CD"/>
    <w:rsid w:val="00201A14"/>
    <w:rsid w:val="00201ADB"/>
    <w:rsid w:val="00202039"/>
    <w:rsid w:val="00202154"/>
    <w:rsid w:val="0020256D"/>
    <w:rsid w:val="00203D6F"/>
    <w:rsid w:val="00203D8B"/>
    <w:rsid w:val="00204B6C"/>
    <w:rsid w:val="00204B99"/>
    <w:rsid w:val="00204D5B"/>
    <w:rsid w:val="0020572C"/>
    <w:rsid w:val="002058E5"/>
    <w:rsid w:val="00205941"/>
    <w:rsid w:val="00206388"/>
    <w:rsid w:val="0020651B"/>
    <w:rsid w:val="00206783"/>
    <w:rsid w:val="002069EC"/>
    <w:rsid w:val="00206BBB"/>
    <w:rsid w:val="00207EF1"/>
    <w:rsid w:val="00210044"/>
    <w:rsid w:val="0021087D"/>
    <w:rsid w:val="0021096C"/>
    <w:rsid w:val="00210FAA"/>
    <w:rsid w:val="00211340"/>
    <w:rsid w:val="0021140A"/>
    <w:rsid w:val="00211C43"/>
    <w:rsid w:val="00211F51"/>
    <w:rsid w:val="00212C56"/>
    <w:rsid w:val="002130C4"/>
    <w:rsid w:val="002130E0"/>
    <w:rsid w:val="00213448"/>
    <w:rsid w:val="002135C8"/>
    <w:rsid w:val="00213B33"/>
    <w:rsid w:val="00213B65"/>
    <w:rsid w:val="00213D77"/>
    <w:rsid w:val="00213D83"/>
    <w:rsid w:val="002141F9"/>
    <w:rsid w:val="0021440A"/>
    <w:rsid w:val="00214438"/>
    <w:rsid w:val="00214890"/>
    <w:rsid w:val="00214C05"/>
    <w:rsid w:val="00214CFF"/>
    <w:rsid w:val="00215787"/>
    <w:rsid w:val="00215BC3"/>
    <w:rsid w:val="00215CE5"/>
    <w:rsid w:val="00215EFA"/>
    <w:rsid w:val="00216816"/>
    <w:rsid w:val="00216911"/>
    <w:rsid w:val="00216CCF"/>
    <w:rsid w:val="00216E97"/>
    <w:rsid w:val="00216F7F"/>
    <w:rsid w:val="0021711B"/>
    <w:rsid w:val="00217D81"/>
    <w:rsid w:val="00217DDF"/>
    <w:rsid w:val="002200D1"/>
    <w:rsid w:val="0022014D"/>
    <w:rsid w:val="002205EB"/>
    <w:rsid w:val="00220AEA"/>
    <w:rsid w:val="00220B26"/>
    <w:rsid w:val="00220E59"/>
    <w:rsid w:val="00220ED3"/>
    <w:rsid w:val="00220FE5"/>
    <w:rsid w:val="00221123"/>
    <w:rsid w:val="0022112C"/>
    <w:rsid w:val="00221892"/>
    <w:rsid w:val="00221EC8"/>
    <w:rsid w:val="0022200E"/>
    <w:rsid w:val="002221C7"/>
    <w:rsid w:val="0022222A"/>
    <w:rsid w:val="002222A6"/>
    <w:rsid w:val="0022254D"/>
    <w:rsid w:val="0022273A"/>
    <w:rsid w:val="00222910"/>
    <w:rsid w:val="00222C06"/>
    <w:rsid w:val="002234A6"/>
    <w:rsid w:val="002244EB"/>
    <w:rsid w:val="002248FF"/>
    <w:rsid w:val="00224AC1"/>
    <w:rsid w:val="00224CA4"/>
    <w:rsid w:val="00224D02"/>
    <w:rsid w:val="002250C2"/>
    <w:rsid w:val="0022515E"/>
    <w:rsid w:val="00225FCB"/>
    <w:rsid w:val="00226262"/>
    <w:rsid w:val="00226658"/>
    <w:rsid w:val="0022698A"/>
    <w:rsid w:val="00227485"/>
    <w:rsid w:val="00227492"/>
    <w:rsid w:val="002275B5"/>
    <w:rsid w:val="00227D10"/>
    <w:rsid w:val="00230533"/>
    <w:rsid w:val="00230A5E"/>
    <w:rsid w:val="00231013"/>
    <w:rsid w:val="0023188E"/>
    <w:rsid w:val="002319CE"/>
    <w:rsid w:val="00231D68"/>
    <w:rsid w:val="00232603"/>
    <w:rsid w:val="00232981"/>
    <w:rsid w:val="00233296"/>
    <w:rsid w:val="002333A2"/>
    <w:rsid w:val="002333F3"/>
    <w:rsid w:val="00233714"/>
    <w:rsid w:val="00233A0A"/>
    <w:rsid w:val="00233B8E"/>
    <w:rsid w:val="00233C71"/>
    <w:rsid w:val="00233C8C"/>
    <w:rsid w:val="00234259"/>
    <w:rsid w:val="002344AD"/>
    <w:rsid w:val="00234DD5"/>
    <w:rsid w:val="00235428"/>
    <w:rsid w:val="002354EF"/>
    <w:rsid w:val="00235ED4"/>
    <w:rsid w:val="00236156"/>
    <w:rsid w:val="00236301"/>
    <w:rsid w:val="0023667C"/>
    <w:rsid w:val="00236BF7"/>
    <w:rsid w:val="00236DB6"/>
    <w:rsid w:val="00236EFC"/>
    <w:rsid w:val="00236F2D"/>
    <w:rsid w:val="002371D8"/>
    <w:rsid w:val="002372CF"/>
    <w:rsid w:val="0023795F"/>
    <w:rsid w:val="00240490"/>
    <w:rsid w:val="0024058D"/>
    <w:rsid w:val="00240867"/>
    <w:rsid w:val="00240F60"/>
    <w:rsid w:val="002416FA"/>
    <w:rsid w:val="00241A7E"/>
    <w:rsid w:val="00241FD9"/>
    <w:rsid w:val="0024220D"/>
    <w:rsid w:val="002425EA"/>
    <w:rsid w:val="00242EA0"/>
    <w:rsid w:val="002431E1"/>
    <w:rsid w:val="002433C6"/>
    <w:rsid w:val="00243491"/>
    <w:rsid w:val="00243685"/>
    <w:rsid w:val="002439B1"/>
    <w:rsid w:val="002439FA"/>
    <w:rsid w:val="00243A97"/>
    <w:rsid w:val="00243DA8"/>
    <w:rsid w:val="00243E2D"/>
    <w:rsid w:val="00243F24"/>
    <w:rsid w:val="00243F91"/>
    <w:rsid w:val="0024459C"/>
    <w:rsid w:val="002450D2"/>
    <w:rsid w:val="002452A0"/>
    <w:rsid w:val="002453EF"/>
    <w:rsid w:val="0024552F"/>
    <w:rsid w:val="002456A1"/>
    <w:rsid w:val="00245AD1"/>
    <w:rsid w:val="00245AD9"/>
    <w:rsid w:val="00245B4F"/>
    <w:rsid w:val="00245C34"/>
    <w:rsid w:val="00245D43"/>
    <w:rsid w:val="0024629A"/>
    <w:rsid w:val="00246350"/>
    <w:rsid w:val="00246543"/>
    <w:rsid w:val="002466E9"/>
    <w:rsid w:val="00246BDF"/>
    <w:rsid w:val="002470BB"/>
    <w:rsid w:val="0024711F"/>
    <w:rsid w:val="0024791D"/>
    <w:rsid w:val="002479A6"/>
    <w:rsid w:val="00247B97"/>
    <w:rsid w:val="00247BF9"/>
    <w:rsid w:val="00247CE5"/>
    <w:rsid w:val="00250A2D"/>
    <w:rsid w:val="00250AEE"/>
    <w:rsid w:val="00250D9A"/>
    <w:rsid w:val="00250E9E"/>
    <w:rsid w:val="00251160"/>
    <w:rsid w:val="0025118C"/>
    <w:rsid w:val="0025135B"/>
    <w:rsid w:val="002514AF"/>
    <w:rsid w:val="002517D7"/>
    <w:rsid w:val="0025197F"/>
    <w:rsid w:val="00252139"/>
    <w:rsid w:val="0025237B"/>
    <w:rsid w:val="0025278E"/>
    <w:rsid w:val="00252A12"/>
    <w:rsid w:val="00252D61"/>
    <w:rsid w:val="0025302B"/>
    <w:rsid w:val="002530A5"/>
    <w:rsid w:val="002530E7"/>
    <w:rsid w:val="002532B4"/>
    <w:rsid w:val="00253342"/>
    <w:rsid w:val="00253976"/>
    <w:rsid w:val="002539D7"/>
    <w:rsid w:val="00253AC1"/>
    <w:rsid w:val="00253CB4"/>
    <w:rsid w:val="00253D4D"/>
    <w:rsid w:val="002543DC"/>
    <w:rsid w:val="0025444A"/>
    <w:rsid w:val="00254637"/>
    <w:rsid w:val="0025467B"/>
    <w:rsid w:val="0025487C"/>
    <w:rsid w:val="002549B4"/>
    <w:rsid w:val="00254A68"/>
    <w:rsid w:val="00254AE2"/>
    <w:rsid w:val="00254B97"/>
    <w:rsid w:val="00254EEB"/>
    <w:rsid w:val="002550A5"/>
    <w:rsid w:val="00255841"/>
    <w:rsid w:val="00255C51"/>
    <w:rsid w:val="00255C94"/>
    <w:rsid w:val="0025613F"/>
    <w:rsid w:val="00256AB7"/>
    <w:rsid w:val="00257048"/>
    <w:rsid w:val="00257A38"/>
    <w:rsid w:val="00257B0E"/>
    <w:rsid w:val="00257B33"/>
    <w:rsid w:val="00257C43"/>
    <w:rsid w:val="00257DEB"/>
    <w:rsid w:val="00257F91"/>
    <w:rsid w:val="00257FB3"/>
    <w:rsid w:val="002609A2"/>
    <w:rsid w:val="00260A25"/>
    <w:rsid w:val="00260B07"/>
    <w:rsid w:val="00261018"/>
    <w:rsid w:val="002613AE"/>
    <w:rsid w:val="00261912"/>
    <w:rsid w:val="00261ADC"/>
    <w:rsid w:val="00261DC6"/>
    <w:rsid w:val="00261FEC"/>
    <w:rsid w:val="0026203F"/>
    <w:rsid w:val="00262997"/>
    <w:rsid w:val="00262C13"/>
    <w:rsid w:val="002632DF"/>
    <w:rsid w:val="00263724"/>
    <w:rsid w:val="00263A45"/>
    <w:rsid w:val="002644DA"/>
    <w:rsid w:val="00264623"/>
    <w:rsid w:val="0026465F"/>
    <w:rsid w:val="0026468B"/>
    <w:rsid w:val="00264773"/>
    <w:rsid w:val="0026485A"/>
    <w:rsid w:val="002649C5"/>
    <w:rsid w:val="00264E52"/>
    <w:rsid w:val="0026506A"/>
    <w:rsid w:val="0026525D"/>
    <w:rsid w:val="00265377"/>
    <w:rsid w:val="002653CF"/>
    <w:rsid w:val="0026550B"/>
    <w:rsid w:val="00265674"/>
    <w:rsid w:val="002658C4"/>
    <w:rsid w:val="00265A40"/>
    <w:rsid w:val="00265A5F"/>
    <w:rsid w:val="00266883"/>
    <w:rsid w:val="0026689D"/>
    <w:rsid w:val="0026727C"/>
    <w:rsid w:val="00267388"/>
    <w:rsid w:val="002677CA"/>
    <w:rsid w:val="0027028A"/>
    <w:rsid w:val="002703E7"/>
    <w:rsid w:val="0027091C"/>
    <w:rsid w:val="00270BBC"/>
    <w:rsid w:val="00270E20"/>
    <w:rsid w:val="0027143D"/>
    <w:rsid w:val="002715FF"/>
    <w:rsid w:val="0027170F"/>
    <w:rsid w:val="00271DE3"/>
    <w:rsid w:val="00271E54"/>
    <w:rsid w:val="00271F13"/>
    <w:rsid w:val="0027276D"/>
    <w:rsid w:val="00272DEA"/>
    <w:rsid w:val="002730E7"/>
    <w:rsid w:val="00273247"/>
    <w:rsid w:val="00273297"/>
    <w:rsid w:val="0027331C"/>
    <w:rsid w:val="002738ED"/>
    <w:rsid w:val="00273C3B"/>
    <w:rsid w:val="00273C66"/>
    <w:rsid w:val="00273C6D"/>
    <w:rsid w:val="00274463"/>
    <w:rsid w:val="002745B8"/>
    <w:rsid w:val="00274F2E"/>
    <w:rsid w:val="00275094"/>
    <w:rsid w:val="0027557E"/>
    <w:rsid w:val="002756C3"/>
    <w:rsid w:val="0027575E"/>
    <w:rsid w:val="002758D4"/>
    <w:rsid w:val="00275EC0"/>
    <w:rsid w:val="00276B38"/>
    <w:rsid w:val="00276C8A"/>
    <w:rsid w:val="00276C8F"/>
    <w:rsid w:val="002770B3"/>
    <w:rsid w:val="00277969"/>
    <w:rsid w:val="002779EE"/>
    <w:rsid w:val="00277D40"/>
    <w:rsid w:val="00277E77"/>
    <w:rsid w:val="00280144"/>
    <w:rsid w:val="002801C0"/>
    <w:rsid w:val="002801F4"/>
    <w:rsid w:val="00280898"/>
    <w:rsid w:val="002808E3"/>
    <w:rsid w:val="002809AB"/>
    <w:rsid w:val="002809BF"/>
    <w:rsid w:val="00280B5B"/>
    <w:rsid w:val="00280D8D"/>
    <w:rsid w:val="00281619"/>
    <w:rsid w:val="00281708"/>
    <w:rsid w:val="00281CE9"/>
    <w:rsid w:val="00281DCF"/>
    <w:rsid w:val="0028205C"/>
    <w:rsid w:val="0028249F"/>
    <w:rsid w:val="00282E45"/>
    <w:rsid w:val="0028325F"/>
    <w:rsid w:val="002836DF"/>
    <w:rsid w:val="00283E6B"/>
    <w:rsid w:val="002845BA"/>
    <w:rsid w:val="002849E9"/>
    <w:rsid w:val="00284E89"/>
    <w:rsid w:val="002850F8"/>
    <w:rsid w:val="002854CC"/>
    <w:rsid w:val="00285ACB"/>
    <w:rsid w:val="002861AB"/>
    <w:rsid w:val="00286547"/>
    <w:rsid w:val="002869C5"/>
    <w:rsid w:val="00286AB9"/>
    <w:rsid w:val="0028726B"/>
    <w:rsid w:val="002872F3"/>
    <w:rsid w:val="00287596"/>
    <w:rsid w:val="0028777E"/>
    <w:rsid w:val="00287E1E"/>
    <w:rsid w:val="00290627"/>
    <w:rsid w:val="00290654"/>
    <w:rsid w:val="0029132B"/>
    <w:rsid w:val="002913E0"/>
    <w:rsid w:val="00291928"/>
    <w:rsid w:val="0029215B"/>
    <w:rsid w:val="002923DF"/>
    <w:rsid w:val="00292661"/>
    <w:rsid w:val="0029289C"/>
    <w:rsid w:val="002928F4"/>
    <w:rsid w:val="0029301C"/>
    <w:rsid w:val="002931B6"/>
    <w:rsid w:val="00293775"/>
    <w:rsid w:val="00293A1D"/>
    <w:rsid w:val="00293DFC"/>
    <w:rsid w:val="002940BD"/>
    <w:rsid w:val="002943BB"/>
    <w:rsid w:val="002947AE"/>
    <w:rsid w:val="002948F9"/>
    <w:rsid w:val="00295176"/>
    <w:rsid w:val="002951CD"/>
    <w:rsid w:val="0029558E"/>
    <w:rsid w:val="00295AE3"/>
    <w:rsid w:val="002969BE"/>
    <w:rsid w:val="00296B7A"/>
    <w:rsid w:val="00297AF4"/>
    <w:rsid w:val="00297D22"/>
    <w:rsid w:val="002A002D"/>
    <w:rsid w:val="002A0366"/>
    <w:rsid w:val="002A03BF"/>
    <w:rsid w:val="002A059F"/>
    <w:rsid w:val="002A0B40"/>
    <w:rsid w:val="002A10D5"/>
    <w:rsid w:val="002A131B"/>
    <w:rsid w:val="002A146C"/>
    <w:rsid w:val="002A17CA"/>
    <w:rsid w:val="002A1807"/>
    <w:rsid w:val="002A1975"/>
    <w:rsid w:val="002A19AF"/>
    <w:rsid w:val="002A1C12"/>
    <w:rsid w:val="002A1D47"/>
    <w:rsid w:val="002A25FC"/>
    <w:rsid w:val="002A2C50"/>
    <w:rsid w:val="002A2F01"/>
    <w:rsid w:val="002A391F"/>
    <w:rsid w:val="002A3BF1"/>
    <w:rsid w:val="002A3DA4"/>
    <w:rsid w:val="002A4408"/>
    <w:rsid w:val="002A4503"/>
    <w:rsid w:val="002A466C"/>
    <w:rsid w:val="002A4882"/>
    <w:rsid w:val="002A492B"/>
    <w:rsid w:val="002A56AA"/>
    <w:rsid w:val="002A56BE"/>
    <w:rsid w:val="002A5745"/>
    <w:rsid w:val="002A58C5"/>
    <w:rsid w:val="002A596A"/>
    <w:rsid w:val="002A5A12"/>
    <w:rsid w:val="002A5ABF"/>
    <w:rsid w:val="002A6017"/>
    <w:rsid w:val="002A64B2"/>
    <w:rsid w:val="002A67CD"/>
    <w:rsid w:val="002A68E5"/>
    <w:rsid w:val="002A7179"/>
    <w:rsid w:val="002A752D"/>
    <w:rsid w:val="002A78B9"/>
    <w:rsid w:val="002A7B80"/>
    <w:rsid w:val="002B05B8"/>
    <w:rsid w:val="002B0A43"/>
    <w:rsid w:val="002B0BD3"/>
    <w:rsid w:val="002B0F79"/>
    <w:rsid w:val="002B0FDF"/>
    <w:rsid w:val="002B13B0"/>
    <w:rsid w:val="002B1675"/>
    <w:rsid w:val="002B16A2"/>
    <w:rsid w:val="002B1E92"/>
    <w:rsid w:val="002B1FE1"/>
    <w:rsid w:val="002B23DE"/>
    <w:rsid w:val="002B2487"/>
    <w:rsid w:val="002B24C5"/>
    <w:rsid w:val="002B2B40"/>
    <w:rsid w:val="002B2D81"/>
    <w:rsid w:val="002B2EE9"/>
    <w:rsid w:val="002B3328"/>
    <w:rsid w:val="002B3443"/>
    <w:rsid w:val="002B3741"/>
    <w:rsid w:val="002B3887"/>
    <w:rsid w:val="002B47DA"/>
    <w:rsid w:val="002B4941"/>
    <w:rsid w:val="002B535F"/>
    <w:rsid w:val="002B56BB"/>
    <w:rsid w:val="002B5980"/>
    <w:rsid w:val="002B5B33"/>
    <w:rsid w:val="002B5D74"/>
    <w:rsid w:val="002B5FF6"/>
    <w:rsid w:val="002B625B"/>
    <w:rsid w:val="002B671E"/>
    <w:rsid w:val="002B67CA"/>
    <w:rsid w:val="002B6817"/>
    <w:rsid w:val="002B68A1"/>
    <w:rsid w:val="002B6941"/>
    <w:rsid w:val="002B7124"/>
    <w:rsid w:val="002B736A"/>
    <w:rsid w:val="002B7ADB"/>
    <w:rsid w:val="002B7C37"/>
    <w:rsid w:val="002C00ED"/>
    <w:rsid w:val="002C00F5"/>
    <w:rsid w:val="002C0269"/>
    <w:rsid w:val="002C07CE"/>
    <w:rsid w:val="002C0B85"/>
    <w:rsid w:val="002C1100"/>
    <w:rsid w:val="002C1543"/>
    <w:rsid w:val="002C157C"/>
    <w:rsid w:val="002C17C7"/>
    <w:rsid w:val="002C1BD8"/>
    <w:rsid w:val="002C1D2F"/>
    <w:rsid w:val="002C2161"/>
    <w:rsid w:val="002C29A6"/>
    <w:rsid w:val="002C2A12"/>
    <w:rsid w:val="002C2B58"/>
    <w:rsid w:val="002C304D"/>
    <w:rsid w:val="002C349E"/>
    <w:rsid w:val="002C34CC"/>
    <w:rsid w:val="002C3D05"/>
    <w:rsid w:val="002C3F34"/>
    <w:rsid w:val="002C4990"/>
    <w:rsid w:val="002C4C89"/>
    <w:rsid w:val="002C518D"/>
    <w:rsid w:val="002C59F8"/>
    <w:rsid w:val="002C5D22"/>
    <w:rsid w:val="002C5DB1"/>
    <w:rsid w:val="002C61E2"/>
    <w:rsid w:val="002C6BC3"/>
    <w:rsid w:val="002C719E"/>
    <w:rsid w:val="002C72F1"/>
    <w:rsid w:val="002C7818"/>
    <w:rsid w:val="002C79CE"/>
    <w:rsid w:val="002C7C13"/>
    <w:rsid w:val="002D01DA"/>
    <w:rsid w:val="002D0260"/>
    <w:rsid w:val="002D0444"/>
    <w:rsid w:val="002D0A5A"/>
    <w:rsid w:val="002D0D97"/>
    <w:rsid w:val="002D0EF2"/>
    <w:rsid w:val="002D1242"/>
    <w:rsid w:val="002D1268"/>
    <w:rsid w:val="002D23E6"/>
    <w:rsid w:val="002D245F"/>
    <w:rsid w:val="002D24AC"/>
    <w:rsid w:val="002D2BA1"/>
    <w:rsid w:val="002D2D33"/>
    <w:rsid w:val="002D2FCA"/>
    <w:rsid w:val="002D2FE8"/>
    <w:rsid w:val="002D307E"/>
    <w:rsid w:val="002D33DC"/>
    <w:rsid w:val="002D33E7"/>
    <w:rsid w:val="002D3613"/>
    <w:rsid w:val="002D37CF"/>
    <w:rsid w:val="002D398E"/>
    <w:rsid w:val="002D3EE3"/>
    <w:rsid w:val="002D3F55"/>
    <w:rsid w:val="002D400D"/>
    <w:rsid w:val="002D413A"/>
    <w:rsid w:val="002D45CF"/>
    <w:rsid w:val="002D5132"/>
    <w:rsid w:val="002D59B4"/>
    <w:rsid w:val="002D64DC"/>
    <w:rsid w:val="002D6773"/>
    <w:rsid w:val="002D6B2D"/>
    <w:rsid w:val="002D6BB5"/>
    <w:rsid w:val="002D6EB6"/>
    <w:rsid w:val="002D734D"/>
    <w:rsid w:val="002D7823"/>
    <w:rsid w:val="002D7840"/>
    <w:rsid w:val="002D7BA9"/>
    <w:rsid w:val="002D7CB5"/>
    <w:rsid w:val="002E0286"/>
    <w:rsid w:val="002E032D"/>
    <w:rsid w:val="002E06D0"/>
    <w:rsid w:val="002E073B"/>
    <w:rsid w:val="002E0A85"/>
    <w:rsid w:val="002E0AF9"/>
    <w:rsid w:val="002E0D9D"/>
    <w:rsid w:val="002E0FC4"/>
    <w:rsid w:val="002E135D"/>
    <w:rsid w:val="002E147A"/>
    <w:rsid w:val="002E1C7A"/>
    <w:rsid w:val="002E1D9E"/>
    <w:rsid w:val="002E2131"/>
    <w:rsid w:val="002E227E"/>
    <w:rsid w:val="002E2470"/>
    <w:rsid w:val="002E2539"/>
    <w:rsid w:val="002E37D0"/>
    <w:rsid w:val="002E389F"/>
    <w:rsid w:val="002E3A4C"/>
    <w:rsid w:val="002E3EA6"/>
    <w:rsid w:val="002E4090"/>
    <w:rsid w:val="002E4293"/>
    <w:rsid w:val="002E4C2D"/>
    <w:rsid w:val="002E508B"/>
    <w:rsid w:val="002E5285"/>
    <w:rsid w:val="002E54CC"/>
    <w:rsid w:val="002E550B"/>
    <w:rsid w:val="002E5655"/>
    <w:rsid w:val="002E5DEA"/>
    <w:rsid w:val="002E6CAF"/>
    <w:rsid w:val="002E724A"/>
    <w:rsid w:val="002E755D"/>
    <w:rsid w:val="002E7A64"/>
    <w:rsid w:val="002E7A8E"/>
    <w:rsid w:val="002F039B"/>
    <w:rsid w:val="002F03E2"/>
    <w:rsid w:val="002F04E9"/>
    <w:rsid w:val="002F06A7"/>
    <w:rsid w:val="002F078A"/>
    <w:rsid w:val="002F0BC8"/>
    <w:rsid w:val="002F1504"/>
    <w:rsid w:val="002F15FC"/>
    <w:rsid w:val="002F18E5"/>
    <w:rsid w:val="002F1DFB"/>
    <w:rsid w:val="002F2322"/>
    <w:rsid w:val="002F245E"/>
    <w:rsid w:val="002F26E6"/>
    <w:rsid w:val="002F29E2"/>
    <w:rsid w:val="002F2ACF"/>
    <w:rsid w:val="002F2AFE"/>
    <w:rsid w:val="002F2BB8"/>
    <w:rsid w:val="002F2EBB"/>
    <w:rsid w:val="002F2F58"/>
    <w:rsid w:val="002F2F5D"/>
    <w:rsid w:val="002F311E"/>
    <w:rsid w:val="002F313A"/>
    <w:rsid w:val="002F3322"/>
    <w:rsid w:val="002F33B9"/>
    <w:rsid w:val="002F345B"/>
    <w:rsid w:val="002F39A9"/>
    <w:rsid w:val="002F3BA8"/>
    <w:rsid w:val="002F3D86"/>
    <w:rsid w:val="002F4515"/>
    <w:rsid w:val="002F4637"/>
    <w:rsid w:val="002F46D7"/>
    <w:rsid w:val="002F4D92"/>
    <w:rsid w:val="002F50FB"/>
    <w:rsid w:val="002F543D"/>
    <w:rsid w:val="002F55DA"/>
    <w:rsid w:val="002F5FEC"/>
    <w:rsid w:val="002F615F"/>
    <w:rsid w:val="002F6C11"/>
    <w:rsid w:val="002F71B8"/>
    <w:rsid w:val="002F71F4"/>
    <w:rsid w:val="002F7CD5"/>
    <w:rsid w:val="00300122"/>
    <w:rsid w:val="00300718"/>
    <w:rsid w:val="00300997"/>
    <w:rsid w:val="00300F4B"/>
    <w:rsid w:val="003012D1"/>
    <w:rsid w:val="003013B2"/>
    <w:rsid w:val="003015F1"/>
    <w:rsid w:val="00301EA1"/>
    <w:rsid w:val="00301F26"/>
    <w:rsid w:val="00302A86"/>
    <w:rsid w:val="00302CC1"/>
    <w:rsid w:val="00302E1D"/>
    <w:rsid w:val="00302FCC"/>
    <w:rsid w:val="00303389"/>
    <w:rsid w:val="00303AE2"/>
    <w:rsid w:val="00303C61"/>
    <w:rsid w:val="00303CA0"/>
    <w:rsid w:val="00303EDC"/>
    <w:rsid w:val="00304170"/>
    <w:rsid w:val="0030431C"/>
    <w:rsid w:val="003048D1"/>
    <w:rsid w:val="00304AAE"/>
    <w:rsid w:val="00304E3A"/>
    <w:rsid w:val="00305077"/>
    <w:rsid w:val="00305213"/>
    <w:rsid w:val="00305297"/>
    <w:rsid w:val="003053A2"/>
    <w:rsid w:val="00305439"/>
    <w:rsid w:val="003055DD"/>
    <w:rsid w:val="00305A80"/>
    <w:rsid w:val="00305B7A"/>
    <w:rsid w:val="003062AE"/>
    <w:rsid w:val="003065DC"/>
    <w:rsid w:val="0030739B"/>
    <w:rsid w:val="00307549"/>
    <w:rsid w:val="00307F51"/>
    <w:rsid w:val="0031031D"/>
    <w:rsid w:val="0031033B"/>
    <w:rsid w:val="00310894"/>
    <w:rsid w:val="003108C0"/>
    <w:rsid w:val="0031090D"/>
    <w:rsid w:val="00310A7E"/>
    <w:rsid w:val="00310D1A"/>
    <w:rsid w:val="00310E37"/>
    <w:rsid w:val="003112CA"/>
    <w:rsid w:val="00311847"/>
    <w:rsid w:val="00311982"/>
    <w:rsid w:val="00311DAF"/>
    <w:rsid w:val="003121DA"/>
    <w:rsid w:val="003125C5"/>
    <w:rsid w:val="00312809"/>
    <w:rsid w:val="003128BF"/>
    <w:rsid w:val="003128E6"/>
    <w:rsid w:val="00312922"/>
    <w:rsid w:val="00313A25"/>
    <w:rsid w:val="00313AE3"/>
    <w:rsid w:val="00313DA6"/>
    <w:rsid w:val="00313DCA"/>
    <w:rsid w:val="00314051"/>
    <w:rsid w:val="003144D0"/>
    <w:rsid w:val="003144EC"/>
    <w:rsid w:val="003146DA"/>
    <w:rsid w:val="0031480D"/>
    <w:rsid w:val="00314B7D"/>
    <w:rsid w:val="00314BFC"/>
    <w:rsid w:val="00314C0F"/>
    <w:rsid w:val="00315039"/>
    <w:rsid w:val="00315514"/>
    <w:rsid w:val="00315520"/>
    <w:rsid w:val="00315695"/>
    <w:rsid w:val="003156ED"/>
    <w:rsid w:val="00315D7D"/>
    <w:rsid w:val="003160A0"/>
    <w:rsid w:val="003162EB"/>
    <w:rsid w:val="0031686D"/>
    <w:rsid w:val="00316D59"/>
    <w:rsid w:val="00317113"/>
    <w:rsid w:val="00317416"/>
    <w:rsid w:val="003176A7"/>
    <w:rsid w:val="00317E18"/>
    <w:rsid w:val="003200F7"/>
    <w:rsid w:val="003208AE"/>
    <w:rsid w:val="00320A88"/>
    <w:rsid w:val="003210CB"/>
    <w:rsid w:val="00321810"/>
    <w:rsid w:val="003219B2"/>
    <w:rsid w:val="00321A46"/>
    <w:rsid w:val="00321B6E"/>
    <w:rsid w:val="00321FDA"/>
    <w:rsid w:val="003229E3"/>
    <w:rsid w:val="00322F08"/>
    <w:rsid w:val="00323B09"/>
    <w:rsid w:val="00323C6A"/>
    <w:rsid w:val="00323CDD"/>
    <w:rsid w:val="00324130"/>
    <w:rsid w:val="00324141"/>
    <w:rsid w:val="00324588"/>
    <w:rsid w:val="00324945"/>
    <w:rsid w:val="00324B79"/>
    <w:rsid w:val="00324F1F"/>
    <w:rsid w:val="00325443"/>
    <w:rsid w:val="00325545"/>
    <w:rsid w:val="003260CF"/>
    <w:rsid w:val="00326469"/>
    <w:rsid w:val="003275CA"/>
    <w:rsid w:val="00327907"/>
    <w:rsid w:val="00327A21"/>
    <w:rsid w:val="00327A95"/>
    <w:rsid w:val="00327BD2"/>
    <w:rsid w:val="00327EA6"/>
    <w:rsid w:val="003302F5"/>
    <w:rsid w:val="00330C3F"/>
    <w:rsid w:val="0033153F"/>
    <w:rsid w:val="00331584"/>
    <w:rsid w:val="003316D2"/>
    <w:rsid w:val="00331A16"/>
    <w:rsid w:val="00331DA0"/>
    <w:rsid w:val="003322DC"/>
    <w:rsid w:val="00332310"/>
    <w:rsid w:val="00332427"/>
    <w:rsid w:val="00332F99"/>
    <w:rsid w:val="00333128"/>
    <w:rsid w:val="003332B4"/>
    <w:rsid w:val="003334EC"/>
    <w:rsid w:val="003336EE"/>
    <w:rsid w:val="00333722"/>
    <w:rsid w:val="00333BD5"/>
    <w:rsid w:val="00333C84"/>
    <w:rsid w:val="00334229"/>
    <w:rsid w:val="003344E3"/>
    <w:rsid w:val="0033472B"/>
    <w:rsid w:val="003347EE"/>
    <w:rsid w:val="0033491A"/>
    <w:rsid w:val="00334A6D"/>
    <w:rsid w:val="00334ACF"/>
    <w:rsid w:val="00335355"/>
    <w:rsid w:val="00335804"/>
    <w:rsid w:val="00335882"/>
    <w:rsid w:val="003358DF"/>
    <w:rsid w:val="00335A2D"/>
    <w:rsid w:val="0033671C"/>
    <w:rsid w:val="00336C78"/>
    <w:rsid w:val="00336E9E"/>
    <w:rsid w:val="003370A5"/>
    <w:rsid w:val="003376EB"/>
    <w:rsid w:val="003376FD"/>
    <w:rsid w:val="0033787B"/>
    <w:rsid w:val="003379D7"/>
    <w:rsid w:val="00337DA9"/>
    <w:rsid w:val="003404A5"/>
    <w:rsid w:val="0034171C"/>
    <w:rsid w:val="00341738"/>
    <w:rsid w:val="00341840"/>
    <w:rsid w:val="003418E3"/>
    <w:rsid w:val="00341A14"/>
    <w:rsid w:val="00341E53"/>
    <w:rsid w:val="00341EA1"/>
    <w:rsid w:val="003423AA"/>
    <w:rsid w:val="003429D1"/>
    <w:rsid w:val="00342B6D"/>
    <w:rsid w:val="00342BDC"/>
    <w:rsid w:val="00342ED2"/>
    <w:rsid w:val="00342F52"/>
    <w:rsid w:val="00342FA3"/>
    <w:rsid w:val="003433B0"/>
    <w:rsid w:val="00343AF6"/>
    <w:rsid w:val="00344219"/>
    <w:rsid w:val="00344661"/>
    <w:rsid w:val="00344F24"/>
    <w:rsid w:val="003452BC"/>
    <w:rsid w:val="003456E6"/>
    <w:rsid w:val="00345E01"/>
    <w:rsid w:val="00345F06"/>
    <w:rsid w:val="00346493"/>
    <w:rsid w:val="00346604"/>
    <w:rsid w:val="00346A8F"/>
    <w:rsid w:val="00346E26"/>
    <w:rsid w:val="00346E5E"/>
    <w:rsid w:val="0034775B"/>
    <w:rsid w:val="00347F72"/>
    <w:rsid w:val="00347F86"/>
    <w:rsid w:val="0035045D"/>
    <w:rsid w:val="0035105D"/>
    <w:rsid w:val="00351381"/>
    <w:rsid w:val="00351966"/>
    <w:rsid w:val="003524D9"/>
    <w:rsid w:val="00352753"/>
    <w:rsid w:val="0035284B"/>
    <w:rsid w:val="003530A6"/>
    <w:rsid w:val="0035310F"/>
    <w:rsid w:val="00353197"/>
    <w:rsid w:val="00353398"/>
    <w:rsid w:val="0035342C"/>
    <w:rsid w:val="003534D8"/>
    <w:rsid w:val="00353627"/>
    <w:rsid w:val="00353CAA"/>
    <w:rsid w:val="00353F2D"/>
    <w:rsid w:val="003545C3"/>
    <w:rsid w:val="00354C2C"/>
    <w:rsid w:val="0035574C"/>
    <w:rsid w:val="00355773"/>
    <w:rsid w:val="00355F72"/>
    <w:rsid w:val="0035628B"/>
    <w:rsid w:val="003566A9"/>
    <w:rsid w:val="00356E0C"/>
    <w:rsid w:val="003571D1"/>
    <w:rsid w:val="003575B0"/>
    <w:rsid w:val="00357657"/>
    <w:rsid w:val="0035778E"/>
    <w:rsid w:val="003577A9"/>
    <w:rsid w:val="00357E32"/>
    <w:rsid w:val="00357F0E"/>
    <w:rsid w:val="0036120D"/>
    <w:rsid w:val="003614C5"/>
    <w:rsid w:val="00362899"/>
    <w:rsid w:val="003629E5"/>
    <w:rsid w:val="00362D0A"/>
    <w:rsid w:val="0036300D"/>
    <w:rsid w:val="00363487"/>
    <w:rsid w:val="003634EA"/>
    <w:rsid w:val="003639A6"/>
    <w:rsid w:val="0036434A"/>
    <w:rsid w:val="003645D5"/>
    <w:rsid w:val="003645DF"/>
    <w:rsid w:val="003648A0"/>
    <w:rsid w:val="00364C97"/>
    <w:rsid w:val="00364D80"/>
    <w:rsid w:val="00364F7F"/>
    <w:rsid w:val="003651B2"/>
    <w:rsid w:val="003653E5"/>
    <w:rsid w:val="0036646E"/>
    <w:rsid w:val="003666A1"/>
    <w:rsid w:val="00366724"/>
    <w:rsid w:val="00366755"/>
    <w:rsid w:val="00366A2C"/>
    <w:rsid w:val="00366A9B"/>
    <w:rsid w:val="00366CC0"/>
    <w:rsid w:val="00367361"/>
    <w:rsid w:val="0036786F"/>
    <w:rsid w:val="003678AC"/>
    <w:rsid w:val="003679AE"/>
    <w:rsid w:val="003679E7"/>
    <w:rsid w:val="00367A62"/>
    <w:rsid w:val="003702AF"/>
    <w:rsid w:val="003703BA"/>
    <w:rsid w:val="003704A7"/>
    <w:rsid w:val="00370688"/>
    <w:rsid w:val="0037076F"/>
    <w:rsid w:val="00370CBF"/>
    <w:rsid w:val="00370E86"/>
    <w:rsid w:val="00370F49"/>
    <w:rsid w:val="00370FE3"/>
    <w:rsid w:val="0037136C"/>
    <w:rsid w:val="003714BA"/>
    <w:rsid w:val="00371C03"/>
    <w:rsid w:val="00371E6D"/>
    <w:rsid w:val="00372328"/>
    <w:rsid w:val="00372465"/>
    <w:rsid w:val="00372B53"/>
    <w:rsid w:val="00374012"/>
    <w:rsid w:val="00374022"/>
    <w:rsid w:val="0037425F"/>
    <w:rsid w:val="003747ED"/>
    <w:rsid w:val="00374ECE"/>
    <w:rsid w:val="00374FDE"/>
    <w:rsid w:val="00375A48"/>
    <w:rsid w:val="00375B5E"/>
    <w:rsid w:val="00375CEB"/>
    <w:rsid w:val="003760BF"/>
    <w:rsid w:val="00376372"/>
    <w:rsid w:val="003764D6"/>
    <w:rsid w:val="003768A1"/>
    <w:rsid w:val="00376981"/>
    <w:rsid w:val="00376CA5"/>
    <w:rsid w:val="00376ED0"/>
    <w:rsid w:val="0037715D"/>
    <w:rsid w:val="0037758A"/>
    <w:rsid w:val="00377F3E"/>
    <w:rsid w:val="003802AE"/>
    <w:rsid w:val="00380E6F"/>
    <w:rsid w:val="00381409"/>
    <w:rsid w:val="0038179A"/>
    <w:rsid w:val="00381F13"/>
    <w:rsid w:val="0038201E"/>
    <w:rsid w:val="003820C8"/>
    <w:rsid w:val="0038212C"/>
    <w:rsid w:val="0038281C"/>
    <w:rsid w:val="00382B9D"/>
    <w:rsid w:val="00382C0E"/>
    <w:rsid w:val="00383AC2"/>
    <w:rsid w:val="00383B2B"/>
    <w:rsid w:val="00383DFF"/>
    <w:rsid w:val="003847D0"/>
    <w:rsid w:val="00384BFF"/>
    <w:rsid w:val="0038516B"/>
    <w:rsid w:val="003853FC"/>
    <w:rsid w:val="00385A16"/>
    <w:rsid w:val="00385A64"/>
    <w:rsid w:val="00385CAD"/>
    <w:rsid w:val="00386B1B"/>
    <w:rsid w:val="00386D1A"/>
    <w:rsid w:val="003876C5"/>
    <w:rsid w:val="003876FE"/>
    <w:rsid w:val="00387D80"/>
    <w:rsid w:val="003901BE"/>
    <w:rsid w:val="00390221"/>
    <w:rsid w:val="0039045D"/>
    <w:rsid w:val="003904F8"/>
    <w:rsid w:val="0039076E"/>
    <w:rsid w:val="0039085F"/>
    <w:rsid w:val="00390C8A"/>
    <w:rsid w:val="00390E89"/>
    <w:rsid w:val="00391289"/>
    <w:rsid w:val="0039133B"/>
    <w:rsid w:val="00391479"/>
    <w:rsid w:val="0039182E"/>
    <w:rsid w:val="00391B2D"/>
    <w:rsid w:val="00392006"/>
    <w:rsid w:val="003922B0"/>
    <w:rsid w:val="00392418"/>
    <w:rsid w:val="00392458"/>
    <w:rsid w:val="00392478"/>
    <w:rsid w:val="00392617"/>
    <w:rsid w:val="0039272E"/>
    <w:rsid w:val="00392A8D"/>
    <w:rsid w:val="00392AD8"/>
    <w:rsid w:val="00392DAB"/>
    <w:rsid w:val="00392DB5"/>
    <w:rsid w:val="00392DBA"/>
    <w:rsid w:val="00392E97"/>
    <w:rsid w:val="003933F3"/>
    <w:rsid w:val="0039342B"/>
    <w:rsid w:val="003939DD"/>
    <w:rsid w:val="00393F2B"/>
    <w:rsid w:val="00394116"/>
    <w:rsid w:val="00394355"/>
    <w:rsid w:val="00394BE5"/>
    <w:rsid w:val="00394C83"/>
    <w:rsid w:val="0039538C"/>
    <w:rsid w:val="00395810"/>
    <w:rsid w:val="003959EB"/>
    <w:rsid w:val="003959F9"/>
    <w:rsid w:val="00395F58"/>
    <w:rsid w:val="00396339"/>
    <w:rsid w:val="00396CF6"/>
    <w:rsid w:val="00396E1B"/>
    <w:rsid w:val="00397170"/>
    <w:rsid w:val="00397617"/>
    <w:rsid w:val="003976B9"/>
    <w:rsid w:val="003977A5"/>
    <w:rsid w:val="0039789A"/>
    <w:rsid w:val="00397C0F"/>
    <w:rsid w:val="003A0064"/>
    <w:rsid w:val="003A04B8"/>
    <w:rsid w:val="003A0697"/>
    <w:rsid w:val="003A096A"/>
    <w:rsid w:val="003A0B8A"/>
    <w:rsid w:val="003A0C00"/>
    <w:rsid w:val="003A0C4B"/>
    <w:rsid w:val="003A0FF1"/>
    <w:rsid w:val="003A1686"/>
    <w:rsid w:val="003A2644"/>
    <w:rsid w:val="003A27B8"/>
    <w:rsid w:val="003A29E1"/>
    <w:rsid w:val="003A2AF1"/>
    <w:rsid w:val="003A2D61"/>
    <w:rsid w:val="003A2FF8"/>
    <w:rsid w:val="003A3433"/>
    <w:rsid w:val="003A3798"/>
    <w:rsid w:val="003A3AD9"/>
    <w:rsid w:val="003A42EF"/>
    <w:rsid w:val="003A4519"/>
    <w:rsid w:val="003A464D"/>
    <w:rsid w:val="003A4E05"/>
    <w:rsid w:val="003A523A"/>
    <w:rsid w:val="003A537E"/>
    <w:rsid w:val="003A544A"/>
    <w:rsid w:val="003A54D0"/>
    <w:rsid w:val="003A6032"/>
    <w:rsid w:val="003A660F"/>
    <w:rsid w:val="003A693E"/>
    <w:rsid w:val="003A6ADA"/>
    <w:rsid w:val="003A700B"/>
    <w:rsid w:val="003A7595"/>
    <w:rsid w:val="003A7688"/>
    <w:rsid w:val="003A79A4"/>
    <w:rsid w:val="003A7B7F"/>
    <w:rsid w:val="003B00FB"/>
    <w:rsid w:val="003B03AD"/>
    <w:rsid w:val="003B0554"/>
    <w:rsid w:val="003B073A"/>
    <w:rsid w:val="003B0844"/>
    <w:rsid w:val="003B0900"/>
    <w:rsid w:val="003B095E"/>
    <w:rsid w:val="003B0C85"/>
    <w:rsid w:val="003B15C5"/>
    <w:rsid w:val="003B1CBE"/>
    <w:rsid w:val="003B23EB"/>
    <w:rsid w:val="003B2692"/>
    <w:rsid w:val="003B27F3"/>
    <w:rsid w:val="003B291B"/>
    <w:rsid w:val="003B2E91"/>
    <w:rsid w:val="003B303F"/>
    <w:rsid w:val="003B3184"/>
    <w:rsid w:val="003B330F"/>
    <w:rsid w:val="003B339C"/>
    <w:rsid w:val="003B3C35"/>
    <w:rsid w:val="003B40AF"/>
    <w:rsid w:val="003B4923"/>
    <w:rsid w:val="003B4D4C"/>
    <w:rsid w:val="003B4E2A"/>
    <w:rsid w:val="003B4F67"/>
    <w:rsid w:val="003B511A"/>
    <w:rsid w:val="003B6906"/>
    <w:rsid w:val="003B690F"/>
    <w:rsid w:val="003B6AD2"/>
    <w:rsid w:val="003B711E"/>
    <w:rsid w:val="003B7303"/>
    <w:rsid w:val="003B7656"/>
    <w:rsid w:val="003B769E"/>
    <w:rsid w:val="003B772F"/>
    <w:rsid w:val="003C0127"/>
    <w:rsid w:val="003C01CB"/>
    <w:rsid w:val="003C055D"/>
    <w:rsid w:val="003C0657"/>
    <w:rsid w:val="003C0669"/>
    <w:rsid w:val="003C0B1C"/>
    <w:rsid w:val="003C0D95"/>
    <w:rsid w:val="003C0EAF"/>
    <w:rsid w:val="003C164A"/>
    <w:rsid w:val="003C178F"/>
    <w:rsid w:val="003C1A9F"/>
    <w:rsid w:val="003C20D4"/>
    <w:rsid w:val="003C21D5"/>
    <w:rsid w:val="003C2902"/>
    <w:rsid w:val="003C3049"/>
    <w:rsid w:val="003C32C1"/>
    <w:rsid w:val="003C3367"/>
    <w:rsid w:val="003C3EED"/>
    <w:rsid w:val="003C3F5D"/>
    <w:rsid w:val="003C4A72"/>
    <w:rsid w:val="003C4CDC"/>
    <w:rsid w:val="003C4FA3"/>
    <w:rsid w:val="003C52D9"/>
    <w:rsid w:val="003C549A"/>
    <w:rsid w:val="003C54D2"/>
    <w:rsid w:val="003C56D6"/>
    <w:rsid w:val="003C58D4"/>
    <w:rsid w:val="003C5DFE"/>
    <w:rsid w:val="003C5FB6"/>
    <w:rsid w:val="003C697F"/>
    <w:rsid w:val="003C6A73"/>
    <w:rsid w:val="003C6DE1"/>
    <w:rsid w:val="003C72F5"/>
    <w:rsid w:val="003C74F7"/>
    <w:rsid w:val="003C7589"/>
    <w:rsid w:val="003C777E"/>
    <w:rsid w:val="003C7B03"/>
    <w:rsid w:val="003D00C2"/>
    <w:rsid w:val="003D0B09"/>
    <w:rsid w:val="003D0C53"/>
    <w:rsid w:val="003D1114"/>
    <w:rsid w:val="003D11A9"/>
    <w:rsid w:val="003D11AB"/>
    <w:rsid w:val="003D1451"/>
    <w:rsid w:val="003D1EB8"/>
    <w:rsid w:val="003D1FB3"/>
    <w:rsid w:val="003D23FB"/>
    <w:rsid w:val="003D2A37"/>
    <w:rsid w:val="003D2EDC"/>
    <w:rsid w:val="003D3427"/>
    <w:rsid w:val="003D3B9F"/>
    <w:rsid w:val="003D3E6A"/>
    <w:rsid w:val="003D3EFE"/>
    <w:rsid w:val="003D4A6C"/>
    <w:rsid w:val="003D5027"/>
    <w:rsid w:val="003D5658"/>
    <w:rsid w:val="003D57E9"/>
    <w:rsid w:val="003D5953"/>
    <w:rsid w:val="003D5F49"/>
    <w:rsid w:val="003D630E"/>
    <w:rsid w:val="003D6356"/>
    <w:rsid w:val="003D6729"/>
    <w:rsid w:val="003D69EF"/>
    <w:rsid w:val="003D6C55"/>
    <w:rsid w:val="003D6CD2"/>
    <w:rsid w:val="003D6E7B"/>
    <w:rsid w:val="003D6F90"/>
    <w:rsid w:val="003D7214"/>
    <w:rsid w:val="003D7B23"/>
    <w:rsid w:val="003D7C84"/>
    <w:rsid w:val="003D7E0C"/>
    <w:rsid w:val="003E0EDB"/>
    <w:rsid w:val="003E11A0"/>
    <w:rsid w:val="003E214F"/>
    <w:rsid w:val="003E2220"/>
    <w:rsid w:val="003E23E0"/>
    <w:rsid w:val="003E26E9"/>
    <w:rsid w:val="003E2781"/>
    <w:rsid w:val="003E2A63"/>
    <w:rsid w:val="003E2D71"/>
    <w:rsid w:val="003E335B"/>
    <w:rsid w:val="003E3558"/>
    <w:rsid w:val="003E3908"/>
    <w:rsid w:val="003E422B"/>
    <w:rsid w:val="003E45BD"/>
    <w:rsid w:val="003E45DA"/>
    <w:rsid w:val="003E46C5"/>
    <w:rsid w:val="003E477D"/>
    <w:rsid w:val="003E4B0C"/>
    <w:rsid w:val="003E4BF7"/>
    <w:rsid w:val="003E4CAF"/>
    <w:rsid w:val="003E4F96"/>
    <w:rsid w:val="003E561B"/>
    <w:rsid w:val="003E5728"/>
    <w:rsid w:val="003E5834"/>
    <w:rsid w:val="003E5B1D"/>
    <w:rsid w:val="003E6196"/>
    <w:rsid w:val="003E6475"/>
    <w:rsid w:val="003E64F1"/>
    <w:rsid w:val="003E749D"/>
    <w:rsid w:val="003E7723"/>
    <w:rsid w:val="003E7927"/>
    <w:rsid w:val="003E7A0A"/>
    <w:rsid w:val="003E7A84"/>
    <w:rsid w:val="003E7B8B"/>
    <w:rsid w:val="003F0C7A"/>
    <w:rsid w:val="003F0D1C"/>
    <w:rsid w:val="003F0F5D"/>
    <w:rsid w:val="003F105A"/>
    <w:rsid w:val="003F1704"/>
    <w:rsid w:val="003F2593"/>
    <w:rsid w:val="003F25AF"/>
    <w:rsid w:val="003F2743"/>
    <w:rsid w:val="003F2848"/>
    <w:rsid w:val="003F2B85"/>
    <w:rsid w:val="003F2CC6"/>
    <w:rsid w:val="003F2F6D"/>
    <w:rsid w:val="003F3050"/>
    <w:rsid w:val="003F31DE"/>
    <w:rsid w:val="003F3401"/>
    <w:rsid w:val="003F3AA3"/>
    <w:rsid w:val="003F3CA5"/>
    <w:rsid w:val="003F3D07"/>
    <w:rsid w:val="003F4235"/>
    <w:rsid w:val="003F46DA"/>
    <w:rsid w:val="003F57E6"/>
    <w:rsid w:val="003F5BB4"/>
    <w:rsid w:val="003F5E95"/>
    <w:rsid w:val="003F5FAA"/>
    <w:rsid w:val="003F6199"/>
    <w:rsid w:val="003F68AE"/>
    <w:rsid w:val="003F6D30"/>
    <w:rsid w:val="003F739D"/>
    <w:rsid w:val="003F7D20"/>
    <w:rsid w:val="003F7F0E"/>
    <w:rsid w:val="00400157"/>
    <w:rsid w:val="004004B9"/>
    <w:rsid w:val="00400BC6"/>
    <w:rsid w:val="00401482"/>
    <w:rsid w:val="00401999"/>
    <w:rsid w:val="00401E77"/>
    <w:rsid w:val="00401F14"/>
    <w:rsid w:val="004026ED"/>
    <w:rsid w:val="00402CAB"/>
    <w:rsid w:val="00402DB9"/>
    <w:rsid w:val="00402F1B"/>
    <w:rsid w:val="004033BF"/>
    <w:rsid w:val="00403604"/>
    <w:rsid w:val="00403B76"/>
    <w:rsid w:val="00403C05"/>
    <w:rsid w:val="00403CDE"/>
    <w:rsid w:val="00403E18"/>
    <w:rsid w:val="00403E25"/>
    <w:rsid w:val="004042DC"/>
    <w:rsid w:val="004044F2"/>
    <w:rsid w:val="004048BA"/>
    <w:rsid w:val="00404A4B"/>
    <w:rsid w:val="00404AEA"/>
    <w:rsid w:val="00404B7C"/>
    <w:rsid w:val="00404C3E"/>
    <w:rsid w:val="00405C34"/>
    <w:rsid w:val="0040607B"/>
    <w:rsid w:val="004067E0"/>
    <w:rsid w:val="0040683D"/>
    <w:rsid w:val="004072A8"/>
    <w:rsid w:val="004073DC"/>
    <w:rsid w:val="00410029"/>
    <w:rsid w:val="00410BFC"/>
    <w:rsid w:val="00410CD1"/>
    <w:rsid w:val="004112C2"/>
    <w:rsid w:val="00411660"/>
    <w:rsid w:val="0041197E"/>
    <w:rsid w:val="00411D0E"/>
    <w:rsid w:val="00411F2D"/>
    <w:rsid w:val="004128EB"/>
    <w:rsid w:val="00412F3F"/>
    <w:rsid w:val="00412F95"/>
    <w:rsid w:val="004134D2"/>
    <w:rsid w:val="00413882"/>
    <w:rsid w:val="00413FE6"/>
    <w:rsid w:val="004146D0"/>
    <w:rsid w:val="00414755"/>
    <w:rsid w:val="00414933"/>
    <w:rsid w:val="0041498A"/>
    <w:rsid w:val="00414FDC"/>
    <w:rsid w:val="00415615"/>
    <w:rsid w:val="00415932"/>
    <w:rsid w:val="00415A9C"/>
    <w:rsid w:val="004160CF"/>
    <w:rsid w:val="00416259"/>
    <w:rsid w:val="00416479"/>
    <w:rsid w:val="0041660B"/>
    <w:rsid w:val="0041685C"/>
    <w:rsid w:val="00416A83"/>
    <w:rsid w:val="00416EBB"/>
    <w:rsid w:val="004174B0"/>
    <w:rsid w:val="004176C8"/>
    <w:rsid w:val="00417B8E"/>
    <w:rsid w:val="00417E32"/>
    <w:rsid w:val="00420540"/>
    <w:rsid w:val="004209FF"/>
    <w:rsid w:val="00421450"/>
    <w:rsid w:val="00421475"/>
    <w:rsid w:val="0042157E"/>
    <w:rsid w:val="004216F4"/>
    <w:rsid w:val="0042171C"/>
    <w:rsid w:val="004217D4"/>
    <w:rsid w:val="0042183D"/>
    <w:rsid w:val="00421E0B"/>
    <w:rsid w:val="00422649"/>
    <w:rsid w:val="00422C75"/>
    <w:rsid w:val="00422DB2"/>
    <w:rsid w:val="00422F23"/>
    <w:rsid w:val="004230DF"/>
    <w:rsid w:val="004234DB"/>
    <w:rsid w:val="00423965"/>
    <w:rsid w:val="00423F3A"/>
    <w:rsid w:val="004248CE"/>
    <w:rsid w:val="004249FB"/>
    <w:rsid w:val="00424EA9"/>
    <w:rsid w:val="00425029"/>
    <w:rsid w:val="004252D9"/>
    <w:rsid w:val="004254EE"/>
    <w:rsid w:val="00425737"/>
    <w:rsid w:val="00425A8F"/>
    <w:rsid w:val="00425B7B"/>
    <w:rsid w:val="00425E26"/>
    <w:rsid w:val="00426090"/>
    <w:rsid w:val="004263F2"/>
    <w:rsid w:val="00426809"/>
    <w:rsid w:val="00426C29"/>
    <w:rsid w:val="00426CD0"/>
    <w:rsid w:val="00426CF2"/>
    <w:rsid w:val="00427040"/>
    <w:rsid w:val="0042725D"/>
    <w:rsid w:val="004273AD"/>
    <w:rsid w:val="00427465"/>
    <w:rsid w:val="00427E55"/>
    <w:rsid w:val="0043005B"/>
    <w:rsid w:val="004301AC"/>
    <w:rsid w:val="00430289"/>
    <w:rsid w:val="00430A5D"/>
    <w:rsid w:val="00430EC6"/>
    <w:rsid w:val="004311B0"/>
    <w:rsid w:val="00431A27"/>
    <w:rsid w:val="00431BA3"/>
    <w:rsid w:val="00431C9E"/>
    <w:rsid w:val="00431CBD"/>
    <w:rsid w:val="004326FF"/>
    <w:rsid w:val="004329CF"/>
    <w:rsid w:val="00432ABA"/>
    <w:rsid w:val="00432CD2"/>
    <w:rsid w:val="00432D1E"/>
    <w:rsid w:val="004332B7"/>
    <w:rsid w:val="004335E3"/>
    <w:rsid w:val="00433E8B"/>
    <w:rsid w:val="004344F4"/>
    <w:rsid w:val="004344FA"/>
    <w:rsid w:val="00434531"/>
    <w:rsid w:val="0043460A"/>
    <w:rsid w:val="00434617"/>
    <w:rsid w:val="00434987"/>
    <w:rsid w:val="004349AA"/>
    <w:rsid w:val="00434E75"/>
    <w:rsid w:val="00434EBA"/>
    <w:rsid w:val="004352B2"/>
    <w:rsid w:val="00435BAC"/>
    <w:rsid w:val="00435D19"/>
    <w:rsid w:val="00435EB0"/>
    <w:rsid w:val="00436E27"/>
    <w:rsid w:val="00437435"/>
    <w:rsid w:val="0043792E"/>
    <w:rsid w:val="00437A4C"/>
    <w:rsid w:val="00437BB5"/>
    <w:rsid w:val="00437D2E"/>
    <w:rsid w:val="004400BD"/>
    <w:rsid w:val="004405B9"/>
    <w:rsid w:val="004409A8"/>
    <w:rsid w:val="00440A07"/>
    <w:rsid w:val="00440B1B"/>
    <w:rsid w:val="004417E7"/>
    <w:rsid w:val="00441962"/>
    <w:rsid w:val="0044304D"/>
    <w:rsid w:val="0044395E"/>
    <w:rsid w:val="00443B00"/>
    <w:rsid w:val="00443C47"/>
    <w:rsid w:val="00443D52"/>
    <w:rsid w:val="00443F37"/>
    <w:rsid w:val="004441EB"/>
    <w:rsid w:val="004441FE"/>
    <w:rsid w:val="00444209"/>
    <w:rsid w:val="0044446B"/>
    <w:rsid w:val="0044452A"/>
    <w:rsid w:val="004449FA"/>
    <w:rsid w:val="00445182"/>
    <w:rsid w:val="0044553B"/>
    <w:rsid w:val="00445B73"/>
    <w:rsid w:val="00445D88"/>
    <w:rsid w:val="00446251"/>
    <w:rsid w:val="004463A3"/>
    <w:rsid w:val="00446443"/>
    <w:rsid w:val="00446551"/>
    <w:rsid w:val="004466C1"/>
    <w:rsid w:val="00446A11"/>
    <w:rsid w:val="00446C98"/>
    <w:rsid w:val="00446DB1"/>
    <w:rsid w:val="004474EB"/>
    <w:rsid w:val="00447E91"/>
    <w:rsid w:val="004504BA"/>
    <w:rsid w:val="00450804"/>
    <w:rsid w:val="0045155F"/>
    <w:rsid w:val="0045199F"/>
    <w:rsid w:val="00451CCA"/>
    <w:rsid w:val="00451E8F"/>
    <w:rsid w:val="00451EB2"/>
    <w:rsid w:val="00452360"/>
    <w:rsid w:val="00452AAF"/>
    <w:rsid w:val="00452D1C"/>
    <w:rsid w:val="00452F09"/>
    <w:rsid w:val="00452F7C"/>
    <w:rsid w:val="0045389C"/>
    <w:rsid w:val="00453BAE"/>
    <w:rsid w:val="00453D59"/>
    <w:rsid w:val="00454007"/>
    <w:rsid w:val="004548E9"/>
    <w:rsid w:val="00454945"/>
    <w:rsid w:val="0045545C"/>
    <w:rsid w:val="00456242"/>
    <w:rsid w:val="00456603"/>
    <w:rsid w:val="004569BF"/>
    <w:rsid w:val="00456BBE"/>
    <w:rsid w:val="0045736B"/>
    <w:rsid w:val="00457694"/>
    <w:rsid w:val="00457F70"/>
    <w:rsid w:val="0046096D"/>
    <w:rsid w:val="00460B6A"/>
    <w:rsid w:val="00460DDB"/>
    <w:rsid w:val="00461284"/>
    <w:rsid w:val="0046163A"/>
    <w:rsid w:val="004619BB"/>
    <w:rsid w:val="00461A05"/>
    <w:rsid w:val="00461D20"/>
    <w:rsid w:val="00461D54"/>
    <w:rsid w:val="00462399"/>
    <w:rsid w:val="0046252F"/>
    <w:rsid w:val="00462907"/>
    <w:rsid w:val="00462EF7"/>
    <w:rsid w:val="00462FF8"/>
    <w:rsid w:val="00463089"/>
    <w:rsid w:val="004631C6"/>
    <w:rsid w:val="00463830"/>
    <w:rsid w:val="00463A38"/>
    <w:rsid w:val="00463E50"/>
    <w:rsid w:val="0046407F"/>
    <w:rsid w:val="00464AC7"/>
    <w:rsid w:val="00465395"/>
    <w:rsid w:val="004657D7"/>
    <w:rsid w:val="00465D3F"/>
    <w:rsid w:val="0046600B"/>
    <w:rsid w:val="0046621E"/>
    <w:rsid w:val="004668CA"/>
    <w:rsid w:val="00466A29"/>
    <w:rsid w:val="00466CDF"/>
    <w:rsid w:val="00466E47"/>
    <w:rsid w:val="00467816"/>
    <w:rsid w:val="00467DCF"/>
    <w:rsid w:val="004702CE"/>
    <w:rsid w:val="0047091F"/>
    <w:rsid w:val="00470A4B"/>
    <w:rsid w:val="00470A77"/>
    <w:rsid w:val="00470C96"/>
    <w:rsid w:val="004711E7"/>
    <w:rsid w:val="00471979"/>
    <w:rsid w:val="0047219F"/>
    <w:rsid w:val="004723E2"/>
    <w:rsid w:val="00472421"/>
    <w:rsid w:val="00472661"/>
    <w:rsid w:val="0047279A"/>
    <w:rsid w:val="004729DB"/>
    <w:rsid w:val="00472D4D"/>
    <w:rsid w:val="00473128"/>
    <w:rsid w:val="00473616"/>
    <w:rsid w:val="00473CC5"/>
    <w:rsid w:val="0047440C"/>
    <w:rsid w:val="0047446E"/>
    <w:rsid w:val="004748A1"/>
    <w:rsid w:val="004749D5"/>
    <w:rsid w:val="00474E58"/>
    <w:rsid w:val="00475760"/>
    <w:rsid w:val="0047579C"/>
    <w:rsid w:val="004759B3"/>
    <w:rsid w:val="00475C45"/>
    <w:rsid w:val="00475CCC"/>
    <w:rsid w:val="00475FB5"/>
    <w:rsid w:val="0047602B"/>
    <w:rsid w:val="004772C2"/>
    <w:rsid w:val="00477CFE"/>
    <w:rsid w:val="004804DA"/>
    <w:rsid w:val="004809F3"/>
    <w:rsid w:val="00480A4A"/>
    <w:rsid w:val="00480A9A"/>
    <w:rsid w:val="004814CB"/>
    <w:rsid w:val="00481549"/>
    <w:rsid w:val="00481830"/>
    <w:rsid w:val="00481CFA"/>
    <w:rsid w:val="00482212"/>
    <w:rsid w:val="004825EC"/>
    <w:rsid w:val="00482A72"/>
    <w:rsid w:val="0048375A"/>
    <w:rsid w:val="004843E7"/>
    <w:rsid w:val="0048478C"/>
    <w:rsid w:val="00484B49"/>
    <w:rsid w:val="00485380"/>
    <w:rsid w:val="00485653"/>
    <w:rsid w:val="0048565B"/>
    <w:rsid w:val="00485CD6"/>
    <w:rsid w:val="0048620F"/>
    <w:rsid w:val="0048686C"/>
    <w:rsid w:val="00486A51"/>
    <w:rsid w:val="00486A9B"/>
    <w:rsid w:val="00486D9B"/>
    <w:rsid w:val="00486EA4"/>
    <w:rsid w:val="0048761C"/>
    <w:rsid w:val="0048771B"/>
    <w:rsid w:val="004877A5"/>
    <w:rsid w:val="004879C3"/>
    <w:rsid w:val="00487D03"/>
    <w:rsid w:val="00487FBE"/>
    <w:rsid w:val="004900AE"/>
    <w:rsid w:val="004905DF"/>
    <w:rsid w:val="004908B7"/>
    <w:rsid w:val="00490A71"/>
    <w:rsid w:val="00490C1A"/>
    <w:rsid w:val="00490C74"/>
    <w:rsid w:val="00490E20"/>
    <w:rsid w:val="00490EDC"/>
    <w:rsid w:val="00491548"/>
    <w:rsid w:val="00491675"/>
    <w:rsid w:val="004919DD"/>
    <w:rsid w:val="004927E5"/>
    <w:rsid w:val="00492BA6"/>
    <w:rsid w:val="00492EC3"/>
    <w:rsid w:val="004935EF"/>
    <w:rsid w:val="00493634"/>
    <w:rsid w:val="00493CD5"/>
    <w:rsid w:val="004943A5"/>
    <w:rsid w:val="004948EF"/>
    <w:rsid w:val="004949B1"/>
    <w:rsid w:val="00494EDE"/>
    <w:rsid w:val="00494F7C"/>
    <w:rsid w:val="00495124"/>
    <w:rsid w:val="0049541A"/>
    <w:rsid w:val="004954B1"/>
    <w:rsid w:val="004963B7"/>
    <w:rsid w:val="0049642E"/>
    <w:rsid w:val="004966AA"/>
    <w:rsid w:val="004969AE"/>
    <w:rsid w:val="00496A45"/>
    <w:rsid w:val="00496B8C"/>
    <w:rsid w:val="0049775D"/>
    <w:rsid w:val="00497901"/>
    <w:rsid w:val="00497D0C"/>
    <w:rsid w:val="004A08D2"/>
    <w:rsid w:val="004A09BA"/>
    <w:rsid w:val="004A0C06"/>
    <w:rsid w:val="004A0C6D"/>
    <w:rsid w:val="004A1A2E"/>
    <w:rsid w:val="004A1D9C"/>
    <w:rsid w:val="004A1F53"/>
    <w:rsid w:val="004A211D"/>
    <w:rsid w:val="004A2426"/>
    <w:rsid w:val="004A2A57"/>
    <w:rsid w:val="004A2C6E"/>
    <w:rsid w:val="004A2DF5"/>
    <w:rsid w:val="004A36BF"/>
    <w:rsid w:val="004A3805"/>
    <w:rsid w:val="004A3DEB"/>
    <w:rsid w:val="004A3ED0"/>
    <w:rsid w:val="004A4095"/>
    <w:rsid w:val="004A4123"/>
    <w:rsid w:val="004A4917"/>
    <w:rsid w:val="004A4E43"/>
    <w:rsid w:val="004A4EF3"/>
    <w:rsid w:val="004A531B"/>
    <w:rsid w:val="004A5746"/>
    <w:rsid w:val="004A5CB1"/>
    <w:rsid w:val="004A64A0"/>
    <w:rsid w:val="004A69B0"/>
    <w:rsid w:val="004A6DB3"/>
    <w:rsid w:val="004A7C4F"/>
    <w:rsid w:val="004A7CF7"/>
    <w:rsid w:val="004B010F"/>
    <w:rsid w:val="004B0505"/>
    <w:rsid w:val="004B0FD3"/>
    <w:rsid w:val="004B117E"/>
    <w:rsid w:val="004B136F"/>
    <w:rsid w:val="004B1384"/>
    <w:rsid w:val="004B149D"/>
    <w:rsid w:val="004B14D0"/>
    <w:rsid w:val="004B1787"/>
    <w:rsid w:val="004B1912"/>
    <w:rsid w:val="004B1962"/>
    <w:rsid w:val="004B1CF3"/>
    <w:rsid w:val="004B2157"/>
    <w:rsid w:val="004B22D1"/>
    <w:rsid w:val="004B23D3"/>
    <w:rsid w:val="004B2E79"/>
    <w:rsid w:val="004B324B"/>
    <w:rsid w:val="004B399C"/>
    <w:rsid w:val="004B3C00"/>
    <w:rsid w:val="004B3C82"/>
    <w:rsid w:val="004B4F0C"/>
    <w:rsid w:val="004B4FC7"/>
    <w:rsid w:val="004B57C5"/>
    <w:rsid w:val="004B5E31"/>
    <w:rsid w:val="004B5EA1"/>
    <w:rsid w:val="004B5F0B"/>
    <w:rsid w:val="004B60E8"/>
    <w:rsid w:val="004B6127"/>
    <w:rsid w:val="004B6B49"/>
    <w:rsid w:val="004B7685"/>
    <w:rsid w:val="004B78E6"/>
    <w:rsid w:val="004B7D80"/>
    <w:rsid w:val="004C000E"/>
    <w:rsid w:val="004C04A1"/>
    <w:rsid w:val="004C05B8"/>
    <w:rsid w:val="004C06B6"/>
    <w:rsid w:val="004C0777"/>
    <w:rsid w:val="004C0ACC"/>
    <w:rsid w:val="004C0B27"/>
    <w:rsid w:val="004C0DF5"/>
    <w:rsid w:val="004C0EB2"/>
    <w:rsid w:val="004C10E4"/>
    <w:rsid w:val="004C1277"/>
    <w:rsid w:val="004C1B37"/>
    <w:rsid w:val="004C1D0C"/>
    <w:rsid w:val="004C1D61"/>
    <w:rsid w:val="004C1D8B"/>
    <w:rsid w:val="004C2179"/>
    <w:rsid w:val="004C2266"/>
    <w:rsid w:val="004C227B"/>
    <w:rsid w:val="004C227D"/>
    <w:rsid w:val="004C2941"/>
    <w:rsid w:val="004C2D04"/>
    <w:rsid w:val="004C2F86"/>
    <w:rsid w:val="004C2FF3"/>
    <w:rsid w:val="004C330B"/>
    <w:rsid w:val="004C37B3"/>
    <w:rsid w:val="004C3A65"/>
    <w:rsid w:val="004C3B63"/>
    <w:rsid w:val="004C445C"/>
    <w:rsid w:val="004C48D6"/>
    <w:rsid w:val="004C4A10"/>
    <w:rsid w:val="004C5213"/>
    <w:rsid w:val="004C5429"/>
    <w:rsid w:val="004C559B"/>
    <w:rsid w:val="004C5F62"/>
    <w:rsid w:val="004C6655"/>
    <w:rsid w:val="004C68FA"/>
    <w:rsid w:val="004C6990"/>
    <w:rsid w:val="004C6B7F"/>
    <w:rsid w:val="004C6C22"/>
    <w:rsid w:val="004C7056"/>
    <w:rsid w:val="004C70B5"/>
    <w:rsid w:val="004C7295"/>
    <w:rsid w:val="004C7C38"/>
    <w:rsid w:val="004D02D7"/>
    <w:rsid w:val="004D0360"/>
    <w:rsid w:val="004D07D0"/>
    <w:rsid w:val="004D0AAD"/>
    <w:rsid w:val="004D1006"/>
    <w:rsid w:val="004D1049"/>
    <w:rsid w:val="004D14B0"/>
    <w:rsid w:val="004D16E4"/>
    <w:rsid w:val="004D1A86"/>
    <w:rsid w:val="004D1F91"/>
    <w:rsid w:val="004D2037"/>
    <w:rsid w:val="004D2C86"/>
    <w:rsid w:val="004D2EB5"/>
    <w:rsid w:val="004D3265"/>
    <w:rsid w:val="004D32D1"/>
    <w:rsid w:val="004D3415"/>
    <w:rsid w:val="004D35AC"/>
    <w:rsid w:val="004D38D3"/>
    <w:rsid w:val="004D40BD"/>
    <w:rsid w:val="004D41C5"/>
    <w:rsid w:val="004D41EA"/>
    <w:rsid w:val="004D4457"/>
    <w:rsid w:val="004D45DF"/>
    <w:rsid w:val="004D4935"/>
    <w:rsid w:val="004D513D"/>
    <w:rsid w:val="004D5466"/>
    <w:rsid w:val="004D5608"/>
    <w:rsid w:val="004D5964"/>
    <w:rsid w:val="004D5AC3"/>
    <w:rsid w:val="004D6546"/>
    <w:rsid w:val="004D70FE"/>
    <w:rsid w:val="004D72E0"/>
    <w:rsid w:val="004D7452"/>
    <w:rsid w:val="004D7F30"/>
    <w:rsid w:val="004E00D3"/>
    <w:rsid w:val="004E0C0B"/>
    <w:rsid w:val="004E0D1C"/>
    <w:rsid w:val="004E1006"/>
    <w:rsid w:val="004E10E2"/>
    <w:rsid w:val="004E1418"/>
    <w:rsid w:val="004E2125"/>
    <w:rsid w:val="004E2391"/>
    <w:rsid w:val="004E2C9C"/>
    <w:rsid w:val="004E32EF"/>
    <w:rsid w:val="004E346E"/>
    <w:rsid w:val="004E394A"/>
    <w:rsid w:val="004E3A56"/>
    <w:rsid w:val="004E43D0"/>
    <w:rsid w:val="004E4E07"/>
    <w:rsid w:val="004E57CE"/>
    <w:rsid w:val="004E5CEA"/>
    <w:rsid w:val="004E5DAC"/>
    <w:rsid w:val="004E5DB2"/>
    <w:rsid w:val="004E5F8F"/>
    <w:rsid w:val="004E614D"/>
    <w:rsid w:val="004E617D"/>
    <w:rsid w:val="004E6670"/>
    <w:rsid w:val="004E67C5"/>
    <w:rsid w:val="004E68E3"/>
    <w:rsid w:val="004E6BDB"/>
    <w:rsid w:val="004E6CFF"/>
    <w:rsid w:val="004E6D75"/>
    <w:rsid w:val="004E6E66"/>
    <w:rsid w:val="004E70C6"/>
    <w:rsid w:val="004E70CD"/>
    <w:rsid w:val="004E71DD"/>
    <w:rsid w:val="004E7388"/>
    <w:rsid w:val="004E76B1"/>
    <w:rsid w:val="004E79B6"/>
    <w:rsid w:val="004E7AB7"/>
    <w:rsid w:val="004E7ACF"/>
    <w:rsid w:val="004E7AD4"/>
    <w:rsid w:val="004F001A"/>
    <w:rsid w:val="004F03F9"/>
    <w:rsid w:val="004F0F70"/>
    <w:rsid w:val="004F122D"/>
    <w:rsid w:val="004F12E7"/>
    <w:rsid w:val="004F1802"/>
    <w:rsid w:val="004F2248"/>
    <w:rsid w:val="004F2608"/>
    <w:rsid w:val="004F2736"/>
    <w:rsid w:val="004F2D04"/>
    <w:rsid w:val="004F33E9"/>
    <w:rsid w:val="004F341B"/>
    <w:rsid w:val="004F3688"/>
    <w:rsid w:val="004F39F3"/>
    <w:rsid w:val="004F39F9"/>
    <w:rsid w:val="004F3AA7"/>
    <w:rsid w:val="004F3AAE"/>
    <w:rsid w:val="004F3DF1"/>
    <w:rsid w:val="004F3E7B"/>
    <w:rsid w:val="004F3F05"/>
    <w:rsid w:val="004F4219"/>
    <w:rsid w:val="004F4253"/>
    <w:rsid w:val="004F4581"/>
    <w:rsid w:val="004F46BE"/>
    <w:rsid w:val="004F4BDE"/>
    <w:rsid w:val="004F5247"/>
    <w:rsid w:val="004F57D5"/>
    <w:rsid w:val="004F6302"/>
    <w:rsid w:val="004F6800"/>
    <w:rsid w:val="004F686E"/>
    <w:rsid w:val="004F740E"/>
    <w:rsid w:val="004F74DF"/>
    <w:rsid w:val="004F7CAC"/>
    <w:rsid w:val="00500507"/>
    <w:rsid w:val="005006DE"/>
    <w:rsid w:val="0050175A"/>
    <w:rsid w:val="00501CD2"/>
    <w:rsid w:val="00501D26"/>
    <w:rsid w:val="00502229"/>
    <w:rsid w:val="0050226A"/>
    <w:rsid w:val="00502654"/>
    <w:rsid w:val="005031DD"/>
    <w:rsid w:val="00503558"/>
    <w:rsid w:val="00503AA2"/>
    <w:rsid w:val="00503E77"/>
    <w:rsid w:val="00503FC1"/>
    <w:rsid w:val="00504466"/>
    <w:rsid w:val="00504CB3"/>
    <w:rsid w:val="00504DA3"/>
    <w:rsid w:val="0050526D"/>
    <w:rsid w:val="005056BF"/>
    <w:rsid w:val="00505846"/>
    <w:rsid w:val="00505BD6"/>
    <w:rsid w:val="00505C92"/>
    <w:rsid w:val="00505CC9"/>
    <w:rsid w:val="00505ED8"/>
    <w:rsid w:val="00506C88"/>
    <w:rsid w:val="00506D2B"/>
    <w:rsid w:val="00507191"/>
    <w:rsid w:val="00507489"/>
    <w:rsid w:val="0050756E"/>
    <w:rsid w:val="0050764E"/>
    <w:rsid w:val="005077E3"/>
    <w:rsid w:val="00507823"/>
    <w:rsid w:val="00507835"/>
    <w:rsid w:val="00507E76"/>
    <w:rsid w:val="00507E92"/>
    <w:rsid w:val="00507F63"/>
    <w:rsid w:val="00510ECD"/>
    <w:rsid w:val="00511320"/>
    <w:rsid w:val="005113BA"/>
    <w:rsid w:val="0051154C"/>
    <w:rsid w:val="0051183C"/>
    <w:rsid w:val="00511873"/>
    <w:rsid w:val="005119C9"/>
    <w:rsid w:val="00511C16"/>
    <w:rsid w:val="00511D13"/>
    <w:rsid w:val="00512759"/>
    <w:rsid w:val="00512954"/>
    <w:rsid w:val="00513692"/>
    <w:rsid w:val="00513F93"/>
    <w:rsid w:val="0051429E"/>
    <w:rsid w:val="005143F9"/>
    <w:rsid w:val="00514C33"/>
    <w:rsid w:val="00514E56"/>
    <w:rsid w:val="005153BF"/>
    <w:rsid w:val="005153C7"/>
    <w:rsid w:val="005153FB"/>
    <w:rsid w:val="00515496"/>
    <w:rsid w:val="00515892"/>
    <w:rsid w:val="00516293"/>
    <w:rsid w:val="0051636A"/>
    <w:rsid w:val="005164EC"/>
    <w:rsid w:val="00516566"/>
    <w:rsid w:val="00516EA2"/>
    <w:rsid w:val="005170BC"/>
    <w:rsid w:val="00517711"/>
    <w:rsid w:val="00517B35"/>
    <w:rsid w:val="00517BEA"/>
    <w:rsid w:val="00517CBF"/>
    <w:rsid w:val="00517CE9"/>
    <w:rsid w:val="00517EE2"/>
    <w:rsid w:val="005200D5"/>
    <w:rsid w:val="0052031D"/>
    <w:rsid w:val="00520350"/>
    <w:rsid w:val="00520766"/>
    <w:rsid w:val="00520D14"/>
    <w:rsid w:val="005213A4"/>
    <w:rsid w:val="00521555"/>
    <w:rsid w:val="005218C3"/>
    <w:rsid w:val="00521B0F"/>
    <w:rsid w:val="00522301"/>
    <w:rsid w:val="00522C34"/>
    <w:rsid w:val="0052308D"/>
    <w:rsid w:val="005235A9"/>
    <w:rsid w:val="005239DE"/>
    <w:rsid w:val="00524EBC"/>
    <w:rsid w:val="00525415"/>
    <w:rsid w:val="00525AE7"/>
    <w:rsid w:val="00525B6D"/>
    <w:rsid w:val="00525B86"/>
    <w:rsid w:val="00525CF6"/>
    <w:rsid w:val="00526059"/>
    <w:rsid w:val="00526954"/>
    <w:rsid w:val="00526979"/>
    <w:rsid w:val="00526E6C"/>
    <w:rsid w:val="005273C9"/>
    <w:rsid w:val="005274D3"/>
    <w:rsid w:val="0052758B"/>
    <w:rsid w:val="005275FA"/>
    <w:rsid w:val="00527BE0"/>
    <w:rsid w:val="00527E42"/>
    <w:rsid w:val="00530445"/>
    <w:rsid w:val="00530A1E"/>
    <w:rsid w:val="005311D9"/>
    <w:rsid w:val="005313F8"/>
    <w:rsid w:val="0053158E"/>
    <w:rsid w:val="00531594"/>
    <w:rsid w:val="0053190F"/>
    <w:rsid w:val="0053193D"/>
    <w:rsid w:val="00531C11"/>
    <w:rsid w:val="00531E31"/>
    <w:rsid w:val="00531ED9"/>
    <w:rsid w:val="0053211C"/>
    <w:rsid w:val="0053231E"/>
    <w:rsid w:val="00532389"/>
    <w:rsid w:val="00532405"/>
    <w:rsid w:val="005325CD"/>
    <w:rsid w:val="00532858"/>
    <w:rsid w:val="00532D3D"/>
    <w:rsid w:val="00532E4F"/>
    <w:rsid w:val="00532E87"/>
    <w:rsid w:val="00533153"/>
    <w:rsid w:val="0053339C"/>
    <w:rsid w:val="0053350B"/>
    <w:rsid w:val="0053387C"/>
    <w:rsid w:val="005345F5"/>
    <w:rsid w:val="00534C5B"/>
    <w:rsid w:val="00534F70"/>
    <w:rsid w:val="00534F8C"/>
    <w:rsid w:val="0053527A"/>
    <w:rsid w:val="0053582A"/>
    <w:rsid w:val="00535C74"/>
    <w:rsid w:val="00535F46"/>
    <w:rsid w:val="005361AB"/>
    <w:rsid w:val="0053622A"/>
    <w:rsid w:val="005364EB"/>
    <w:rsid w:val="0053687E"/>
    <w:rsid w:val="0053698E"/>
    <w:rsid w:val="00536B95"/>
    <w:rsid w:val="00536EFF"/>
    <w:rsid w:val="0053732A"/>
    <w:rsid w:val="005373AE"/>
    <w:rsid w:val="00537A05"/>
    <w:rsid w:val="00537FDD"/>
    <w:rsid w:val="00540733"/>
    <w:rsid w:val="00540C49"/>
    <w:rsid w:val="00540CD0"/>
    <w:rsid w:val="00540E76"/>
    <w:rsid w:val="00541181"/>
    <w:rsid w:val="00541194"/>
    <w:rsid w:val="00541325"/>
    <w:rsid w:val="0054138C"/>
    <w:rsid w:val="005416CF"/>
    <w:rsid w:val="00541D43"/>
    <w:rsid w:val="00542068"/>
    <w:rsid w:val="0054275F"/>
    <w:rsid w:val="00542F15"/>
    <w:rsid w:val="005430BD"/>
    <w:rsid w:val="00543300"/>
    <w:rsid w:val="005439E5"/>
    <w:rsid w:val="00543AF9"/>
    <w:rsid w:val="005442BC"/>
    <w:rsid w:val="00544985"/>
    <w:rsid w:val="00544AA6"/>
    <w:rsid w:val="00544BF4"/>
    <w:rsid w:val="00544C74"/>
    <w:rsid w:val="00544DE1"/>
    <w:rsid w:val="00545356"/>
    <w:rsid w:val="0054568C"/>
    <w:rsid w:val="00545821"/>
    <w:rsid w:val="00545978"/>
    <w:rsid w:val="00545B27"/>
    <w:rsid w:val="00545EA8"/>
    <w:rsid w:val="005460EA"/>
    <w:rsid w:val="00546137"/>
    <w:rsid w:val="00546701"/>
    <w:rsid w:val="0054672C"/>
    <w:rsid w:val="00546B21"/>
    <w:rsid w:val="00547389"/>
    <w:rsid w:val="00547415"/>
    <w:rsid w:val="0054760C"/>
    <w:rsid w:val="00547697"/>
    <w:rsid w:val="00547C27"/>
    <w:rsid w:val="00547CD2"/>
    <w:rsid w:val="00547F3F"/>
    <w:rsid w:val="00547FC0"/>
    <w:rsid w:val="005504A1"/>
    <w:rsid w:val="0055055C"/>
    <w:rsid w:val="0055072B"/>
    <w:rsid w:val="00550B0B"/>
    <w:rsid w:val="00550FD8"/>
    <w:rsid w:val="0055138F"/>
    <w:rsid w:val="005517CC"/>
    <w:rsid w:val="00551C35"/>
    <w:rsid w:val="00551CA6"/>
    <w:rsid w:val="00551DCF"/>
    <w:rsid w:val="00552033"/>
    <w:rsid w:val="00552726"/>
    <w:rsid w:val="0055287E"/>
    <w:rsid w:val="005530E1"/>
    <w:rsid w:val="0055323C"/>
    <w:rsid w:val="005532FE"/>
    <w:rsid w:val="005535A0"/>
    <w:rsid w:val="005538FD"/>
    <w:rsid w:val="00554308"/>
    <w:rsid w:val="005545AE"/>
    <w:rsid w:val="00554819"/>
    <w:rsid w:val="00554BF1"/>
    <w:rsid w:val="0055532F"/>
    <w:rsid w:val="005556D0"/>
    <w:rsid w:val="005557F8"/>
    <w:rsid w:val="005558A9"/>
    <w:rsid w:val="00555FBA"/>
    <w:rsid w:val="005566B1"/>
    <w:rsid w:val="00556AC7"/>
    <w:rsid w:val="00556BB3"/>
    <w:rsid w:val="00556F21"/>
    <w:rsid w:val="00557161"/>
    <w:rsid w:val="00557628"/>
    <w:rsid w:val="0055780A"/>
    <w:rsid w:val="00560033"/>
    <w:rsid w:val="00560848"/>
    <w:rsid w:val="00560A69"/>
    <w:rsid w:val="00560B4A"/>
    <w:rsid w:val="00560BC3"/>
    <w:rsid w:val="00560D73"/>
    <w:rsid w:val="00561273"/>
    <w:rsid w:val="005617DF"/>
    <w:rsid w:val="00561953"/>
    <w:rsid w:val="0056198B"/>
    <w:rsid w:val="005619B3"/>
    <w:rsid w:val="00561AD1"/>
    <w:rsid w:val="00561AD5"/>
    <w:rsid w:val="00561D24"/>
    <w:rsid w:val="00561D4E"/>
    <w:rsid w:val="00561E9B"/>
    <w:rsid w:val="0056268B"/>
    <w:rsid w:val="005628FB"/>
    <w:rsid w:val="005629D7"/>
    <w:rsid w:val="00563A43"/>
    <w:rsid w:val="005640ED"/>
    <w:rsid w:val="0056429D"/>
    <w:rsid w:val="00564439"/>
    <w:rsid w:val="00564487"/>
    <w:rsid w:val="00564718"/>
    <w:rsid w:val="00564CDB"/>
    <w:rsid w:val="00565187"/>
    <w:rsid w:val="0056540C"/>
    <w:rsid w:val="00565624"/>
    <w:rsid w:val="00565A06"/>
    <w:rsid w:val="005660F0"/>
    <w:rsid w:val="00566114"/>
    <w:rsid w:val="00566417"/>
    <w:rsid w:val="00566926"/>
    <w:rsid w:val="00566AE2"/>
    <w:rsid w:val="00566B4F"/>
    <w:rsid w:val="00566BB4"/>
    <w:rsid w:val="00566EBD"/>
    <w:rsid w:val="00567543"/>
    <w:rsid w:val="00567707"/>
    <w:rsid w:val="00570237"/>
    <w:rsid w:val="00571318"/>
    <w:rsid w:val="00571599"/>
    <w:rsid w:val="00571D72"/>
    <w:rsid w:val="0057204B"/>
    <w:rsid w:val="0057236E"/>
    <w:rsid w:val="0057255F"/>
    <w:rsid w:val="0057265E"/>
    <w:rsid w:val="005728F9"/>
    <w:rsid w:val="00572F14"/>
    <w:rsid w:val="0057324A"/>
    <w:rsid w:val="005735DA"/>
    <w:rsid w:val="005738A6"/>
    <w:rsid w:val="00573944"/>
    <w:rsid w:val="00573E05"/>
    <w:rsid w:val="00573E93"/>
    <w:rsid w:val="005741A4"/>
    <w:rsid w:val="00574277"/>
    <w:rsid w:val="00574354"/>
    <w:rsid w:val="005743A9"/>
    <w:rsid w:val="00574499"/>
    <w:rsid w:val="0057466D"/>
    <w:rsid w:val="00574DFD"/>
    <w:rsid w:val="00574E20"/>
    <w:rsid w:val="00575483"/>
    <w:rsid w:val="00575488"/>
    <w:rsid w:val="0057578A"/>
    <w:rsid w:val="00575C98"/>
    <w:rsid w:val="00575D20"/>
    <w:rsid w:val="00576276"/>
    <w:rsid w:val="00576A21"/>
    <w:rsid w:val="00576ADE"/>
    <w:rsid w:val="005770BA"/>
    <w:rsid w:val="005774DC"/>
    <w:rsid w:val="00577726"/>
    <w:rsid w:val="005778D3"/>
    <w:rsid w:val="00577979"/>
    <w:rsid w:val="00577CFD"/>
    <w:rsid w:val="00577DEF"/>
    <w:rsid w:val="00580400"/>
    <w:rsid w:val="00580413"/>
    <w:rsid w:val="0058133E"/>
    <w:rsid w:val="005816FD"/>
    <w:rsid w:val="005817BE"/>
    <w:rsid w:val="00581B33"/>
    <w:rsid w:val="00581C80"/>
    <w:rsid w:val="00581D42"/>
    <w:rsid w:val="005823C4"/>
    <w:rsid w:val="00582A1E"/>
    <w:rsid w:val="00582C8F"/>
    <w:rsid w:val="00582F94"/>
    <w:rsid w:val="00583AB4"/>
    <w:rsid w:val="0058423E"/>
    <w:rsid w:val="005846A5"/>
    <w:rsid w:val="0058487D"/>
    <w:rsid w:val="00584E34"/>
    <w:rsid w:val="00585319"/>
    <w:rsid w:val="00585D7E"/>
    <w:rsid w:val="005869A1"/>
    <w:rsid w:val="00586D0C"/>
    <w:rsid w:val="00586D12"/>
    <w:rsid w:val="0058745C"/>
    <w:rsid w:val="005876F5"/>
    <w:rsid w:val="0058793A"/>
    <w:rsid w:val="00587E8F"/>
    <w:rsid w:val="00590067"/>
    <w:rsid w:val="00590A91"/>
    <w:rsid w:val="00590B2D"/>
    <w:rsid w:val="00590BB2"/>
    <w:rsid w:val="00590E7C"/>
    <w:rsid w:val="0059147A"/>
    <w:rsid w:val="0059177E"/>
    <w:rsid w:val="00591951"/>
    <w:rsid w:val="00591A85"/>
    <w:rsid w:val="00591F9A"/>
    <w:rsid w:val="00592123"/>
    <w:rsid w:val="00592231"/>
    <w:rsid w:val="00592249"/>
    <w:rsid w:val="005922B0"/>
    <w:rsid w:val="00592FC3"/>
    <w:rsid w:val="00593988"/>
    <w:rsid w:val="00593D40"/>
    <w:rsid w:val="00593E0B"/>
    <w:rsid w:val="00593FBB"/>
    <w:rsid w:val="00594060"/>
    <w:rsid w:val="005942AB"/>
    <w:rsid w:val="005943DF"/>
    <w:rsid w:val="00594964"/>
    <w:rsid w:val="00595284"/>
    <w:rsid w:val="005954C3"/>
    <w:rsid w:val="00595DFA"/>
    <w:rsid w:val="00596098"/>
    <w:rsid w:val="005961F3"/>
    <w:rsid w:val="00596927"/>
    <w:rsid w:val="00596BB4"/>
    <w:rsid w:val="00596C3A"/>
    <w:rsid w:val="0059725E"/>
    <w:rsid w:val="0059738F"/>
    <w:rsid w:val="005975FE"/>
    <w:rsid w:val="0059768C"/>
    <w:rsid w:val="00597972"/>
    <w:rsid w:val="00597FAB"/>
    <w:rsid w:val="005A0B1C"/>
    <w:rsid w:val="005A11B9"/>
    <w:rsid w:val="005A14DC"/>
    <w:rsid w:val="005A1653"/>
    <w:rsid w:val="005A18F2"/>
    <w:rsid w:val="005A1C92"/>
    <w:rsid w:val="005A26C0"/>
    <w:rsid w:val="005A26E9"/>
    <w:rsid w:val="005A278C"/>
    <w:rsid w:val="005A2E34"/>
    <w:rsid w:val="005A3281"/>
    <w:rsid w:val="005A32C4"/>
    <w:rsid w:val="005A32FE"/>
    <w:rsid w:val="005A40A6"/>
    <w:rsid w:val="005A4146"/>
    <w:rsid w:val="005A41C4"/>
    <w:rsid w:val="005A45D9"/>
    <w:rsid w:val="005A47FC"/>
    <w:rsid w:val="005A4A90"/>
    <w:rsid w:val="005A4C43"/>
    <w:rsid w:val="005A4E2D"/>
    <w:rsid w:val="005A51AE"/>
    <w:rsid w:val="005A56CB"/>
    <w:rsid w:val="005A5B99"/>
    <w:rsid w:val="005A5FBC"/>
    <w:rsid w:val="005A62B7"/>
    <w:rsid w:val="005A6F87"/>
    <w:rsid w:val="005A709C"/>
    <w:rsid w:val="005A75E4"/>
    <w:rsid w:val="005A78E9"/>
    <w:rsid w:val="005A7A60"/>
    <w:rsid w:val="005A7D7A"/>
    <w:rsid w:val="005A7DE8"/>
    <w:rsid w:val="005B0102"/>
    <w:rsid w:val="005B0285"/>
    <w:rsid w:val="005B0713"/>
    <w:rsid w:val="005B0D70"/>
    <w:rsid w:val="005B104C"/>
    <w:rsid w:val="005B1133"/>
    <w:rsid w:val="005B1ACA"/>
    <w:rsid w:val="005B207C"/>
    <w:rsid w:val="005B21EC"/>
    <w:rsid w:val="005B24E9"/>
    <w:rsid w:val="005B2897"/>
    <w:rsid w:val="005B2AFE"/>
    <w:rsid w:val="005B2E26"/>
    <w:rsid w:val="005B33D6"/>
    <w:rsid w:val="005B3800"/>
    <w:rsid w:val="005B3948"/>
    <w:rsid w:val="005B3992"/>
    <w:rsid w:val="005B4C1C"/>
    <w:rsid w:val="005B4F4E"/>
    <w:rsid w:val="005B50DF"/>
    <w:rsid w:val="005B51ED"/>
    <w:rsid w:val="005B576E"/>
    <w:rsid w:val="005B5DED"/>
    <w:rsid w:val="005B61EA"/>
    <w:rsid w:val="005B6261"/>
    <w:rsid w:val="005B6446"/>
    <w:rsid w:val="005B65E4"/>
    <w:rsid w:val="005B6971"/>
    <w:rsid w:val="005B706C"/>
    <w:rsid w:val="005B748B"/>
    <w:rsid w:val="005B74DD"/>
    <w:rsid w:val="005B7647"/>
    <w:rsid w:val="005B7EDB"/>
    <w:rsid w:val="005C0049"/>
    <w:rsid w:val="005C09F1"/>
    <w:rsid w:val="005C0A0F"/>
    <w:rsid w:val="005C11C5"/>
    <w:rsid w:val="005C1B83"/>
    <w:rsid w:val="005C1CD5"/>
    <w:rsid w:val="005C2085"/>
    <w:rsid w:val="005C2F55"/>
    <w:rsid w:val="005C3628"/>
    <w:rsid w:val="005C36DA"/>
    <w:rsid w:val="005C37AE"/>
    <w:rsid w:val="005C38BD"/>
    <w:rsid w:val="005C3A10"/>
    <w:rsid w:val="005C3CE3"/>
    <w:rsid w:val="005C3E6F"/>
    <w:rsid w:val="005C407E"/>
    <w:rsid w:val="005C40D3"/>
    <w:rsid w:val="005C4343"/>
    <w:rsid w:val="005C4817"/>
    <w:rsid w:val="005C4BF9"/>
    <w:rsid w:val="005C5144"/>
    <w:rsid w:val="005C51B8"/>
    <w:rsid w:val="005C584D"/>
    <w:rsid w:val="005C5A53"/>
    <w:rsid w:val="005C61A0"/>
    <w:rsid w:val="005C6A3B"/>
    <w:rsid w:val="005C6A66"/>
    <w:rsid w:val="005C7447"/>
    <w:rsid w:val="005C793C"/>
    <w:rsid w:val="005C7D90"/>
    <w:rsid w:val="005C7FA5"/>
    <w:rsid w:val="005D012D"/>
    <w:rsid w:val="005D04DB"/>
    <w:rsid w:val="005D0A60"/>
    <w:rsid w:val="005D0BC0"/>
    <w:rsid w:val="005D0DDF"/>
    <w:rsid w:val="005D172B"/>
    <w:rsid w:val="005D199E"/>
    <w:rsid w:val="005D205A"/>
    <w:rsid w:val="005D2261"/>
    <w:rsid w:val="005D233B"/>
    <w:rsid w:val="005D2516"/>
    <w:rsid w:val="005D2CB3"/>
    <w:rsid w:val="005D3441"/>
    <w:rsid w:val="005D37BE"/>
    <w:rsid w:val="005D3886"/>
    <w:rsid w:val="005D3DB9"/>
    <w:rsid w:val="005D3EE9"/>
    <w:rsid w:val="005D4037"/>
    <w:rsid w:val="005D46F3"/>
    <w:rsid w:val="005D4BA7"/>
    <w:rsid w:val="005D4FCE"/>
    <w:rsid w:val="005D59FD"/>
    <w:rsid w:val="005D5BA1"/>
    <w:rsid w:val="005D5F7E"/>
    <w:rsid w:val="005D6158"/>
    <w:rsid w:val="005D697E"/>
    <w:rsid w:val="005D7B57"/>
    <w:rsid w:val="005D7DF9"/>
    <w:rsid w:val="005D7E55"/>
    <w:rsid w:val="005D7F13"/>
    <w:rsid w:val="005D7FD7"/>
    <w:rsid w:val="005E03B5"/>
    <w:rsid w:val="005E07FA"/>
    <w:rsid w:val="005E0D04"/>
    <w:rsid w:val="005E0D92"/>
    <w:rsid w:val="005E123D"/>
    <w:rsid w:val="005E14D7"/>
    <w:rsid w:val="005E1B1D"/>
    <w:rsid w:val="005E2432"/>
    <w:rsid w:val="005E2484"/>
    <w:rsid w:val="005E29C6"/>
    <w:rsid w:val="005E2B30"/>
    <w:rsid w:val="005E2C17"/>
    <w:rsid w:val="005E31FF"/>
    <w:rsid w:val="005E33B1"/>
    <w:rsid w:val="005E34FD"/>
    <w:rsid w:val="005E385B"/>
    <w:rsid w:val="005E4778"/>
    <w:rsid w:val="005E47F9"/>
    <w:rsid w:val="005E49B2"/>
    <w:rsid w:val="005E501B"/>
    <w:rsid w:val="005E543E"/>
    <w:rsid w:val="005E558F"/>
    <w:rsid w:val="005E55E0"/>
    <w:rsid w:val="005E59ED"/>
    <w:rsid w:val="005E624E"/>
    <w:rsid w:val="005E6358"/>
    <w:rsid w:val="005E66ED"/>
    <w:rsid w:val="005E676E"/>
    <w:rsid w:val="005E6C61"/>
    <w:rsid w:val="005E7280"/>
    <w:rsid w:val="005E785B"/>
    <w:rsid w:val="005E7B78"/>
    <w:rsid w:val="005F0250"/>
    <w:rsid w:val="005F057D"/>
    <w:rsid w:val="005F0A20"/>
    <w:rsid w:val="005F0AE8"/>
    <w:rsid w:val="005F1634"/>
    <w:rsid w:val="005F17E6"/>
    <w:rsid w:val="005F1BFF"/>
    <w:rsid w:val="005F1EB3"/>
    <w:rsid w:val="005F1FD6"/>
    <w:rsid w:val="005F2515"/>
    <w:rsid w:val="005F2A6B"/>
    <w:rsid w:val="005F2C28"/>
    <w:rsid w:val="005F3366"/>
    <w:rsid w:val="005F40C1"/>
    <w:rsid w:val="005F4586"/>
    <w:rsid w:val="005F4DE7"/>
    <w:rsid w:val="005F4EB6"/>
    <w:rsid w:val="005F59B5"/>
    <w:rsid w:val="005F5D93"/>
    <w:rsid w:val="005F5EB8"/>
    <w:rsid w:val="005F6B4D"/>
    <w:rsid w:val="005F6C3E"/>
    <w:rsid w:val="005F7683"/>
    <w:rsid w:val="005F7892"/>
    <w:rsid w:val="005F7DF1"/>
    <w:rsid w:val="00600133"/>
    <w:rsid w:val="006008E0"/>
    <w:rsid w:val="00600A39"/>
    <w:rsid w:val="00600EBF"/>
    <w:rsid w:val="00601BF7"/>
    <w:rsid w:val="006024D3"/>
    <w:rsid w:val="006028DB"/>
    <w:rsid w:val="00603B6F"/>
    <w:rsid w:val="00603BE8"/>
    <w:rsid w:val="00603CF3"/>
    <w:rsid w:val="006048B7"/>
    <w:rsid w:val="0060497C"/>
    <w:rsid w:val="00604BDA"/>
    <w:rsid w:val="00604CD9"/>
    <w:rsid w:val="0060516E"/>
    <w:rsid w:val="0060517E"/>
    <w:rsid w:val="00605320"/>
    <w:rsid w:val="0060542B"/>
    <w:rsid w:val="00605848"/>
    <w:rsid w:val="00605ACE"/>
    <w:rsid w:val="00606989"/>
    <w:rsid w:val="00606EF9"/>
    <w:rsid w:val="0060706A"/>
    <w:rsid w:val="00607758"/>
    <w:rsid w:val="00607C9A"/>
    <w:rsid w:val="00610582"/>
    <w:rsid w:val="00610674"/>
    <w:rsid w:val="00610677"/>
    <w:rsid w:val="00610A6A"/>
    <w:rsid w:val="00610C0B"/>
    <w:rsid w:val="00610D5E"/>
    <w:rsid w:val="006110E8"/>
    <w:rsid w:val="00611145"/>
    <w:rsid w:val="006112E3"/>
    <w:rsid w:val="0061153B"/>
    <w:rsid w:val="00611683"/>
    <w:rsid w:val="006119B8"/>
    <w:rsid w:val="00611B83"/>
    <w:rsid w:val="00611C1A"/>
    <w:rsid w:val="0061241A"/>
    <w:rsid w:val="00612608"/>
    <w:rsid w:val="006133D5"/>
    <w:rsid w:val="00613463"/>
    <w:rsid w:val="00613467"/>
    <w:rsid w:val="00613512"/>
    <w:rsid w:val="00613D4F"/>
    <w:rsid w:val="00613DD2"/>
    <w:rsid w:val="00613EDD"/>
    <w:rsid w:val="00614A45"/>
    <w:rsid w:val="00614BAE"/>
    <w:rsid w:val="00614DDB"/>
    <w:rsid w:val="00615100"/>
    <w:rsid w:val="00615EA5"/>
    <w:rsid w:val="0061695B"/>
    <w:rsid w:val="00616B5D"/>
    <w:rsid w:val="00616C32"/>
    <w:rsid w:val="00616C56"/>
    <w:rsid w:val="0061754B"/>
    <w:rsid w:val="006177BB"/>
    <w:rsid w:val="00617805"/>
    <w:rsid w:val="0062027A"/>
    <w:rsid w:val="006205C1"/>
    <w:rsid w:val="00620676"/>
    <w:rsid w:val="006207C2"/>
    <w:rsid w:val="00620973"/>
    <w:rsid w:val="00620A5C"/>
    <w:rsid w:val="00620A60"/>
    <w:rsid w:val="00620CBC"/>
    <w:rsid w:val="00620D12"/>
    <w:rsid w:val="00620FE8"/>
    <w:rsid w:val="00621150"/>
    <w:rsid w:val="00621C98"/>
    <w:rsid w:val="00622CF5"/>
    <w:rsid w:val="00622E75"/>
    <w:rsid w:val="00622E91"/>
    <w:rsid w:val="00623092"/>
    <w:rsid w:val="006232C0"/>
    <w:rsid w:val="006233D8"/>
    <w:rsid w:val="00623454"/>
    <w:rsid w:val="0062391F"/>
    <w:rsid w:val="0062398E"/>
    <w:rsid w:val="00623C0D"/>
    <w:rsid w:val="00623EB2"/>
    <w:rsid w:val="00623EE6"/>
    <w:rsid w:val="00624205"/>
    <w:rsid w:val="00624315"/>
    <w:rsid w:val="006245AB"/>
    <w:rsid w:val="00624772"/>
    <w:rsid w:val="00624778"/>
    <w:rsid w:val="006248AE"/>
    <w:rsid w:val="00624CBA"/>
    <w:rsid w:val="00625133"/>
    <w:rsid w:val="0062545B"/>
    <w:rsid w:val="006254F2"/>
    <w:rsid w:val="0062552A"/>
    <w:rsid w:val="006255E8"/>
    <w:rsid w:val="006259DD"/>
    <w:rsid w:val="00625F1B"/>
    <w:rsid w:val="00626129"/>
    <w:rsid w:val="006265DE"/>
    <w:rsid w:val="0062726F"/>
    <w:rsid w:val="006272BA"/>
    <w:rsid w:val="00627CBD"/>
    <w:rsid w:val="00627F2B"/>
    <w:rsid w:val="0063035E"/>
    <w:rsid w:val="00630496"/>
    <w:rsid w:val="00630AC5"/>
    <w:rsid w:val="00630B02"/>
    <w:rsid w:val="00630F7B"/>
    <w:rsid w:val="006311D1"/>
    <w:rsid w:val="006312AD"/>
    <w:rsid w:val="00631421"/>
    <w:rsid w:val="00631754"/>
    <w:rsid w:val="00631DA4"/>
    <w:rsid w:val="00631E7A"/>
    <w:rsid w:val="00632002"/>
    <w:rsid w:val="00632C37"/>
    <w:rsid w:val="006332BE"/>
    <w:rsid w:val="006333C5"/>
    <w:rsid w:val="00633434"/>
    <w:rsid w:val="00633A41"/>
    <w:rsid w:val="00633A6A"/>
    <w:rsid w:val="00633C4C"/>
    <w:rsid w:val="006343B7"/>
    <w:rsid w:val="00634869"/>
    <w:rsid w:val="00635249"/>
    <w:rsid w:val="0063554C"/>
    <w:rsid w:val="006357C8"/>
    <w:rsid w:val="00635EF3"/>
    <w:rsid w:val="00635F76"/>
    <w:rsid w:val="00636063"/>
    <w:rsid w:val="00636608"/>
    <w:rsid w:val="00636718"/>
    <w:rsid w:val="006367DC"/>
    <w:rsid w:val="00636836"/>
    <w:rsid w:val="006368A3"/>
    <w:rsid w:val="00636BE9"/>
    <w:rsid w:val="00636D93"/>
    <w:rsid w:val="00637277"/>
    <w:rsid w:val="006373A8"/>
    <w:rsid w:val="00637C5B"/>
    <w:rsid w:val="00637F65"/>
    <w:rsid w:val="00640770"/>
    <w:rsid w:val="0064081F"/>
    <w:rsid w:val="006408C3"/>
    <w:rsid w:val="00640B90"/>
    <w:rsid w:val="00640E65"/>
    <w:rsid w:val="00640F23"/>
    <w:rsid w:val="00640F7D"/>
    <w:rsid w:val="006416A1"/>
    <w:rsid w:val="006418ED"/>
    <w:rsid w:val="00641F9D"/>
    <w:rsid w:val="006428AF"/>
    <w:rsid w:val="0064290C"/>
    <w:rsid w:val="00642EAE"/>
    <w:rsid w:val="00642F21"/>
    <w:rsid w:val="006433EA"/>
    <w:rsid w:val="0064344A"/>
    <w:rsid w:val="006435CD"/>
    <w:rsid w:val="006436B7"/>
    <w:rsid w:val="0064378C"/>
    <w:rsid w:val="00643E92"/>
    <w:rsid w:val="006440FA"/>
    <w:rsid w:val="00644121"/>
    <w:rsid w:val="006441DE"/>
    <w:rsid w:val="0064425D"/>
    <w:rsid w:val="0064459F"/>
    <w:rsid w:val="00644878"/>
    <w:rsid w:val="006448C0"/>
    <w:rsid w:val="00644918"/>
    <w:rsid w:val="00644A56"/>
    <w:rsid w:val="00644ADC"/>
    <w:rsid w:val="00644B1E"/>
    <w:rsid w:val="00644F09"/>
    <w:rsid w:val="00645016"/>
    <w:rsid w:val="006451DE"/>
    <w:rsid w:val="00645300"/>
    <w:rsid w:val="006454A2"/>
    <w:rsid w:val="006454BB"/>
    <w:rsid w:val="00645523"/>
    <w:rsid w:val="00645AB3"/>
    <w:rsid w:val="0064620D"/>
    <w:rsid w:val="0064719A"/>
    <w:rsid w:val="006474F6"/>
    <w:rsid w:val="006476CE"/>
    <w:rsid w:val="00647D0E"/>
    <w:rsid w:val="006509FC"/>
    <w:rsid w:val="00650E56"/>
    <w:rsid w:val="00650EB9"/>
    <w:rsid w:val="00650F05"/>
    <w:rsid w:val="0065124C"/>
    <w:rsid w:val="0065184B"/>
    <w:rsid w:val="006518BD"/>
    <w:rsid w:val="006519DF"/>
    <w:rsid w:val="00652164"/>
    <w:rsid w:val="0065226B"/>
    <w:rsid w:val="006525DA"/>
    <w:rsid w:val="0065298B"/>
    <w:rsid w:val="00652EAF"/>
    <w:rsid w:val="00653015"/>
    <w:rsid w:val="00653481"/>
    <w:rsid w:val="0065389D"/>
    <w:rsid w:val="00654352"/>
    <w:rsid w:val="006545E6"/>
    <w:rsid w:val="00654F5E"/>
    <w:rsid w:val="00655158"/>
    <w:rsid w:val="006555C8"/>
    <w:rsid w:val="00655754"/>
    <w:rsid w:val="00656189"/>
    <w:rsid w:val="0065658E"/>
    <w:rsid w:val="0065667B"/>
    <w:rsid w:val="006568AF"/>
    <w:rsid w:val="006569CD"/>
    <w:rsid w:val="00656A27"/>
    <w:rsid w:val="00656B7A"/>
    <w:rsid w:val="00656F86"/>
    <w:rsid w:val="00657754"/>
    <w:rsid w:val="00657C8A"/>
    <w:rsid w:val="00657CBE"/>
    <w:rsid w:val="0066002C"/>
    <w:rsid w:val="00660065"/>
    <w:rsid w:val="00661590"/>
    <w:rsid w:val="00661827"/>
    <w:rsid w:val="006618AA"/>
    <w:rsid w:val="00662161"/>
    <w:rsid w:val="006625FF"/>
    <w:rsid w:val="00662DFF"/>
    <w:rsid w:val="0066304C"/>
    <w:rsid w:val="0066395F"/>
    <w:rsid w:val="00664356"/>
    <w:rsid w:val="00665FC6"/>
    <w:rsid w:val="00666862"/>
    <w:rsid w:val="00666948"/>
    <w:rsid w:val="00666ABA"/>
    <w:rsid w:val="00666AEB"/>
    <w:rsid w:val="00666C6A"/>
    <w:rsid w:val="00667104"/>
    <w:rsid w:val="00667548"/>
    <w:rsid w:val="00667B00"/>
    <w:rsid w:val="00667CBF"/>
    <w:rsid w:val="00667FF1"/>
    <w:rsid w:val="006701B0"/>
    <w:rsid w:val="006702F9"/>
    <w:rsid w:val="00671066"/>
    <w:rsid w:val="006712D5"/>
    <w:rsid w:val="006718A3"/>
    <w:rsid w:val="00671BDE"/>
    <w:rsid w:val="00671C9F"/>
    <w:rsid w:val="00671DB5"/>
    <w:rsid w:val="00672120"/>
    <w:rsid w:val="00672285"/>
    <w:rsid w:val="006722AC"/>
    <w:rsid w:val="006724C1"/>
    <w:rsid w:val="00672CF8"/>
    <w:rsid w:val="00673169"/>
    <w:rsid w:val="0067327D"/>
    <w:rsid w:val="00673352"/>
    <w:rsid w:val="00673843"/>
    <w:rsid w:val="0067435D"/>
    <w:rsid w:val="00674A03"/>
    <w:rsid w:val="00674A45"/>
    <w:rsid w:val="00674C23"/>
    <w:rsid w:val="00674F26"/>
    <w:rsid w:val="00674FB8"/>
    <w:rsid w:val="00675220"/>
    <w:rsid w:val="0067538C"/>
    <w:rsid w:val="00675670"/>
    <w:rsid w:val="006756B3"/>
    <w:rsid w:val="0067572D"/>
    <w:rsid w:val="006758DE"/>
    <w:rsid w:val="00675BAD"/>
    <w:rsid w:val="00675E30"/>
    <w:rsid w:val="00676040"/>
    <w:rsid w:val="0067635B"/>
    <w:rsid w:val="0067647F"/>
    <w:rsid w:val="00676648"/>
    <w:rsid w:val="00676D20"/>
    <w:rsid w:val="00676E15"/>
    <w:rsid w:val="006770D5"/>
    <w:rsid w:val="00677278"/>
    <w:rsid w:val="006779C6"/>
    <w:rsid w:val="00677A76"/>
    <w:rsid w:val="006802F1"/>
    <w:rsid w:val="0068038A"/>
    <w:rsid w:val="006807F1"/>
    <w:rsid w:val="006809C9"/>
    <w:rsid w:val="00680F4D"/>
    <w:rsid w:val="00680F9D"/>
    <w:rsid w:val="00681031"/>
    <w:rsid w:val="00681C5B"/>
    <w:rsid w:val="00681CCF"/>
    <w:rsid w:val="00681CEE"/>
    <w:rsid w:val="00682769"/>
    <w:rsid w:val="0068288C"/>
    <w:rsid w:val="006835A5"/>
    <w:rsid w:val="0068368C"/>
    <w:rsid w:val="00683AAC"/>
    <w:rsid w:val="00683B4A"/>
    <w:rsid w:val="00683C1E"/>
    <w:rsid w:val="00683E90"/>
    <w:rsid w:val="0068446B"/>
    <w:rsid w:val="0068480D"/>
    <w:rsid w:val="00684CDB"/>
    <w:rsid w:val="00685536"/>
    <w:rsid w:val="006855D2"/>
    <w:rsid w:val="00685700"/>
    <w:rsid w:val="0068604B"/>
    <w:rsid w:val="0068650C"/>
    <w:rsid w:val="006865E9"/>
    <w:rsid w:val="00686A36"/>
    <w:rsid w:val="00686A71"/>
    <w:rsid w:val="006871A1"/>
    <w:rsid w:val="006875BD"/>
    <w:rsid w:val="00687B54"/>
    <w:rsid w:val="006902EA"/>
    <w:rsid w:val="0069057E"/>
    <w:rsid w:val="00690D7E"/>
    <w:rsid w:val="006910C1"/>
    <w:rsid w:val="0069123E"/>
    <w:rsid w:val="0069163E"/>
    <w:rsid w:val="00691913"/>
    <w:rsid w:val="00691EC2"/>
    <w:rsid w:val="0069260F"/>
    <w:rsid w:val="0069296E"/>
    <w:rsid w:val="00692B7E"/>
    <w:rsid w:val="00692C6F"/>
    <w:rsid w:val="00692D1E"/>
    <w:rsid w:val="00693399"/>
    <w:rsid w:val="00693496"/>
    <w:rsid w:val="00693739"/>
    <w:rsid w:val="00693937"/>
    <w:rsid w:val="00693DBF"/>
    <w:rsid w:val="0069402C"/>
    <w:rsid w:val="00694434"/>
    <w:rsid w:val="0069459C"/>
    <w:rsid w:val="00694FAA"/>
    <w:rsid w:val="00695649"/>
    <w:rsid w:val="00695B52"/>
    <w:rsid w:val="00696D0B"/>
    <w:rsid w:val="00696D1F"/>
    <w:rsid w:val="00696D80"/>
    <w:rsid w:val="00696E3C"/>
    <w:rsid w:val="006975B4"/>
    <w:rsid w:val="00697C43"/>
    <w:rsid w:val="00697DC4"/>
    <w:rsid w:val="00697F94"/>
    <w:rsid w:val="006A0154"/>
    <w:rsid w:val="006A0894"/>
    <w:rsid w:val="006A0B1F"/>
    <w:rsid w:val="006A0C03"/>
    <w:rsid w:val="006A0C9A"/>
    <w:rsid w:val="006A0DD1"/>
    <w:rsid w:val="006A0E7A"/>
    <w:rsid w:val="006A1074"/>
    <w:rsid w:val="006A107C"/>
    <w:rsid w:val="006A131D"/>
    <w:rsid w:val="006A138B"/>
    <w:rsid w:val="006A1569"/>
    <w:rsid w:val="006A15B9"/>
    <w:rsid w:val="006A1A62"/>
    <w:rsid w:val="006A1F8B"/>
    <w:rsid w:val="006A2227"/>
    <w:rsid w:val="006A2300"/>
    <w:rsid w:val="006A239A"/>
    <w:rsid w:val="006A23E5"/>
    <w:rsid w:val="006A2B03"/>
    <w:rsid w:val="006A2FED"/>
    <w:rsid w:val="006A368A"/>
    <w:rsid w:val="006A3821"/>
    <w:rsid w:val="006A393B"/>
    <w:rsid w:val="006A3D2E"/>
    <w:rsid w:val="006A3F4B"/>
    <w:rsid w:val="006A3F8C"/>
    <w:rsid w:val="006A4477"/>
    <w:rsid w:val="006A45C0"/>
    <w:rsid w:val="006A4A3C"/>
    <w:rsid w:val="006A4BBA"/>
    <w:rsid w:val="006A5159"/>
    <w:rsid w:val="006A5543"/>
    <w:rsid w:val="006A569A"/>
    <w:rsid w:val="006A57AE"/>
    <w:rsid w:val="006A6432"/>
    <w:rsid w:val="006A6710"/>
    <w:rsid w:val="006A6EA0"/>
    <w:rsid w:val="006A737C"/>
    <w:rsid w:val="006A746F"/>
    <w:rsid w:val="006A7475"/>
    <w:rsid w:val="006A760C"/>
    <w:rsid w:val="006A7B13"/>
    <w:rsid w:val="006B015B"/>
    <w:rsid w:val="006B0224"/>
    <w:rsid w:val="006B026D"/>
    <w:rsid w:val="006B0480"/>
    <w:rsid w:val="006B064C"/>
    <w:rsid w:val="006B06BC"/>
    <w:rsid w:val="006B093B"/>
    <w:rsid w:val="006B0D95"/>
    <w:rsid w:val="006B12EC"/>
    <w:rsid w:val="006B139D"/>
    <w:rsid w:val="006B140A"/>
    <w:rsid w:val="006B1985"/>
    <w:rsid w:val="006B1AFE"/>
    <w:rsid w:val="006B1BBE"/>
    <w:rsid w:val="006B20D4"/>
    <w:rsid w:val="006B26DB"/>
    <w:rsid w:val="006B27FB"/>
    <w:rsid w:val="006B2B6E"/>
    <w:rsid w:val="006B317D"/>
    <w:rsid w:val="006B322D"/>
    <w:rsid w:val="006B32AD"/>
    <w:rsid w:val="006B3435"/>
    <w:rsid w:val="006B3522"/>
    <w:rsid w:val="006B3D3D"/>
    <w:rsid w:val="006B3D56"/>
    <w:rsid w:val="006B4058"/>
    <w:rsid w:val="006B4C9F"/>
    <w:rsid w:val="006B53A7"/>
    <w:rsid w:val="006B578D"/>
    <w:rsid w:val="006B5D29"/>
    <w:rsid w:val="006B6044"/>
    <w:rsid w:val="006B61FD"/>
    <w:rsid w:val="006B68DD"/>
    <w:rsid w:val="006B6CE2"/>
    <w:rsid w:val="006B6DE4"/>
    <w:rsid w:val="006B71EA"/>
    <w:rsid w:val="006B7452"/>
    <w:rsid w:val="006B78D5"/>
    <w:rsid w:val="006B7FCF"/>
    <w:rsid w:val="006C014A"/>
    <w:rsid w:val="006C01AF"/>
    <w:rsid w:val="006C0967"/>
    <w:rsid w:val="006C0974"/>
    <w:rsid w:val="006C166B"/>
    <w:rsid w:val="006C1AA1"/>
    <w:rsid w:val="006C29DD"/>
    <w:rsid w:val="006C2E2D"/>
    <w:rsid w:val="006C2F7C"/>
    <w:rsid w:val="006C31C2"/>
    <w:rsid w:val="006C31E6"/>
    <w:rsid w:val="006C3EC4"/>
    <w:rsid w:val="006C42C1"/>
    <w:rsid w:val="006C45ED"/>
    <w:rsid w:val="006C48C8"/>
    <w:rsid w:val="006C4906"/>
    <w:rsid w:val="006C504B"/>
    <w:rsid w:val="006C52EE"/>
    <w:rsid w:val="006C59E7"/>
    <w:rsid w:val="006C5F18"/>
    <w:rsid w:val="006C62FF"/>
    <w:rsid w:val="006C6356"/>
    <w:rsid w:val="006C641C"/>
    <w:rsid w:val="006C67B4"/>
    <w:rsid w:val="006C6AA6"/>
    <w:rsid w:val="006C6CB7"/>
    <w:rsid w:val="006C77CE"/>
    <w:rsid w:val="006C77E5"/>
    <w:rsid w:val="006C7954"/>
    <w:rsid w:val="006D021D"/>
    <w:rsid w:val="006D046F"/>
    <w:rsid w:val="006D0781"/>
    <w:rsid w:val="006D1234"/>
    <w:rsid w:val="006D191A"/>
    <w:rsid w:val="006D1BF3"/>
    <w:rsid w:val="006D1EFF"/>
    <w:rsid w:val="006D2960"/>
    <w:rsid w:val="006D2A8E"/>
    <w:rsid w:val="006D2AE7"/>
    <w:rsid w:val="006D2B3C"/>
    <w:rsid w:val="006D3271"/>
    <w:rsid w:val="006D33C5"/>
    <w:rsid w:val="006D4201"/>
    <w:rsid w:val="006D42C7"/>
    <w:rsid w:val="006D4545"/>
    <w:rsid w:val="006D47DF"/>
    <w:rsid w:val="006D4E1F"/>
    <w:rsid w:val="006D5730"/>
    <w:rsid w:val="006D5758"/>
    <w:rsid w:val="006D599F"/>
    <w:rsid w:val="006D5A0E"/>
    <w:rsid w:val="006D5D03"/>
    <w:rsid w:val="006D5F43"/>
    <w:rsid w:val="006D62D9"/>
    <w:rsid w:val="006D63E9"/>
    <w:rsid w:val="006D71D8"/>
    <w:rsid w:val="006D7D25"/>
    <w:rsid w:val="006E0564"/>
    <w:rsid w:val="006E0888"/>
    <w:rsid w:val="006E140C"/>
    <w:rsid w:val="006E1B74"/>
    <w:rsid w:val="006E1E06"/>
    <w:rsid w:val="006E22FD"/>
    <w:rsid w:val="006E2557"/>
    <w:rsid w:val="006E3247"/>
    <w:rsid w:val="006E32C1"/>
    <w:rsid w:val="006E3347"/>
    <w:rsid w:val="006E36A4"/>
    <w:rsid w:val="006E3CB0"/>
    <w:rsid w:val="006E424F"/>
    <w:rsid w:val="006E4920"/>
    <w:rsid w:val="006E5159"/>
    <w:rsid w:val="006E51C4"/>
    <w:rsid w:val="006E57A6"/>
    <w:rsid w:val="006E6356"/>
    <w:rsid w:val="006E64CE"/>
    <w:rsid w:val="006E6CEE"/>
    <w:rsid w:val="006E714C"/>
    <w:rsid w:val="006E7302"/>
    <w:rsid w:val="006E7446"/>
    <w:rsid w:val="006E754F"/>
    <w:rsid w:val="006E7862"/>
    <w:rsid w:val="006E7A2F"/>
    <w:rsid w:val="006E7DEC"/>
    <w:rsid w:val="006F0474"/>
    <w:rsid w:val="006F09E9"/>
    <w:rsid w:val="006F0FCB"/>
    <w:rsid w:val="006F0FE7"/>
    <w:rsid w:val="006F1180"/>
    <w:rsid w:val="006F161E"/>
    <w:rsid w:val="006F164F"/>
    <w:rsid w:val="006F1AE9"/>
    <w:rsid w:val="006F1BB3"/>
    <w:rsid w:val="006F1E91"/>
    <w:rsid w:val="006F21CC"/>
    <w:rsid w:val="006F2336"/>
    <w:rsid w:val="006F28F1"/>
    <w:rsid w:val="006F2BCF"/>
    <w:rsid w:val="006F328D"/>
    <w:rsid w:val="006F350A"/>
    <w:rsid w:val="006F3877"/>
    <w:rsid w:val="006F3943"/>
    <w:rsid w:val="006F3B88"/>
    <w:rsid w:val="006F410C"/>
    <w:rsid w:val="006F44F8"/>
    <w:rsid w:val="006F45B6"/>
    <w:rsid w:val="006F4DA0"/>
    <w:rsid w:val="006F506A"/>
    <w:rsid w:val="006F50C3"/>
    <w:rsid w:val="006F53D8"/>
    <w:rsid w:val="006F56BE"/>
    <w:rsid w:val="006F56F6"/>
    <w:rsid w:val="006F579F"/>
    <w:rsid w:val="006F59CB"/>
    <w:rsid w:val="006F5DAB"/>
    <w:rsid w:val="006F5E75"/>
    <w:rsid w:val="006F6353"/>
    <w:rsid w:val="006F635C"/>
    <w:rsid w:val="006F6759"/>
    <w:rsid w:val="006F6850"/>
    <w:rsid w:val="006F6E09"/>
    <w:rsid w:val="006F74FE"/>
    <w:rsid w:val="006F757A"/>
    <w:rsid w:val="006F76AC"/>
    <w:rsid w:val="006F7C3A"/>
    <w:rsid w:val="00700435"/>
    <w:rsid w:val="00700846"/>
    <w:rsid w:val="00700886"/>
    <w:rsid w:val="00700EAB"/>
    <w:rsid w:val="00700F81"/>
    <w:rsid w:val="00700FE7"/>
    <w:rsid w:val="00701708"/>
    <w:rsid w:val="007017A7"/>
    <w:rsid w:val="007025B6"/>
    <w:rsid w:val="007027FE"/>
    <w:rsid w:val="00702AED"/>
    <w:rsid w:val="0070308D"/>
    <w:rsid w:val="0070335A"/>
    <w:rsid w:val="00703418"/>
    <w:rsid w:val="00703782"/>
    <w:rsid w:val="00703AC4"/>
    <w:rsid w:val="00703BAE"/>
    <w:rsid w:val="00703EEE"/>
    <w:rsid w:val="00704224"/>
    <w:rsid w:val="007045D0"/>
    <w:rsid w:val="00704E12"/>
    <w:rsid w:val="007051D8"/>
    <w:rsid w:val="007056AB"/>
    <w:rsid w:val="007056D2"/>
    <w:rsid w:val="00705C17"/>
    <w:rsid w:val="00705E91"/>
    <w:rsid w:val="007061AA"/>
    <w:rsid w:val="007063C7"/>
    <w:rsid w:val="007063D3"/>
    <w:rsid w:val="007068AD"/>
    <w:rsid w:val="007068E8"/>
    <w:rsid w:val="0070714E"/>
    <w:rsid w:val="007102D9"/>
    <w:rsid w:val="00710485"/>
    <w:rsid w:val="007104AE"/>
    <w:rsid w:val="007105B1"/>
    <w:rsid w:val="007109D8"/>
    <w:rsid w:val="00710C73"/>
    <w:rsid w:val="00710E19"/>
    <w:rsid w:val="00711334"/>
    <w:rsid w:val="007115E8"/>
    <w:rsid w:val="00711895"/>
    <w:rsid w:val="00711A5D"/>
    <w:rsid w:val="00711CBE"/>
    <w:rsid w:val="00711E87"/>
    <w:rsid w:val="00711EEA"/>
    <w:rsid w:val="00712202"/>
    <w:rsid w:val="00712419"/>
    <w:rsid w:val="00712665"/>
    <w:rsid w:val="00712B53"/>
    <w:rsid w:val="00712C73"/>
    <w:rsid w:val="0071362E"/>
    <w:rsid w:val="00713779"/>
    <w:rsid w:val="0071468C"/>
    <w:rsid w:val="007147B6"/>
    <w:rsid w:val="007147CB"/>
    <w:rsid w:val="007148E4"/>
    <w:rsid w:val="00714D51"/>
    <w:rsid w:val="00714E0D"/>
    <w:rsid w:val="00715033"/>
    <w:rsid w:val="007152C3"/>
    <w:rsid w:val="007153D7"/>
    <w:rsid w:val="0071563A"/>
    <w:rsid w:val="00716658"/>
    <w:rsid w:val="007170AA"/>
    <w:rsid w:val="00717618"/>
    <w:rsid w:val="00717876"/>
    <w:rsid w:val="00717886"/>
    <w:rsid w:val="007179FC"/>
    <w:rsid w:val="00717C8E"/>
    <w:rsid w:val="007206C7"/>
    <w:rsid w:val="00720870"/>
    <w:rsid w:val="00720D81"/>
    <w:rsid w:val="00720DDC"/>
    <w:rsid w:val="00720E59"/>
    <w:rsid w:val="0072111F"/>
    <w:rsid w:val="00721551"/>
    <w:rsid w:val="0072165C"/>
    <w:rsid w:val="00721767"/>
    <w:rsid w:val="007218A7"/>
    <w:rsid w:val="00721B89"/>
    <w:rsid w:val="00721D14"/>
    <w:rsid w:val="007220FB"/>
    <w:rsid w:val="00722107"/>
    <w:rsid w:val="0072220E"/>
    <w:rsid w:val="00722446"/>
    <w:rsid w:val="0072260B"/>
    <w:rsid w:val="007226E5"/>
    <w:rsid w:val="0072282E"/>
    <w:rsid w:val="00722B9B"/>
    <w:rsid w:val="00722E7A"/>
    <w:rsid w:val="00722E8A"/>
    <w:rsid w:val="007230B8"/>
    <w:rsid w:val="00723323"/>
    <w:rsid w:val="0072359F"/>
    <w:rsid w:val="007235EA"/>
    <w:rsid w:val="007236A9"/>
    <w:rsid w:val="007236B1"/>
    <w:rsid w:val="00723E16"/>
    <w:rsid w:val="00723E1E"/>
    <w:rsid w:val="00723EE5"/>
    <w:rsid w:val="007241DF"/>
    <w:rsid w:val="007247E3"/>
    <w:rsid w:val="00724976"/>
    <w:rsid w:val="00724A58"/>
    <w:rsid w:val="007251B6"/>
    <w:rsid w:val="007254EC"/>
    <w:rsid w:val="00725A56"/>
    <w:rsid w:val="00725B65"/>
    <w:rsid w:val="00726361"/>
    <w:rsid w:val="0072685C"/>
    <w:rsid w:val="007271AB"/>
    <w:rsid w:val="0072724F"/>
    <w:rsid w:val="0072764E"/>
    <w:rsid w:val="007277B1"/>
    <w:rsid w:val="00727A03"/>
    <w:rsid w:val="00727A48"/>
    <w:rsid w:val="00727D0B"/>
    <w:rsid w:val="007300B4"/>
    <w:rsid w:val="0073016D"/>
    <w:rsid w:val="0073046C"/>
    <w:rsid w:val="00730D37"/>
    <w:rsid w:val="00730D7F"/>
    <w:rsid w:val="00730FA2"/>
    <w:rsid w:val="00731323"/>
    <w:rsid w:val="00731903"/>
    <w:rsid w:val="0073198B"/>
    <w:rsid w:val="00731C96"/>
    <w:rsid w:val="00731EEE"/>
    <w:rsid w:val="0073244D"/>
    <w:rsid w:val="00732E43"/>
    <w:rsid w:val="007331C8"/>
    <w:rsid w:val="007333BB"/>
    <w:rsid w:val="0073397D"/>
    <w:rsid w:val="00733DCE"/>
    <w:rsid w:val="00733F45"/>
    <w:rsid w:val="00734034"/>
    <w:rsid w:val="007349E4"/>
    <w:rsid w:val="0073510F"/>
    <w:rsid w:val="00735600"/>
    <w:rsid w:val="00735846"/>
    <w:rsid w:val="00735AF8"/>
    <w:rsid w:val="00735B0B"/>
    <w:rsid w:val="00735C5B"/>
    <w:rsid w:val="00735E37"/>
    <w:rsid w:val="00735FCB"/>
    <w:rsid w:val="007369CA"/>
    <w:rsid w:val="00736A02"/>
    <w:rsid w:val="00736A67"/>
    <w:rsid w:val="00736B8B"/>
    <w:rsid w:val="0073734F"/>
    <w:rsid w:val="007375DF"/>
    <w:rsid w:val="00737FFD"/>
    <w:rsid w:val="0074029C"/>
    <w:rsid w:val="00740452"/>
    <w:rsid w:val="007408E9"/>
    <w:rsid w:val="007408F2"/>
    <w:rsid w:val="00740924"/>
    <w:rsid w:val="00740962"/>
    <w:rsid w:val="00740B71"/>
    <w:rsid w:val="00740E28"/>
    <w:rsid w:val="007414B4"/>
    <w:rsid w:val="00741C61"/>
    <w:rsid w:val="00742323"/>
    <w:rsid w:val="007425C4"/>
    <w:rsid w:val="00742BD8"/>
    <w:rsid w:val="00742ED2"/>
    <w:rsid w:val="007431E2"/>
    <w:rsid w:val="0074324A"/>
    <w:rsid w:val="007433E9"/>
    <w:rsid w:val="00743B80"/>
    <w:rsid w:val="00743C95"/>
    <w:rsid w:val="00744326"/>
    <w:rsid w:val="00744331"/>
    <w:rsid w:val="00744512"/>
    <w:rsid w:val="0074475F"/>
    <w:rsid w:val="00744DCE"/>
    <w:rsid w:val="00745DAD"/>
    <w:rsid w:val="00746716"/>
    <w:rsid w:val="00746F23"/>
    <w:rsid w:val="0074715B"/>
    <w:rsid w:val="00747259"/>
    <w:rsid w:val="00747380"/>
    <w:rsid w:val="00747B05"/>
    <w:rsid w:val="00747B7D"/>
    <w:rsid w:val="00747C80"/>
    <w:rsid w:val="00747D9E"/>
    <w:rsid w:val="00747EE0"/>
    <w:rsid w:val="007503C5"/>
    <w:rsid w:val="00750420"/>
    <w:rsid w:val="0075082C"/>
    <w:rsid w:val="00750840"/>
    <w:rsid w:val="007509A6"/>
    <w:rsid w:val="00750B5A"/>
    <w:rsid w:val="00750EA8"/>
    <w:rsid w:val="007511D3"/>
    <w:rsid w:val="00751C6B"/>
    <w:rsid w:val="00751F15"/>
    <w:rsid w:val="00752323"/>
    <w:rsid w:val="00752425"/>
    <w:rsid w:val="00752484"/>
    <w:rsid w:val="0075274D"/>
    <w:rsid w:val="00752A34"/>
    <w:rsid w:val="00752EEA"/>
    <w:rsid w:val="007536B9"/>
    <w:rsid w:val="00753AF9"/>
    <w:rsid w:val="00753C86"/>
    <w:rsid w:val="00754E85"/>
    <w:rsid w:val="00755059"/>
    <w:rsid w:val="007554C0"/>
    <w:rsid w:val="007555FB"/>
    <w:rsid w:val="007558FA"/>
    <w:rsid w:val="00755BAB"/>
    <w:rsid w:val="007563B9"/>
    <w:rsid w:val="0075652B"/>
    <w:rsid w:val="00756628"/>
    <w:rsid w:val="007567E1"/>
    <w:rsid w:val="00756ACC"/>
    <w:rsid w:val="00756AD4"/>
    <w:rsid w:val="00756C01"/>
    <w:rsid w:val="00756D6C"/>
    <w:rsid w:val="00756F2D"/>
    <w:rsid w:val="00756F47"/>
    <w:rsid w:val="00757158"/>
    <w:rsid w:val="00757912"/>
    <w:rsid w:val="00757C08"/>
    <w:rsid w:val="00760EF5"/>
    <w:rsid w:val="00760FBF"/>
    <w:rsid w:val="007621C4"/>
    <w:rsid w:val="00762373"/>
    <w:rsid w:val="00762936"/>
    <w:rsid w:val="00762B26"/>
    <w:rsid w:val="00762DA0"/>
    <w:rsid w:val="00762FD0"/>
    <w:rsid w:val="007636C8"/>
    <w:rsid w:val="00763A1C"/>
    <w:rsid w:val="00763ECD"/>
    <w:rsid w:val="00763F91"/>
    <w:rsid w:val="0076446C"/>
    <w:rsid w:val="00764A95"/>
    <w:rsid w:val="00765039"/>
    <w:rsid w:val="007650D0"/>
    <w:rsid w:val="007650DB"/>
    <w:rsid w:val="0076596B"/>
    <w:rsid w:val="00765A24"/>
    <w:rsid w:val="007661B4"/>
    <w:rsid w:val="00766307"/>
    <w:rsid w:val="007663B6"/>
    <w:rsid w:val="00766810"/>
    <w:rsid w:val="00766A70"/>
    <w:rsid w:val="00766EB4"/>
    <w:rsid w:val="00766FE5"/>
    <w:rsid w:val="007677FF"/>
    <w:rsid w:val="00767970"/>
    <w:rsid w:val="00767A04"/>
    <w:rsid w:val="00767C2A"/>
    <w:rsid w:val="00767E40"/>
    <w:rsid w:val="0077004E"/>
    <w:rsid w:val="00770241"/>
    <w:rsid w:val="007703A8"/>
    <w:rsid w:val="0077050C"/>
    <w:rsid w:val="0077057B"/>
    <w:rsid w:val="00770966"/>
    <w:rsid w:val="00770B49"/>
    <w:rsid w:val="00771D7E"/>
    <w:rsid w:val="00772422"/>
    <w:rsid w:val="007726CB"/>
    <w:rsid w:val="00772C70"/>
    <w:rsid w:val="00772CD7"/>
    <w:rsid w:val="00772D45"/>
    <w:rsid w:val="00773021"/>
    <w:rsid w:val="0077348B"/>
    <w:rsid w:val="00773700"/>
    <w:rsid w:val="00773B17"/>
    <w:rsid w:val="00773DD6"/>
    <w:rsid w:val="0077413E"/>
    <w:rsid w:val="00774D7B"/>
    <w:rsid w:val="0077548D"/>
    <w:rsid w:val="00775C7D"/>
    <w:rsid w:val="007760B9"/>
    <w:rsid w:val="0077638B"/>
    <w:rsid w:val="00776599"/>
    <w:rsid w:val="00776624"/>
    <w:rsid w:val="00776786"/>
    <w:rsid w:val="0077709E"/>
    <w:rsid w:val="00777222"/>
    <w:rsid w:val="0077735C"/>
    <w:rsid w:val="00777D1F"/>
    <w:rsid w:val="00777E7F"/>
    <w:rsid w:val="007801DE"/>
    <w:rsid w:val="00780828"/>
    <w:rsid w:val="00780C9E"/>
    <w:rsid w:val="00780EBE"/>
    <w:rsid w:val="00781177"/>
    <w:rsid w:val="007813E0"/>
    <w:rsid w:val="0078161D"/>
    <w:rsid w:val="00781712"/>
    <w:rsid w:val="00781777"/>
    <w:rsid w:val="00781B7C"/>
    <w:rsid w:val="00781CD9"/>
    <w:rsid w:val="00781EC7"/>
    <w:rsid w:val="00781F4B"/>
    <w:rsid w:val="0078218C"/>
    <w:rsid w:val="00782642"/>
    <w:rsid w:val="007828F3"/>
    <w:rsid w:val="0078295B"/>
    <w:rsid w:val="00782C50"/>
    <w:rsid w:val="00782E64"/>
    <w:rsid w:val="00782FE2"/>
    <w:rsid w:val="00783257"/>
    <w:rsid w:val="007843C5"/>
    <w:rsid w:val="007846EB"/>
    <w:rsid w:val="007847C8"/>
    <w:rsid w:val="007847FA"/>
    <w:rsid w:val="007849B1"/>
    <w:rsid w:val="00784F38"/>
    <w:rsid w:val="00784F84"/>
    <w:rsid w:val="0078502A"/>
    <w:rsid w:val="00785527"/>
    <w:rsid w:val="00785BC2"/>
    <w:rsid w:val="0078608E"/>
    <w:rsid w:val="00786243"/>
    <w:rsid w:val="0078642D"/>
    <w:rsid w:val="00786D6F"/>
    <w:rsid w:val="00787141"/>
    <w:rsid w:val="007872BE"/>
    <w:rsid w:val="00787332"/>
    <w:rsid w:val="00787711"/>
    <w:rsid w:val="00787F89"/>
    <w:rsid w:val="0079048D"/>
    <w:rsid w:val="00790492"/>
    <w:rsid w:val="007906AC"/>
    <w:rsid w:val="007906C3"/>
    <w:rsid w:val="00790910"/>
    <w:rsid w:val="007909E5"/>
    <w:rsid w:val="00790A02"/>
    <w:rsid w:val="00790C20"/>
    <w:rsid w:val="00790C68"/>
    <w:rsid w:val="007910D3"/>
    <w:rsid w:val="00791683"/>
    <w:rsid w:val="00791DE1"/>
    <w:rsid w:val="007925AE"/>
    <w:rsid w:val="0079282A"/>
    <w:rsid w:val="00792949"/>
    <w:rsid w:val="00792E93"/>
    <w:rsid w:val="00793068"/>
    <w:rsid w:val="00793393"/>
    <w:rsid w:val="007934EC"/>
    <w:rsid w:val="0079375E"/>
    <w:rsid w:val="00793774"/>
    <w:rsid w:val="007937AF"/>
    <w:rsid w:val="007937B8"/>
    <w:rsid w:val="00793861"/>
    <w:rsid w:val="007941B4"/>
    <w:rsid w:val="00794729"/>
    <w:rsid w:val="00794AEE"/>
    <w:rsid w:val="00794B57"/>
    <w:rsid w:val="00794BF1"/>
    <w:rsid w:val="0079515E"/>
    <w:rsid w:val="00795368"/>
    <w:rsid w:val="007957BB"/>
    <w:rsid w:val="007957E5"/>
    <w:rsid w:val="007960B1"/>
    <w:rsid w:val="00796368"/>
    <w:rsid w:val="00796954"/>
    <w:rsid w:val="007969E1"/>
    <w:rsid w:val="007969FD"/>
    <w:rsid w:val="00796E20"/>
    <w:rsid w:val="00796E2B"/>
    <w:rsid w:val="00796E53"/>
    <w:rsid w:val="007974E1"/>
    <w:rsid w:val="00797B07"/>
    <w:rsid w:val="00797BB2"/>
    <w:rsid w:val="00797D36"/>
    <w:rsid w:val="00797D9F"/>
    <w:rsid w:val="00797F40"/>
    <w:rsid w:val="007A005C"/>
    <w:rsid w:val="007A0634"/>
    <w:rsid w:val="007A0657"/>
    <w:rsid w:val="007A0667"/>
    <w:rsid w:val="007A08FB"/>
    <w:rsid w:val="007A0C94"/>
    <w:rsid w:val="007A0D5C"/>
    <w:rsid w:val="007A104C"/>
    <w:rsid w:val="007A15B8"/>
    <w:rsid w:val="007A16EC"/>
    <w:rsid w:val="007A1AEB"/>
    <w:rsid w:val="007A1BBC"/>
    <w:rsid w:val="007A1BDC"/>
    <w:rsid w:val="007A2535"/>
    <w:rsid w:val="007A278E"/>
    <w:rsid w:val="007A2961"/>
    <w:rsid w:val="007A2DAE"/>
    <w:rsid w:val="007A2F58"/>
    <w:rsid w:val="007A321D"/>
    <w:rsid w:val="007A32D9"/>
    <w:rsid w:val="007A37EA"/>
    <w:rsid w:val="007A399F"/>
    <w:rsid w:val="007A3A8C"/>
    <w:rsid w:val="007A3F46"/>
    <w:rsid w:val="007A43CC"/>
    <w:rsid w:val="007A4500"/>
    <w:rsid w:val="007A4EC3"/>
    <w:rsid w:val="007A4F57"/>
    <w:rsid w:val="007A5538"/>
    <w:rsid w:val="007A5708"/>
    <w:rsid w:val="007A5A98"/>
    <w:rsid w:val="007A5B31"/>
    <w:rsid w:val="007A5CBD"/>
    <w:rsid w:val="007A5FB6"/>
    <w:rsid w:val="007A6239"/>
    <w:rsid w:val="007A6254"/>
    <w:rsid w:val="007A651C"/>
    <w:rsid w:val="007A6C4C"/>
    <w:rsid w:val="007A6CD6"/>
    <w:rsid w:val="007A7027"/>
    <w:rsid w:val="007A7176"/>
    <w:rsid w:val="007A7218"/>
    <w:rsid w:val="007A7504"/>
    <w:rsid w:val="007A7B09"/>
    <w:rsid w:val="007A7CF7"/>
    <w:rsid w:val="007A7E5A"/>
    <w:rsid w:val="007B04CF"/>
    <w:rsid w:val="007B0537"/>
    <w:rsid w:val="007B060A"/>
    <w:rsid w:val="007B0E0C"/>
    <w:rsid w:val="007B12D2"/>
    <w:rsid w:val="007B1720"/>
    <w:rsid w:val="007B1EB3"/>
    <w:rsid w:val="007B2054"/>
    <w:rsid w:val="007B20A8"/>
    <w:rsid w:val="007B20D7"/>
    <w:rsid w:val="007B2395"/>
    <w:rsid w:val="007B23AF"/>
    <w:rsid w:val="007B261D"/>
    <w:rsid w:val="007B2AF8"/>
    <w:rsid w:val="007B2C41"/>
    <w:rsid w:val="007B34BA"/>
    <w:rsid w:val="007B3A00"/>
    <w:rsid w:val="007B3A88"/>
    <w:rsid w:val="007B41C9"/>
    <w:rsid w:val="007B4A19"/>
    <w:rsid w:val="007B4A61"/>
    <w:rsid w:val="007B4CCE"/>
    <w:rsid w:val="007B536E"/>
    <w:rsid w:val="007B5F87"/>
    <w:rsid w:val="007B62D6"/>
    <w:rsid w:val="007B6620"/>
    <w:rsid w:val="007B682B"/>
    <w:rsid w:val="007B69C9"/>
    <w:rsid w:val="007B710E"/>
    <w:rsid w:val="007B742B"/>
    <w:rsid w:val="007B77D9"/>
    <w:rsid w:val="007B77E3"/>
    <w:rsid w:val="007B7BA4"/>
    <w:rsid w:val="007C069A"/>
    <w:rsid w:val="007C0D0E"/>
    <w:rsid w:val="007C109F"/>
    <w:rsid w:val="007C11E6"/>
    <w:rsid w:val="007C1FB2"/>
    <w:rsid w:val="007C2080"/>
    <w:rsid w:val="007C2116"/>
    <w:rsid w:val="007C2211"/>
    <w:rsid w:val="007C26E5"/>
    <w:rsid w:val="007C2961"/>
    <w:rsid w:val="007C2AB8"/>
    <w:rsid w:val="007C2C74"/>
    <w:rsid w:val="007C2D55"/>
    <w:rsid w:val="007C360E"/>
    <w:rsid w:val="007C4CE9"/>
    <w:rsid w:val="007C4F96"/>
    <w:rsid w:val="007C54C8"/>
    <w:rsid w:val="007C5CCF"/>
    <w:rsid w:val="007C6263"/>
    <w:rsid w:val="007C67FF"/>
    <w:rsid w:val="007C685F"/>
    <w:rsid w:val="007C6B1D"/>
    <w:rsid w:val="007C720A"/>
    <w:rsid w:val="007C72B0"/>
    <w:rsid w:val="007C7499"/>
    <w:rsid w:val="007C751F"/>
    <w:rsid w:val="007C7894"/>
    <w:rsid w:val="007C7A40"/>
    <w:rsid w:val="007C7C9C"/>
    <w:rsid w:val="007C7D0B"/>
    <w:rsid w:val="007D1092"/>
    <w:rsid w:val="007D118C"/>
    <w:rsid w:val="007D1575"/>
    <w:rsid w:val="007D162A"/>
    <w:rsid w:val="007D1924"/>
    <w:rsid w:val="007D198E"/>
    <w:rsid w:val="007D1F23"/>
    <w:rsid w:val="007D21D6"/>
    <w:rsid w:val="007D22AC"/>
    <w:rsid w:val="007D2621"/>
    <w:rsid w:val="007D3047"/>
    <w:rsid w:val="007D30F9"/>
    <w:rsid w:val="007D36C6"/>
    <w:rsid w:val="007D381C"/>
    <w:rsid w:val="007D383F"/>
    <w:rsid w:val="007D39B6"/>
    <w:rsid w:val="007D3B2A"/>
    <w:rsid w:val="007D3BFB"/>
    <w:rsid w:val="007D3F1F"/>
    <w:rsid w:val="007D4204"/>
    <w:rsid w:val="007D4B56"/>
    <w:rsid w:val="007D4D81"/>
    <w:rsid w:val="007D4DE0"/>
    <w:rsid w:val="007D5425"/>
    <w:rsid w:val="007D5531"/>
    <w:rsid w:val="007D5CA8"/>
    <w:rsid w:val="007D5D57"/>
    <w:rsid w:val="007D63D1"/>
    <w:rsid w:val="007D6B9E"/>
    <w:rsid w:val="007D6C2D"/>
    <w:rsid w:val="007D6F49"/>
    <w:rsid w:val="007D78B6"/>
    <w:rsid w:val="007D79BB"/>
    <w:rsid w:val="007D7EF3"/>
    <w:rsid w:val="007E0A6C"/>
    <w:rsid w:val="007E0CAF"/>
    <w:rsid w:val="007E18F0"/>
    <w:rsid w:val="007E2215"/>
    <w:rsid w:val="007E25E3"/>
    <w:rsid w:val="007E2F09"/>
    <w:rsid w:val="007E30D2"/>
    <w:rsid w:val="007E3287"/>
    <w:rsid w:val="007E3854"/>
    <w:rsid w:val="007E3A2B"/>
    <w:rsid w:val="007E3A80"/>
    <w:rsid w:val="007E3AE2"/>
    <w:rsid w:val="007E3B0A"/>
    <w:rsid w:val="007E3B49"/>
    <w:rsid w:val="007E423F"/>
    <w:rsid w:val="007E4457"/>
    <w:rsid w:val="007E4581"/>
    <w:rsid w:val="007E470D"/>
    <w:rsid w:val="007E4790"/>
    <w:rsid w:val="007E4A0A"/>
    <w:rsid w:val="007E4E61"/>
    <w:rsid w:val="007E50EB"/>
    <w:rsid w:val="007E537D"/>
    <w:rsid w:val="007E58EB"/>
    <w:rsid w:val="007E5F08"/>
    <w:rsid w:val="007E61D5"/>
    <w:rsid w:val="007E62C7"/>
    <w:rsid w:val="007E6391"/>
    <w:rsid w:val="007E7628"/>
    <w:rsid w:val="007E7FB5"/>
    <w:rsid w:val="007F0640"/>
    <w:rsid w:val="007F08CA"/>
    <w:rsid w:val="007F0CE5"/>
    <w:rsid w:val="007F258F"/>
    <w:rsid w:val="007F2E8B"/>
    <w:rsid w:val="007F316F"/>
    <w:rsid w:val="007F31A7"/>
    <w:rsid w:val="007F32BB"/>
    <w:rsid w:val="007F36AF"/>
    <w:rsid w:val="007F3999"/>
    <w:rsid w:val="007F3B6E"/>
    <w:rsid w:val="007F4148"/>
    <w:rsid w:val="007F41A5"/>
    <w:rsid w:val="007F4A2E"/>
    <w:rsid w:val="007F4E7E"/>
    <w:rsid w:val="007F569B"/>
    <w:rsid w:val="007F5B7F"/>
    <w:rsid w:val="007F6D34"/>
    <w:rsid w:val="007F6DA4"/>
    <w:rsid w:val="007F6E5E"/>
    <w:rsid w:val="007F7130"/>
    <w:rsid w:val="007F7158"/>
    <w:rsid w:val="007F72EA"/>
    <w:rsid w:val="007F75C0"/>
    <w:rsid w:val="007F7AC2"/>
    <w:rsid w:val="007F7E2C"/>
    <w:rsid w:val="008001DA"/>
    <w:rsid w:val="008002BA"/>
    <w:rsid w:val="008002DB"/>
    <w:rsid w:val="00800993"/>
    <w:rsid w:val="00801241"/>
    <w:rsid w:val="008016CA"/>
    <w:rsid w:val="008020AD"/>
    <w:rsid w:val="008023F2"/>
    <w:rsid w:val="00802771"/>
    <w:rsid w:val="00802B63"/>
    <w:rsid w:val="00802DE5"/>
    <w:rsid w:val="0080323A"/>
    <w:rsid w:val="00804541"/>
    <w:rsid w:val="00804836"/>
    <w:rsid w:val="00805187"/>
    <w:rsid w:val="008052E6"/>
    <w:rsid w:val="00805714"/>
    <w:rsid w:val="00805C92"/>
    <w:rsid w:val="00805E83"/>
    <w:rsid w:val="00805EA8"/>
    <w:rsid w:val="00806434"/>
    <w:rsid w:val="008068A5"/>
    <w:rsid w:val="00806D3C"/>
    <w:rsid w:val="00807559"/>
    <w:rsid w:val="00807B47"/>
    <w:rsid w:val="00807BF9"/>
    <w:rsid w:val="00807D65"/>
    <w:rsid w:val="008104AC"/>
    <w:rsid w:val="00810541"/>
    <w:rsid w:val="008108E8"/>
    <w:rsid w:val="008112EB"/>
    <w:rsid w:val="008115C2"/>
    <w:rsid w:val="008117BF"/>
    <w:rsid w:val="008121BA"/>
    <w:rsid w:val="008122CA"/>
    <w:rsid w:val="008126AD"/>
    <w:rsid w:val="008127AA"/>
    <w:rsid w:val="00812A99"/>
    <w:rsid w:val="00812E19"/>
    <w:rsid w:val="00813288"/>
    <w:rsid w:val="00813481"/>
    <w:rsid w:val="00813826"/>
    <w:rsid w:val="0081388E"/>
    <w:rsid w:val="008144A9"/>
    <w:rsid w:val="00814548"/>
    <w:rsid w:val="00814639"/>
    <w:rsid w:val="00814B4D"/>
    <w:rsid w:val="00814E1A"/>
    <w:rsid w:val="00814F86"/>
    <w:rsid w:val="00815A87"/>
    <w:rsid w:val="00815BAB"/>
    <w:rsid w:val="00816281"/>
    <w:rsid w:val="0081691C"/>
    <w:rsid w:val="00816FE2"/>
    <w:rsid w:val="008170F9"/>
    <w:rsid w:val="00817290"/>
    <w:rsid w:val="00817447"/>
    <w:rsid w:val="0081792A"/>
    <w:rsid w:val="00817B78"/>
    <w:rsid w:val="008201B9"/>
    <w:rsid w:val="0082024A"/>
    <w:rsid w:val="00820F2D"/>
    <w:rsid w:val="00820FB3"/>
    <w:rsid w:val="008210B0"/>
    <w:rsid w:val="00821A29"/>
    <w:rsid w:val="00821BE9"/>
    <w:rsid w:val="00822380"/>
    <w:rsid w:val="00822987"/>
    <w:rsid w:val="00822AE8"/>
    <w:rsid w:val="00822FCC"/>
    <w:rsid w:val="00822FF0"/>
    <w:rsid w:val="00823233"/>
    <w:rsid w:val="00824426"/>
    <w:rsid w:val="00824B0E"/>
    <w:rsid w:val="00824C9D"/>
    <w:rsid w:val="00824ECD"/>
    <w:rsid w:val="0082508B"/>
    <w:rsid w:val="00825169"/>
    <w:rsid w:val="008254AB"/>
    <w:rsid w:val="0082557D"/>
    <w:rsid w:val="00825759"/>
    <w:rsid w:val="008257A3"/>
    <w:rsid w:val="00825BEA"/>
    <w:rsid w:val="008260B8"/>
    <w:rsid w:val="00826309"/>
    <w:rsid w:val="00826345"/>
    <w:rsid w:val="008267FA"/>
    <w:rsid w:val="00826D93"/>
    <w:rsid w:val="00827126"/>
    <w:rsid w:val="00827366"/>
    <w:rsid w:val="008273CB"/>
    <w:rsid w:val="00827592"/>
    <w:rsid w:val="008304D2"/>
    <w:rsid w:val="0083050A"/>
    <w:rsid w:val="00830597"/>
    <w:rsid w:val="008307D4"/>
    <w:rsid w:val="00830AB5"/>
    <w:rsid w:val="00830E52"/>
    <w:rsid w:val="00830EDF"/>
    <w:rsid w:val="008310D0"/>
    <w:rsid w:val="00831E94"/>
    <w:rsid w:val="00831FCC"/>
    <w:rsid w:val="008320A1"/>
    <w:rsid w:val="00832248"/>
    <w:rsid w:val="0083233F"/>
    <w:rsid w:val="008323DD"/>
    <w:rsid w:val="008324E3"/>
    <w:rsid w:val="00832B5D"/>
    <w:rsid w:val="00832C58"/>
    <w:rsid w:val="00832ED8"/>
    <w:rsid w:val="00833B9F"/>
    <w:rsid w:val="00833BC6"/>
    <w:rsid w:val="00833E59"/>
    <w:rsid w:val="00833E9A"/>
    <w:rsid w:val="00833EFC"/>
    <w:rsid w:val="00833F9B"/>
    <w:rsid w:val="0083416A"/>
    <w:rsid w:val="008352BE"/>
    <w:rsid w:val="008353DA"/>
    <w:rsid w:val="00835681"/>
    <w:rsid w:val="0083575D"/>
    <w:rsid w:val="00835832"/>
    <w:rsid w:val="00835E20"/>
    <w:rsid w:val="008360F1"/>
    <w:rsid w:val="0083637C"/>
    <w:rsid w:val="008364EC"/>
    <w:rsid w:val="00836B08"/>
    <w:rsid w:val="00836BC0"/>
    <w:rsid w:val="00836E8D"/>
    <w:rsid w:val="00837463"/>
    <w:rsid w:val="008378F0"/>
    <w:rsid w:val="00837BF4"/>
    <w:rsid w:val="00837D7E"/>
    <w:rsid w:val="008400EE"/>
    <w:rsid w:val="00840A5D"/>
    <w:rsid w:val="00840A97"/>
    <w:rsid w:val="00840E7F"/>
    <w:rsid w:val="00841187"/>
    <w:rsid w:val="008411E2"/>
    <w:rsid w:val="008412D3"/>
    <w:rsid w:val="0084147B"/>
    <w:rsid w:val="00841F3B"/>
    <w:rsid w:val="0084207E"/>
    <w:rsid w:val="0084210F"/>
    <w:rsid w:val="00842373"/>
    <w:rsid w:val="00842EEB"/>
    <w:rsid w:val="008435B7"/>
    <w:rsid w:val="00843629"/>
    <w:rsid w:val="00843AAD"/>
    <w:rsid w:val="00844025"/>
    <w:rsid w:val="008442E1"/>
    <w:rsid w:val="00844347"/>
    <w:rsid w:val="0084437F"/>
    <w:rsid w:val="0084468C"/>
    <w:rsid w:val="0084504B"/>
    <w:rsid w:val="008450F3"/>
    <w:rsid w:val="00845148"/>
    <w:rsid w:val="008452EF"/>
    <w:rsid w:val="00845946"/>
    <w:rsid w:val="00845B97"/>
    <w:rsid w:val="0084611F"/>
    <w:rsid w:val="0084720A"/>
    <w:rsid w:val="00847223"/>
    <w:rsid w:val="008474BC"/>
    <w:rsid w:val="008476A0"/>
    <w:rsid w:val="00847953"/>
    <w:rsid w:val="00847A30"/>
    <w:rsid w:val="00847B2C"/>
    <w:rsid w:val="00847E44"/>
    <w:rsid w:val="00847F7D"/>
    <w:rsid w:val="0085031A"/>
    <w:rsid w:val="00850331"/>
    <w:rsid w:val="0085041B"/>
    <w:rsid w:val="00850976"/>
    <w:rsid w:val="008509E0"/>
    <w:rsid w:val="00850AAE"/>
    <w:rsid w:val="00850F19"/>
    <w:rsid w:val="00850FE3"/>
    <w:rsid w:val="00851397"/>
    <w:rsid w:val="0085165B"/>
    <w:rsid w:val="008518B7"/>
    <w:rsid w:val="00851A8E"/>
    <w:rsid w:val="00851C1D"/>
    <w:rsid w:val="00851C5E"/>
    <w:rsid w:val="00852BE7"/>
    <w:rsid w:val="00852F2B"/>
    <w:rsid w:val="00852F38"/>
    <w:rsid w:val="00853047"/>
    <w:rsid w:val="00853F68"/>
    <w:rsid w:val="008545CF"/>
    <w:rsid w:val="00854784"/>
    <w:rsid w:val="008548EC"/>
    <w:rsid w:val="0085499E"/>
    <w:rsid w:val="00854E19"/>
    <w:rsid w:val="00854E1C"/>
    <w:rsid w:val="00854EF0"/>
    <w:rsid w:val="00854F9A"/>
    <w:rsid w:val="0085518D"/>
    <w:rsid w:val="008556BA"/>
    <w:rsid w:val="008557BA"/>
    <w:rsid w:val="00855CFB"/>
    <w:rsid w:val="00856C34"/>
    <w:rsid w:val="00856E1D"/>
    <w:rsid w:val="00856EC4"/>
    <w:rsid w:val="008575C2"/>
    <w:rsid w:val="00857A20"/>
    <w:rsid w:val="00857AD9"/>
    <w:rsid w:val="008605BE"/>
    <w:rsid w:val="0086103B"/>
    <w:rsid w:val="00861258"/>
    <w:rsid w:val="008621C6"/>
    <w:rsid w:val="008626AC"/>
    <w:rsid w:val="00862B69"/>
    <w:rsid w:val="00862FC4"/>
    <w:rsid w:val="00863178"/>
    <w:rsid w:val="00863192"/>
    <w:rsid w:val="008631B5"/>
    <w:rsid w:val="008633CA"/>
    <w:rsid w:val="0086391F"/>
    <w:rsid w:val="00863DCC"/>
    <w:rsid w:val="00863E95"/>
    <w:rsid w:val="00864104"/>
    <w:rsid w:val="008643BE"/>
    <w:rsid w:val="00864531"/>
    <w:rsid w:val="00865082"/>
    <w:rsid w:val="00865190"/>
    <w:rsid w:val="00865315"/>
    <w:rsid w:val="00865546"/>
    <w:rsid w:val="0086576C"/>
    <w:rsid w:val="008657A4"/>
    <w:rsid w:val="00865819"/>
    <w:rsid w:val="0086590E"/>
    <w:rsid w:val="00865DC1"/>
    <w:rsid w:val="00866276"/>
    <w:rsid w:val="00866AEA"/>
    <w:rsid w:val="008673CD"/>
    <w:rsid w:val="00867AF1"/>
    <w:rsid w:val="00867BAE"/>
    <w:rsid w:val="00867E67"/>
    <w:rsid w:val="00870112"/>
    <w:rsid w:val="00870166"/>
    <w:rsid w:val="00870285"/>
    <w:rsid w:val="00870509"/>
    <w:rsid w:val="00870513"/>
    <w:rsid w:val="00870583"/>
    <w:rsid w:val="00870C8E"/>
    <w:rsid w:val="008711B8"/>
    <w:rsid w:val="00871499"/>
    <w:rsid w:val="008718F4"/>
    <w:rsid w:val="00871D06"/>
    <w:rsid w:val="00871FD7"/>
    <w:rsid w:val="0087205E"/>
    <w:rsid w:val="00872A2C"/>
    <w:rsid w:val="00872CDE"/>
    <w:rsid w:val="008732C0"/>
    <w:rsid w:val="00873356"/>
    <w:rsid w:val="00873472"/>
    <w:rsid w:val="00873657"/>
    <w:rsid w:val="0087365A"/>
    <w:rsid w:val="00873C56"/>
    <w:rsid w:val="00874043"/>
    <w:rsid w:val="00874090"/>
    <w:rsid w:val="008742C1"/>
    <w:rsid w:val="008743C7"/>
    <w:rsid w:val="008744EA"/>
    <w:rsid w:val="00874590"/>
    <w:rsid w:val="00874849"/>
    <w:rsid w:val="00874A6C"/>
    <w:rsid w:val="00874CE8"/>
    <w:rsid w:val="00874E3E"/>
    <w:rsid w:val="00875028"/>
    <w:rsid w:val="008750F9"/>
    <w:rsid w:val="008752A4"/>
    <w:rsid w:val="00875341"/>
    <w:rsid w:val="0087536F"/>
    <w:rsid w:val="008754AF"/>
    <w:rsid w:val="008755CC"/>
    <w:rsid w:val="0087599B"/>
    <w:rsid w:val="0087630C"/>
    <w:rsid w:val="00876B33"/>
    <w:rsid w:val="00876E22"/>
    <w:rsid w:val="00876E34"/>
    <w:rsid w:val="008773CC"/>
    <w:rsid w:val="0087742F"/>
    <w:rsid w:val="00877AB5"/>
    <w:rsid w:val="00877BA7"/>
    <w:rsid w:val="00877F8A"/>
    <w:rsid w:val="00880545"/>
    <w:rsid w:val="00880932"/>
    <w:rsid w:val="00880A40"/>
    <w:rsid w:val="00880B0B"/>
    <w:rsid w:val="00880CA9"/>
    <w:rsid w:val="00880F3D"/>
    <w:rsid w:val="00880FCF"/>
    <w:rsid w:val="00881033"/>
    <w:rsid w:val="008810DB"/>
    <w:rsid w:val="008813AA"/>
    <w:rsid w:val="00881662"/>
    <w:rsid w:val="0088168E"/>
    <w:rsid w:val="0088191C"/>
    <w:rsid w:val="00881C81"/>
    <w:rsid w:val="00881E2C"/>
    <w:rsid w:val="00882665"/>
    <w:rsid w:val="00882B2A"/>
    <w:rsid w:val="00882C06"/>
    <w:rsid w:val="00882CC7"/>
    <w:rsid w:val="00882FBB"/>
    <w:rsid w:val="00883A07"/>
    <w:rsid w:val="00883CC3"/>
    <w:rsid w:val="00883F3D"/>
    <w:rsid w:val="00885572"/>
    <w:rsid w:val="00885996"/>
    <w:rsid w:val="00885ABF"/>
    <w:rsid w:val="00885BBE"/>
    <w:rsid w:val="0088601C"/>
    <w:rsid w:val="008863AE"/>
    <w:rsid w:val="008867A8"/>
    <w:rsid w:val="008869F4"/>
    <w:rsid w:val="00886B92"/>
    <w:rsid w:val="00887119"/>
    <w:rsid w:val="00887606"/>
    <w:rsid w:val="00887946"/>
    <w:rsid w:val="00890DD6"/>
    <w:rsid w:val="00890DE8"/>
    <w:rsid w:val="0089107E"/>
    <w:rsid w:val="008911CB"/>
    <w:rsid w:val="00891931"/>
    <w:rsid w:val="008919E4"/>
    <w:rsid w:val="00891D9C"/>
    <w:rsid w:val="00892093"/>
    <w:rsid w:val="008923C8"/>
    <w:rsid w:val="0089241B"/>
    <w:rsid w:val="00892684"/>
    <w:rsid w:val="0089288D"/>
    <w:rsid w:val="00893066"/>
    <w:rsid w:val="00893267"/>
    <w:rsid w:val="00893716"/>
    <w:rsid w:val="008937DC"/>
    <w:rsid w:val="008938A5"/>
    <w:rsid w:val="00893C16"/>
    <w:rsid w:val="00893EEF"/>
    <w:rsid w:val="0089434F"/>
    <w:rsid w:val="008944C4"/>
    <w:rsid w:val="00894943"/>
    <w:rsid w:val="00894A8C"/>
    <w:rsid w:val="00894C31"/>
    <w:rsid w:val="00895A9B"/>
    <w:rsid w:val="00895BE9"/>
    <w:rsid w:val="00895CFC"/>
    <w:rsid w:val="00895DBE"/>
    <w:rsid w:val="00896120"/>
    <w:rsid w:val="008962D7"/>
    <w:rsid w:val="00896360"/>
    <w:rsid w:val="008975A2"/>
    <w:rsid w:val="00897B51"/>
    <w:rsid w:val="00897CF1"/>
    <w:rsid w:val="00897D09"/>
    <w:rsid w:val="008A0373"/>
    <w:rsid w:val="008A0638"/>
    <w:rsid w:val="008A10F1"/>
    <w:rsid w:val="008A12B3"/>
    <w:rsid w:val="008A14CB"/>
    <w:rsid w:val="008A16EF"/>
    <w:rsid w:val="008A184F"/>
    <w:rsid w:val="008A19A9"/>
    <w:rsid w:val="008A1E12"/>
    <w:rsid w:val="008A21CF"/>
    <w:rsid w:val="008A272E"/>
    <w:rsid w:val="008A2C72"/>
    <w:rsid w:val="008A3425"/>
    <w:rsid w:val="008A35D4"/>
    <w:rsid w:val="008A3ADD"/>
    <w:rsid w:val="008A3DAB"/>
    <w:rsid w:val="008A3ED1"/>
    <w:rsid w:val="008A40BC"/>
    <w:rsid w:val="008A40DD"/>
    <w:rsid w:val="008A41CD"/>
    <w:rsid w:val="008A41DA"/>
    <w:rsid w:val="008A421A"/>
    <w:rsid w:val="008A435C"/>
    <w:rsid w:val="008A43EB"/>
    <w:rsid w:val="008A47F7"/>
    <w:rsid w:val="008A4880"/>
    <w:rsid w:val="008A4C6F"/>
    <w:rsid w:val="008A4D5C"/>
    <w:rsid w:val="008A5006"/>
    <w:rsid w:val="008A52B1"/>
    <w:rsid w:val="008A5754"/>
    <w:rsid w:val="008A5BBC"/>
    <w:rsid w:val="008A5E0E"/>
    <w:rsid w:val="008A613C"/>
    <w:rsid w:val="008A6144"/>
    <w:rsid w:val="008A61E1"/>
    <w:rsid w:val="008A6902"/>
    <w:rsid w:val="008A6ADB"/>
    <w:rsid w:val="008A6FCF"/>
    <w:rsid w:val="008A7359"/>
    <w:rsid w:val="008A791B"/>
    <w:rsid w:val="008A7B79"/>
    <w:rsid w:val="008B0679"/>
    <w:rsid w:val="008B06CE"/>
    <w:rsid w:val="008B0774"/>
    <w:rsid w:val="008B0895"/>
    <w:rsid w:val="008B0C53"/>
    <w:rsid w:val="008B114E"/>
    <w:rsid w:val="008B17D5"/>
    <w:rsid w:val="008B1A73"/>
    <w:rsid w:val="008B1E1B"/>
    <w:rsid w:val="008B1FFD"/>
    <w:rsid w:val="008B2053"/>
    <w:rsid w:val="008B2287"/>
    <w:rsid w:val="008B24A9"/>
    <w:rsid w:val="008B24B2"/>
    <w:rsid w:val="008B2592"/>
    <w:rsid w:val="008B2C31"/>
    <w:rsid w:val="008B2E71"/>
    <w:rsid w:val="008B331B"/>
    <w:rsid w:val="008B4504"/>
    <w:rsid w:val="008B4829"/>
    <w:rsid w:val="008B4953"/>
    <w:rsid w:val="008B49A6"/>
    <w:rsid w:val="008B4EA4"/>
    <w:rsid w:val="008B5332"/>
    <w:rsid w:val="008B5456"/>
    <w:rsid w:val="008B5B32"/>
    <w:rsid w:val="008B668C"/>
    <w:rsid w:val="008B6AA7"/>
    <w:rsid w:val="008B703A"/>
    <w:rsid w:val="008B7987"/>
    <w:rsid w:val="008C04C0"/>
    <w:rsid w:val="008C0A0A"/>
    <w:rsid w:val="008C0B42"/>
    <w:rsid w:val="008C1056"/>
    <w:rsid w:val="008C1265"/>
    <w:rsid w:val="008C1A98"/>
    <w:rsid w:val="008C205D"/>
    <w:rsid w:val="008C262A"/>
    <w:rsid w:val="008C2989"/>
    <w:rsid w:val="008C303D"/>
    <w:rsid w:val="008C332C"/>
    <w:rsid w:val="008C3447"/>
    <w:rsid w:val="008C34E0"/>
    <w:rsid w:val="008C3552"/>
    <w:rsid w:val="008C3683"/>
    <w:rsid w:val="008C3B72"/>
    <w:rsid w:val="008C3D0F"/>
    <w:rsid w:val="008C4134"/>
    <w:rsid w:val="008C41E6"/>
    <w:rsid w:val="008C4333"/>
    <w:rsid w:val="008C460D"/>
    <w:rsid w:val="008C4723"/>
    <w:rsid w:val="008C4A38"/>
    <w:rsid w:val="008C4BA9"/>
    <w:rsid w:val="008C4BE6"/>
    <w:rsid w:val="008C4C16"/>
    <w:rsid w:val="008C52B6"/>
    <w:rsid w:val="008C54D9"/>
    <w:rsid w:val="008C5914"/>
    <w:rsid w:val="008C5B8D"/>
    <w:rsid w:val="008C5E5D"/>
    <w:rsid w:val="008C60DB"/>
    <w:rsid w:val="008C6175"/>
    <w:rsid w:val="008C6339"/>
    <w:rsid w:val="008C65B7"/>
    <w:rsid w:val="008C67E8"/>
    <w:rsid w:val="008C69C5"/>
    <w:rsid w:val="008C6EB2"/>
    <w:rsid w:val="008C6EEE"/>
    <w:rsid w:val="008C6F19"/>
    <w:rsid w:val="008C714B"/>
    <w:rsid w:val="008C75B2"/>
    <w:rsid w:val="008C77D0"/>
    <w:rsid w:val="008C7E59"/>
    <w:rsid w:val="008D07E4"/>
    <w:rsid w:val="008D0911"/>
    <w:rsid w:val="008D09DD"/>
    <w:rsid w:val="008D1732"/>
    <w:rsid w:val="008D1784"/>
    <w:rsid w:val="008D1980"/>
    <w:rsid w:val="008D1B92"/>
    <w:rsid w:val="008D1DB4"/>
    <w:rsid w:val="008D23FD"/>
    <w:rsid w:val="008D2496"/>
    <w:rsid w:val="008D269A"/>
    <w:rsid w:val="008D28DE"/>
    <w:rsid w:val="008D3168"/>
    <w:rsid w:val="008D32E3"/>
    <w:rsid w:val="008D3521"/>
    <w:rsid w:val="008D3682"/>
    <w:rsid w:val="008D3A3E"/>
    <w:rsid w:val="008D402F"/>
    <w:rsid w:val="008D4224"/>
    <w:rsid w:val="008D44DC"/>
    <w:rsid w:val="008D475B"/>
    <w:rsid w:val="008D4D3F"/>
    <w:rsid w:val="008D4F21"/>
    <w:rsid w:val="008D5199"/>
    <w:rsid w:val="008D5585"/>
    <w:rsid w:val="008D5E4D"/>
    <w:rsid w:val="008D5E75"/>
    <w:rsid w:val="008D5E7D"/>
    <w:rsid w:val="008D61B2"/>
    <w:rsid w:val="008D65B2"/>
    <w:rsid w:val="008D6845"/>
    <w:rsid w:val="008D7090"/>
    <w:rsid w:val="008D745B"/>
    <w:rsid w:val="008D78FF"/>
    <w:rsid w:val="008D7BF5"/>
    <w:rsid w:val="008E0235"/>
    <w:rsid w:val="008E0641"/>
    <w:rsid w:val="008E0863"/>
    <w:rsid w:val="008E0E43"/>
    <w:rsid w:val="008E0F78"/>
    <w:rsid w:val="008E1140"/>
    <w:rsid w:val="008E1511"/>
    <w:rsid w:val="008E16B3"/>
    <w:rsid w:val="008E1821"/>
    <w:rsid w:val="008E18F3"/>
    <w:rsid w:val="008E1A8E"/>
    <w:rsid w:val="008E1DF3"/>
    <w:rsid w:val="008E20FD"/>
    <w:rsid w:val="008E227A"/>
    <w:rsid w:val="008E2361"/>
    <w:rsid w:val="008E2E9B"/>
    <w:rsid w:val="008E2F13"/>
    <w:rsid w:val="008E317D"/>
    <w:rsid w:val="008E3F23"/>
    <w:rsid w:val="008E4047"/>
    <w:rsid w:val="008E505D"/>
    <w:rsid w:val="008E51FB"/>
    <w:rsid w:val="008E582A"/>
    <w:rsid w:val="008E5C39"/>
    <w:rsid w:val="008E5C94"/>
    <w:rsid w:val="008E5FDB"/>
    <w:rsid w:val="008E656A"/>
    <w:rsid w:val="008E67D4"/>
    <w:rsid w:val="008E69C7"/>
    <w:rsid w:val="008E6F0E"/>
    <w:rsid w:val="008E7236"/>
    <w:rsid w:val="008E7763"/>
    <w:rsid w:val="008E7F70"/>
    <w:rsid w:val="008F0429"/>
    <w:rsid w:val="008F05F8"/>
    <w:rsid w:val="008F07FC"/>
    <w:rsid w:val="008F084B"/>
    <w:rsid w:val="008F08DB"/>
    <w:rsid w:val="008F09BF"/>
    <w:rsid w:val="008F0C2E"/>
    <w:rsid w:val="008F108A"/>
    <w:rsid w:val="008F1854"/>
    <w:rsid w:val="008F1E27"/>
    <w:rsid w:val="008F1F56"/>
    <w:rsid w:val="008F20D0"/>
    <w:rsid w:val="008F24A0"/>
    <w:rsid w:val="008F251E"/>
    <w:rsid w:val="008F2970"/>
    <w:rsid w:val="008F2C6A"/>
    <w:rsid w:val="008F2D22"/>
    <w:rsid w:val="008F324A"/>
    <w:rsid w:val="008F328A"/>
    <w:rsid w:val="008F3484"/>
    <w:rsid w:val="008F3519"/>
    <w:rsid w:val="008F365C"/>
    <w:rsid w:val="008F3687"/>
    <w:rsid w:val="008F3930"/>
    <w:rsid w:val="008F3F9E"/>
    <w:rsid w:val="008F4001"/>
    <w:rsid w:val="008F441D"/>
    <w:rsid w:val="008F4673"/>
    <w:rsid w:val="008F4742"/>
    <w:rsid w:val="008F4850"/>
    <w:rsid w:val="008F4A7E"/>
    <w:rsid w:val="008F4B45"/>
    <w:rsid w:val="008F501B"/>
    <w:rsid w:val="008F519D"/>
    <w:rsid w:val="008F51E5"/>
    <w:rsid w:val="008F5299"/>
    <w:rsid w:val="008F5926"/>
    <w:rsid w:val="008F5D9C"/>
    <w:rsid w:val="008F5E79"/>
    <w:rsid w:val="008F63AB"/>
    <w:rsid w:val="008F6796"/>
    <w:rsid w:val="008F6902"/>
    <w:rsid w:val="008F69AE"/>
    <w:rsid w:val="008F703E"/>
    <w:rsid w:val="008F7109"/>
    <w:rsid w:val="008F737B"/>
    <w:rsid w:val="008F7639"/>
    <w:rsid w:val="008F7906"/>
    <w:rsid w:val="00900060"/>
    <w:rsid w:val="009000E7"/>
    <w:rsid w:val="00900174"/>
    <w:rsid w:val="009002B5"/>
    <w:rsid w:val="009003BE"/>
    <w:rsid w:val="00900830"/>
    <w:rsid w:val="00901030"/>
    <w:rsid w:val="009012B2"/>
    <w:rsid w:val="00901B71"/>
    <w:rsid w:val="00901C26"/>
    <w:rsid w:val="00901D0C"/>
    <w:rsid w:val="00902007"/>
    <w:rsid w:val="009020D0"/>
    <w:rsid w:val="009023B3"/>
    <w:rsid w:val="00902775"/>
    <w:rsid w:val="00903F33"/>
    <w:rsid w:val="009041BB"/>
    <w:rsid w:val="009047D9"/>
    <w:rsid w:val="00904E8B"/>
    <w:rsid w:val="00905DEA"/>
    <w:rsid w:val="00906C2F"/>
    <w:rsid w:val="0090734D"/>
    <w:rsid w:val="00907578"/>
    <w:rsid w:val="00907657"/>
    <w:rsid w:val="00907899"/>
    <w:rsid w:val="0090793E"/>
    <w:rsid w:val="00907E0E"/>
    <w:rsid w:val="00907E58"/>
    <w:rsid w:val="0091016D"/>
    <w:rsid w:val="00910385"/>
    <w:rsid w:val="00910407"/>
    <w:rsid w:val="00911B5F"/>
    <w:rsid w:val="00911DC4"/>
    <w:rsid w:val="00912010"/>
    <w:rsid w:val="0091222F"/>
    <w:rsid w:val="0091238F"/>
    <w:rsid w:val="009124ED"/>
    <w:rsid w:val="009127E9"/>
    <w:rsid w:val="00912835"/>
    <w:rsid w:val="00912CE8"/>
    <w:rsid w:val="00912EBC"/>
    <w:rsid w:val="00912FD3"/>
    <w:rsid w:val="00913267"/>
    <w:rsid w:val="00913B64"/>
    <w:rsid w:val="00913B9E"/>
    <w:rsid w:val="009144ED"/>
    <w:rsid w:val="009146C4"/>
    <w:rsid w:val="00914A67"/>
    <w:rsid w:val="00914B1D"/>
    <w:rsid w:val="00914B67"/>
    <w:rsid w:val="00914BD6"/>
    <w:rsid w:val="00914DA7"/>
    <w:rsid w:val="00915724"/>
    <w:rsid w:val="00915F63"/>
    <w:rsid w:val="00915FEC"/>
    <w:rsid w:val="00916AFA"/>
    <w:rsid w:val="00916DB1"/>
    <w:rsid w:val="009171E1"/>
    <w:rsid w:val="009177E9"/>
    <w:rsid w:val="00917A69"/>
    <w:rsid w:val="00917B1F"/>
    <w:rsid w:val="0092010A"/>
    <w:rsid w:val="00920523"/>
    <w:rsid w:val="00920637"/>
    <w:rsid w:val="00920DD7"/>
    <w:rsid w:val="00921860"/>
    <w:rsid w:val="00921E47"/>
    <w:rsid w:val="009221AD"/>
    <w:rsid w:val="00922316"/>
    <w:rsid w:val="00922761"/>
    <w:rsid w:val="00922C71"/>
    <w:rsid w:val="00922D98"/>
    <w:rsid w:val="00922FE1"/>
    <w:rsid w:val="00923366"/>
    <w:rsid w:val="009234E6"/>
    <w:rsid w:val="009238DE"/>
    <w:rsid w:val="00923E35"/>
    <w:rsid w:val="009240B7"/>
    <w:rsid w:val="00924769"/>
    <w:rsid w:val="00924A43"/>
    <w:rsid w:val="00924EDF"/>
    <w:rsid w:val="009252CA"/>
    <w:rsid w:val="009257D5"/>
    <w:rsid w:val="00925DA8"/>
    <w:rsid w:val="00925FA2"/>
    <w:rsid w:val="00925FE3"/>
    <w:rsid w:val="0092600B"/>
    <w:rsid w:val="009265C7"/>
    <w:rsid w:val="009267B6"/>
    <w:rsid w:val="00926805"/>
    <w:rsid w:val="00926851"/>
    <w:rsid w:val="00926B20"/>
    <w:rsid w:val="00926F9E"/>
    <w:rsid w:val="009270BC"/>
    <w:rsid w:val="00927718"/>
    <w:rsid w:val="00927996"/>
    <w:rsid w:val="00927AAA"/>
    <w:rsid w:val="0093003F"/>
    <w:rsid w:val="00930D09"/>
    <w:rsid w:val="00931102"/>
    <w:rsid w:val="00931131"/>
    <w:rsid w:val="00931A3A"/>
    <w:rsid w:val="00932124"/>
    <w:rsid w:val="009323C7"/>
    <w:rsid w:val="009326C6"/>
    <w:rsid w:val="009328C9"/>
    <w:rsid w:val="00932F0D"/>
    <w:rsid w:val="009331CF"/>
    <w:rsid w:val="0093322F"/>
    <w:rsid w:val="009334AC"/>
    <w:rsid w:val="00933983"/>
    <w:rsid w:val="009339A5"/>
    <w:rsid w:val="00933AC0"/>
    <w:rsid w:val="00934060"/>
    <w:rsid w:val="00934541"/>
    <w:rsid w:val="00934564"/>
    <w:rsid w:val="00935103"/>
    <w:rsid w:val="009354E8"/>
    <w:rsid w:val="00935C1E"/>
    <w:rsid w:val="00935E03"/>
    <w:rsid w:val="00935F30"/>
    <w:rsid w:val="00936235"/>
    <w:rsid w:val="00936420"/>
    <w:rsid w:val="00936F3E"/>
    <w:rsid w:val="00937087"/>
    <w:rsid w:val="00937B65"/>
    <w:rsid w:val="00937E53"/>
    <w:rsid w:val="0094013F"/>
    <w:rsid w:val="00940308"/>
    <w:rsid w:val="0094040C"/>
    <w:rsid w:val="0094049A"/>
    <w:rsid w:val="00940552"/>
    <w:rsid w:val="00940763"/>
    <w:rsid w:val="009411CC"/>
    <w:rsid w:val="0094146D"/>
    <w:rsid w:val="0094174F"/>
    <w:rsid w:val="00941A22"/>
    <w:rsid w:val="00941BC6"/>
    <w:rsid w:val="00941ED9"/>
    <w:rsid w:val="00942010"/>
    <w:rsid w:val="00942144"/>
    <w:rsid w:val="00942700"/>
    <w:rsid w:val="009428EF"/>
    <w:rsid w:val="00942922"/>
    <w:rsid w:val="0094313C"/>
    <w:rsid w:val="0094320A"/>
    <w:rsid w:val="009432CC"/>
    <w:rsid w:val="0094381B"/>
    <w:rsid w:val="00943E89"/>
    <w:rsid w:val="009440A6"/>
    <w:rsid w:val="0094480A"/>
    <w:rsid w:val="00945172"/>
    <w:rsid w:val="009453C3"/>
    <w:rsid w:val="00945A41"/>
    <w:rsid w:val="00945A89"/>
    <w:rsid w:val="00945D00"/>
    <w:rsid w:val="00945D9E"/>
    <w:rsid w:val="00945E12"/>
    <w:rsid w:val="0094644E"/>
    <w:rsid w:val="00946BCE"/>
    <w:rsid w:val="00946EFA"/>
    <w:rsid w:val="009479C4"/>
    <w:rsid w:val="00947A1C"/>
    <w:rsid w:val="00947A93"/>
    <w:rsid w:val="00947D8B"/>
    <w:rsid w:val="009505D4"/>
    <w:rsid w:val="00950EB0"/>
    <w:rsid w:val="0095170D"/>
    <w:rsid w:val="00951756"/>
    <w:rsid w:val="00951A27"/>
    <w:rsid w:val="00951AB8"/>
    <w:rsid w:val="00951B8F"/>
    <w:rsid w:val="00952632"/>
    <w:rsid w:val="0095285A"/>
    <w:rsid w:val="00952A8E"/>
    <w:rsid w:val="00952D6B"/>
    <w:rsid w:val="0095307F"/>
    <w:rsid w:val="00953089"/>
    <w:rsid w:val="00953201"/>
    <w:rsid w:val="00953626"/>
    <w:rsid w:val="009538A3"/>
    <w:rsid w:val="00953941"/>
    <w:rsid w:val="00953967"/>
    <w:rsid w:val="00954050"/>
    <w:rsid w:val="00954865"/>
    <w:rsid w:val="009548FF"/>
    <w:rsid w:val="00954B8B"/>
    <w:rsid w:val="0095509F"/>
    <w:rsid w:val="00955524"/>
    <w:rsid w:val="00955526"/>
    <w:rsid w:val="00955A34"/>
    <w:rsid w:val="00955A4B"/>
    <w:rsid w:val="00955A9D"/>
    <w:rsid w:val="00956B60"/>
    <w:rsid w:val="00956B63"/>
    <w:rsid w:val="00956C89"/>
    <w:rsid w:val="00956EE1"/>
    <w:rsid w:val="00957B8C"/>
    <w:rsid w:val="00957FD5"/>
    <w:rsid w:val="00960123"/>
    <w:rsid w:val="0096044D"/>
    <w:rsid w:val="00960824"/>
    <w:rsid w:val="00960CA2"/>
    <w:rsid w:val="00961172"/>
    <w:rsid w:val="0096126E"/>
    <w:rsid w:val="00961A09"/>
    <w:rsid w:val="00961B91"/>
    <w:rsid w:val="009621A3"/>
    <w:rsid w:val="009624F6"/>
    <w:rsid w:val="00962504"/>
    <w:rsid w:val="00962538"/>
    <w:rsid w:val="009625CC"/>
    <w:rsid w:val="00962752"/>
    <w:rsid w:val="0096275D"/>
    <w:rsid w:val="00963511"/>
    <w:rsid w:val="009638C0"/>
    <w:rsid w:val="009640F1"/>
    <w:rsid w:val="00964344"/>
    <w:rsid w:val="0096439F"/>
    <w:rsid w:val="00964B18"/>
    <w:rsid w:val="00965269"/>
    <w:rsid w:val="00965844"/>
    <w:rsid w:val="00965C31"/>
    <w:rsid w:val="00965F9D"/>
    <w:rsid w:val="00966543"/>
    <w:rsid w:val="00966C09"/>
    <w:rsid w:val="00967293"/>
    <w:rsid w:val="00967C7C"/>
    <w:rsid w:val="00967CE3"/>
    <w:rsid w:val="00967FBA"/>
    <w:rsid w:val="009702B1"/>
    <w:rsid w:val="00970726"/>
    <w:rsid w:val="009707BA"/>
    <w:rsid w:val="009708F6"/>
    <w:rsid w:val="00970CD8"/>
    <w:rsid w:val="00970D2E"/>
    <w:rsid w:val="00970D3B"/>
    <w:rsid w:val="00971601"/>
    <w:rsid w:val="00971604"/>
    <w:rsid w:val="009716E6"/>
    <w:rsid w:val="009728EE"/>
    <w:rsid w:val="009729CF"/>
    <w:rsid w:val="00972A34"/>
    <w:rsid w:val="009732E6"/>
    <w:rsid w:val="00973B8F"/>
    <w:rsid w:val="00973E22"/>
    <w:rsid w:val="00973E9B"/>
    <w:rsid w:val="0097404D"/>
    <w:rsid w:val="00974104"/>
    <w:rsid w:val="009746B2"/>
    <w:rsid w:val="00974C5A"/>
    <w:rsid w:val="00974E45"/>
    <w:rsid w:val="009750B9"/>
    <w:rsid w:val="00975485"/>
    <w:rsid w:val="009758CE"/>
    <w:rsid w:val="00975A73"/>
    <w:rsid w:val="0097629D"/>
    <w:rsid w:val="0097647C"/>
    <w:rsid w:val="00976499"/>
    <w:rsid w:val="0097670E"/>
    <w:rsid w:val="0097704E"/>
    <w:rsid w:val="009776CB"/>
    <w:rsid w:val="00977C97"/>
    <w:rsid w:val="00977DD4"/>
    <w:rsid w:val="00977E1A"/>
    <w:rsid w:val="00977E50"/>
    <w:rsid w:val="00980080"/>
    <w:rsid w:val="0098068D"/>
    <w:rsid w:val="00980F87"/>
    <w:rsid w:val="00981079"/>
    <w:rsid w:val="009810BB"/>
    <w:rsid w:val="00981427"/>
    <w:rsid w:val="00981467"/>
    <w:rsid w:val="009814B6"/>
    <w:rsid w:val="0098184B"/>
    <w:rsid w:val="009824A2"/>
    <w:rsid w:val="009830E6"/>
    <w:rsid w:val="009833D8"/>
    <w:rsid w:val="009834F9"/>
    <w:rsid w:val="009838BF"/>
    <w:rsid w:val="00983B58"/>
    <w:rsid w:val="00983BCC"/>
    <w:rsid w:val="00984009"/>
    <w:rsid w:val="00984441"/>
    <w:rsid w:val="009844CF"/>
    <w:rsid w:val="009849C0"/>
    <w:rsid w:val="00984DD8"/>
    <w:rsid w:val="00985090"/>
    <w:rsid w:val="009850A1"/>
    <w:rsid w:val="00985139"/>
    <w:rsid w:val="00985391"/>
    <w:rsid w:val="00985E38"/>
    <w:rsid w:val="00985FD1"/>
    <w:rsid w:val="009864AF"/>
    <w:rsid w:val="00986A14"/>
    <w:rsid w:val="00986C24"/>
    <w:rsid w:val="00986DC1"/>
    <w:rsid w:val="00987CF7"/>
    <w:rsid w:val="0099065B"/>
    <w:rsid w:val="009906A2"/>
    <w:rsid w:val="0099085F"/>
    <w:rsid w:val="009909BB"/>
    <w:rsid w:val="00990EE0"/>
    <w:rsid w:val="00991426"/>
    <w:rsid w:val="00991777"/>
    <w:rsid w:val="00991931"/>
    <w:rsid w:val="009919DA"/>
    <w:rsid w:val="009919DC"/>
    <w:rsid w:val="00991D3F"/>
    <w:rsid w:val="009923A4"/>
    <w:rsid w:val="0099255F"/>
    <w:rsid w:val="009925DB"/>
    <w:rsid w:val="009925E9"/>
    <w:rsid w:val="00992828"/>
    <w:rsid w:val="00992BF6"/>
    <w:rsid w:val="00993114"/>
    <w:rsid w:val="009933D2"/>
    <w:rsid w:val="00993AF1"/>
    <w:rsid w:val="00993B72"/>
    <w:rsid w:val="00993CC9"/>
    <w:rsid w:val="009940A4"/>
    <w:rsid w:val="00994214"/>
    <w:rsid w:val="00994822"/>
    <w:rsid w:val="009948A4"/>
    <w:rsid w:val="00995082"/>
    <w:rsid w:val="00995137"/>
    <w:rsid w:val="0099575E"/>
    <w:rsid w:val="009957E6"/>
    <w:rsid w:val="00995AD7"/>
    <w:rsid w:val="00995F9E"/>
    <w:rsid w:val="00996807"/>
    <w:rsid w:val="00997AC5"/>
    <w:rsid w:val="00997DD3"/>
    <w:rsid w:val="009A0048"/>
    <w:rsid w:val="009A018E"/>
    <w:rsid w:val="009A0AC5"/>
    <w:rsid w:val="009A0D27"/>
    <w:rsid w:val="009A0E77"/>
    <w:rsid w:val="009A1166"/>
    <w:rsid w:val="009A1340"/>
    <w:rsid w:val="009A1740"/>
    <w:rsid w:val="009A17A1"/>
    <w:rsid w:val="009A18C3"/>
    <w:rsid w:val="009A1FEE"/>
    <w:rsid w:val="009A2132"/>
    <w:rsid w:val="009A2335"/>
    <w:rsid w:val="009A3239"/>
    <w:rsid w:val="009A3E7C"/>
    <w:rsid w:val="009A4020"/>
    <w:rsid w:val="009A4035"/>
    <w:rsid w:val="009A4305"/>
    <w:rsid w:val="009A44E0"/>
    <w:rsid w:val="009A48E1"/>
    <w:rsid w:val="009A4D06"/>
    <w:rsid w:val="009A4F64"/>
    <w:rsid w:val="009A4FBA"/>
    <w:rsid w:val="009A527E"/>
    <w:rsid w:val="009A580E"/>
    <w:rsid w:val="009A5979"/>
    <w:rsid w:val="009A5BC8"/>
    <w:rsid w:val="009A5D12"/>
    <w:rsid w:val="009A5EF8"/>
    <w:rsid w:val="009A6A4D"/>
    <w:rsid w:val="009A6AFF"/>
    <w:rsid w:val="009A6C00"/>
    <w:rsid w:val="009A6F74"/>
    <w:rsid w:val="009A71F7"/>
    <w:rsid w:val="009A722F"/>
    <w:rsid w:val="009A770C"/>
    <w:rsid w:val="009A7A6E"/>
    <w:rsid w:val="009A7AC2"/>
    <w:rsid w:val="009A7CAA"/>
    <w:rsid w:val="009A7D69"/>
    <w:rsid w:val="009A7DDC"/>
    <w:rsid w:val="009B034C"/>
    <w:rsid w:val="009B0572"/>
    <w:rsid w:val="009B0768"/>
    <w:rsid w:val="009B0B38"/>
    <w:rsid w:val="009B0BF0"/>
    <w:rsid w:val="009B0D26"/>
    <w:rsid w:val="009B0D9F"/>
    <w:rsid w:val="009B1190"/>
    <w:rsid w:val="009B158A"/>
    <w:rsid w:val="009B170A"/>
    <w:rsid w:val="009B1AA5"/>
    <w:rsid w:val="009B1D99"/>
    <w:rsid w:val="009B2138"/>
    <w:rsid w:val="009B2745"/>
    <w:rsid w:val="009B27D1"/>
    <w:rsid w:val="009B2F9F"/>
    <w:rsid w:val="009B34E3"/>
    <w:rsid w:val="009B3509"/>
    <w:rsid w:val="009B3736"/>
    <w:rsid w:val="009B3ADD"/>
    <w:rsid w:val="009B4391"/>
    <w:rsid w:val="009B43C7"/>
    <w:rsid w:val="009B452A"/>
    <w:rsid w:val="009B4768"/>
    <w:rsid w:val="009B48F0"/>
    <w:rsid w:val="009B4FC7"/>
    <w:rsid w:val="009B5142"/>
    <w:rsid w:val="009B51C2"/>
    <w:rsid w:val="009B5591"/>
    <w:rsid w:val="009B56F6"/>
    <w:rsid w:val="009B5A8A"/>
    <w:rsid w:val="009B5ABE"/>
    <w:rsid w:val="009B5AC4"/>
    <w:rsid w:val="009B5AC6"/>
    <w:rsid w:val="009B5AFC"/>
    <w:rsid w:val="009B5BAD"/>
    <w:rsid w:val="009B5C04"/>
    <w:rsid w:val="009B5F16"/>
    <w:rsid w:val="009B737D"/>
    <w:rsid w:val="009B7FC5"/>
    <w:rsid w:val="009C0832"/>
    <w:rsid w:val="009C0CC4"/>
    <w:rsid w:val="009C0F03"/>
    <w:rsid w:val="009C1379"/>
    <w:rsid w:val="009C1416"/>
    <w:rsid w:val="009C17BD"/>
    <w:rsid w:val="009C187A"/>
    <w:rsid w:val="009C269B"/>
    <w:rsid w:val="009C28F2"/>
    <w:rsid w:val="009C293A"/>
    <w:rsid w:val="009C2B60"/>
    <w:rsid w:val="009C2D65"/>
    <w:rsid w:val="009C31F5"/>
    <w:rsid w:val="009C3B12"/>
    <w:rsid w:val="009C3C27"/>
    <w:rsid w:val="009C3EC1"/>
    <w:rsid w:val="009C419C"/>
    <w:rsid w:val="009C441C"/>
    <w:rsid w:val="009C449B"/>
    <w:rsid w:val="009C4A6A"/>
    <w:rsid w:val="009C4D08"/>
    <w:rsid w:val="009C4F22"/>
    <w:rsid w:val="009C5269"/>
    <w:rsid w:val="009C5381"/>
    <w:rsid w:val="009C54F5"/>
    <w:rsid w:val="009C5828"/>
    <w:rsid w:val="009C65A0"/>
    <w:rsid w:val="009C6B74"/>
    <w:rsid w:val="009C6BFD"/>
    <w:rsid w:val="009C6CDC"/>
    <w:rsid w:val="009C6FF8"/>
    <w:rsid w:val="009C7168"/>
    <w:rsid w:val="009C7385"/>
    <w:rsid w:val="009C76E6"/>
    <w:rsid w:val="009C7ED2"/>
    <w:rsid w:val="009D04F4"/>
    <w:rsid w:val="009D04FD"/>
    <w:rsid w:val="009D0A30"/>
    <w:rsid w:val="009D0A54"/>
    <w:rsid w:val="009D112F"/>
    <w:rsid w:val="009D166F"/>
    <w:rsid w:val="009D1691"/>
    <w:rsid w:val="009D1F9D"/>
    <w:rsid w:val="009D20F3"/>
    <w:rsid w:val="009D2674"/>
    <w:rsid w:val="009D2770"/>
    <w:rsid w:val="009D283C"/>
    <w:rsid w:val="009D28E5"/>
    <w:rsid w:val="009D2E02"/>
    <w:rsid w:val="009D31E9"/>
    <w:rsid w:val="009D3237"/>
    <w:rsid w:val="009D3262"/>
    <w:rsid w:val="009D3270"/>
    <w:rsid w:val="009D360C"/>
    <w:rsid w:val="009D3628"/>
    <w:rsid w:val="009D3CDF"/>
    <w:rsid w:val="009D3E38"/>
    <w:rsid w:val="009D3F5B"/>
    <w:rsid w:val="009D40CD"/>
    <w:rsid w:val="009D43D0"/>
    <w:rsid w:val="009D4823"/>
    <w:rsid w:val="009D4C2A"/>
    <w:rsid w:val="009D4E0E"/>
    <w:rsid w:val="009D50A9"/>
    <w:rsid w:val="009D58D5"/>
    <w:rsid w:val="009D5D3A"/>
    <w:rsid w:val="009D657E"/>
    <w:rsid w:val="009D6914"/>
    <w:rsid w:val="009D6D49"/>
    <w:rsid w:val="009D6DD9"/>
    <w:rsid w:val="009D6FD0"/>
    <w:rsid w:val="009D71E5"/>
    <w:rsid w:val="009D7268"/>
    <w:rsid w:val="009D767D"/>
    <w:rsid w:val="009E0553"/>
    <w:rsid w:val="009E144A"/>
    <w:rsid w:val="009E1697"/>
    <w:rsid w:val="009E19FE"/>
    <w:rsid w:val="009E1A3C"/>
    <w:rsid w:val="009E1ACD"/>
    <w:rsid w:val="009E1C22"/>
    <w:rsid w:val="009E1D42"/>
    <w:rsid w:val="009E1D8B"/>
    <w:rsid w:val="009E1DD8"/>
    <w:rsid w:val="009E1E83"/>
    <w:rsid w:val="009E200E"/>
    <w:rsid w:val="009E2481"/>
    <w:rsid w:val="009E2636"/>
    <w:rsid w:val="009E2D81"/>
    <w:rsid w:val="009E308A"/>
    <w:rsid w:val="009E3622"/>
    <w:rsid w:val="009E3747"/>
    <w:rsid w:val="009E37E4"/>
    <w:rsid w:val="009E3A9A"/>
    <w:rsid w:val="009E3BFD"/>
    <w:rsid w:val="009E3C7E"/>
    <w:rsid w:val="009E3E18"/>
    <w:rsid w:val="009E3EC3"/>
    <w:rsid w:val="009E43E8"/>
    <w:rsid w:val="009E4B23"/>
    <w:rsid w:val="009E4BF9"/>
    <w:rsid w:val="009E4C35"/>
    <w:rsid w:val="009E4C70"/>
    <w:rsid w:val="009E4F30"/>
    <w:rsid w:val="009E5248"/>
    <w:rsid w:val="009E559D"/>
    <w:rsid w:val="009E57E7"/>
    <w:rsid w:val="009E5914"/>
    <w:rsid w:val="009E5F17"/>
    <w:rsid w:val="009E6050"/>
    <w:rsid w:val="009E62E7"/>
    <w:rsid w:val="009E630D"/>
    <w:rsid w:val="009E63C3"/>
    <w:rsid w:val="009E6CF8"/>
    <w:rsid w:val="009E6E04"/>
    <w:rsid w:val="009E7119"/>
    <w:rsid w:val="009E714D"/>
    <w:rsid w:val="009E7696"/>
    <w:rsid w:val="009E7A04"/>
    <w:rsid w:val="009E7BFB"/>
    <w:rsid w:val="009F01BB"/>
    <w:rsid w:val="009F0381"/>
    <w:rsid w:val="009F0864"/>
    <w:rsid w:val="009F0A67"/>
    <w:rsid w:val="009F0C89"/>
    <w:rsid w:val="009F122F"/>
    <w:rsid w:val="009F193A"/>
    <w:rsid w:val="009F1CC2"/>
    <w:rsid w:val="009F1F9E"/>
    <w:rsid w:val="009F27EE"/>
    <w:rsid w:val="009F2CEF"/>
    <w:rsid w:val="009F2F1C"/>
    <w:rsid w:val="009F303A"/>
    <w:rsid w:val="009F34E0"/>
    <w:rsid w:val="009F3631"/>
    <w:rsid w:val="009F363C"/>
    <w:rsid w:val="009F378F"/>
    <w:rsid w:val="009F3790"/>
    <w:rsid w:val="009F37AD"/>
    <w:rsid w:val="009F37F3"/>
    <w:rsid w:val="009F3ACF"/>
    <w:rsid w:val="009F417F"/>
    <w:rsid w:val="009F476C"/>
    <w:rsid w:val="009F49FA"/>
    <w:rsid w:val="009F4E5F"/>
    <w:rsid w:val="009F5800"/>
    <w:rsid w:val="009F586C"/>
    <w:rsid w:val="009F597D"/>
    <w:rsid w:val="009F5D30"/>
    <w:rsid w:val="009F60EB"/>
    <w:rsid w:val="009F6176"/>
    <w:rsid w:val="009F66E1"/>
    <w:rsid w:val="009F6DB5"/>
    <w:rsid w:val="009F70F4"/>
    <w:rsid w:val="009F79E2"/>
    <w:rsid w:val="009F7A90"/>
    <w:rsid w:val="009F7CEB"/>
    <w:rsid w:val="00A003E9"/>
    <w:rsid w:val="00A006CA"/>
    <w:rsid w:val="00A007DE"/>
    <w:rsid w:val="00A00A71"/>
    <w:rsid w:val="00A00E03"/>
    <w:rsid w:val="00A0104D"/>
    <w:rsid w:val="00A019D5"/>
    <w:rsid w:val="00A01ADE"/>
    <w:rsid w:val="00A01BAF"/>
    <w:rsid w:val="00A0235C"/>
    <w:rsid w:val="00A0260D"/>
    <w:rsid w:val="00A02878"/>
    <w:rsid w:val="00A031EE"/>
    <w:rsid w:val="00A03256"/>
    <w:rsid w:val="00A03258"/>
    <w:rsid w:val="00A03710"/>
    <w:rsid w:val="00A038C6"/>
    <w:rsid w:val="00A040FD"/>
    <w:rsid w:val="00A0426A"/>
    <w:rsid w:val="00A0443D"/>
    <w:rsid w:val="00A04C0D"/>
    <w:rsid w:val="00A04D48"/>
    <w:rsid w:val="00A050E5"/>
    <w:rsid w:val="00A0524F"/>
    <w:rsid w:val="00A0578F"/>
    <w:rsid w:val="00A06E5F"/>
    <w:rsid w:val="00A06F01"/>
    <w:rsid w:val="00A071C6"/>
    <w:rsid w:val="00A07327"/>
    <w:rsid w:val="00A075AB"/>
    <w:rsid w:val="00A07E5D"/>
    <w:rsid w:val="00A07F83"/>
    <w:rsid w:val="00A104F0"/>
    <w:rsid w:val="00A10E1C"/>
    <w:rsid w:val="00A10FBF"/>
    <w:rsid w:val="00A110BD"/>
    <w:rsid w:val="00A110CB"/>
    <w:rsid w:val="00A11486"/>
    <w:rsid w:val="00A1165C"/>
    <w:rsid w:val="00A11670"/>
    <w:rsid w:val="00A11835"/>
    <w:rsid w:val="00A119E6"/>
    <w:rsid w:val="00A11C93"/>
    <w:rsid w:val="00A1218B"/>
    <w:rsid w:val="00A1261B"/>
    <w:rsid w:val="00A1264C"/>
    <w:rsid w:val="00A12784"/>
    <w:rsid w:val="00A12898"/>
    <w:rsid w:val="00A1290F"/>
    <w:rsid w:val="00A12A44"/>
    <w:rsid w:val="00A132A4"/>
    <w:rsid w:val="00A136D6"/>
    <w:rsid w:val="00A14753"/>
    <w:rsid w:val="00A14978"/>
    <w:rsid w:val="00A1549B"/>
    <w:rsid w:val="00A15613"/>
    <w:rsid w:val="00A15BE2"/>
    <w:rsid w:val="00A1629B"/>
    <w:rsid w:val="00A16638"/>
    <w:rsid w:val="00A1677F"/>
    <w:rsid w:val="00A16D87"/>
    <w:rsid w:val="00A16E60"/>
    <w:rsid w:val="00A16F62"/>
    <w:rsid w:val="00A171F6"/>
    <w:rsid w:val="00A17384"/>
    <w:rsid w:val="00A17490"/>
    <w:rsid w:val="00A1759A"/>
    <w:rsid w:val="00A179C8"/>
    <w:rsid w:val="00A17EB5"/>
    <w:rsid w:val="00A2015B"/>
    <w:rsid w:val="00A20189"/>
    <w:rsid w:val="00A20519"/>
    <w:rsid w:val="00A2056A"/>
    <w:rsid w:val="00A20643"/>
    <w:rsid w:val="00A20715"/>
    <w:rsid w:val="00A20B1A"/>
    <w:rsid w:val="00A20CA3"/>
    <w:rsid w:val="00A20FFB"/>
    <w:rsid w:val="00A213F1"/>
    <w:rsid w:val="00A2169F"/>
    <w:rsid w:val="00A216F9"/>
    <w:rsid w:val="00A21BC5"/>
    <w:rsid w:val="00A21D9D"/>
    <w:rsid w:val="00A2270D"/>
    <w:rsid w:val="00A227F8"/>
    <w:rsid w:val="00A228BD"/>
    <w:rsid w:val="00A22A39"/>
    <w:rsid w:val="00A22A53"/>
    <w:rsid w:val="00A2315A"/>
    <w:rsid w:val="00A23494"/>
    <w:rsid w:val="00A238CD"/>
    <w:rsid w:val="00A239FC"/>
    <w:rsid w:val="00A23FB9"/>
    <w:rsid w:val="00A244D1"/>
    <w:rsid w:val="00A24700"/>
    <w:rsid w:val="00A256CC"/>
    <w:rsid w:val="00A25912"/>
    <w:rsid w:val="00A25DC3"/>
    <w:rsid w:val="00A25EDE"/>
    <w:rsid w:val="00A261E7"/>
    <w:rsid w:val="00A26282"/>
    <w:rsid w:val="00A2646D"/>
    <w:rsid w:val="00A2672F"/>
    <w:rsid w:val="00A26BFD"/>
    <w:rsid w:val="00A26E4A"/>
    <w:rsid w:val="00A270E4"/>
    <w:rsid w:val="00A270EF"/>
    <w:rsid w:val="00A27313"/>
    <w:rsid w:val="00A275F8"/>
    <w:rsid w:val="00A27805"/>
    <w:rsid w:val="00A300D0"/>
    <w:rsid w:val="00A300E4"/>
    <w:rsid w:val="00A30509"/>
    <w:rsid w:val="00A30781"/>
    <w:rsid w:val="00A311E3"/>
    <w:rsid w:val="00A3125C"/>
    <w:rsid w:val="00A31388"/>
    <w:rsid w:val="00A3176C"/>
    <w:rsid w:val="00A31DD7"/>
    <w:rsid w:val="00A31DF3"/>
    <w:rsid w:val="00A32448"/>
    <w:rsid w:val="00A32689"/>
    <w:rsid w:val="00A32816"/>
    <w:rsid w:val="00A32B46"/>
    <w:rsid w:val="00A32E3D"/>
    <w:rsid w:val="00A32F99"/>
    <w:rsid w:val="00A3357C"/>
    <w:rsid w:val="00A3369A"/>
    <w:rsid w:val="00A33A61"/>
    <w:rsid w:val="00A33D05"/>
    <w:rsid w:val="00A33EFF"/>
    <w:rsid w:val="00A3408A"/>
    <w:rsid w:val="00A34222"/>
    <w:rsid w:val="00A34397"/>
    <w:rsid w:val="00A34436"/>
    <w:rsid w:val="00A34AFB"/>
    <w:rsid w:val="00A35902"/>
    <w:rsid w:val="00A35949"/>
    <w:rsid w:val="00A35DC8"/>
    <w:rsid w:val="00A36712"/>
    <w:rsid w:val="00A36763"/>
    <w:rsid w:val="00A368A5"/>
    <w:rsid w:val="00A36993"/>
    <w:rsid w:val="00A36ABA"/>
    <w:rsid w:val="00A36D00"/>
    <w:rsid w:val="00A36E4C"/>
    <w:rsid w:val="00A370F3"/>
    <w:rsid w:val="00A37C53"/>
    <w:rsid w:val="00A40054"/>
    <w:rsid w:val="00A40169"/>
    <w:rsid w:val="00A401B9"/>
    <w:rsid w:val="00A40599"/>
    <w:rsid w:val="00A413E5"/>
    <w:rsid w:val="00A414E5"/>
    <w:rsid w:val="00A41A1E"/>
    <w:rsid w:val="00A41E5D"/>
    <w:rsid w:val="00A41F93"/>
    <w:rsid w:val="00A4220A"/>
    <w:rsid w:val="00A427DB"/>
    <w:rsid w:val="00A42947"/>
    <w:rsid w:val="00A42F1C"/>
    <w:rsid w:val="00A43535"/>
    <w:rsid w:val="00A43715"/>
    <w:rsid w:val="00A437CF"/>
    <w:rsid w:val="00A44A57"/>
    <w:rsid w:val="00A44B3A"/>
    <w:rsid w:val="00A44B90"/>
    <w:rsid w:val="00A44F5F"/>
    <w:rsid w:val="00A45200"/>
    <w:rsid w:val="00A45378"/>
    <w:rsid w:val="00A4554D"/>
    <w:rsid w:val="00A459C3"/>
    <w:rsid w:val="00A45FDD"/>
    <w:rsid w:val="00A460EC"/>
    <w:rsid w:val="00A4675D"/>
    <w:rsid w:val="00A46B2D"/>
    <w:rsid w:val="00A46E34"/>
    <w:rsid w:val="00A473BF"/>
    <w:rsid w:val="00A50135"/>
    <w:rsid w:val="00A5043A"/>
    <w:rsid w:val="00A5071D"/>
    <w:rsid w:val="00A5083C"/>
    <w:rsid w:val="00A5112D"/>
    <w:rsid w:val="00A51170"/>
    <w:rsid w:val="00A517D3"/>
    <w:rsid w:val="00A5209B"/>
    <w:rsid w:val="00A52742"/>
    <w:rsid w:val="00A52B34"/>
    <w:rsid w:val="00A52CA4"/>
    <w:rsid w:val="00A52F75"/>
    <w:rsid w:val="00A5310D"/>
    <w:rsid w:val="00A533C1"/>
    <w:rsid w:val="00A533C3"/>
    <w:rsid w:val="00A535F9"/>
    <w:rsid w:val="00A535FB"/>
    <w:rsid w:val="00A53626"/>
    <w:rsid w:val="00A53FA8"/>
    <w:rsid w:val="00A541E4"/>
    <w:rsid w:val="00A5453C"/>
    <w:rsid w:val="00A545AC"/>
    <w:rsid w:val="00A549F9"/>
    <w:rsid w:val="00A550AE"/>
    <w:rsid w:val="00A551F8"/>
    <w:rsid w:val="00A553E4"/>
    <w:rsid w:val="00A55423"/>
    <w:rsid w:val="00A554D2"/>
    <w:rsid w:val="00A5569A"/>
    <w:rsid w:val="00A558A0"/>
    <w:rsid w:val="00A55E3A"/>
    <w:rsid w:val="00A55E48"/>
    <w:rsid w:val="00A5634A"/>
    <w:rsid w:val="00A5699D"/>
    <w:rsid w:val="00A57127"/>
    <w:rsid w:val="00A60130"/>
    <w:rsid w:val="00A601B0"/>
    <w:rsid w:val="00A609CD"/>
    <w:rsid w:val="00A60E5D"/>
    <w:rsid w:val="00A60F13"/>
    <w:rsid w:val="00A6163F"/>
    <w:rsid w:val="00A61B06"/>
    <w:rsid w:val="00A61C56"/>
    <w:rsid w:val="00A61F61"/>
    <w:rsid w:val="00A620B9"/>
    <w:rsid w:val="00A62204"/>
    <w:rsid w:val="00A624B7"/>
    <w:rsid w:val="00A62548"/>
    <w:rsid w:val="00A62942"/>
    <w:rsid w:val="00A62B11"/>
    <w:rsid w:val="00A62E60"/>
    <w:rsid w:val="00A630E4"/>
    <w:rsid w:val="00A634C2"/>
    <w:rsid w:val="00A63630"/>
    <w:rsid w:val="00A6374D"/>
    <w:rsid w:val="00A638B1"/>
    <w:rsid w:val="00A63947"/>
    <w:rsid w:val="00A63B15"/>
    <w:rsid w:val="00A6474C"/>
    <w:rsid w:val="00A64A6F"/>
    <w:rsid w:val="00A64AE5"/>
    <w:rsid w:val="00A64E44"/>
    <w:rsid w:val="00A6500D"/>
    <w:rsid w:val="00A6517D"/>
    <w:rsid w:val="00A65211"/>
    <w:rsid w:val="00A6534E"/>
    <w:rsid w:val="00A65566"/>
    <w:rsid w:val="00A65C1F"/>
    <w:rsid w:val="00A65F12"/>
    <w:rsid w:val="00A66553"/>
    <w:rsid w:val="00A666ED"/>
    <w:rsid w:val="00A669C3"/>
    <w:rsid w:val="00A67055"/>
    <w:rsid w:val="00A6770F"/>
    <w:rsid w:val="00A679EF"/>
    <w:rsid w:val="00A67A2B"/>
    <w:rsid w:val="00A7005E"/>
    <w:rsid w:val="00A70572"/>
    <w:rsid w:val="00A7091E"/>
    <w:rsid w:val="00A70C0B"/>
    <w:rsid w:val="00A70CB9"/>
    <w:rsid w:val="00A711E5"/>
    <w:rsid w:val="00A7239F"/>
    <w:rsid w:val="00A72DF5"/>
    <w:rsid w:val="00A73055"/>
    <w:rsid w:val="00A733A5"/>
    <w:rsid w:val="00A7341E"/>
    <w:rsid w:val="00A734EE"/>
    <w:rsid w:val="00A7359C"/>
    <w:rsid w:val="00A736EC"/>
    <w:rsid w:val="00A736FC"/>
    <w:rsid w:val="00A73A9C"/>
    <w:rsid w:val="00A73EE2"/>
    <w:rsid w:val="00A73FC6"/>
    <w:rsid w:val="00A746CE"/>
    <w:rsid w:val="00A74807"/>
    <w:rsid w:val="00A74ABC"/>
    <w:rsid w:val="00A75112"/>
    <w:rsid w:val="00A75241"/>
    <w:rsid w:val="00A75AA0"/>
    <w:rsid w:val="00A75DA1"/>
    <w:rsid w:val="00A75DD6"/>
    <w:rsid w:val="00A76CCE"/>
    <w:rsid w:val="00A76EA4"/>
    <w:rsid w:val="00A77011"/>
    <w:rsid w:val="00A772EC"/>
    <w:rsid w:val="00A7734C"/>
    <w:rsid w:val="00A776D4"/>
    <w:rsid w:val="00A77BDE"/>
    <w:rsid w:val="00A77CBB"/>
    <w:rsid w:val="00A77F64"/>
    <w:rsid w:val="00A80AC5"/>
    <w:rsid w:val="00A80C15"/>
    <w:rsid w:val="00A811D7"/>
    <w:rsid w:val="00A817B5"/>
    <w:rsid w:val="00A81859"/>
    <w:rsid w:val="00A81C0A"/>
    <w:rsid w:val="00A81F82"/>
    <w:rsid w:val="00A8205F"/>
    <w:rsid w:val="00A82437"/>
    <w:rsid w:val="00A827F6"/>
    <w:rsid w:val="00A83110"/>
    <w:rsid w:val="00A83237"/>
    <w:rsid w:val="00A8336E"/>
    <w:rsid w:val="00A8385E"/>
    <w:rsid w:val="00A83C38"/>
    <w:rsid w:val="00A83FBA"/>
    <w:rsid w:val="00A841B0"/>
    <w:rsid w:val="00A8474A"/>
    <w:rsid w:val="00A848F7"/>
    <w:rsid w:val="00A84EAA"/>
    <w:rsid w:val="00A858A4"/>
    <w:rsid w:val="00A85A2B"/>
    <w:rsid w:val="00A85D0E"/>
    <w:rsid w:val="00A86148"/>
    <w:rsid w:val="00A86B1E"/>
    <w:rsid w:val="00A86CDC"/>
    <w:rsid w:val="00A874B7"/>
    <w:rsid w:val="00A878C9"/>
    <w:rsid w:val="00A87A40"/>
    <w:rsid w:val="00A87EAA"/>
    <w:rsid w:val="00A9083C"/>
    <w:rsid w:val="00A90E26"/>
    <w:rsid w:val="00A910E0"/>
    <w:rsid w:val="00A91280"/>
    <w:rsid w:val="00A9172D"/>
    <w:rsid w:val="00A91E5E"/>
    <w:rsid w:val="00A91EF2"/>
    <w:rsid w:val="00A91EF4"/>
    <w:rsid w:val="00A925DD"/>
    <w:rsid w:val="00A929A1"/>
    <w:rsid w:val="00A92EA2"/>
    <w:rsid w:val="00A92F6C"/>
    <w:rsid w:val="00A932EF"/>
    <w:rsid w:val="00A9341D"/>
    <w:rsid w:val="00A93543"/>
    <w:rsid w:val="00A93EF1"/>
    <w:rsid w:val="00A93F16"/>
    <w:rsid w:val="00A93F6B"/>
    <w:rsid w:val="00A941F4"/>
    <w:rsid w:val="00A94388"/>
    <w:rsid w:val="00A94678"/>
    <w:rsid w:val="00A94A13"/>
    <w:rsid w:val="00A94EC9"/>
    <w:rsid w:val="00A94EFC"/>
    <w:rsid w:val="00A953C1"/>
    <w:rsid w:val="00A953DC"/>
    <w:rsid w:val="00A95576"/>
    <w:rsid w:val="00A95A69"/>
    <w:rsid w:val="00A95CC8"/>
    <w:rsid w:val="00A963DD"/>
    <w:rsid w:val="00A9644D"/>
    <w:rsid w:val="00A96645"/>
    <w:rsid w:val="00A967C0"/>
    <w:rsid w:val="00A967EB"/>
    <w:rsid w:val="00A96E53"/>
    <w:rsid w:val="00A9747B"/>
    <w:rsid w:val="00A97F27"/>
    <w:rsid w:val="00AA07C1"/>
    <w:rsid w:val="00AA08F5"/>
    <w:rsid w:val="00AA0B48"/>
    <w:rsid w:val="00AA0B7C"/>
    <w:rsid w:val="00AA1044"/>
    <w:rsid w:val="00AA1606"/>
    <w:rsid w:val="00AA1681"/>
    <w:rsid w:val="00AA1887"/>
    <w:rsid w:val="00AA1946"/>
    <w:rsid w:val="00AA1CEE"/>
    <w:rsid w:val="00AA1E9F"/>
    <w:rsid w:val="00AA23FE"/>
    <w:rsid w:val="00AA2578"/>
    <w:rsid w:val="00AA27BB"/>
    <w:rsid w:val="00AA2BCD"/>
    <w:rsid w:val="00AA2E2B"/>
    <w:rsid w:val="00AA2FA1"/>
    <w:rsid w:val="00AA30DD"/>
    <w:rsid w:val="00AA30EB"/>
    <w:rsid w:val="00AA383A"/>
    <w:rsid w:val="00AA4007"/>
    <w:rsid w:val="00AA43F1"/>
    <w:rsid w:val="00AA46D6"/>
    <w:rsid w:val="00AA4BEA"/>
    <w:rsid w:val="00AA4BFB"/>
    <w:rsid w:val="00AA5081"/>
    <w:rsid w:val="00AA51C1"/>
    <w:rsid w:val="00AA5856"/>
    <w:rsid w:val="00AA5EA9"/>
    <w:rsid w:val="00AA5EF7"/>
    <w:rsid w:val="00AA6156"/>
    <w:rsid w:val="00AA62B3"/>
    <w:rsid w:val="00AA66A1"/>
    <w:rsid w:val="00AA6C30"/>
    <w:rsid w:val="00AA6E90"/>
    <w:rsid w:val="00AA7333"/>
    <w:rsid w:val="00AA7393"/>
    <w:rsid w:val="00AA73AC"/>
    <w:rsid w:val="00AA765D"/>
    <w:rsid w:val="00AA7838"/>
    <w:rsid w:val="00AA7B77"/>
    <w:rsid w:val="00AA7DE1"/>
    <w:rsid w:val="00AA7E18"/>
    <w:rsid w:val="00AA7FB3"/>
    <w:rsid w:val="00AB0726"/>
    <w:rsid w:val="00AB0884"/>
    <w:rsid w:val="00AB16B1"/>
    <w:rsid w:val="00AB1837"/>
    <w:rsid w:val="00AB187A"/>
    <w:rsid w:val="00AB1F15"/>
    <w:rsid w:val="00AB21C8"/>
    <w:rsid w:val="00AB2643"/>
    <w:rsid w:val="00AB2C5D"/>
    <w:rsid w:val="00AB2D85"/>
    <w:rsid w:val="00AB2E69"/>
    <w:rsid w:val="00AB3741"/>
    <w:rsid w:val="00AB3A03"/>
    <w:rsid w:val="00AB3CE7"/>
    <w:rsid w:val="00AB4082"/>
    <w:rsid w:val="00AB4342"/>
    <w:rsid w:val="00AB43EA"/>
    <w:rsid w:val="00AB450C"/>
    <w:rsid w:val="00AB47EF"/>
    <w:rsid w:val="00AB514A"/>
    <w:rsid w:val="00AB51B7"/>
    <w:rsid w:val="00AB55F7"/>
    <w:rsid w:val="00AB5A80"/>
    <w:rsid w:val="00AB61E3"/>
    <w:rsid w:val="00AB647D"/>
    <w:rsid w:val="00AB6EEF"/>
    <w:rsid w:val="00AB74A4"/>
    <w:rsid w:val="00AB777F"/>
    <w:rsid w:val="00AB782B"/>
    <w:rsid w:val="00AB78AA"/>
    <w:rsid w:val="00AB7B55"/>
    <w:rsid w:val="00AB7C58"/>
    <w:rsid w:val="00AB7C82"/>
    <w:rsid w:val="00AC0CA3"/>
    <w:rsid w:val="00AC0D3E"/>
    <w:rsid w:val="00AC15FD"/>
    <w:rsid w:val="00AC1A3B"/>
    <w:rsid w:val="00AC1E12"/>
    <w:rsid w:val="00AC1EB8"/>
    <w:rsid w:val="00AC20E8"/>
    <w:rsid w:val="00AC2302"/>
    <w:rsid w:val="00AC27D5"/>
    <w:rsid w:val="00AC2D2E"/>
    <w:rsid w:val="00AC2D44"/>
    <w:rsid w:val="00AC2FCD"/>
    <w:rsid w:val="00AC3081"/>
    <w:rsid w:val="00AC31C8"/>
    <w:rsid w:val="00AC3475"/>
    <w:rsid w:val="00AC3595"/>
    <w:rsid w:val="00AC3D31"/>
    <w:rsid w:val="00AC4096"/>
    <w:rsid w:val="00AC4112"/>
    <w:rsid w:val="00AC4926"/>
    <w:rsid w:val="00AC4AA8"/>
    <w:rsid w:val="00AC4E20"/>
    <w:rsid w:val="00AC50E3"/>
    <w:rsid w:val="00AC512D"/>
    <w:rsid w:val="00AC59CF"/>
    <w:rsid w:val="00AC5D02"/>
    <w:rsid w:val="00AC5D67"/>
    <w:rsid w:val="00AC5DB0"/>
    <w:rsid w:val="00AC610C"/>
    <w:rsid w:val="00AC6239"/>
    <w:rsid w:val="00AC62B3"/>
    <w:rsid w:val="00AC68E4"/>
    <w:rsid w:val="00AC693D"/>
    <w:rsid w:val="00AC6A1C"/>
    <w:rsid w:val="00AC6BB9"/>
    <w:rsid w:val="00AC6E3B"/>
    <w:rsid w:val="00AC700E"/>
    <w:rsid w:val="00AC7159"/>
    <w:rsid w:val="00AC7459"/>
    <w:rsid w:val="00AC792D"/>
    <w:rsid w:val="00AC7BC4"/>
    <w:rsid w:val="00AD0075"/>
    <w:rsid w:val="00AD01D0"/>
    <w:rsid w:val="00AD05E5"/>
    <w:rsid w:val="00AD06D9"/>
    <w:rsid w:val="00AD0B3E"/>
    <w:rsid w:val="00AD0E0C"/>
    <w:rsid w:val="00AD1714"/>
    <w:rsid w:val="00AD1794"/>
    <w:rsid w:val="00AD17EC"/>
    <w:rsid w:val="00AD1821"/>
    <w:rsid w:val="00AD26D7"/>
    <w:rsid w:val="00AD2BA0"/>
    <w:rsid w:val="00AD2D37"/>
    <w:rsid w:val="00AD3487"/>
    <w:rsid w:val="00AD35BC"/>
    <w:rsid w:val="00AD3A71"/>
    <w:rsid w:val="00AD4613"/>
    <w:rsid w:val="00AD4710"/>
    <w:rsid w:val="00AD4AA3"/>
    <w:rsid w:val="00AD4E56"/>
    <w:rsid w:val="00AD5168"/>
    <w:rsid w:val="00AD51C9"/>
    <w:rsid w:val="00AD542F"/>
    <w:rsid w:val="00AD5773"/>
    <w:rsid w:val="00AD5908"/>
    <w:rsid w:val="00AD5D88"/>
    <w:rsid w:val="00AD64CD"/>
    <w:rsid w:val="00AD6CDF"/>
    <w:rsid w:val="00AD6DE1"/>
    <w:rsid w:val="00AD7598"/>
    <w:rsid w:val="00AD7FFD"/>
    <w:rsid w:val="00AE0333"/>
    <w:rsid w:val="00AE0649"/>
    <w:rsid w:val="00AE07A4"/>
    <w:rsid w:val="00AE0AE1"/>
    <w:rsid w:val="00AE0D63"/>
    <w:rsid w:val="00AE0EF3"/>
    <w:rsid w:val="00AE1536"/>
    <w:rsid w:val="00AE1606"/>
    <w:rsid w:val="00AE1905"/>
    <w:rsid w:val="00AE194E"/>
    <w:rsid w:val="00AE1C08"/>
    <w:rsid w:val="00AE1E29"/>
    <w:rsid w:val="00AE1E3A"/>
    <w:rsid w:val="00AE25E6"/>
    <w:rsid w:val="00AE2681"/>
    <w:rsid w:val="00AE2A68"/>
    <w:rsid w:val="00AE2F9C"/>
    <w:rsid w:val="00AE3343"/>
    <w:rsid w:val="00AE36AC"/>
    <w:rsid w:val="00AE382B"/>
    <w:rsid w:val="00AE3887"/>
    <w:rsid w:val="00AE3A5A"/>
    <w:rsid w:val="00AE4139"/>
    <w:rsid w:val="00AE474E"/>
    <w:rsid w:val="00AE48C0"/>
    <w:rsid w:val="00AE49BE"/>
    <w:rsid w:val="00AE5103"/>
    <w:rsid w:val="00AE5884"/>
    <w:rsid w:val="00AE591A"/>
    <w:rsid w:val="00AE63E7"/>
    <w:rsid w:val="00AE6FDC"/>
    <w:rsid w:val="00AE75FF"/>
    <w:rsid w:val="00AE772D"/>
    <w:rsid w:val="00AE7C51"/>
    <w:rsid w:val="00AE7DE6"/>
    <w:rsid w:val="00AF00EF"/>
    <w:rsid w:val="00AF01E4"/>
    <w:rsid w:val="00AF04E2"/>
    <w:rsid w:val="00AF0DF9"/>
    <w:rsid w:val="00AF1104"/>
    <w:rsid w:val="00AF117F"/>
    <w:rsid w:val="00AF14DF"/>
    <w:rsid w:val="00AF17D7"/>
    <w:rsid w:val="00AF199E"/>
    <w:rsid w:val="00AF1A88"/>
    <w:rsid w:val="00AF1F79"/>
    <w:rsid w:val="00AF2A0B"/>
    <w:rsid w:val="00AF2D65"/>
    <w:rsid w:val="00AF3EDF"/>
    <w:rsid w:val="00AF4BE4"/>
    <w:rsid w:val="00AF4C16"/>
    <w:rsid w:val="00AF4DB9"/>
    <w:rsid w:val="00AF4DD9"/>
    <w:rsid w:val="00AF5F3D"/>
    <w:rsid w:val="00AF5FF8"/>
    <w:rsid w:val="00AF62F1"/>
    <w:rsid w:val="00AF6680"/>
    <w:rsid w:val="00AF671D"/>
    <w:rsid w:val="00AF70F2"/>
    <w:rsid w:val="00AF7178"/>
    <w:rsid w:val="00AF7408"/>
    <w:rsid w:val="00AF79D5"/>
    <w:rsid w:val="00AF7E0A"/>
    <w:rsid w:val="00B00319"/>
    <w:rsid w:val="00B003B7"/>
    <w:rsid w:val="00B00A87"/>
    <w:rsid w:val="00B00DC9"/>
    <w:rsid w:val="00B0145E"/>
    <w:rsid w:val="00B0178E"/>
    <w:rsid w:val="00B019E3"/>
    <w:rsid w:val="00B01AC7"/>
    <w:rsid w:val="00B01D5B"/>
    <w:rsid w:val="00B0230D"/>
    <w:rsid w:val="00B02612"/>
    <w:rsid w:val="00B033B0"/>
    <w:rsid w:val="00B0359D"/>
    <w:rsid w:val="00B039D1"/>
    <w:rsid w:val="00B03A20"/>
    <w:rsid w:val="00B03CB9"/>
    <w:rsid w:val="00B03E08"/>
    <w:rsid w:val="00B03EE4"/>
    <w:rsid w:val="00B0459C"/>
    <w:rsid w:val="00B0495A"/>
    <w:rsid w:val="00B04B05"/>
    <w:rsid w:val="00B0529B"/>
    <w:rsid w:val="00B054B4"/>
    <w:rsid w:val="00B05A6C"/>
    <w:rsid w:val="00B05CD6"/>
    <w:rsid w:val="00B05E21"/>
    <w:rsid w:val="00B05FD4"/>
    <w:rsid w:val="00B0629A"/>
    <w:rsid w:val="00B0675A"/>
    <w:rsid w:val="00B06A63"/>
    <w:rsid w:val="00B06A94"/>
    <w:rsid w:val="00B06D8E"/>
    <w:rsid w:val="00B06F0B"/>
    <w:rsid w:val="00B0713D"/>
    <w:rsid w:val="00B07417"/>
    <w:rsid w:val="00B074CC"/>
    <w:rsid w:val="00B07553"/>
    <w:rsid w:val="00B077A1"/>
    <w:rsid w:val="00B07D72"/>
    <w:rsid w:val="00B07EB9"/>
    <w:rsid w:val="00B101CE"/>
    <w:rsid w:val="00B10217"/>
    <w:rsid w:val="00B10316"/>
    <w:rsid w:val="00B10501"/>
    <w:rsid w:val="00B11583"/>
    <w:rsid w:val="00B11EA0"/>
    <w:rsid w:val="00B121F1"/>
    <w:rsid w:val="00B12451"/>
    <w:rsid w:val="00B12CB9"/>
    <w:rsid w:val="00B1303C"/>
    <w:rsid w:val="00B13338"/>
    <w:rsid w:val="00B13690"/>
    <w:rsid w:val="00B13737"/>
    <w:rsid w:val="00B1384A"/>
    <w:rsid w:val="00B13AF0"/>
    <w:rsid w:val="00B13BE1"/>
    <w:rsid w:val="00B13D45"/>
    <w:rsid w:val="00B13D6E"/>
    <w:rsid w:val="00B142F0"/>
    <w:rsid w:val="00B14771"/>
    <w:rsid w:val="00B14DB0"/>
    <w:rsid w:val="00B1542E"/>
    <w:rsid w:val="00B154B2"/>
    <w:rsid w:val="00B158CB"/>
    <w:rsid w:val="00B15A86"/>
    <w:rsid w:val="00B15B5D"/>
    <w:rsid w:val="00B15CDE"/>
    <w:rsid w:val="00B16194"/>
    <w:rsid w:val="00B16DCF"/>
    <w:rsid w:val="00B173B3"/>
    <w:rsid w:val="00B178DA"/>
    <w:rsid w:val="00B17B83"/>
    <w:rsid w:val="00B17FDB"/>
    <w:rsid w:val="00B2065D"/>
    <w:rsid w:val="00B20ACA"/>
    <w:rsid w:val="00B2138A"/>
    <w:rsid w:val="00B214E6"/>
    <w:rsid w:val="00B216C0"/>
    <w:rsid w:val="00B21BB1"/>
    <w:rsid w:val="00B21DC0"/>
    <w:rsid w:val="00B22125"/>
    <w:rsid w:val="00B225D0"/>
    <w:rsid w:val="00B2297B"/>
    <w:rsid w:val="00B2335F"/>
    <w:rsid w:val="00B2340E"/>
    <w:rsid w:val="00B235C9"/>
    <w:rsid w:val="00B238CB"/>
    <w:rsid w:val="00B23A4E"/>
    <w:rsid w:val="00B23AF6"/>
    <w:rsid w:val="00B23E7D"/>
    <w:rsid w:val="00B24577"/>
    <w:rsid w:val="00B24D34"/>
    <w:rsid w:val="00B25144"/>
    <w:rsid w:val="00B25639"/>
    <w:rsid w:val="00B256F3"/>
    <w:rsid w:val="00B25740"/>
    <w:rsid w:val="00B258DC"/>
    <w:rsid w:val="00B259DF"/>
    <w:rsid w:val="00B25ABB"/>
    <w:rsid w:val="00B25D68"/>
    <w:rsid w:val="00B25E5B"/>
    <w:rsid w:val="00B26046"/>
    <w:rsid w:val="00B26AF5"/>
    <w:rsid w:val="00B276D1"/>
    <w:rsid w:val="00B2777B"/>
    <w:rsid w:val="00B27AFF"/>
    <w:rsid w:val="00B27FD8"/>
    <w:rsid w:val="00B30120"/>
    <w:rsid w:val="00B303B6"/>
    <w:rsid w:val="00B30D73"/>
    <w:rsid w:val="00B30D75"/>
    <w:rsid w:val="00B313C6"/>
    <w:rsid w:val="00B31600"/>
    <w:rsid w:val="00B322C1"/>
    <w:rsid w:val="00B32855"/>
    <w:rsid w:val="00B337B7"/>
    <w:rsid w:val="00B33857"/>
    <w:rsid w:val="00B33914"/>
    <w:rsid w:val="00B34310"/>
    <w:rsid w:val="00B3433A"/>
    <w:rsid w:val="00B3437A"/>
    <w:rsid w:val="00B3470A"/>
    <w:rsid w:val="00B34900"/>
    <w:rsid w:val="00B34B24"/>
    <w:rsid w:val="00B3544E"/>
    <w:rsid w:val="00B35B46"/>
    <w:rsid w:val="00B35CD2"/>
    <w:rsid w:val="00B35D31"/>
    <w:rsid w:val="00B3608B"/>
    <w:rsid w:val="00B367E2"/>
    <w:rsid w:val="00B36AD3"/>
    <w:rsid w:val="00B36B08"/>
    <w:rsid w:val="00B375B7"/>
    <w:rsid w:val="00B3760C"/>
    <w:rsid w:val="00B376C7"/>
    <w:rsid w:val="00B37731"/>
    <w:rsid w:val="00B37822"/>
    <w:rsid w:val="00B378BC"/>
    <w:rsid w:val="00B37E02"/>
    <w:rsid w:val="00B40602"/>
    <w:rsid w:val="00B40891"/>
    <w:rsid w:val="00B4149C"/>
    <w:rsid w:val="00B41534"/>
    <w:rsid w:val="00B4165D"/>
    <w:rsid w:val="00B41856"/>
    <w:rsid w:val="00B41857"/>
    <w:rsid w:val="00B4211E"/>
    <w:rsid w:val="00B42202"/>
    <w:rsid w:val="00B4220C"/>
    <w:rsid w:val="00B42269"/>
    <w:rsid w:val="00B42387"/>
    <w:rsid w:val="00B42777"/>
    <w:rsid w:val="00B4297B"/>
    <w:rsid w:val="00B42DDF"/>
    <w:rsid w:val="00B4394F"/>
    <w:rsid w:val="00B4398E"/>
    <w:rsid w:val="00B43B9B"/>
    <w:rsid w:val="00B43C2A"/>
    <w:rsid w:val="00B4401E"/>
    <w:rsid w:val="00B446C2"/>
    <w:rsid w:val="00B44739"/>
    <w:rsid w:val="00B44EFF"/>
    <w:rsid w:val="00B44F84"/>
    <w:rsid w:val="00B45205"/>
    <w:rsid w:val="00B454EA"/>
    <w:rsid w:val="00B45C22"/>
    <w:rsid w:val="00B45F5D"/>
    <w:rsid w:val="00B46564"/>
    <w:rsid w:val="00B4656A"/>
    <w:rsid w:val="00B46A5A"/>
    <w:rsid w:val="00B46AC3"/>
    <w:rsid w:val="00B46E10"/>
    <w:rsid w:val="00B470A9"/>
    <w:rsid w:val="00B470ED"/>
    <w:rsid w:val="00B47607"/>
    <w:rsid w:val="00B47BCA"/>
    <w:rsid w:val="00B47F4D"/>
    <w:rsid w:val="00B501C7"/>
    <w:rsid w:val="00B50AB1"/>
    <w:rsid w:val="00B51A1E"/>
    <w:rsid w:val="00B51AF6"/>
    <w:rsid w:val="00B51F3A"/>
    <w:rsid w:val="00B5204C"/>
    <w:rsid w:val="00B5212F"/>
    <w:rsid w:val="00B52484"/>
    <w:rsid w:val="00B52A78"/>
    <w:rsid w:val="00B52AF2"/>
    <w:rsid w:val="00B5368D"/>
    <w:rsid w:val="00B53D84"/>
    <w:rsid w:val="00B53F54"/>
    <w:rsid w:val="00B541BD"/>
    <w:rsid w:val="00B541D0"/>
    <w:rsid w:val="00B54B2C"/>
    <w:rsid w:val="00B55204"/>
    <w:rsid w:val="00B55565"/>
    <w:rsid w:val="00B55607"/>
    <w:rsid w:val="00B55627"/>
    <w:rsid w:val="00B55CAC"/>
    <w:rsid w:val="00B56195"/>
    <w:rsid w:val="00B565E7"/>
    <w:rsid w:val="00B56C0E"/>
    <w:rsid w:val="00B56D6A"/>
    <w:rsid w:val="00B56E97"/>
    <w:rsid w:val="00B56FFC"/>
    <w:rsid w:val="00B574B8"/>
    <w:rsid w:val="00B574C1"/>
    <w:rsid w:val="00B57591"/>
    <w:rsid w:val="00B57715"/>
    <w:rsid w:val="00B57A95"/>
    <w:rsid w:val="00B57F73"/>
    <w:rsid w:val="00B606CE"/>
    <w:rsid w:val="00B60742"/>
    <w:rsid w:val="00B60884"/>
    <w:rsid w:val="00B60C76"/>
    <w:rsid w:val="00B61076"/>
    <w:rsid w:val="00B6157F"/>
    <w:rsid w:val="00B6158D"/>
    <w:rsid w:val="00B61735"/>
    <w:rsid w:val="00B61C38"/>
    <w:rsid w:val="00B61D13"/>
    <w:rsid w:val="00B61D4F"/>
    <w:rsid w:val="00B61D9D"/>
    <w:rsid w:val="00B61DEB"/>
    <w:rsid w:val="00B62090"/>
    <w:rsid w:val="00B6265A"/>
    <w:rsid w:val="00B62BE9"/>
    <w:rsid w:val="00B631A1"/>
    <w:rsid w:val="00B63460"/>
    <w:rsid w:val="00B63B8F"/>
    <w:rsid w:val="00B640D8"/>
    <w:rsid w:val="00B6425E"/>
    <w:rsid w:val="00B6469B"/>
    <w:rsid w:val="00B64B08"/>
    <w:rsid w:val="00B64D06"/>
    <w:rsid w:val="00B650CA"/>
    <w:rsid w:val="00B65271"/>
    <w:rsid w:val="00B6585B"/>
    <w:rsid w:val="00B669FD"/>
    <w:rsid w:val="00B66BF8"/>
    <w:rsid w:val="00B66C04"/>
    <w:rsid w:val="00B66C37"/>
    <w:rsid w:val="00B67119"/>
    <w:rsid w:val="00B67351"/>
    <w:rsid w:val="00B6765C"/>
    <w:rsid w:val="00B67BE6"/>
    <w:rsid w:val="00B70522"/>
    <w:rsid w:val="00B70DEF"/>
    <w:rsid w:val="00B70F1B"/>
    <w:rsid w:val="00B71675"/>
    <w:rsid w:val="00B71A5E"/>
    <w:rsid w:val="00B71AC2"/>
    <w:rsid w:val="00B71B62"/>
    <w:rsid w:val="00B71EF0"/>
    <w:rsid w:val="00B721CA"/>
    <w:rsid w:val="00B72359"/>
    <w:rsid w:val="00B727FA"/>
    <w:rsid w:val="00B72812"/>
    <w:rsid w:val="00B7286C"/>
    <w:rsid w:val="00B732A1"/>
    <w:rsid w:val="00B7333C"/>
    <w:rsid w:val="00B73898"/>
    <w:rsid w:val="00B743F2"/>
    <w:rsid w:val="00B74DE1"/>
    <w:rsid w:val="00B75481"/>
    <w:rsid w:val="00B75B5C"/>
    <w:rsid w:val="00B75BC0"/>
    <w:rsid w:val="00B7636B"/>
    <w:rsid w:val="00B76457"/>
    <w:rsid w:val="00B76492"/>
    <w:rsid w:val="00B76667"/>
    <w:rsid w:val="00B767DA"/>
    <w:rsid w:val="00B769A2"/>
    <w:rsid w:val="00B76CF2"/>
    <w:rsid w:val="00B77187"/>
    <w:rsid w:val="00B773CF"/>
    <w:rsid w:val="00B777DF"/>
    <w:rsid w:val="00B7796D"/>
    <w:rsid w:val="00B77C9C"/>
    <w:rsid w:val="00B77E27"/>
    <w:rsid w:val="00B80463"/>
    <w:rsid w:val="00B80B83"/>
    <w:rsid w:val="00B80CF9"/>
    <w:rsid w:val="00B80FFE"/>
    <w:rsid w:val="00B812B6"/>
    <w:rsid w:val="00B81CED"/>
    <w:rsid w:val="00B81F1C"/>
    <w:rsid w:val="00B82171"/>
    <w:rsid w:val="00B824E2"/>
    <w:rsid w:val="00B8254D"/>
    <w:rsid w:val="00B829C2"/>
    <w:rsid w:val="00B82CE7"/>
    <w:rsid w:val="00B83300"/>
    <w:rsid w:val="00B83773"/>
    <w:rsid w:val="00B839F7"/>
    <w:rsid w:val="00B83A5A"/>
    <w:rsid w:val="00B83E7A"/>
    <w:rsid w:val="00B83EB7"/>
    <w:rsid w:val="00B83ECB"/>
    <w:rsid w:val="00B8411A"/>
    <w:rsid w:val="00B846CD"/>
    <w:rsid w:val="00B8480C"/>
    <w:rsid w:val="00B84C0B"/>
    <w:rsid w:val="00B85342"/>
    <w:rsid w:val="00B8551A"/>
    <w:rsid w:val="00B8560C"/>
    <w:rsid w:val="00B857CC"/>
    <w:rsid w:val="00B85E7B"/>
    <w:rsid w:val="00B863A0"/>
    <w:rsid w:val="00B86609"/>
    <w:rsid w:val="00B866A5"/>
    <w:rsid w:val="00B8715C"/>
    <w:rsid w:val="00B8749C"/>
    <w:rsid w:val="00B87AD7"/>
    <w:rsid w:val="00B901D4"/>
    <w:rsid w:val="00B90931"/>
    <w:rsid w:val="00B910D0"/>
    <w:rsid w:val="00B917CA"/>
    <w:rsid w:val="00B91812"/>
    <w:rsid w:val="00B91AF4"/>
    <w:rsid w:val="00B91DB3"/>
    <w:rsid w:val="00B91EAA"/>
    <w:rsid w:val="00B91FF1"/>
    <w:rsid w:val="00B92197"/>
    <w:rsid w:val="00B92635"/>
    <w:rsid w:val="00B9303F"/>
    <w:rsid w:val="00B93080"/>
    <w:rsid w:val="00B930BA"/>
    <w:rsid w:val="00B936D8"/>
    <w:rsid w:val="00B936FF"/>
    <w:rsid w:val="00B93CCD"/>
    <w:rsid w:val="00B9431B"/>
    <w:rsid w:val="00B9450E"/>
    <w:rsid w:val="00B946E4"/>
    <w:rsid w:val="00B94D61"/>
    <w:rsid w:val="00B952F3"/>
    <w:rsid w:val="00B95670"/>
    <w:rsid w:val="00B95A3C"/>
    <w:rsid w:val="00B95CC1"/>
    <w:rsid w:val="00B9625A"/>
    <w:rsid w:val="00B96424"/>
    <w:rsid w:val="00B97407"/>
    <w:rsid w:val="00B97B49"/>
    <w:rsid w:val="00B97D43"/>
    <w:rsid w:val="00BA01AB"/>
    <w:rsid w:val="00BA0519"/>
    <w:rsid w:val="00BA0759"/>
    <w:rsid w:val="00BA0844"/>
    <w:rsid w:val="00BA091B"/>
    <w:rsid w:val="00BA0A05"/>
    <w:rsid w:val="00BA0AC3"/>
    <w:rsid w:val="00BA0B62"/>
    <w:rsid w:val="00BA0B7C"/>
    <w:rsid w:val="00BA0BF1"/>
    <w:rsid w:val="00BA0F86"/>
    <w:rsid w:val="00BA121C"/>
    <w:rsid w:val="00BA121E"/>
    <w:rsid w:val="00BA1339"/>
    <w:rsid w:val="00BA1F49"/>
    <w:rsid w:val="00BA20E3"/>
    <w:rsid w:val="00BA2379"/>
    <w:rsid w:val="00BA251E"/>
    <w:rsid w:val="00BA298B"/>
    <w:rsid w:val="00BA29F1"/>
    <w:rsid w:val="00BA2E37"/>
    <w:rsid w:val="00BA2EE7"/>
    <w:rsid w:val="00BA2FC7"/>
    <w:rsid w:val="00BA3306"/>
    <w:rsid w:val="00BA3434"/>
    <w:rsid w:val="00BA387F"/>
    <w:rsid w:val="00BA3C8F"/>
    <w:rsid w:val="00BA3D70"/>
    <w:rsid w:val="00BA3EBE"/>
    <w:rsid w:val="00BA494E"/>
    <w:rsid w:val="00BA4CB8"/>
    <w:rsid w:val="00BA4F4E"/>
    <w:rsid w:val="00BA5724"/>
    <w:rsid w:val="00BA699A"/>
    <w:rsid w:val="00BA7101"/>
    <w:rsid w:val="00BA71F7"/>
    <w:rsid w:val="00BA73EE"/>
    <w:rsid w:val="00BA74BD"/>
    <w:rsid w:val="00BA7B43"/>
    <w:rsid w:val="00BA7DD2"/>
    <w:rsid w:val="00BB006F"/>
    <w:rsid w:val="00BB0145"/>
    <w:rsid w:val="00BB07BC"/>
    <w:rsid w:val="00BB0D34"/>
    <w:rsid w:val="00BB0D52"/>
    <w:rsid w:val="00BB0E85"/>
    <w:rsid w:val="00BB19A6"/>
    <w:rsid w:val="00BB1DBC"/>
    <w:rsid w:val="00BB2329"/>
    <w:rsid w:val="00BB3021"/>
    <w:rsid w:val="00BB3110"/>
    <w:rsid w:val="00BB3443"/>
    <w:rsid w:val="00BB35C2"/>
    <w:rsid w:val="00BB36FE"/>
    <w:rsid w:val="00BB3954"/>
    <w:rsid w:val="00BB3980"/>
    <w:rsid w:val="00BB3AAD"/>
    <w:rsid w:val="00BB3DCB"/>
    <w:rsid w:val="00BB4009"/>
    <w:rsid w:val="00BB4054"/>
    <w:rsid w:val="00BB432F"/>
    <w:rsid w:val="00BB4C2B"/>
    <w:rsid w:val="00BB4E32"/>
    <w:rsid w:val="00BB51AA"/>
    <w:rsid w:val="00BB523C"/>
    <w:rsid w:val="00BB535A"/>
    <w:rsid w:val="00BB54A6"/>
    <w:rsid w:val="00BB58C4"/>
    <w:rsid w:val="00BB5A5B"/>
    <w:rsid w:val="00BB5B09"/>
    <w:rsid w:val="00BB5BDF"/>
    <w:rsid w:val="00BB5FF9"/>
    <w:rsid w:val="00BB624C"/>
    <w:rsid w:val="00BB6430"/>
    <w:rsid w:val="00BB6875"/>
    <w:rsid w:val="00BB6AE4"/>
    <w:rsid w:val="00BB7002"/>
    <w:rsid w:val="00BB749F"/>
    <w:rsid w:val="00BB7824"/>
    <w:rsid w:val="00BB7D78"/>
    <w:rsid w:val="00BB7DF0"/>
    <w:rsid w:val="00BB7E41"/>
    <w:rsid w:val="00BC0B0C"/>
    <w:rsid w:val="00BC0B45"/>
    <w:rsid w:val="00BC0D6A"/>
    <w:rsid w:val="00BC101D"/>
    <w:rsid w:val="00BC16AA"/>
    <w:rsid w:val="00BC183D"/>
    <w:rsid w:val="00BC19B1"/>
    <w:rsid w:val="00BC1B62"/>
    <w:rsid w:val="00BC1CAF"/>
    <w:rsid w:val="00BC1D21"/>
    <w:rsid w:val="00BC1ECD"/>
    <w:rsid w:val="00BC2323"/>
    <w:rsid w:val="00BC277B"/>
    <w:rsid w:val="00BC2984"/>
    <w:rsid w:val="00BC2A1B"/>
    <w:rsid w:val="00BC2D3F"/>
    <w:rsid w:val="00BC33A5"/>
    <w:rsid w:val="00BC3739"/>
    <w:rsid w:val="00BC3791"/>
    <w:rsid w:val="00BC3948"/>
    <w:rsid w:val="00BC3A10"/>
    <w:rsid w:val="00BC3CB3"/>
    <w:rsid w:val="00BC4271"/>
    <w:rsid w:val="00BC4359"/>
    <w:rsid w:val="00BC475E"/>
    <w:rsid w:val="00BC4A2B"/>
    <w:rsid w:val="00BC4B38"/>
    <w:rsid w:val="00BC4EFA"/>
    <w:rsid w:val="00BC5453"/>
    <w:rsid w:val="00BC5812"/>
    <w:rsid w:val="00BC5965"/>
    <w:rsid w:val="00BC5CBA"/>
    <w:rsid w:val="00BC5FC7"/>
    <w:rsid w:val="00BC6852"/>
    <w:rsid w:val="00BC6902"/>
    <w:rsid w:val="00BC690C"/>
    <w:rsid w:val="00BC6C0A"/>
    <w:rsid w:val="00BC7C8C"/>
    <w:rsid w:val="00BC7FC7"/>
    <w:rsid w:val="00BD0202"/>
    <w:rsid w:val="00BD0399"/>
    <w:rsid w:val="00BD03EC"/>
    <w:rsid w:val="00BD0932"/>
    <w:rsid w:val="00BD0BCC"/>
    <w:rsid w:val="00BD1502"/>
    <w:rsid w:val="00BD1540"/>
    <w:rsid w:val="00BD1F4E"/>
    <w:rsid w:val="00BD21D7"/>
    <w:rsid w:val="00BD2DC0"/>
    <w:rsid w:val="00BD2E1E"/>
    <w:rsid w:val="00BD2F5A"/>
    <w:rsid w:val="00BD3B2E"/>
    <w:rsid w:val="00BD3F15"/>
    <w:rsid w:val="00BD41D1"/>
    <w:rsid w:val="00BD4218"/>
    <w:rsid w:val="00BD4854"/>
    <w:rsid w:val="00BD4CA9"/>
    <w:rsid w:val="00BD51FE"/>
    <w:rsid w:val="00BD590A"/>
    <w:rsid w:val="00BD5A5C"/>
    <w:rsid w:val="00BD686D"/>
    <w:rsid w:val="00BD6A2F"/>
    <w:rsid w:val="00BD7149"/>
    <w:rsid w:val="00BD74ED"/>
    <w:rsid w:val="00BD77A4"/>
    <w:rsid w:val="00BD79AD"/>
    <w:rsid w:val="00BD7ACB"/>
    <w:rsid w:val="00BD7BE0"/>
    <w:rsid w:val="00BD7CB0"/>
    <w:rsid w:val="00BD7F30"/>
    <w:rsid w:val="00BD7FC2"/>
    <w:rsid w:val="00BE07C5"/>
    <w:rsid w:val="00BE08AA"/>
    <w:rsid w:val="00BE0BAE"/>
    <w:rsid w:val="00BE0DF9"/>
    <w:rsid w:val="00BE1171"/>
    <w:rsid w:val="00BE12C9"/>
    <w:rsid w:val="00BE1936"/>
    <w:rsid w:val="00BE1998"/>
    <w:rsid w:val="00BE1C6E"/>
    <w:rsid w:val="00BE229D"/>
    <w:rsid w:val="00BE2347"/>
    <w:rsid w:val="00BE237F"/>
    <w:rsid w:val="00BE28EA"/>
    <w:rsid w:val="00BE2AB2"/>
    <w:rsid w:val="00BE37E7"/>
    <w:rsid w:val="00BE37E9"/>
    <w:rsid w:val="00BE3C20"/>
    <w:rsid w:val="00BE3CAA"/>
    <w:rsid w:val="00BE3D49"/>
    <w:rsid w:val="00BE3E5F"/>
    <w:rsid w:val="00BE3F06"/>
    <w:rsid w:val="00BE45E9"/>
    <w:rsid w:val="00BE492A"/>
    <w:rsid w:val="00BE583A"/>
    <w:rsid w:val="00BE5B25"/>
    <w:rsid w:val="00BE5D4A"/>
    <w:rsid w:val="00BE5ECC"/>
    <w:rsid w:val="00BE5F2E"/>
    <w:rsid w:val="00BE5F55"/>
    <w:rsid w:val="00BE61AD"/>
    <w:rsid w:val="00BE63C4"/>
    <w:rsid w:val="00BE6937"/>
    <w:rsid w:val="00BE6A4B"/>
    <w:rsid w:val="00BE6B1C"/>
    <w:rsid w:val="00BE7455"/>
    <w:rsid w:val="00BE79D1"/>
    <w:rsid w:val="00BE7EEE"/>
    <w:rsid w:val="00BE7F81"/>
    <w:rsid w:val="00BF04C9"/>
    <w:rsid w:val="00BF0852"/>
    <w:rsid w:val="00BF0AB3"/>
    <w:rsid w:val="00BF0EBD"/>
    <w:rsid w:val="00BF10F5"/>
    <w:rsid w:val="00BF1230"/>
    <w:rsid w:val="00BF160E"/>
    <w:rsid w:val="00BF1809"/>
    <w:rsid w:val="00BF1ED0"/>
    <w:rsid w:val="00BF271E"/>
    <w:rsid w:val="00BF2B65"/>
    <w:rsid w:val="00BF2FF5"/>
    <w:rsid w:val="00BF3293"/>
    <w:rsid w:val="00BF3956"/>
    <w:rsid w:val="00BF3BEE"/>
    <w:rsid w:val="00BF5249"/>
    <w:rsid w:val="00BF5446"/>
    <w:rsid w:val="00BF5CA8"/>
    <w:rsid w:val="00BF64B1"/>
    <w:rsid w:val="00BF675E"/>
    <w:rsid w:val="00BF69E2"/>
    <w:rsid w:val="00BF6AA6"/>
    <w:rsid w:val="00BF6BBC"/>
    <w:rsid w:val="00BF708D"/>
    <w:rsid w:val="00BF7133"/>
    <w:rsid w:val="00BF73C5"/>
    <w:rsid w:val="00BF77C0"/>
    <w:rsid w:val="00BF7A17"/>
    <w:rsid w:val="00BF7E30"/>
    <w:rsid w:val="00BF7F83"/>
    <w:rsid w:val="00C005CE"/>
    <w:rsid w:val="00C00685"/>
    <w:rsid w:val="00C00799"/>
    <w:rsid w:val="00C007E1"/>
    <w:rsid w:val="00C00DD3"/>
    <w:rsid w:val="00C010FA"/>
    <w:rsid w:val="00C012C7"/>
    <w:rsid w:val="00C013DD"/>
    <w:rsid w:val="00C01441"/>
    <w:rsid w:val="00C014C0"/>
    <w:rsid w:val="00C016C6"/>
    <w:rsid w:val="00C016E6"/>
    <w:rsid w:val="00C01ECE"/>
    <w:rsid w:val="00C02021"/>
    <w:rsid w:val="00C025B2"/>
    <w:rsid w:val="00C02674"/>
    <w:rsid w:val="00C02AF3"/>
    <w:rsid w:val="00C02DBE"/>
    <w:rsid w:val="00C031FA"/>
    <w:rsid w:val="00C0381C"/>
    <w:rsid w:val="00C03E4C"/>
    <w:rsid w:val="00C0408D"/>
    <w:rsid w:val="00C045E9"/>
    <w:rsid w:val="00C04D4D"/>
    <w:rsid w:val="00C04E09"/>
    <w:rsid w:val="00C04F83"/>
    <w:rsid w:val="00C053BC"/>
    <w:rsid w:val="00C0595E"/>
    <w:rsid w:val="00C05D37"/>
    <w:rsid w:val="00C05EB4"/>
    <w:rsid w:val="00C05F73"/>
    <w:rsid w:val="00C06172"/>
    <w:rsid w:val="00C063C5"/>
    <w:rsid w:val="00C06459"/>
    <w:rsid w:val="00C06F16"/>
    <w:rsid w:val="00C07030"/>
    <w:rsid w:val="00C07213"/>
    <w:rsid w:val="00C07417"/>
    <w:rsid w:val="00C0766F"/>
    <w:rsid w:val="00C07BBA"/>
    <w:rsid w:val="00C07ECA"/>
    <w:rsid w:val="00C1019C"/>
    <w:rsid w:val="00C10359"/>
    <w:rsid w:val="00C10407"/>
    <w:rsid w:val="00C10473"/>
    <w:rsid w:val="00C10775"/>
    <w:rsid w:val="00C1077F"/>
    <w:rsid w:val="00C10B20"/>
    <w:rsid w:val="00C10B79"/>
    <w:rsid w:val="00C10ECF"/>
    <w:rsid w:val="00C111C3"/>
    <w:rsid w:val="00C112BA"/>
    <w:rsid w:val="00C115F0"/>
    <w:rsid w:val="00C11A01"/>
    <w:rsid w:val="00C11AE6"/>
    <w:rsid w:val="00C11DBF"/>
    <w:rsid w:val="00C11F65"/>
    <w:rsid w:val="00C1216F"/>
    <w:rsid w:val="00C122B9"/>
    <w:rsid w:val="00C12497"/>
    <w:rsid w:val="00C1285A"/>
    <w:rsid w:val="00C12CC7"/>
    <w:rsid w:val="00C12D5F"/>
    <w:rsid w:val="00C131BD"/>
    <w:rsid w:val="00C13723"/>
    <w:rsid w:val="00C143DA"/>
    <w:rsid w:val="00C1443C"/>
    <w:rsid w:val="00C14D36"/>
    <w:rsid w:val="00C14EF8"/>
    <w:rsid w:val="00C153E2"/>
    <w:rsid w:val="00C1544F"/>
    <w:rsid w:val="00C15EDC"/>
    <w:rsid w:val="00C161FD"/>
    <w:rsid w:val="00C164A4"/>
    <w:rsid w:val="00C164B3"/>
    <w:rsid w:val="00C1657D"/>
    <w:rsid w:val="00C1661D"/>
    <w:rsid w:val="00C16AA1"/>
    <w:rsid w:val="00C16ACC"/>
    <w:rsid w:val="00C16D78"/>
    <w:rsid w:val="00C17105"/>
    <w:rsid w:val="00C17936"/>
    <w:rsid w:val="00C17DDD"/>
    <w:rsid w:val="00C20653"/>
    <w:rsid w:val="00C20BC3"/>
    <w:rsid w:val="00C20C2D"/>
    <w:rsid w:val="00C20CC4"/>
    <w:rsid w:val="00C20E7F"/>
    <w:rsid w:val="00C20F4D"/>
    <w:rsid w:val="00C211EB"/>
    <w:rsid w:val="00C2162A"/>
    <w:rsid w:val="00C2188D"/>
    <w:rsid w:val="00C2195E"/>
    <w:rsid w:val="00C21CF2"/>
    <w:rsid w:val="00C221BF"/>
    <w:rsid w:val="00C22511"/>
    <w:rsid w:val="00C225EC"/>
    <w:rsid w:val="00C226A4"/>
    <w:rsid w:val="00C228D4"/>
    <w:rsid w:val="00C2290C"/>
    <w:rsid w:val="00C22D31"/>
    <w:rsid w:val="00C2330C"/>
    <w:rsid w:val="00C233F5"/>
    <w:rsid w:val="00C23485"/>
    <w:rsid w:val="00C23502"/>
    <w:rsid w:val="00C239C3"/>
    <w:rsid w:val="00C23D83"/>
    <w:rsid w:val="00C23DB9"/>
    <w:rsid w:val="00C23FB0"/>
    <w:rsid w:val="00C23FEA"/>
    <w:rsid w:val="00C24862"/>
    <w:rsid w:val="00C24C39"/>
    <w:rsid w:val="00C24C48"/>
    <w:rsid w:val="00C25249"/>
    <w:rsid w:val="00C252AA"/>
    <w:rsid w:val="00C256EE"/>
    <w:rsid w:val="00C258FE"/>
    <w:rsid w:val="00C262DC"/>
    <w:rsid w:val="00C263FE"/>
    <w:rsid w:val="00C264B6"/>
    <w:rsid w:val="00C268CF"/>
    <w:rsid w:val="00C26A9B"/>
    <w:rsid w:val="00C26E3B"/>
    <w:rsid w:val="00C27139"/>
    <w:rsid w:val="00C2737A"/>
    <w:rsid w:val="00C27AB5"/>
    <w:rsid w:val="00C27FD2"/>
    <w:rsid w:val="00C303B5"/>
    <w:rsid w:val="00C30A11"/>
    <w:rsid w:val="00C30D55"/>
    <w:rsid w:val="00C30D63"/>
    <w:rsid w:val="00C30F20"/>
    <w:rsid w:val="00C30FA4"/>
    <w:rsid w:val="00C31538"/>
    <w:rsid w:val="00C317F3"/>
    <w:rsid w:val="00C31ABE"/>
    <w:rsid w:val="00C31C8C"/>
    <w:rsid w:val="00C320C6"/>
    <w:rsid w:val="00C32157"/>
    <w:rsid w:val="00C325D6"/>
    <w:rsid w:val="00C326A9"/>
    <w:rsid w:val="00C32C6E"/>
    <w:rsid w:val="00C33013"/>
    <w:rsid w:val="00C33605"/>
    <w:rsid w:val="00C3365C"/>
    <w:rsid w:val="00C33680"/>
    <w:rsid w:val="00C336A0"/>
    <w:rsid w:val="00C339CC"/>
    <w:rsid w:val="00C3417A"/>
    <w:rsid w:val="00C341E1"/>
    <w:rsid w:val="00C3455C"/>
    <w:rsid w:val="00C349C2"/>
    <w:rsid w:val="00C34A18"/>
    <w:rsid w:val="00C34CA8"/>
    <w:rsid w:val="00C34EFD"/>
    <w:rsid w:val="00C35755"/>
    <w:rsid w:val="00C35FCC"/>
    <w:rsid w:val="00C361F4"/>
    <w:rsid w:val="00C361F8"/>
    <w:rsid w:val="00C36CEC"/>
    <w:rsid w:val="00C36E6C"/>
    <w:rsid w:val="00C372F6"/>
    <w:rsid w:val="00C37436"/>
    <w:rsid w:val="00C37997"/>
    <w:rsid w:val="00C402FC"/>
    <w:rsid w:val="00C40753"/>
    <w:rsid w:val="00C4179A"/>
    <w:rsid w:val="00C41830"/>
    <w:rsid w:val="00C419EF"/>
    <w:rsid w:val="00C42422"/>
    <w:rsid w:val="00C4251B"/>
    <w:rsid w:val="00C42728"/>
    <w:rsid w:val="00C4272C"/>
    <w:rsid w:val="00C42E53"/>
    <w:rsid w:val="00C43869"/>
    <w:rsid w:val="00C43A58"/>
    <w:rsid w:val="00C43F9F"/>
    <w:rsid w:val="00C43FBE"/>
    <w:rsid w:val="00C44390"/>
    <w:rsid w:val="00C44766"/>
    <w:rsid w:val="00C4481D"/>
    <w:rsid w:val="00C44955"/>
    <w:rsid w:val="00C44C37"/>
    <w:rsid w:val="00C44FC4"/>
    <w:rsid w:val="00C45584"/>
    <w:rsid w:val="00C45913"/>
    <w:rsid w:val="00C45962"/>
    <w:rsid w:val="00C46017"/>
    <w:rsid w:val="00C46819"/>
    <w:rsid w:val="00C46AE5"/>
    <w:rsid w:val="00C46EAF"/>
    <w:rsid w:val="00C473C6"/>
    <w:rsid w:val="00C47654"/>
    <w:rsid w:val="00C47A47"/>
    <w:rsid w:val="00C47E70"/>
    <w:rsid w:val="00C50537"/>
    <w:rsid w:val="00C50598"/>
    <w:rsid w:val="00C5109D"/>
    <w:rsid w:val="00C514C2"/>
    <w:rsid w:val="00C517F9"/>
    <w:rsid w:val="00C51919"/>
    <w:rsid w:val="00C51D48"/>
    <w:rsid w:val="00C51EB3"/>
    <w:rsid w:val="00C51F0A"/>
    <w:rsid w:val="00C52616"/>
    <w:rsid w:val="00C52BD2"/>
    <w:rsid w:val="00C52BE0"/>
    <w:rsid w:val="00C53043"/>
    <w:rsid w:val="00C5343B"/>
    <w:rsid w:val="00C5397E"/>
    <w:rsid w:val="00C53B6A"/>
    <w:rsid w:val="00C54CF8"/>
    <w:rsid w:val="00C54E7F"/>
    <w:rsid w:val="00C5512D"/>
    <w:rsid w:val="00C55191"/>
    <w:rsid w:val="00C552F4"/>
    <w:rsid w:val="00C554C9"/>
    <w:rsid w:val="00C555A6"/>
    <w:rsid w:val="00C56093"/>
    <w:rsid w:val="00C56140"/>
    <w:rsid w:val="00C56607"/>
    <w:rsid w:val="00C567F0"/>
    <w:rsid w:val="00C56E89"/>
    <w:rsid w:val="00C571A0"/>
    <w:rsid w:val="00C576B6"/>
    <w:rsid w:val="00C579B8"/>
    <w:rsid w:val="00C57E4D"/>
    <w:rsid w:val="00C6010D"/>
    <w:rsid w:val="00C60B9D"/>
    <w:rsid w:val="00C60D47"/>
    <w:rsid w:val="00C60F73"/>
    <w:rsid w:val="00C61200"/>
    <w:rsid w:val="00C61215"/>
    <w:rsid w:val="00C61AE9"/>
    <w:rsid w:val="00C622A3"/>
    <w:rsid w:val="00C626E2"/>
    <w:rsid w:val="00C628C8"/>
    <w:rsid w:val="00C6299A"/>
    <w:rsid w:val="00C62C40"/>
    <w:rsid w:val="00C632FB"/>
    <w:rsid w:val="00C639B5"/>
    <w:rsid w:val="00C63AD7"/>
    <w:rsid w:val="00C63B7C"/>
    <w:rsid w:val="00C63D86"/>
    <w:rsid w:val="00C64713"/>
    <w:rsid w:val="00C64933"/>
    <w:rsid w:val="00C6499E"/>
    <w:rsid w:val="00C64CAE"/>
    <w:rsid w:val="00C64E3A"/>
    <w:rsid w:val="00C64EAA"/>
    <w:rsid w:val="00C65352"/>
    <w:rsid w:val="00C65360"/>
    <w:rsid w:val="00C656F8"/>
    <w:rsid w:val="00C65D0D"/>
    <w:rsid w:val="00C65DFA"/>
    <w:rsid w:val="00C6609F"/>
    <w:rsid w:val="00C6686A"/>
    <w:rsid w:val="00C67141"/>
    <w:rsid w:val="00C6723F"/>
    <w:rsid w:val="00C673F8"/>
    <w:rsid w:val="00C67619"/>
    <w:rsid w:val="00C678DC"/>
    <w:rsid w:val="00C67B26"/>
    <w:rsid w:val="00C67CED"/>
    <w:rsid w:val="00C70072"/>
    <w:rsid w:val="00C70091"/>
    <w:rsid w:val="00C700FA"/>
    <w:rsid w:val="00C702E2"/>
    <w:rsid w:val="00C70B31"/>
    <w:rsid w:val="00C71019"/>
    <w:rsid w:val="00C71298"/>
    <w:rsid w:val="00C71648"/>
    <w:rsid w:val="00C718E1"/>
    <w:rsid w:val="00C71A5D"/>
    <w:rsid w:val="00C71B59"/>
    <w:rsid w:val="00C721CC"/>
    <w:rsid w:val="00C7246A"/>
    <w:rsid w:val="00C727EE"/>
    <w:rsid w:val="00C72ACE"/>
    <w:rsid w:val="00C72D22"/>
    <w:rsid w:val="00C72E0F"/>
    <w:rsid w:val="00C72FF8"/>
    <w:rsid w:val="00C72FFC"/>
    <w:rsid w:val="00C730D4"/>
    <w:rsid w:val="00C73105"/>
    <w:rsid w:val="00C7311E"/>
    <w:rsid w:val="00C73340"/>
    <w:rsid w:val="00C736E7"/>
    <w:rsid w:val="00C74032"/>
    <w:rsid w:val="00C7447B"/>
    <w:rsid w:val="00C748E8"/>
    <w:rsid w:val="00C749A1"/>
    <w:rsid w:val="00C7519E"/>
    <w:rsid w:val="00C75BC8"/>
    <w:rsid w:val="00C75EB2"/>
    <w:rsid w:val="00C761DE"/>
    <w:rsid w:val="00C76AAB"/>
    <w:rsid w:val="00C77434"/>
    <w:rsid w:val="00C777BF"/>
    <w:rsid w:val="00C77BF4"/>
    <w:rsid w:val="00C77F38"/>
    <w:rsid w:val="00C80646"/>
    <w:rsid w:val="00C80759"/>
    <w:rsid w:val="00C81A12"/>
    <w:rsid w:val="00C81C82"/>
    <w:rsid w:val="00C81CD0"/>
    <w:rsid w:val="00C82261"/>
    <w:rsid w:val="00C82407"/>
    <w:rsid w:val="00C824E4"/>
    <w:rsid w:val="00C825EA"/>
    <w:rsid w:val="00C826E7"/>
    <w:rsid w:val="00C82805"/>
    <w:rsid w:val="00C8296F"/>
    <w:rsid w:val="00C82E19"/>
    <w:rsid w:val="00C83001"/>
    <w:rsid w:val="00C83341"/>
    <w:rsid w:val="00C833B6"/>
    <w:rsid w:val="00C833DA"/>
    <w:rsid w:val="00C8369D"/>
    <w:rsid w:val="00C83B58"/>
    <w:rsid w:val="00C83D51"/>
    <w:rsid w:val="00C8401D"/>
    <w:rsid w:val="00C844AB"/>
    <w:rsid w:val="00C846BE"/>
    <w:rsid w:val="00C84A00"/>
    <w:rsid w:val="00C84C02"/>
    <w:rsid w:val="00C84E30"/>
    <w:rsid w:val="00C84E75"/>
    <w:rsid w:val="00C85B89"/>
    <w:rsid w:val="00C85CDB"/>
    <w:rsid w:val="00C860D2"/>
    <w:rsid w:val="00C8612E"/>
    <w:rsid w:val="00C86384"/>
    <w:rsid w:val="00C8647B"/>
    <w:rsid w:val="00C869AB"/>
    <w:rsid w:val="00C87120"/>
    <w:rsid w:val="00C872ED"/>
    <w:rsid w:val="00C87385"/>
    <w:rsid w:val="00C8777E"/>
    <w:rsid w:val="00C87A82"/>
    <w:rsid w:val="00C87ADF"/>
    <w:rsid w:val="00C87F5E"/>
    <w:rsid w:val="00C9053E"/>
    <w:rsid w:val="00C90840"/>
    <w:rsid w:val="00C90846"/>
    <w:rsid w:val="00C90A6E"/>
    <w:rsid w:val="00C90AA7"/>
    <w:rsid w:val="00C9161F"/>
    <w:rsid w:val="00C917ED"/>
    <w:rsid w:val="00C918A6"/>
    <w:rsid w:val="00C920A1"/>
    <w:rsid w:val="00C92C85"/>
    <w:rsid w:val="00C92CBD"/>
    <w:rsid w:val="00C92F80"/>
    <w:rsid w:val="00C931DE"/>
    <w:rsid w:val="00C934DC"/>
    <w:rsid w:val="00C93624"/>
    <w:rsid w:val="00C9371C"/>
    <w:rsid w:val="00C93787"/>
    <w:rsid w:val="00C93901"/>
    <w:rsid w:val="00C93C3F"/>
    <w:rsid w:val="00C94643"/>
    <w:rsid w:val="00C94747"/>
    <w:rsid w:val="00C948D9"/>
    <w:rsid w:val="00C94D2B"/>
    <w:rsid w:val="00C94EBB"/>
    <w:rsid w:val="00C950C6"/>
    <w:rsid w:val="00C951C6"/>
    <w:rsid w:val="00C95279"/>
    <w:rsid w:val="00C9558E"/>
    <w:rsid w:val="00C9575C"/>
    <w:rsid w:val="00C95E10"/>
    <w:rsid w:val="00C963DE"/>
    <w:rsid w:val="00C969AB"/>
    <w:rsid w:val="00C96AB7"/>
    <w:rsid w:val="00C972D0"/>
    <w:rsid w:val="00C97BB5"/>
    <w:rsid w:val="00C97D12"/>
    <w:rsid w:val="00C97FD6"/>
    <w:rsid w:val="00CA044D"/>
    <w:rsid w:val="00CA0469"/>
    <w:rsid w:val="00CA06E7"/>
    <w:rsid w:val="00CA0B52"/>
    <w:rsid w:val="00CA0C26"/>
    <w:rsid w:val="00CA0CC4"/>
    <w:rsid w:val="00CA0D3B"/>
    <w:rsid w:val="00CA2CFF"/>
    <w:rsid w:val="00CA2DDE"/>
    <w:rsid w:val="00CA3534"/>
    <w:rsid w:val="00CA3888"/>
    <w:rsid w:val="00CA3EB6"/>
    <w:rsid w:val="00CA4438"/>
    <w:rsid w:val="00CA4954"/>
    <w:rsid w:val="00CA4D83"/>
    <w:rsid w:val="00CA4EC7"/>
    <w:rsid w:val="00CA5465"/>
    <w:rsid w:val="00CA5515"/>
    <w:rsid w:val="00CA5B0D"/>
    <w:rsid w:val="00CA5FF0"/>
    <w:rsid w:val="00CA63CB"/>
    <w:rsid w:val="00CA6569"/>
    <w:rsid w:val="00CA6632"/>
    <w:rsid w:val="00CA6670"/>
    <w:rsid w:val="00CA69AC"/>
    <w:rsid w:val="00CA6B74"/>
    <w:rsid w:val="00CA6D8A"/>
    <w:rsid w:val="00CA6FB9"/>
    <w:rsid w:val="00CA72C0"/>
    <w:rsid w:val="00CA7535"/>
    <w:rsid w:val="00CA75B3"/>
    <w:rsid w:val="00CA75C7"/>
    <w:rsid w:val="00CA7884"/>
    <w:rsid w:val="00CA7D31"/>
    <w:rsid w:val="00CB07A8"/>
    <w:rsid w:val="00CB0A29"/>
    <w:rsid w:val="00CB0C1A"/>
    <w:rsid w:val="00CB0D50"/>
    <w:rsid w:val="00CB141E"/>
    <w:rsid w:val="00CB1772"/>
    <w:rsid w:val="00CB1A54"/>
    <w:rsid w:val="00CB1AAD"/>
    <w:rsid w:val="00CB1AD3"/>
    <w:rsid w:val="00CB1BFB"/>
    <w:rsid w:val="00CB1D49"/>
    <w:rsid w:val="00CB204B"/>
    <w:rsid w:val="00CB2072"/>
    <w:rsid w:val="00CB2C26"/>
    <w:rsid w:val="00CB2D92"/>
    <w:rsid w:val="00CB325F"/>
    <w:rsid w:val="00CB3504"/>
    <w:rsid w:val="00CB3889"/>
    <w:rsid w:val="00CB3910"/>
    <w:rsid w:val="00CB40BF"/>
    <w:rsid w:val="00CB41E9"/>
    <w:rsid w:val="00CB500C"/>
    <w:rsid w:val="00CB5389"/>
    <w:rsid w:val="00CB544E"/>
    <w:rsid w:val="00CB5D05"/>
    <w:rsid w:val="00CB63D6"/>
    <w:rsid w:val="00CB65C1"/>
    <w:rsid w:val="00CB6649"/>
    <w:rsid w:val="00CB66D3"/>
    <w:rsid w:val="00CB6989"/>
    <w:rsid w:val="00CB6CF3"/>
    <w:rsid w:val="00CB6FC6"/>
    <w:rsid w:val="00CB717B"/>
    <w:rsid w:val="00CB719C"/>
    <w:rsid w:val="00CB770E"/>
    <w:rsid w:val="00CB7994"/>
    <w:rsid w:val="00CB7A9B"/>
    <w:rsid w:val="00CC009B"/>
    <w:rsid w:val="00CC09A5"/>
    <w:rsid w:val="00CC0B3B"/>
    <w:rsid w:val="00CC1096"/>
    <w:rsid w:val="00CC10E1"/>
    <w:rsid w:val="00CC1B3C"/>
    <w:rsid w:val="00CC1E34"/>
    <w:rsid w:val="00CC20E3"/>
    <w:rsid w:val="00CC2ACA"/>
    <w:rsid w:val="00CC2D27"/>
    <w:rsid w:val="00CC2F18"/>
    <w:rsid w:val="00CC3543"/>
    <w:rsid w:val="00CC356E"/>
    <w:rsid w:val="00CC3972"/>
    <w:rsid w:val="00CC4D15"/>
    <w:rsid w:val="00CC4DE6"/>
    <w:rsid w:val="00CC4EFC"/>
    <w:rsid w:val="00CC52DC"/>
    <w:rsid w:val="00CC5321"/>
    <w:rsid w:val="00CC53FA"/>
    <w:rsid w:val="00CC5473"/>
    <w:rsid w:val="00CC56EB"/>
    <w:rsid w:val="00CC57D8"/>
    <w:rsid w:val="00CC65E7"/>
    <w:rsid w:val="00CC6917"/>
    <w:rsid w:val="00CC6B7E"/>
    <w:rsid w:val="00CC77BE"/>
    <w:rsid w:val="00CC79A7"/>
    <w:rsid w:val="00CC7AA6"/>
    <w:rsid w:val="00CC7D58"/>
    <w:rsid w:val="00CC7EC7"/>
    <w:rsid w:val="00CD04E2"/>
    <w:rsid w:val="00CD04FB"/>
    <w:rsid w:val="00CD0857"/>
    <w:rsid w:val="00CD0D60"/>
    <w:rsid w:val="00CD12E3"/>
    <w:rsid w:val="00CD150A"/>
    <w:rsid w:val="00CD1742"/>
    <w:rsid w:val="00CD1CB1"/>
    <w:rsid w:val="00CD269F"/>
    <w:rsid w:val="00CD2816"/>
    <w:rsid w:val="00CD28D0"/>
    <w:rsid w:val="00CD2AC9"/>
    <w:rsid w:val="00CD2C0C"/>
    <w:rsid w:val="00CD2F07"/>
    <w:rsid w:val="00CD2F41"/>
    <w:rsid w:val="00CD3001"/>
    <w:rsid w:val="00CD305B"/>
    <w:rsid w:val="00CD30E6"/>
    <w:rsid w:val="00CD3138"/>
    <w:rsid w:val="00CD34E4"/>
    <w:rsid w:val="00CD3934"/>
    <w:rsid w:val="00CD394B"/>
    <w:rsid w:val="00CD3DA9"/>
    <w:rsid w:val="00CD444B"/>
    <w:rsid w:val="00CD53F8"/>
    <w:rsid w:val="00CD5BA3"/>
    <w:rsid w:val="00CD5BEE"/>
    <w:rsid w:val="00CD62D5"/>
    <w:rsid w:val="00CD6327"/>
    <w:rsid w:val="00CD6756"/>
    <w:rsid w:val="00CD6DBA"/>
    <w:rsid w:val="00CD7445"/>
    <w:rsid w:val="00CD754A"/>
    <w:rsid w:val="00CD78EA"/>
    <w:rsid w:val="00CD7A48"/>
    <w:rsid w:val="00CD7C8F"/>
    <w:rsid w:val="00CE00B8"/>
    <w:rsid w:val="00CE03B7"/>
    <w:rsid w:val="00CE088E"/>
    <w:rsid w:val="00CE0A92"/>
    <w:rsid w:val="00CE0ECD"/>
    <w:rsid w:val="00CE0F6C"/>
    <w:rsid w:val="00CE119E"/>
    <w:rsid w:val="00CE14C7"/>
    <w:rsid w:val="00CE1B3B"/>
    <w:rsid w:val="00CE1D73"/>
    <w:rsid w:val="00CE2B04"/>
    <w:rsid w:val="00CE2B78"/>
    <w:rsid w:val="00CE2D6D"/>
    <w:rsid w:val="00CE332F"/>
    <w:rsid w:val="00CE353B"/>
    <w:rsid w:val="00CE3B08"/>
    <w:rsid w:val="00CE3B79"/>
    <w:rsid w:val="00CE3C4E"/>
    <w:rsid w:val="00CE4102"/>
    <w:rsid w:val="00CE412C"/>
    <w:rsid w:val="00CE441F"/>
    <w:rsid w:val="00CE4672"/>
    <w:rsid w:val="00CE47A0"/>
    <w:rsid w:val="00CE4842"/>
    <w:rsid w:val="00CE4885"/>
    <w:rsid w:val="00CE4BA0"/>
    <w:rsid w:val="00CE5338"/>
    <w:rsid w:val="00CE5848"/>
    <w:rsid w:val="00CE59D7"/>
    <w:rsid w:val="00CE5F6D"/>
    <w:rsid w:val="00CE6196"/>
    <w:rsid w:val="00CE64BE"/>
    <w:rsid w:val="00CE65AE"/>
    <w:rsid w:val="00CE6669"/>
    <w:rsid w:val="00CE6E61"/>
    <w:rsid w:val="00CE702F"/>
    <w:rsid w:val="00CE70FA"/>
    <w:rsid w:val="00CE731B"/>
    <w:rsid w:val="00CE74A3"/>
    <w:rsid w:val="00CE75CB"/>
    <w:rsid w:val="00CE7989"/>
    <w:rsid w:val="00CE7A3F"/>
    <w:rsid w:val="00CE7AE0"/>
    <w:rsid w:val="00CE7D92"/>
    <w:rsid w:val="00CF0163"/>
    <w:rsid w:val="00CF0738"/>
    <w:rsid w:val="00CF09CB"/>
    <w:rsid w:val="00CF1153"/>
    <w:rsid w:val="00CF12B4"/>
    <w:rsid w:val="00CF17E4"/>
    <w:rsid w:val="00CF24E2"/>
    <w:rsid w:val="00CF25C1"/>
    <w:rsid w:val="00CF2796"/>
    <w:rsid w:val="00CF2AAF"/>
    <w:rsid w:val="00CF2B76"/>
    <w:rsid w:val="00CF2C5A"/>
    <w:rsid w:val="00CF3408"/>
    <w:rsid w:val="00CF360D"/>
    <w:rsid w:val="00CF3AA0"/>
    <w:rsid w:val="00CF3B9B"/>
    <w:rsid w:val="00CF3E05"/>
    <w:rsid w:val="00CF40F9"/>
    <w:rsid w:val="00CF4240"/>
    <w:rsid w:val="00CF437B"/>
    <w:rsid w:val="00CF4607"/>
    <w:rsid w:val="00CF49DA"/>
    <w:rsid w:val="00CF4D98"/>
    <w:rsid w:val="00CF4EC8"/>
    <w:rsid w:val="00CF4FC5"/>
    <w:rsid w:val="00CF529A"/>
    <w:rsid w:val="00CF5487"/>
    <w:rsid w:val="00CF54C2"/>
    <w:rsid w:val="00CF56DC"/>
    <w:rsid w:val="00CF5792"/>
    <w:rsid w:val="00CF58E6"/>
    <w:rsid w:val="00CF6860"/>
    <w:rsid w:val="00CF726E"/>
    <w:rsid w:val="00CF7E85"/>
    <w:rsid w:val="00D012F7"/>
    <w:rsid w:val="00D014F6"/>
    <w:rsid w:val="00D01782"/>
    <w:rsid w:val="00D01A30"/>
    <w:rsid w:val="00D021FE"/>
    <w:rsid w:val="00D0230C"/>
    <w:rsid w:val="00D026F7"/>
    <w:rsid w:val="00D02726"/>
    <w:rsid w:val="00D02EDA"/>
    <w:rsid w:val="00D02F9E"/>
    <w:rsid w:val="00D02FB0"/>
    <w:rsid w:val="00D03294"/>
    <w:rsid w:val="00D03462"/>
    <w:rsid w:val="00D034DD"/>
    <w:rsid w:val="00D03855"/>
    <w:rsid w:val="00D03A16"/>
    <w:rsid w:val="00D03D35"/>
    <w:rsid w:val="00D03FC0"/>
    <w:rsid w:val="00D040E6"/>
    <w:rsid w:val="00D04865"/>
    <w:rsid w:val="00D04952"/>
    <w:rsid w:val="00D04C26"/>
    <w:rsid w:val="00D04D0B"/>
    <w:rsid w:val="00D04E0E"/>
    <w:rsid w:val="00D04EF6"/>
    <w:rsid w:val="00D051BD"/>
    <w:rsid w:val="00D05BB9"/>
    <w:rsid w:val="00D05DF1"/>
    <w:rsid w:val="00D05FE7"/>
    <w:rsid w:val="00D0617B"/>
    <w:rsid w:val="00D06276"/>
    <w:rsid w:val="00D06366"/>
    <w:rsid w:val="00D0650D"/>
    <w:rsid w:val="00D0673A"/>
    <w:rsid w:val="00D06A16"/>
    <w:rsid w:val="00D06CCD"/>
    <w:rsid w:val="00D07468"/>
    <w:rsid w:val="00D0750B"/>
    <w:rsid w:val="00D07706"/>
    <w:rsid w:val="00D07D2F"/>
    <w:rsid w:val="00D10045"/>
    <w:rsid w:val="00D1016F"/>
    <w:rsid w:val="00D1078F"/>
    <w:rsid w:val="00D10E60"/>
    <w:rsid w:val="00D1106A"/>
    <w:rsid w:val="00D11132"/>
    <w:rsid w:val="00D11203"/>
    <w:rsid w:val="00D11888"/>
    <w:rsid w:val="00D118A3"/>
    <w:rsid w:val="00D11C2F"/>
    <w:rsid w:val="00D12550"/>
    <w:rsid w:val="00D125ED"/>
    <w:rsid w:val="00D12B73"/>
    <w:rsid w:val="00D12CB9"/>
    <w:rsid w:val="00D12CD2"/>
    <w:rsid w:val="00D12DF1"/>
    <w:rsid w:val="00D1307F"/>
    <w:rsid w:val="00D136A4"/>
    <w:rsid w:val="00D13B54"/>
    <w:rsid w:val="00D13D0D"/>
    <w:rsid w:val="00D13FB1"/>
    <w:rsid w:val="00D140DF"/>
    <w:rsid w:val="00D140F8"/>
    <w:rsid w:val="00D14224"/>
    <w:rsid w:val="00D14553"/>
    <w:rsid w:val="00D14577"/>
    <w:rsid w:val="00D149F4"/>
    <w:rsid w:val="00D14D23"/>
    <w:rsid w:val="00D1513C"/>
    <w:rsid w:val="00D15675"/>
    <w:rsid w:val="00D15755"/>
    <w:rsid w:val="00D15D8B"/>
    <w:rsid w:val="00D16570"/>
    <w:rsid w:val="00D169E6"/>
    <w:rsid w:val="00D16B96"/>
    <w:rsid w:val="00D16D36"/>
    <w:rsid w:val="00D17984"/>
    <w:rsid w:val="00D17D22"/>
    <w:rsid w:val="00D206B9"/>
    <w:rsid w:val="00D20E08"/>
    <w:rsid w:val="00D21203"/>
    <w:rsid w:val="00D216CD"/>
    <w:rsid w:val="00D21B05"/>
    <w:rsid w:val="00D21BA5"/>
    <w:rsid w:val="00D2223A"/>
    <w:rsid w:val="00D2272E"/>
    <w:rsid w:val="00D228D6"/>
    <w:rsid w:val="00D22EF4"/>
    <w:rsid w:val="00D22F94"/>
    <w:rsid w:val="00D2305E"/>
    <w:rsid w:val="00D23207"/>
    <w:rsid w:val="00D23220"/>
    <w:rsid w:val="00D2342E"/>
    <w:rsid w:val="00D23ADA"/>
    <w:rsid w:val="00D23DE0"/>
    <w:rsid w:val="00D24062"/>
    <w:rsid w:val="00D24263"/>
    <w:rsid w:val="00D242F1"/>
    <w:rsid w:val="00D24324"/>
    <w:rsid w:val="00D244C2"/>
    <w:rsid w:val="00D245F1"/>
    <w:rsid w:val="00D24D4B"/>
    <w:rsid w:val="00D24DAD"/>
    <w:rsid w:val="00D2546B"/>
    <w:rsid w:val="00D25511"/>
    <w:rsid w:val="00D25538"/>
    <w:rsid w:val="00D25916"/>
    <w:rsid w:val="00D25953"/>
    <w:rsid w:val="00D25BA0"/>
    <w:rsid w:val="00D262DB"/>
    <w:rsid w:val="00D26BB7"/>
    <w:rsid w:val="00D26D97"/>
    <w:rsid w:val="00D274C5"/>
    <w:rsid w:val="00D27B71"/>
    <w:rsid w:val="00D30033"/>
    <w:rsid w:val="00D30323"/>
    <w:rsid w:val="00D3046C"/>
    <w:rsid w:val="00D307CF"/>
    <w:rsid w:val="00D30929"/>
    <w:rsid w:val="00D30AA5"/>
    <w:rsid w:val="00D30ACE"/>
    <w:rsid w:val="00D30BD3"/>
    <w:rsid w:val="00D30F7C"/>
    <w:rsid w:val="00D30FFC"/>
    <w:rsid w:val="00D311F0"/>
    <w:rsid w:val="00D313B3"/>
    <w:rsid w:val="00D314A2"/>
    <w:rsid w:val="00D3167B"/>
    <w:rsid w:val="00D31ABF"/>
    <w:rsid w:val="00D31CFE"/>
    <w:rsid w:val="00D32033"/>
    <w:rsid w:val="00D322D5"/>
    <w:rsid w:val="00D32603"/>
    <w:rsid w:val="00D329E6"/>
    <w:rsid w:val="00D32B21"/>
    <w:rsid w:val="00D33D8F"/>
    <w:rsid w:val="00D33F92"/>
    <w:rsid w:val="00D340C0"/>
    <w:rsid w:val="00D34ACC"/>
    <w:rsid w:val="00D34AF4"/>
    <w:rsid w:val="00D34FDF"/>
    <w:rsid w:val="00D353C5"/>
    <w:rsid w:val="00D35C98"/>
    <w:rsid w:val="00D3694A"/>
    <w:rsid w:val="00D3696A"/>
    <w:rsid w:val="00D36DC9"/>
    <w:rsid w:val="00D36DE9"/>
    <w:rsid w:val="00D371EF"/>
    <w:rsid w:val="00D37357"/>
    <w:rsid w:val="00D37751"/>
    <w:rsid w:val="00D37972"/>
    <w:rsid w:val="00D37CA4"/>
    <w:rsid w:val="00D37D13"/>
    <w:rsid w:val="00D37D42"/>
    <w:rsid w:val="00D37E17"/>
    <w:rsid w:val="00D37EE4"/>
    <w:rsid w:val="00D40067"/>
    <w:rsid w:val="00D40896"/>
    <w:rsid w:val="00D40D35"/>
    <w:rsid w:val="00D410E4"/>
    <w:rsid w:val="00D41534"/>
    <w:rsid w:val="00D4155F"/>
    <w:rsid w:val="00D4177A"/>
    <w:rsid w:val="00D41814"/>
    <w:rsid w:val="00D4183B"/>
    <w:rsid w:val="00D41B20"/>
    <w:rsid w:val="00D41B37"/>
    <w:rsid w:val="00D41C5C"/>
    <w:rsid w:val="00D41FB8"/>
    <w:rsid w:val="00D41FC7"/>
    <w:rsid w:val="00D42927"/>
    <w:rsid w:val="00D4299C"/>
    <w:rsid w:val="00D42CE3"/>
    <w:rsid w:val="00D43227"/>
    <w:rsid w:val="00D43B0F"/>
    <w:rsid w:val="00D43E46"/>
    <w:rsid w:val="00D440B2"/>
    <w:rsid w:val="00D442AD"/>
    <w:rsid w:val="00D44717"/>
    <w:rsid w:val="00D448BF"/>
    <w:rsid w:val="00D44B32"/>
    <w:rsid w:val="00D44F9D"/>
    <w:rsid w:val="00D450EE"/>
    <w:rsid w:val="00D451FC"/>
    <w:rsid w:val="00D453BD"/>
    <w:rsid w:val="00D45A7E"/>
    <w:rsid w:val="00D45DC5"/>
    <w:rsid w:val="00D461D4"/>
    <w:rsid w:val="00D465FB"/>
    <w:rsid w:val="00D467A5"/>
    <w:rsid w:val="00D4680E"/>
    <w:rsid w:val="00D46C33"/>
    <w:rsid w:val="00D47D31"/>
    <w:rsid w:val="00D5097B"/>
    <w:rsid w:val="00D50CC1"/>
    <w:rsid w:val="00D50E85"/>
    <w:rsid w:val="00D50EAA"/>
    <w:rsid w:val="00D50F37"/>
    <w:rsid w:val="00D50F47"/>
    <w:rsid w:val="00D519B1"/>
    <w:rsid w:val="00D519FD"/>
    <w:rsid w:val="00D5216A"/>
    <w:rsid w:val="00D5238F"/>
    <w:rsid w:val="00D52F78"/>
    <w:rsid w:val="00D539C9"/>
    <w:rsid w:val="00D53C26"/>
    <w:rsid w:val="00D53F67"/>
    <w:rsid w:val="00D53F99"/>
    <w:rsid w:val="00D541AA"/>
    <w:rsid w:val="00D54836"/>
    <w:rsid w:val="00D54E43"/>
    <w:rsid w:val="00D55073"/>
    <w:rsid w:val="00D55643"/>
    <w:rsid w:val="00D55815"/>
    <w:rsid w:val="00D55A8B"/>
    <w:rsid w:val="00D55D5F"/>
    <w:rsid w:val="00D55E0F"/>
    <w:rsid w:val="00D55EDD"/>
    <w:rsid w:val="00D563D6"/>
    <w:rsid w:val="00D56892"/>
    <w:rsid w:val="00D56894"/>
    <w:rsid w:val="00D56938"/>
    <w:rsid w:val="00D56A71"/>
    <w:rsid w:val="00D56DD8"/>
    <w:rsid w:val="00D56F4A"/>
    <w:rsid w:val="00D5700F"/>
    <w:rsid w:val="00D57176"/>
    <w:rsid w:val="00D5767F"/>
    <w:rsid w:val="00D579FE"/>
    <w:rsid w:val="00D57B35"/>
    <w:rsid w:val="00D57B49"/>
    <w:rsid w:val="00D600ED"/>
    <w:rsid w:val="00D6010C"/>
    <w:rsid w:val="00D6055A"/>
    <w:rsid w:val="00D605F0"/>
    <w:rsid w:val="00D6060D"/>
    <w:rsid w:val="00D60638"/>
    <w:rsid w:val="00D60F66"/>
    <w:rsid w:val="00D610E2"/>
    <w:rsid w:val="00D614DF"/>
    <w:rsid w:val="00D615DD"/>
    <w:rsid w:val="00D61D54"/>
    <w:rsid w:val="00D61F15"/>
    <w:rsid w:val="00D61FB0"/>
    <w:rsid w:val="00D62263"/>
    <w:rsid w:val="00D62348"/>
    <w:rsid w:val="00D62574"/>
    <w:rsid w:val="00D627AA"/>
    <w:rsid w:val="00D62B5C"/>
    <w:rsid w:val="00D635A1"/>
    <w:rsid w:val="00D63892"/>
    <w:rsid w:val="00D63C48"/>
    <w:rsid w:val="00D63FF0"/>
    <w:rsid w:val="00D64289"/>
    <w:rsid w:val="00D643D4"/>
    <w:rsid w:val="00D64729"/>
    <w:rsid w:val="00D64B35"/>
    <w:rsid w:val="00D64B53"/>
    <w:rsid w:val="00D64F6C"/>
    <w:rsid w:val="00D65178"/>
    <w:rsid w:val="00D65431"/>
    <w:rsid w:val="00D654F7"/>
    <w:rsid w:val="00D65F27"/>
    <w:rsid w:val="00D661BF"/>
    <w:rsid w:val="00D6667B"/>
    <w:rsid w:val="00D66E28"/>
    <w:rsid w:val="00D67030"/>
    <w:rsid w:val="00D6721D"/>
    <w:rsid w:val="00D673DA"/>
    <w:rsid w:val="00D67575"/>
    <w:rsid w:val="00D675F3"/>
    <w:rsid w:val="00D67727"/>
    <w:rsid w:val="00D67999"/>
    <w:rsid w:val="00D67D4A"/>
    <w:rsid w:val="00D67E8D"/>
    <w:rsid w:val="00D702BF"/>
    <w:rsid w:val="00D7045C"/>
    <w:rsid w:val="00D7046E"/>
    <w:rsid w:val="00D70497"/>
    <w:rsid w:val="00D70573"/>
    <w:rsid w:val="00D70964"/>
    <w:rsid w:val="00D70DA6"/>
    <w:rsid w:val="00D70DD2"/>
    <w:rsid w:val="00D71194"/>
    <w:rsid w:val="00D71400"/>
    <w:rsid w:val="00D7174E"/>
    <w:rsid w:val="00D71CCE"/>
    <w:rsid w:val="00D71D2E"/>
    <w:rsid w:val="00D7290A"/>
    <w:rsid w:val="00D7296B"/>
    <w:rsid w:val="00D729AF"/>
    <w:rsid w:val="00D72CB3"/>
    <w:rsid w:val="00D73948"/>
    <w:rsid w:val="00D743DE"/>
    <w:rsid w:val="00D74A49"/>
    <w:rsid w:val="00D74AC2"/>
    <w:rsid w:val="00D74FDE"/>
    <w:rsid w:val="00D75459"/>
    <w:rsid w:val="00D75660"/>
    <w:rsid w:val="00D756B4"/>
    <w:rsid w:val="00D7587E"/>
    <w:rsid w:val="00D75C88"/>
    <w:rsid w:val="00D7655E"/>
    <w:rsid w:val="00D766C1"/>
    <w:rsid w:val="00D768A0"/>
    <w:rsid w:val="00D76EBC"/>
    <w:rsid w:val="00D7728D"/>
    <w:rsid w:val="00D7769A"/>
    <w:rsid w:val="00D77B52"/>
    <w:rsid w:val="00D80053"/>
    <w:rsid w:val="00D80862"/>
    <w:rsid w:val="00D80B73"/>
    <w:rsid w:val="00D81635"/>
    <w:rsid w:val="00D81744"/>
    <w:rsid w:val="00D818F3"/>
    <w:rsid w:val="00D81B0C"/>
    <w:rsid w:val="00D824FA"/>
    <w:rsid w:val="00D8287B"/>
    <w:rsid w:val="00D82D12"/>
    <w:rsid w:val="00D82E32"/>
    <w:rsid w:val="00D83163"/>
    <w:rsid w:val="00D835AA"/>
    <w:rsid w:val="00D835FA"/>
    <w:rsid w:val="00D83633"/>
    <w:rsid w:val="00D8366C"/>
    <w:rsid w:val="00D8383C"/>
    <w:rsid w:val="00D838F7"/>
    <w:rsid w:val="00D83A34"/>
    <w:rsid w:val="00D83CE3"/>
    <w:rsid w:val="00D8441F"/>
    <w:rsid w:val="00D8470F"/>
    <w:rsid w:val="00D84716"/>
    <w:rsid w:val="00D84894"/>
    <w:rsid w:val="00D84B6C"/>
    <w:rsid w:val="00D84E54"/>
    <w:rsid w:val="00D858A5"/>
    <w:rsid w:val="00D858D4"/>
    <w:rsid w:val="00D85D63"/>
    <w:rsid w:val="00D8603B"/>
    <w:rsid w:val="00D867FB"/>
    <w:rsid w:val="00D86918"/>
    <w:rsid w:val="00D86C87"/>
    <w:rsid w:val="00D86E3E"/>
    <w:rsid w:val="00D873B7"/>
    <w:rsid w:val="00D87BFD"/>
    <w:rsid w:val="00D87CD2"/>
    <w:rsid w:val="00D87EDA"/>
    <w:rsid w:val="00D9054B"/>
    <w:rsid w:val="00D9058D"/>
    <w:rsid w:val="00D905D7"/>
    <w:rsid w:val="00D90B6B"/>
    <w:rsid w:val="00D90D1F"/>
    <w:rsid w:val="00D91215"/>
    <w:rsid w:val="00D9151F"/>
    <w:rsid w:val="00D916CA"/>
    <w:rsid w:val="00D91848"/>
    <w:rsid w:val="00D91883"/>
    <w:rsid w:val="00D91AEB"/>
    <w:rsid w:val="00D91C77"/>
    <w:rsid w:val="00D91E95"/>
    <w:rsid w:val="00D92183"/>
    <w:rsid w:val="00D92209"/>
    <w:rsid w:val="00D927FE"/>
    <w:rsid w:val="00D929D1"/>
    <w:rsid w:val="00D92A10"/>
    <w:rsid w:val="00D938C1"/>
    <w:rsid w:val="00D93937"/>
    <w:rsid w:val="00D93BEE"/>
    <w:rsid w:val="00D93CA3"/>
    <w:rsid w:val="00D93D75"/>
    <w:rsid w:val="00D94281"/>
    <w:rsid w:val="00D95394"/>
    <w:rsid w:val="00D95BD2"/>
    <w:rsid w:val="00D96723"/>
    <w:rsid w:val="00D9689C"/>
    <w:rsid w:val="00D96A18"/>
    <w:rsid w:val="00D96A85"/>
    <w:rsid w:val="00D96B74"/>
    <w:rsid w:val="00D96CF3"/>
    <w:rsid w:val="00D96D86"/>
    <w:rsid w:val="00D970E7"/>
    <w:rsid w:val="00D970E8"/>
    <w:rsid w:val="00D97202"/>
    <w:rsid w:val="00D97540"/>
    <w:rsid w:val="00D9781E"/>
    <w:rsid w:val="00D97DD4"/>
    <w:rsid w:val="00DA01E5"/>
    <w:rsid w:val="00DA032B"/>
    <w:rsid w:val="00DA0456"/>
    <w:rsid w:val="00DA05A4"/>
    <w:rsid w:val="00DA08A3"/>
    <w:rsid w:val="00DA0917"/>
    <w:rsid w:val="00DA0D4B"/>
    <w:rsid w:val="00DA0DA5"/>
    <w:rsid w:val="00DA1679"/>
    <w:rsid w:val="00DA175D"/>
    <w:rsid w:val="00DA1783"/>
    <w:rsid w:val="00DA1926"/>
    <w:rsid w:val="00DA1DE8"/>
    <w:rsid w:val="00DA21CD"/>
    <w:rsid w:val="00DA2390"/>
    <w:rsid w:val="00DA2398"/>
    <w:rsid w:val="00DA2527"/>
    <w:rsid w:val="00DA279E"/>
    <w:rsid w:val="00DA2A1D"/>
    <w:rsid w:val="00DA2E14"/>
    <w:rsid w:val="00DA30B5"/>
    <w:rsid w:val="00DA322D"/>
    <w:rsid w:val="00DA3C09"/>
    <w:rsid w:val="00DA3D1A"/>
    <w:rsid w:val="00DA3EED"/>
    <w:rsid w:val="00DA431D"/>
    <w:rsid w:val="00DA4836"/>
    <w:rsid w:val="00DA4B36"/>
    <w:rsid w:val="00DA4D9A"/>
    <w:rsid w:val="00DA4E37"/>
    <w:rsid w:val="00DA5315"/>
    <w:rsid w:val="00DA546D"/>
    <w:rsid w:val="00DA5535"/>
    <w:rsid w:val="00DA55BB"/>
    <w:rsid w:val="00DA56C2"/>
    <w:rsid w:val="00DA573A"/>
    <w:rsid w:val="00DA5838"/>
    <w:rsid w:val="00DA59E8"/>
    <w:rsid w:val="00DA5C03"/>
    <w:rsid w:val="00DA653E"/>
    <w:rsid w:val="00DA66FC"/>
    <w:rsid w:val="00DA678A"/>
    <w:rsid w:val="00DA6BCE"/>
    <w:rsid w:val="00DA6F00"/>
    <w:rsid w:val="00DA7355"/>
    <w:rsid w:val="00DA73EE"/>
    <w:rsid w:val="00DA7B4A"/>
    <w:rsid w:val="00DA7D67"/>
    <w:rsid w:val="00DB0036"/>
    <w:rsid w:val="00DB003F"/>
    <w:rsid w:val="00DB0A83"/>
    <w:rsid w:val="00DB0B34"/>
    <w:rsid w:val="00DB104E"/>
    <w:rsid w:val="00DB131C"/>
    <w:rsid w:val="00DB18ED"/>
    <w:rsid w:val="00DB21DA"/>
    <w:rsid w:val="00DB2404"/>
    <w:rsid w:val="00DB2582"/>
    <w:rsid w:val="00DB2B54"/>
    <w:rsid w:val="00DB2EC6"/>
    <w:rsid w:val="00DB2F60"/>
    <w:rsid w:val="00DB38AB"/>
    <w:rsid w:val="00DB3A60"/>
    <w:rsid w:val="00DB3AFF"/>
    <w:rsid w:val="00DB40D0"/>
    <w:rsid w:val="00DB496D"/>
    <w:rsid w:val="00DB4D65"/>
    <w:rsid w:val="00DB5A11"/>
    <w:rsid w:val="00DB5D3F"/>
    <w:rsid w:val="00DB64BA"/>
    <w:rsid w:val="00DB6FB8"/>
    <w:rsid w:val="00DB705D"/>
    <w:rsid w:val="00DB71CA"/>
    <w:rsid w:val="00DB7C86"/>
    <w:rsid w:val="00DB7DE9"/>
    <w:rsid w:val="00DB7F14"/>
    <w:rsid w:val="00DB7F65"/>
    <w:rsid w:val="00DC07DD"/>
    <w:rsid w:val="00DC08C4"/>
    <w:rsid w:val="00DC09BB"/>
    <w:rsid w:val="00DC0F54"/>
    <w:rsid w:val="00DC127F"/>
    <w:rsid w:val="00DC1743"/>
    <w:rsid w:val="00DC18B9"/>
    <w:rsid w:val="00DC1929"/>
    <w:rsid w:val="00DC1C8F"/>
    <w:rsid w:val="00DC273B"/>
    <w:rsid w:val="00DC27DF"/>
    <w:rsid w:val="00DC2E1E"/>
    <w:rsid w:val="00DC2EA0"/>
    <w:rsid w:val="00DC31E6"/>
    <w:rsid w:val="00DC32C4"/>
    <w:rsid w:val="00DC381B"/>
    <w:rsid w:val="00DC3DA7"/>
    <w:rsid w:val="00DC404D"/>
    <w:rsid w:val="00DC4544"/>
    <w:rsid w:val="00DC47E7"/>
    <w:rsid w:val="00DC4CC9"/>
    <w:rsid w:val="00DC4CEA"/>
    <w:rsid w:val="00DC4FFB"/>
    <w:rsid w:val="00DC524E"/>
    <w:rsid w:val="00DC5E18"/>
    <w:rsid w:val="00DC66C7"/>
    <w:rsid w:val="00DC6F32"/>
    <w:rsid w:val="00DC72FD"/>
    <w:rsid w:val="00DC7473"/>
    <w:rsid w:val="00DC7746"/>
    <w:rsid w:val="00DD08BB"/>
    <w:rsid w:val="00DD1468"/>
    <w:rsid w:val="00DD152C"/>
    <w:rsid w:val="00DD1869"/>
    <w:rsid w:val="00DD1928"/>
    <w:rsid w:val="00DD1F38"/>
    <w:rsid w:val="00DD2213"/>
    <w:rsid w:val="00DD2229"/>
    <w:rsid w:val="00DD2365"/>
    <w:rsid w:val="00DD2409"/>
    <w:rsid w:val="00DD2838"/>
    <w:rsid w:val="00DD2F3D"/>
    <w:rsid w:val="00DD3049"/>
    <w:rsid w:val="00DD30CC"/>
    <w:rsid w:val="00DD373C"/>
    <w:rsid w:val="00DD387D"/>
    <w:rsid w:val="00DD3C31"/>
    <w:rsid w:val="00DD4AB8"/>
    <w:rsid w:val="00DD535A"/>
    <w:rsid w:val="00DD5714"/>
    <w:rsid w:val="00DD5833"/>
    <w:rsid w:val="00DD5ED9"/>
    <w:rsid w:val="00DD6174"/>
    <w:rsid w:val="00DD624A"/>
    <w:rsid w:val="00DD6332"/>
    <w:rsid w:val="00DD6584"/>
    <w:rsid w:val="00DD67A5"/>
    <w:rsid w:val="00DD6972"/>
    <w:rsid w:val="00DD6D06"/>
    <w:rsid w:val="00DD6ECC"/>
    <w:rsid w:val="00DD704E"/>
    <w:rsid w:val="00DD73CA"/>
    <w:rsid w:val="00DD77B3"/>
    <w:rsid w:val="00DD7812"/>
    <w:rsid w:val="00DD79C6"/>
    <w:rsid w:val="00DD7DA3"/>
    <w:rsid w:val="00DD7EE0"/>
    <w:rsid w:val="00DE06B3"/>
    <w:rsid w:val="00DE1087"/>
    <w:rsid w:val="00DE18FC"/>
    <w:rsid w:val="00DE1B96"/>
    <w:rsid w:val="00DE1CDC"/>
    <w:rsid w:val="00DE1F52"/>
    <w:rsid w:val="00DE20A2"/>
    <w:rsid w:val="00DE268E"/>
    <w:rsid w:val="00DE30E2"/>
    <w:rsid w:val="00DE3158"/>
    <w:rsid w:val="00DE343C"/>
    <w:rsid w:val="00DE3532"/>
    <w:rsid w:val="00DE35A0"/>
    <w:rsid w:val="00DE3760"/>
    <w:rsid w:val="00DE3A9A"/>
    <w:rsid w:val="00DE3EAB"/>
    <w:rsid w:val="00DE3FF6"/>
    <w:rsid w:val="00DE42A0"/>
    <w:rsid w:val="00DE4652"/>
    <w:rsid w:val="00DE46C7"/>
    <w:rsid w:val="00DE477A"/>
    <w:rsid w:val="00DE4FD5"/>
    <w:rsid w:val="00DE5333"/>
    <w:rsid w:val="00DE587D"/>
    <w:rsid w:val="00DE59D1"/>
    <w:rsid w:val="00DE613C"/>
    <w:rsid w:val="00DE6421"/>
    <w:rsid w:val="00DE6BA9"/>
    <w:rsid w:val="00DE6CED"/>
    <w:rsid w:val="00DE706B"/>
    <w:rsid w:val="00DE74A7"/>
    <w:rsid w:val="00DF0082"/>
    <w:rsid w:val="00DF00A9"/>
    <w:rsid w:val="00DF02C5"/>
    <w:rsid w:val="00DF04BB"/>
    <w:rsid w:val="00DF05C1"/>
    <w:rsid w:val="00DF0689"/>
    <w:rsid w:val="00DF0901"/>
    <w:rsid w:val="00DF0EA5"/>
    <w:rsid w:val="00DF0F10"/>
    <w:rsid w:val="00DF12A3"/>
    <w:rsid w:val="00DF1456"/>
    <w:rsid w:val="00DF16C0"/>
    <w:rsid w:val="00DF1A90"/>
    <w:rsid w:val="00DF1BF9"/>
    <w:rsid w:val="00DF1ECA"/>
    <w:rsid w:val="00DF2A52"/>
    <w:rsid w:val="00DF2C14"/>
    <w:rsid w:val="00DF2D1A"/>
    <w:rsid w:val="00DF2D46"/>
    <w:rsid w:val="00DF323F"/>
    <w:rsid w:val="00DF33A6"/>
    <w:rsid w:val="00DF3A42"/>
    <w:rsid w:val="00DF3B71"/>
    <w:rsid w:val="00DF464A"/>
    <w:rsid w:val="00DF46C7"/>
    <w:rsid w:val="00DF47D7"/>
    <w:rsid w:val="00DF49CE"/>
    <w:rsid w:val="00DF4B73"/>
    <w:rsid w:val="00DF548B"/>
    <w:rsid w:val="00DF5736"/>
    <w:rsid w:val="00DF5FF7"/>
    <w:rsid w:val="00DF678F"/>
    <w:rsid w:val="00DF67DC"/>
    <w:rsid w:val="00DF6876"/>
    <w:rsid w:val="00DF6FD5"/>
    <w:rsid w:val="00DF70CC"/>
    <w:rsid w:val="00DF7284"/>
    <w:rsid w:val="00DF72A8"/>
    <w:rsid w:val="00DF733E"/>
    <w:rsid w:val="00DF7D25"/>
    <w:rsid w:val="00E00109"/>
    <w:rsid w:val="00E00B50"/>
    <w:rsid w:val="00E00B55"/>
    <w:rsid w:val="00E011FC"/>
    <w:rsid w:val="00E01465"/>
    <w:rsid w:val="00E01494"/>
    <w:rsid w:val="00E015BC"/>
    <w:rsid w:val="00E01A3F"/>
    <w:rsid w:val="00E01CEF"/>
    <w:rsid w:val="00E01D22"/>
    <w:rsid w:val="00E01E0B"/>
    <w:rsid w:val="00E020AB"/>
    <w:rsid w:val="00E0242B"/>
    <w:rsid w:val="00E02B0C"/>
    <w:rsid w:val="00E02EAF"/>
    <w:rsid w:val="00E03295"/>
    <w:rsid w:val="00E034EA"/>
    <w:rsid w:val="00E041E4"/>
    <w:rsid w:val="00E0502C"/>
    <w:rsid w:val="00E050D8"/>
    <w:rsid w:val="00E055FB"/>
    <w:rsid w:val="00E05877"/>
    <w:rsid w:val="00E05DBA"/>
    <w:rsid w:val="00E05FBC"/>
    <w:rsid w:val="00E06A32"/>
    <w:rsid w:val="00E06E62"/>
    <w:rsid w:val="00E070C5"/>
    <w:rsid w:val="00E07959"/>
    <w:rsid w:val="00E07F34"/>
    <w:rsid w:val="00E10201"/>
    <w:rsid w:val="00E102E8"/>
    <w:rsid w:val="00E10B7D"/>
    <w:rsid w:val="00E10FEC"/>
    <w:rsid w:val="00E11051"/>
    <w:rsid w:val="00E1147C"/>
    <w:rsid w:val="00E11485"/>
    <w:rsid w:val="00E115FE"/>
    <w:rsid w:val="00E11796"/>
    <w:rsid w:val="00E11E5C"/>
    <w:rsid w:val="00E12030"/>
    <w:rsid w:val="00E120BD"/>
    <w:rsid w:val="00E127A1"/>
    <w:rsid w:val="00E12AAC"/>
    <w:rsid w:val="00E13186"/>
    <w:rsid w:val="00E13B38"/>
    <w:rsid w:val="00E1441C"/>
    <w:rsid w:val="00E14479"/>
    <w:rsid w:val="00E14562"/>
    <w:rsid w:val="00E14796"/>
    <w:rsid w:val="00E147EC"/>
    <w:rsid w:val="00E150EB"/>
    <w:rsid w:val="00E151B0"/>
    <w:rsid w:val="00E1531E"/>
    <w:rsid w:val="00E1565C"/>
    <w:rsid w:val="00E15675"/>
    <w:rsid w:val="00E15BE1"/>
    <w:rsid w:val="00E15C3C"/>
    <w:rsid w:val="00E15D85"/>
    <w:rsid w:val="00E15E78"/>
    <w:rsid w:val="00E168D3"/>
    <w:rsid w:val="00E169CA"/>
    <w:rsid w:val="00E16A7A"/>
    <w:rsid w:val="00E170AE"/>
    <w:rsid w:val="00E17478"/>
    <w:rsid w:val="00E17B05"/>
    <w:rsid w:val="00E17D7E"/>
    <w:rsid w:val="00E20276"/>
    <w:rsid w:val="00E20705"/>
    <w:rsid w:val="00E20B42"/>
    <w:rsid w:val="00E211B4"/>
    <w:rsid w:val="00E213DE"/>
    <w:rsid w:val="00E21626"/>
    <w:rsid w:val="00E21C95"/>
    <w:rsid w:val="00E21F7D"/>
    <w:rsid w:val="00E221EC"/>
    <w:rsid w:val="00E22557"/>
    <w:rsid w:val="00E2267B"/>
    <w:rsid w:val="00E227EA"/>
    <w:rsid w:val="00E22881"/>
    <w:rsid w:val="00E22D91"/>
    <w:rsid w:val="00E22DDE"/>
    <w:rsid w:val="00E2319F"/>
    <w:rsid w:val="00E23426"/>
    <w:rsid w:val="00E23660"/>
    <w:rsid w:val="00E236E3"/>
    <w:rsid w:val="00E23A2A"/>
    <w:rsid w:val="00E23F92"/>
    <w:rsid w:val="00E24358"/>
    <w:rsid w:val="00E24463"/>
    <w:rsid w:val="00E24AF0"/>
    <w:rsid w:val="00E24C86"/>
    <w:rsid w:val="00E24D3F"/>
    <w:rsid w:val="00E2518B"/>
    <w:rsid w:val="00E2537C"/>
    <w:rsid w:val="00E25A18"/>
    <w:rsid w:val="00E25A1F"/>
    <w:rsid w:val="00E25AB9"/>
    <w:rsid w:val="00E26339"/>
    <w:rsid w:val="00E264A6"/>
    <w:rsid w:val="00E26CEB"/>
    <w:rsid w:val="00E26E55"/>
    <w:rsid w:val="00E2761D"/>
    <w:rsid w:val="00E27C0E"/>
    <w:rsid w:val="00E27EA2"/>
    <w:rsid w:val="00E3005A"/>
    <w:rsid w:val="00E301F0"/>
    <w:rsid w:val="00E3031D"/>
    <w:rsid w:val="00E30A61"/>
    <w:rsid w:val="00E30D6A"/>
    <w:rsid w:val="00E30DF2"/>
    <w:rsid w:val="00E3107B"/>
    <w:rsid w:val="00E31326"/>
    <w:rsid w:val="00E31A1E"/>
    <w:rsid w:val="00E31B9C"/>
    <w:rsid w:val="00E31CDE"/>
    <w:rsid w:val="00E32169"/>
    <w:rsid w:val="00E32406"/>
    <w:rsid w:val="00E32783"/>
    <w:rsid w:val="00E32C18"/>
    <w:rsid w:val="00E33200"/>
    <w:rsid w:val="00E33518"/>
    <w:rsid w:val="00E33B93"/>
    <w:rsid w:val="00E33CB2"/>
    <w:rsid w:val="00E34004"/>
    <w:rsid w:val="00E34286"/>
    <w:rsid w:val="00E3446A"/>
    <w:rsid w:val="00E34484"/>
    <w:rsid w:val="00E34647"/>
    <w:rsid w:val="00E34729"/>
    <w:rsid w:val="00E34AFF"/>
    <w:rsid w:val="00E34F5F"/>
    <w:rsid w:val="00E35055"/>
    <w:rsid w:val="00E35158"/>
    <w:rsid w:val="00E3533C"/>
    <w:rsid w:val="00E354A8"/>
    <w:rsid w:val="00E35B55"/>
    <w:rsid w:val="00E36373"/>
    <w:rsid w:val="00E368D8"/>
    <w:rsid w:val="00E37006"/>
    <w:rsid w:val="00E37424"/>
    <w:rsid w:val="00E37442"/>
    <w:rsid w:val="00E37930"/>
    <w:rsid w:val="00E4000A"/>
    <w:rsid w:val="00E403A0"/>
    <w:rsid w:val="00E40541"/>
    <w:rsid w:val="00E405BE"/>
    <w:rsid w:val="00E40D2B"/>
    <w:rsid w:val="00E40EDE"/>
    <w:rsid w:val="00E41039"/>
    <w:rsid w:val="00E41A6F"/>
    <w:rsid w:val="00E41B14"/>
    <w:rsid w:val="00E41B4B"/>
    <w:rsid w:val="00E424B5"/>
    <w:rsid w:val="00E4262C"/>
    <w:rsid w:val="00E429AC"/>
    <w:rsid w:val="00E4311B"/>
    <w:rsid w:val="00E43237"/>
    <w:rsid w:val="00E434B3"/>
    <w:rsid w:val="00E435C5"/>
    <w:rsid w:val="00E439C3"/>
    <w:rsid w:val="00E43A5B"/>
    <w:rsid w:val="00E43EA5"/>
    <w:rsid w:val="00E43EBC"/>
    <w:rsid w:val="00E44B3F"/>
    <w:rsid w:val="00E44C0B"/>
    <w:rsid w:val="00E44D63"/>
    <w:rsid w:val="00E44FF4"/>
    <w:rsid w:val="00E45180"/>
    <w:rsid w:val="00E45305"/>
    <w:rsid w:val="00E45325"/>
    <w:rsid w:val="00E45433"/>
    <w:rsid w:val="00E4564E"/>
    <w:rsid w:val="00E456A0"/>
    <w:rsid w:val="00E45B03"/>
    <w:rsid w:val="00E45E7E"/>
    <w:rsid w:val="00E45F5A"/>
    <w:rsid w:val="00E466FD"/>
    <w:rsid w:val="00E46913"/>
    <w:rsid w:val="00E46AC9"/>
    <w:rsid w:val="00E46BBA"/>
    <w:rsid w:val="00E46F36"/>
    <w:rsid w:val="00E476E2"/>
    <w:rsid w:val="00E477C6"/>
    <w:rsid w:val="00E479C6"/>
    <w:rsid w:val="00E47A1F"/>
    <w:rsid w:val="00E47F68"/>
    <w:rsid w:val="00E500E2"/>
    <w:rsid w:val="00E502C0"/>
    <w:rsid w:val="00E506B8"/>
    <w:rsid w:val="00E50753"/>
    <w:rsid w:val="00E50C56"/>
    <w:rsid w:val="00E515AF"/>
    <w:rsid w:val="00E51AE4"/>
    <w:rsid w:val="00E51E77"/>
    <w:rsid w:val="00E51FC7"/>
    <w:rsid w:val="00E5217B"/>
    <w:rsid w:val="00E52194"/>
    <w:rsid w:val="00E52255"/>
    <w:rsid w:val="00E5240C"/>
    <w:rsid w:val="00E5248B"/>
    <w:rsid w:val="00E526D9"/>
    <w:rsid w:val="00E529CB"/>
    <w:rsid w:val="00E52B1D"/>
    <w:rsid w:val="00E52B2F"/>
    <w:rsid w:val="00E531A0"/>
    <w:rsid w:val="00E5323E"/>
    <w:rsid w:val="00E53407"/>
    <w:rsid w:val="00E53410"/>
    <w:rsid w:val="00E534C6"/>
    <w:rsid w:val="00E5385F"/>
    <w:rsid w:val="00E53DB6"/>
    <w:rsid w:val="00E53E47"/>
    <w:rsid w:val="00E546D0"/>
    <w:rsid w:val="00E54701"/>
    <w:rsid w:val="00E54ACA"/>
    <w:rsid w:val="00E54D89"/>
    <w:rsid w:val="00E54FB3"/>
    <w:rsid w:val="00E551E8"/>
    <w:rsid w:val="00E55286"/>
    <w:rsid w:val="00E55904"/>
    <w:rsid w:val="00E55B58"/>
    <w:rsid w:val="00E55E72"/>
    <w:rsid w:val="00E56173"/>
    <w:rsid w:val="00E566BE"/>
    <w:rsid w:val="00E569BD"/>
    <w:rsid w:val="00E56B04"/>
    <w:rsid w:val="00E56E48"/>
    <w:rsid w:val="00E56FAB"/>
    <w:rsid w:val="00E57521"/>
    <w:rsid w:val="00E57691"/>
    <w:rsid w:val="00E57CE3"/>
    <w:rsid w:val="00E57D9C"/>
    <w:rsid w:val="00E57FEC"/>
    <w:rsid w:val="00E60005"/>
    <w:rsid w:val="00E60057"/>
    <w:rsid w:val="00E600DA"/>
    <w:rsid w:val="00E6031A"/>
    <w:rsid w:val="00E6034E"/>
    <w:rsid w:val="00E6041B"/>
    <w:rsid w:val="00E60616"/>
    <w:rsid w:val="00E609FE"/>
    <w:rsid w:val="00E60A1B"/>
    <w:rsid w:val="00E60BB9"/>
    <w:rsid w:val="00E60CB1"/>
    <w:rsid w:val="00E6153F"/>
    <w:rsid w:val="00E6157A"/>
    <w:rsid w:val="00E620A9"/>
    <w:rsid w:val="00E62170"/>
    <w:rsid w:val="00E622E2"/>
    <w:rsid w:val="00E628DC"/>
    <w:rsid w:val="00E62C74"/>
    <w:rsid w:val="00E62D33"/>
    <w:rsid w:val="00E62DC9"/>
    <w:rsid w:val="00E62E4C"/>
    <w:rsid w:val="00E6346D"/>
    <w:rsid w:val="00E6387B"/>
    <w:rsid w:val="00E64002"/>
    <w:rsid w:val="00E6440D"/>
    <w:rsid w:val="00E64453"/>
    <w:rsid w:val="00E64D0D"/>
    <w:rsid w:val="00E656BC"/>
    <w:rsid w:val="00E657C3"/>
    <w:rsid w:val="00E65C15"/>
    <w:rsid w:val="00E65F3E"/>
    <w:rsid w:val="00E6606A"/>
    <w:rsid w:val="00E660F9"/>
    <w:rsid w:val="00E6634C"/>
    <w:rsid w:val="00E665B9"/>
    <w:rsid w:val="00E66614"/>
    <w:rsid w:val="00E66881"/>
    <w:rsid w:val="00E66924"/>
    <w:rsid w:val="00E66B34"/>
    <w:rsid w:val="00E670E6"/>
    <w:rsid w:val="00E671FB"/>
    <w:rsid w:val="00E673CF"/>
    <w:rsid w:val="00E678C4"/>
    <w:rsid w:val="00E70305"/>
    <w:rsid w:val="00E7068C"/>
    <w:rsid w:val="00E70C1D"/>
    <w:rsid w:val="00E70CD0"/>
    <w:rsid w:val="00E714FA"/>
    <w:rsid w:val="00E716A1"/>
    <w:rsid w:val="00E7176C"/>
    <w:rsid w:val="00E71CEB"/>
    <w:rsid w:val="00E71ED8"/>
    <w:rsid w:val="00E71F75"/>
    <w:rsid w:val="00E72594"/>
    <w:rsid w:val="00E72611"/>
    <w:rsid w:val="00E730C5"/>
    <w:rsid w:val="00E7398B"/>
    <w:rsid w:val="00E73D68"/>
    <w:rsid w:val="00E74154"/>
    <w:rsid w:val="00E74647"/>
    <w:rsid w:val="00E752C6"/>
    <w:rsid w:val="00E758F0"/>
    <w:rsid w:val="00E759BE"/>
    <w:rsid w:val="00E76659"/>
    <w:rsid w:val="00E766FE"/>
    <w:rsid w:val="00E76A74"/>
    <w:rsid w:val="00E76D06"/>
    <w:rsid w:val="00E777A6"/>
    <w:rsid w:val="00E778EE"/>
    <w:rsid w:val="00E77982"/>
    <w:rsid w:val="00E77A43"/>
    <w:rsid w:val="00E77CBF"/>
    <w:rsid w:val="00E80035"/>
    <w:rsid w:val="00E807D1"/>
    <w:rsid w:val="00E80931"/>
    <w:rsid w:val="00E80995"/>
    <w:rsid w:val="00E8167F"/>
    <w:rsid w:val="00E81774"/>
    <w:rsid w:val="00E819A9"/>
    <w:rsid w:val="00E819FC"/>
    <w:rsid w:val="00E81A75"/>
    <w:rsid w:val="00E81AB0"/>
    <w:rsid w:val="00E8203C"/>
    <w:rsid w:val="00E82571"/>
    <w:rsid w:val="00E8269B"/>
    <w:rsid w:val="00E826BB"/>
    <w:rsid w:val="00E82B46"/>
    <w:rsid w:val="00E82BB5"/>
    <w:rsid w:val="00E830AC"/>
    <w:rsid w:val="00E83228"/>
    <w:rsid w:val="00E8324E"/>
    <w:rsid w:val="00E8381F"/>
    <w:rsid w:val="00E83823"/>
    <w:rsid w:val="00E8412E"/>
    <w:rsid w:val="00E8429D"/>
    <w:rsid w:val="00E84703"/>
    <w:rsid w:val="00E847EB"/>
    <w:rsid w:val="00E84B16"/>
    <w:rsid w:val="00E84B41"/>
    <w:rsid w:val="00E84CAF"/>
    <w:rsid w:val="00E84F5A"/>
    <w:rsid w:val="00E850AD"/>
    <w:rsid w:val="00E8513B"/>
    <w:rsid w:val="00E853A1"/>
    <w:rsid w:val="00E853BD"/>
    <w:rsid w:val="00E85860"/>
    <w:rsid w:val="00E858A3"/>
    <w:rsid w:val="00E85CEB"/>
    <w:rsid w:val="00E85DC8"/>
    <w:rsid w:val="00E85FAB"/>
    <w:rsid w:val="00E8655B"/>
    <w:rsid w:val="00E86711"/>
    <w:rsid w:val="00E8677B"/>
    <w:rsid w:val="00E86D40"/>
    <w:rsid w:val="00E86F16"/>
    <w:rsid w:val="00E87215"/>
    <w:rsid w:val="00E872DB"/>
    <w:rsid w:val="00E87692"/>
    <w:rsid w:val="00E8793C"/>
    <w:rsid w:val="00E87A22"/>
    <w:rsid w:val="00E87B11"/>
    <w:rsid w:val="00E902D8"/>
    <w:rsid w:val="00E90830"/>
    <w:rsid w:val="00E90BD3"/>
    <w:rsid w:val="00E91064"/>
    <w:rsid w:val="00E91311"/>
    <w:rsid w:val="00E91518"/>
    <w:rsid w:val="00E915D3"/>
    <w:rsid w:val="00E91626"/>
    <w:rsid w:val="00E91946"/>
    <w:rsid w:val="00E920E9"/>
    <w:rsid w:val="00E92510"/>
    <w:rsid w:val="00E92B30"/>
    <w:rsid w:val="00E92E45"/>
    <w:rsid w:val="00E930FA"/>
    <w:rsid w:val="00E93202"/>
    <w:rsid w:val="00E933B6"/>
    <w:rsid w:val="00E937EC"/>
    <w:rsid w:val="00E93937"/>
    <w:rsid w:val="00E93A93"/>
    <w:rsid w:val="00E93B5E"/>
    <w:rsid w:val="00E93CF8"/>
    <w:rsid w:val="00E93D7D"/>
    <w:rsid w:val="00E940C0"/>
    <w:rsid w:val="00E94250"/>
    <w:rsid w:val="00E94926"/>
    <w:rsid w:val="00E952F2"/>
    <w:rsid w:val="00E9541C"/>
    <w:rsid w:val="00E96133"/>
    <w:rsid w:val="00E961C1"/>
    <w:rsid w:val="00E96570"/>
    <w:rsid w:val="00E96603"/>
    <w:rsid w:val="00E976DF"/>
    <w:rsid w:val="00E97BD7"/>
    <w:rsid w:val="00EA00B7"/>
    <w:rsid w:val="00EA01A1"/>
    <w:rsid w:val="00EA02A7"/>
    <w:rsid w:val="00EA02E6"/>
    <w:rsid w:val="00EA032E"/>
    <w:rsid w:val="00EA0835"/>
    <w:rsid w:val="00EA0D94"/>
    <w:rsid w:val="00EA0F33"/>
    <w:rsid w:val="00EA1027"/>
    <w:rsid w:val="00EA1367"/>
    <w:rsid w:val="00EA1417"/>
    <w:rsid w:val="00EA1B29"/>
    <w:rsid w:val="00EA1E6D"/>
    <w:rsid w:val="00EA21F6"/>
    <w:rsid w:val="00EA28C8"/>
    <w:rsid w:val="00EA2B07"/>
    <w:rsid w:val="00EA2C6B"/>
    <w:rsid w:val="00EA326E"/>
    <w:rsid w:val="00EA3288"/>
    <w:rsid w:val="00EA344A"/>
    <w:rsid w:val="00EA35F9"/>
    <w:rsid w:val="00EA36C7"/>
    <w:rsid w:val="00EA3A4D"/>
    <w:rsid w:val="00EA3A5A"/>
    <w:rsid w:val="00EA3D53"/>
    <w:rsid w:val="00EA3FAF"/>
    <w:rsid w:val="00EA4369"/>
    <w:rsid w:val="00EA47DA"/>
    <w:rsid w:val="00EA4B65"/>
    <w:rsid w:val="00EA4CAB"/>
    <w:rsid w:val="00EA529A"/>
    <w:rsid w:val="00EA54C0"/>
    <w:rsid w:val="00EA5552"/>
    <w:rsid w:val="00EA56BD"/>
    <w:rsid w:val="00EA584C"/>
    <w:rsid w:val="00EA5F86"/>
    <w:rsid w:val="00EA655D"/>
    <w:rsid w:val="00EA6646"/>
    <w:rsid w:val="00EA66E6"/>
    <w:rsid w:val="00EA68AA"/>
    <w:rsid w:val="00EA696B"/>
    <w:rsid w:val="00EA6B25"/>
    <w:rsid w:val="00EA701D"/>
    <w:rsid w:val="00EA7281"/>
    <w:rsid w:val="00EB0167"/>
    <w:rsid w:val="00EB01CB"/>
    <w:rsid w:val="00EB023F"/>
    <w:rsid w:val="00EB051B"/>
    <w:rsid w:val="00EB055E"/>
    <w:rsid w:val="00EB07FF"/>
    <w:rsid w:val="00EB091B"/>
    <w:rsid w:val="00EB0C15"/>
    <w:rsid w:val="00EB0C59"/>
    <w:rsid w:val="00EB14E3"/>
    <w:rsid w:val="00EB1C2E"/>
    <w:rsid w:val="00EB1F28"/>
    <w:rsid w:val="00EB20BB"/>
    <w:rsid w:val="00EB2186"/>
    <w:rsid w:val="00EB23D2"/>
    <w:rsid w:val="00EB295A"/>
    <w:rsid w:val="00EB2CF1"/>
    <w:rsid w:val="00EB2D09"/>
    <w:rsid w:val="00EB30DB"/>
    <w:rsid w:val="00EB360C"/>
    <w:rsid w:val="00EB396F"/>
    <w:rsid w:val="00EB3C67"/>
    <w:rsid w:val="00EB3D08"/>
    <w:rsid w:val="00EB3D32"/>
    <w:rsid w:val="00EB3F0F"/>
    <w:rsid w:val="00EB426B"/>
    <w:rsid w:val="00EB47B0"/>
    <w:rsid w:val="00EB4E02"/>
    <w:rsid w:val="00EB4F9F"/>
    <w:rsid w:val="00EB5067"/>
    <w:rsid w:val="00EB5242"/>
    <w:rsid w:val="00EB563B"/>
    <w:rsid w:val="00EB574C"/>
    <w:rsid w:val="00EB5E6D"/>
    <w:rsid w:val="00EB65E9"/>
    <w:rsid w:val="00EB6675"/>
    <w:rsid w:val="00EB7639"/>
    <w:rsid w:val="00EB7852"/>
    <w:rsid w:val="00EC0529"/>
    <w:rsid w:val="00EC0755"/>
    <w:rsid w:val="00EC07B4"/>
    <w:rsid w:val="00EC092B"/>
    <w:rsid w:val="00EC0DAE"/>
    <w:rsid w:val="00EC1014"/>
    <w:rsid w:val="00EC136D"/>
    <w:rsid w:val="00EC1504"/>
    <w:rsid w:val="00EC16B5"/>
    <w:rsid w:val="00EC1BB1"/>
    <w:rsid w:val="00EC1CC4"/>
    <w:rsid w:val="00EC1D8F"/>
    <w:rsid w:val="00EC29B5"/>
    <w:rsid w:val="00EC2C6C"/>
    <w:rsid w:val="00EC2F8E"/>
    <w:rsid w:val="00EC300D"/>
    <w:rsid w:val="00EC32A5"/>
    <w:rsid w:val="00EC36FA"/>
    <w:rsid w:val="00EC3C93"/>
    <w:rsid w:val="00EC3E47"/>
    <w:rsid w:val="00EC3E6F"/>
    <w:rsid w:val="00EC4064"/>
    <w:rsid w:val="00EC4162"/>
    <w:rsid w:val="00EC423D"/>
    <w:rsid w:val="00EC4716"/>
    <w:rsid w:val="00EC4758"/>
    <w:rsid w:val="00EC4932"/>
    <w:rsid w:val="00EC4A4A"/>
    <w:rsid w:val="00EC4EA5"/>
    <w:rsid w:val="00EC504E"/>
    <w:rsid w:val="00EC535D"/>
    <w:rsid w:val="00EC541A"/>
    <w:rsid w:val="00EC577B"/>
    <w:rsid w:val="00EC57D3"/>
    <w:rsid w:val="00EC5D74"/>
    <w:rsid w:val="00EC5EB6"/>
    <w:rsid w:val="00EC671C"/>
    <w:rsid w:val="00EC6741"/>
    <w:rsid w:val="00EC689A"/>
    <w:rsid w:val="00EC6959"/>
    <w:rsid w:val="00EC6C84"/>
    <w:rsid w:val="00EC757D"/>
    <w:rsid w:val="00EC77EC"/>
    <w:rsid w:val="00EC7866"/>
    <w:rsid w:val="00EC7BEA"/>
    <w:rsid w:val="00EC7C38"/>
    <w:rsid w:val="00EC7E7E"/>
    <w:rsid w:val="00ED00F3"/>
    <w:rsid w:val="00ED08CD"/>
    <w:rsid w:val="00ED0958"/>
    <w:rsid w:val="00ED0D02"/>
    <w:rsid w:val="00ED0EF9"/>
    <w:rsid w:val="00ED12BF"/>
    <w:rsid w:val="00ED1354"/>
    <w:rsid w:val="00ED13F4"/>
    <w:rsid w:val="00ED1432"/>
    <w:rsid w:val="00ED15DD"/>
    <w:rsid w:val="00ED1D82"/>
    <w:rsid w:val="00ED1EA3"/>
    <w:rsid w:val="00ED1EEA"/>
    <w:rsid w:val="00ED20E0"/>
    <w:rsid w:val="00ED29A2"/>
    <w:rsid w:val="00ED2B72"/>
    <w:rsid w:val="00ED3682"/>
    <w:rsid w:val="00ED38C1"/>
    <w:rsid w:val="00ED40B7"/>
    <w:rsid w:val="00ED43EE"/>
    <w:rsid w:val="00ED457F"/>
    <w:rsid w:val="00ED47F3"/>
    <w:rsid w:val="00ED483E"/>
    <w:rsid w:val="00ED4970"/>
    <w:rsid w:val="00ED5042"/>
    <w:rsid w:val="00ED50A1"/>
    <w:rsid w:val="00ED50B5"/>
    <w:rsid w:val="00ED50F3"/>
    <w:rsid w:val="00ED5422"/>
    <w:rsid w:val="00ED5BB3"/>
    <w:rsid w:val="00ED5D59"/>
    <w:rsid w:val="00ED5D95"/>
    <w:rsid w:val="00ED5DE9"/>
    <w:rsid w:val="00ED630B"/>
    <w:rsid w:val="00ED63AA"/>
    <w:rsid w:val="00ED66D0"/>
    <w:rsid w:val="00ED68B5"/>
    <w:rsid w:val="00ED694B"/>
    <w:rsid w:val="00ED7509"/>
    <w:rsid w:val="00ED75E6"/>
    <w:rsid w:val="00ED78D8"/>
    <w:rsid w:val="00ED7997"/>
    <w:rsid w:val="00EE0533"/>
    <w:rsid w:val="00EE062D"/>
    <w:rsid w:val="00EE06C9"/>
    <w:rsid w:val="00EE06E3"/>
    <w:rsid w:val="00EE0DFA"/>
    <w:rsid w:val="00EE1BEE"/>
    <w:rsid w:val="00EE1C57"/>
    <w:rsid w:val="00EE1E08"/>
    <w:rsid w:val="00EE238E"/>
    <w:rsid w:val="00EE2852"/>
    <w:rsid w:val="00EE2A06"/>
    <w:rsid w:val="00EE3051"/>
    <w:rsid w:val="00EE30C8"/>
    <w:rsid w:val="00EE3BE6"/>
    <w:rsid w:val="00EE3CF5"/>
    <w:rsid w:val="00EE40D3"/>
    <w:rsid w:val="00EE4312"/>
    <w:rsid w:val="00EE4F8C"/>
    <w:rsid w:val="00EE5014"/>
    <w:rsid w:val="00EE5065"/>
    <w:rsid w:val="00EE5F83"/>
    <w:rsid w:val="00EE6458"/>
    <w:rsid w:val="00EE65F2"/>
    <w:rsid w:val="00EE6647"/>
    <w:rsid w:val="00EE6652"/>
    <w:rsid w:val="00EE6C5D"/>
    <w:rsid w:val="00EE6F45"/>
    <w:rsid w:val="00EE7208"/>
    <w:rsid w:val="00EE7211"/>
    <w:rsid w:val="00EE758F"/>
    <w:rsid w:val="00EE7781"/>
    <w:rsid w:val="00EE77CB"/>
    <w:rsid w:val="00EE798A"/>
    <w:rsid w:val="00EE7F9D"/>
    <w:rsid w:val="00EF0064"/>
    <w:rsid w:val="00EF0664"/>
    <w:rsid w:val="00EF0E54"/>
    <w:rsid w:val="00EF0F08"/>
    <w:rsid w:val="00EF1208"/>
    <w:rsid w:val="00EF1401"/>
    <w:rsid w:val="00EF1684"/>
    <w:rsid w:val="00EF1D8F"/>
    <w:rsid w:val="00EF20F7"/>
    <w:rsid w:val="00EF2426"/>
    <w:rsid w:val="00EF267C"/>
    <w:rsid w:val="00EF27B6"/>
    <w:rsid w:val="00EF2A10"/>
    <w:rsid w:val="00EF2EF5"/>
    <w:rsid w:val="00EF3150"/>
    <w:rsid w:val="00EF3200"/>
    <w:rsid w:val="00EF3278"/>
    <w:rsid w:val="00EF3401"/>
    <w:rsid w:val="00EF365F"/>
    <w:rsid w:val="00EF3B4F"/>
    <w:rsid w:val="00EF3B77"/>
    <w:rsid w:val="00EF3BA1"/>
    <w:rsid w:val="00EF3E8B"/>
    <w:rsid w:val="00EF3EDF"/>
    <w:rsid w:val="00EF3F05"/>
    <w:rsid w:val="00EF4178"/>
    <w:rsid w:val="00EF45ED"/>
    <w:rsid w:val="00EF4971"/>
    <w:rsid w:val="00EF5FE3"/>
    <w:rsid w:val="00EF5FF0"/>
    <w:rsid w:val="00EF61AA"/>
    <w:rsid w:val="00EF62E4"/>
    <w:rsid w:val="00EF690D"/>
    <w:rsid w:val="00EF6B65"/>
    <w:rsid w:val="00EF73F7"/>
    <w:rsid w:val="00EF7977"/>
    <w:rsid w:val="00EF79AA"/>
    <w:rsid w:val="00EF7BB3"/>
    <w:rsid w:val="00EF7FC7"/>
    <w:rsid w:val="00F001F2"/>
    <w:rsid w:val="00F00249"/>
    <w:rsid w:val="00F0036D"/>
    <w:rsid w:val="00F00678"/>
    <w:rsid w:val="00F00836"/>
    <w:rsid w:val="00F00C67"/>
    <w:rsid w:val="00F0152D"/>
    <w:rsid w:val="00F01723"/>
    <w:rsid w:val="00F02056"/>
    <w:rsid w:val="00F02213"/>
    <w:rsid w:val="00F02585"/>
    <w:rsid w:val="00F0258F"/>
    <w:rsid w:val="00F025C8"/>
    <w:rsid w:val="00F02820"/>
    <w:rsid w:val="00F028D5"/>
    <w:rsid w:val="00F02A88"/>
    <w:rsid w:val="00F03484"/>
    <w:rsid w:val="00F03745"/>
    <w:rsid w:val="00F03925"/>
    <w:rsid w:val="00F040CA"/>
    <w:rsid w:val="00F041ED"/>
    <w:rsid w:val="00F04472"/>
    <w:rsid w:val="00F0461A"/>
    <w:rsid w:val="00F049EC"/>
    <w:rsid w:val="00F04F1F"/>
    <w:rsid w:val="00F051E0"/>
    <w:rsid w:val="00F052DF"/>
    <w:rsid w:val="00F0542E"/>
    <w:rsid w:val="00F06051"/>
    <w:rsid w:val="00F0628D"/>
    <w:rsid w:val="00F063BD"/>
    <w:rsid w:val="00F0645B"/>
    <w:rsid w:val="00F0666B"/>
    <w:rsid w:val="00F0697F"/>
    <w:rsid w:val="00F06AFF"/>
    <w:rsid w:val="00F06E38"/>
    <w:rsid w:val="00F06F6A"/>
    <w:rsid w:val="00F06FFF"/>
    <w:rsid w:val="00F07336"/>
    <w:rsid w:val="00F07468"/>
    <w:rsid w:val="00F07516"/>
    <w:rsid w:val="00F07648"/>
    <w:rsid w:val="00F076CD"/>
    <w:rsid w:val="00F07926"/>
    <w:rsid w:val="00F07AE7"/>
    <w:rsid w:val="00F07F12"/>
    <w:rsid w:val="00F07FC6"/>
    <w:rsid w:val="00F103D7"/>
    <w:rsid w:val="00F10DAA"/>
    <w:rsid w:val="00F1127C"/>
    <w:rsid w:val="00F112B5"/>
    <w:rsid w:val="00F1131A"/>
    <w:rsid w:val="00F11458"/>
    <w:rsid w:val="00F114E0"/>
    <w:rsid w:val="00F11B86"/>
    <w:rsid w:val="00F11E06"/>
    <w:rsid w:val="00F12951"/>
    <w:rsid w:val="00F12971"/>
    <w:rsid w:val="00F12C89"/>
    <w:rsid w:val="00F12EA9"/>
    <w:rsid w:val="00F12ED0"/>
    <w:rsid w:val="00F130FB"/>
    <w:rsid w:val="00F1310C"/>
    <w:rsid w:val="00F132CB"/>
    <w:rsid w:val="00F13348"/>
    <w:rsid w:val="00F133D5"/>
    <w:rsid w:val="00F13779"/>
    <w:rsid w:val="00F13CFE"/>
    <w:rsid w:val="00F145A6"/>
    <w:rsid w:val="00F14771"/>
    <w:rsid w:val="00F14829"/>
    <w:rsid w:val="00F1482E"/>
    <w:rsid w:val="00F14A71"/>
    <w:rsid w:val="00F14F7A"/>
    <w:rsid w:val="00F152BF"/>
    <w:rsid w:val="00F1546C"/>
    <w:rsid w:val="00F15A79"/>
    <w:rsid w:val="00F15A89"/>
    <w:rsid w:val="00F15B21"/>
    <w:rsid w:val="00F165A4"/>
    <w:rsid w:val="00F16853"/>
    <w:rsid w:val="00F16D26"/>
    <w:rsid w:val="00F16DE1"/>
    <w:rsid w:val="00F171E5"/>
    <w:rsid w:val="00F1747C"/>
    <w:rsid w:val="00F1749F"/>
    <w:rsid w:val="00F1759B"/>
    <w:rsid w:val="00F17982"/>
    <w:rsid w:val="00F17A3F"/>
    <w:rsid w:val="00F20CC1"/>
    <w:rsid w:val="00F20E13"/>
    <w:rsid w:val="00F214EF"/>
    <w:rsid w:val="00F21FC2"/>
    <w:rsid w:val="00F226A1"/>
    <w:rsid w:val="00F22C87"/>
    <w:rsid w:val="00F22F02"/>
    <w:rsid w:val="00F22F7B"/>
    <w:rsid w:val="00F22F9D"/>
    <w:rsid w:val="00F235B8"/>
    <w:rsid w:val="00F23DF6"/>
    <w:rsid w:val="00F23E85"/>
    <w:rsid w:val="00F23ED7"/>
    <w:rsid w:val="00F24E21"/>
    <w:rsid w:val="00F25032"/>
    <w:rsid w:val="00F259DF"/>
    <w:rsid w:val="00F25FF4"/>
    <w:rsid w:val="00F26024"/>
    <w:rsid w:val="00F2638E"/>
    <w:rsid w:val="00F265E5"/>
    <w:rsid w:val="00F266F1"/>
    <w:rsid w:val="00F266F8"/>
    <w:rsid w:val="00F26B4B"/>
    <w:rsid w:val="00F26C78"/>
    <w:rsid w:val="00F26D63"/>
    <w:rsid w:val="00F26DFE"/>
    <w:rsid w:val="00F26E07"/>
    <w:rsid w:val="00F2706C"/>
    <w:rsid w:val="00F2709D"/>
    <w:rsid w:val="00F2742E"/>
    <w:rsid w:val="00F27656"/>
    <w:rsid w:val="00F30020"/>
    <w:rsid w:val="00F30141"/>
    <w:rsid w:val="00F30372"/>
    <w:rsid w:val="00F30528"/>
    <w:rsid w:val="00F30541"/>
    <w:rsid w:val="00F3059C"/>
    <w:rsid w:val="00F3085F"/>
    <w:rsid w:val="00F308A6"/>
    <w:rsid w:val="00F3094A"/>
    <w:rsid w:val="00F30979"/>
    <w:rsid w:val="00F30D22"/>
    <w:rsid w:val="00F3102A"/>
    <w:rsid w:val="00F3120E"/>
    <w:rsid w:val="00F3157A"/>
    <w:rsid w:val="00F31710"/>
    <w:rsid w:val="00F31A58"/>
    <w:rsid w:val="00F31EE5"/>
    <w:rsid w:val="00F31FEB"/>
    <w:rsid w:val="00F324CB"/>
    <w:rsid w:val="00F32CAA"/>
    <w:rsid w:val="00F32D8E"/>
    <w:rsid w:val="00F32FD3"/>
    <w:rsid w:val="00F3323A"/>
    <w:rsid w:val="00F3360B"/>
    <w:rsid w:val="00F337A1"/>
    <w:rsid w:val="00F33D44"/>
    <w:rsid w:val="00F33DCC"/>
    <w:rsid w:val="00F347E9"/>
    <w:rsid w:val="00F34B99"/>
    <w:rsid w:val="00F34DF3"/>
    <w:rsid w:val="00F3545A"/>
    <w:rsid w:val="00F35557"/>
    <w:rsid w:val="00F35774"/>
    <w:rsid w:val="00F35AB9"/>
    <w:rsid w:val="00F35B04"/>
    <w:rsid w:val="00F35E31"/>
    <w:rsid w:val="00F36331"/>
    <w:rsid w:val="00F3640B"/>
    <w:rsid w:val="00F364EE"/>
    <w:rsid w:val="00F36956"/>
    <w:rsid w:val="00F36C9B"/>
    <w:rsid w:val="00F3707F"/>
    <w:rsid w:val="00F375C2"/>
    <w:rsid w:val="00F375F3"/>
    <w:rsid w:val="00F37864"/>
    <w:rsid w:val="00F37935"/>
    <w:rsid w:val="00F379B1"/>
    <w:rsid w:val="00F37A01"/>
    <w:rsid w:val="00F37D69"/>
    <w:rsid w:val="00F37DEB"/>
    <w:rsid w:val="00F402E3"/>
    <w:rsid w:val="00F408A9"/>
    <w:rsid w:val="00F40A32"/>
    <w:rsid w:val="00F40ED0"/>
    <w:rsid w:val="00F412C6"/>
    <w:rsid w:val="00F42095"/>
    <w:rsid w:val="00F426F9"/>
    <w:rsid w:val="00F42789"/>
    <w:rsid w:val="00F42792"/>
    <w:rsid w:val="00F42BDC"/>
    <w:rsid w:val="00F42BF0"/>
    <w:rsid w:val="00F43270"/>
    <w:rsid w:val="00F432FC"/>
    <w:rsid w:val="00F43C87"/>
    <w:rsid w:val="00F43D39"/>
    <w:rsid w:val="00F4445A"/>
    <w:rsid w:val="00F446A2"/>
    <w:rsid w:val="00F44C26"/>
    <w:rsid w:val="00F44C9C"/>
    <w:rsid w:val="00F44D66"/>
    <w:rsid w:val="00F44D92"/>
    <w:rsid w:val="00F44DA3"/>
    <w:rsid w:val="00F45674"/>
    <w:rsid w:val="00F45862"/>
    <w:rsid w:val="00F46127"/>
    <w:rsid w:val="00F46802"/>
    <w:rsid w:val="00F4691D"/>
    <w:rsid w:val="00F4699F"/>
    <w:rsid w:val="00F46A5B"/>
    <w:rsid w:val="00F46AAB"/>
    <w:rsid w:val="00F46D67"/>
    <w:rsid w:val="00F46FCD"/>
    <w:rsid w:val="00F4762B"/>
    <w:rsid w:val="00F47660"/>
    <w:rsid w:val="00F47F80"/>
    <w:rsid w:val="00F507D4"/>
    <w:rsid w:val="00F50840"/>
    <w:rsid w:val="00F509CE"/>
    <w:rsid w:val="00F50A52"/>
    <w:rsid w:val="00F512F7"/>
    <w:rsid w:val="00F51532"/>
    <w:rsid w:val="00F5178D"/>
    <w:rsid w:val="00F51845"/>
    <w:rsid w:val="00F51946"/>
    <w:rsid w:val="00F51F0D"/>
    <w:rsid w:val="00F526E4"/>
    <w:rsid w:val="00F528B3"/>
    <w:rsid w:val="00F52A3A"/>
    <w:rsid w:val="00F52C2D"/>
    <w:rsid w:val="00F52FAD"/>
    <w:rsid w:val="00F5351F"/>
    <w:rsid w:val="00F535CF"/>
    <w:rsid w:val="00F53AF9"/>
    <w:rsid w:val="00F53CF1"/>
    <w:rsid w:val="00F53DC7"/>
    <w:rsid w:val="00F53E8B"/>
    <w:rsid w:val="00F54135"/>
    <w:rsid w:val="00F547CB"/>
    <w:rsid w:val="00F54AC3"/>
    <w:rsid w:val="00F54ED0"/>
    <w:rsid w:val="00F5550C"/>
    <w:rsid w:val="00F5559E"/>
    <w:rsid w:val="00F5576D"/>
    <w:rsid w:val="00F55A00"/>
    <w:rsid w:val="00F55B79"/>
    <w:rsid w:val="00F56314"/>
    <w:rsid w:val="00F56775"/>
    <w:rsid w:val="00F56D19"/>
    <w:rsid w:val="00F5730C"/>
    <w:rsid w:val="00F573E3"/>
    <w:rsid w:val="00F573EF"/>
    <w:rsid w:val="00F5787E"/>
    <w:rsid w:val="00F57B83"/>
    <w:rsid w:val="00F57F5C"/>
    <w:rsid w:val="00F60099"/>
    <w:rsid w:val="00F60972"/>
    <w:rsid w:val="00F60AF0"/>
    <w:rsid w:val="00F60D29"/>
    <w:rsid w:val="00F60F14"/>
    <w:rsid w:val="00F6165C"/>
    <w:rsid w:val="00F6177B"/>
    <w:rsid w:val="00F61B96"/>
    <w:rsid w:val="00F61E38"/>
    <w:rsid w:val="00F625F2"/>
    <w:rsid w:val="00F62882"/>
    <w:rsid w:val="00F62B32"/>
    <w:rsid w:val="00F62B76"/>
    <w:rsid w:val="00F62FC5"/>
    <w:rsid w:val="00F63027"/>
    <w:rsid w:val="00F630C9"/>
    <w:rsid w:val="00F63217"/>
    <w:rsid w:val="00F632FB"/>
    <w:rsid w:val="00F63762"/>
    <w:rsid w:val="00F638E9"/>
    <w:rsid w:val="00F6396D"/>
    <w:rsid w:val="00F642C4"/>
    <w:rsid w:val="00F644A6"/>
    <w:rsid w:val="00F64541"/>
    <w:rsid w:val="00F646E7"/>
    <w:rsid w:val="00F647A3"/>
    <w:rsid w:val="00F64D13"/>
    <w:rsid w:val="00F64E79"/>
    <w:rsid w:val="00F65305"/>
    <w:rsid w:val="00F66130"/>
    <w:rsid w:val="00F6618B"/>
    <w:rsid w:val="00F6618D"/>
    <w:rsid w:val="00F663C7"/>
    <w:rsid w:val="00F663F9"/>
    <w:rsid w:val="00F6681A"/>
    <w:rsid w:val="00F6698F"/>
    <w:rsid w:val="00F67331"/>
    <w:rsid w:val="00F67BB0"/>
    <w:rsid w:val="00F700F9"/>
    <w:rsid w:val="00F70A6C"/>
    <w:rsid w:val="00F70B9A"/>
    <w:rsid w:val="00F70EEA"/>
    <w:rsid w:val="00F70F5D"/>
    <w:rsid w:val="00F71064"/>
    <w:rsid w:val="00F71834"/>
    <w:rsid w:val="00F71AEB"/>
    <w:rsid w:val="00F71CAD"/>
    <w:rsid w:val="00F71D06"/>
    <w:rsid w:val="00F72565"/>
    <w:rsid w:val="00F7259D"/>
    <w:rsid w:val="00F72808"/>
    <w:rsid w:val="00F72812"/>
    <w:rsid w:val="00F72B42"/>
    <w:rsid w:val="00F72BB2"/>
    <w:rsid w:val="00F72BF2"/>
    <w:rsid w:val="00F72DAA"/>
    <w:rsid w:val="00F730C9"/>
    <w:rsid w:val="00F731EF"/>
    <w:rsid w:val="00F733F3"/>
    <w:rsid w:val="00F73879"/>
    <w:rsid w:val="00F73A39"/>
    <w:rsid w:val="00F73DEE"/>
    <w:rsid w:val="00F73E47"/>
    <w:rsid w:val="00F73EA8"/>
    <w:rsid w:val="00F74A34"/>
    <w:rsid w:val="00F74B82"/>
    <w:rsid w:val="00F74BA0"/>
    <w:rsid w:val="00F74CF0"/>
    <w:rsid w:val="00F753C9"/>
    <w:rsid w:val="00F753EB"/>
    <w:rsid w:val="00F75510"/>
    <w:rsid w:val="00F75576"/>
    <w:rsid w:val="00F758FF"/>
    <w:rsid w:val="00F759C2"/>
    <w:rsid w:val="00F75B9F"/>
    <w:rsid w:val="00F75BB4"/>
    <w:rsid w:val="00F75D14"/>
    <w:rsid w:val="00F75D3A"/>
    <w:rsid w:val="00F7640A"/>
    <w:rsid w:val="00F765A7"/>
    <w:rsid w:val="00F76630"/>
    <w:rsid w:val="00F77190"/>
    <w:rsid w:val="00F77191"/>
    <w:rsid w:val="00F7743A"/>
    <w:rsid w:val="00F77528"/>
    <w:rsid w:val="00F77666"/>
    <w:rsid w:val="00F77A21"/>
    <w:rsid w:val="00F77EDE"/>
    <w:rsid w:val="00F80139"/>
    <w:rsid w:val="00F80311"/>
    <w:rsid w:val="00F8073A"/>
    <w:rsid w:val="00F80E99"/>
    <w:rsid w:val="00F81138"/>
    <w:rsid w:val="00F81F7D"/>
    <w:rsid w:val="00F822F5"/>
    <w:rsid w:val="00F825B5"/>
    <w:rsid w:val="00F82B2E"/>
    <w:rsid w:val="00F82B55"/>
    <w:rsid w:val="00F82CAE"/>
    <w:rsid w:val="00F82E05"/>
    <w:rsid w:val="00F82EA5"/>
    <w:rsid w:val="00F83126"/>
    <w:rsid w:val="00F831A3"/>
    <w:rsid w:val="00F833A3"/>
    <w:rsid w:val="00F836A9"/>
    <w:rsid w:val="00F83C4C"/>
    <w:rsid w:val="00F84145"/>
    <w:rsid w:val="00F841CA"/>
    <w:rsid w:val="00F84405"/>
    <w:rsid w:val="00F84563"/>
    <w:rsid w:val="00F8459A"/>
    <w:rsid w:val="00F84DDA"/>
    <w:rsid w:val="00F84E24"/>
    <w:rsid w:val="00F84FB8"/>
    <w:rsid w:val="00F85156"/>
    <w:rsid w:val="00F851CD"/>
    <w:rsid w:val="00F857CF"/>
    <w:rsid w:val="00F85A7E"/>
    <w:rsid w:val="00F8618B"/>
    <w:rsid w:val="00F86F2A"/>
    <w:rsid w:val="00F86F6C"/>
    <w:rsid w:val="00F872A1"/>
    <w:rsid w:val="00F87849"/>
    <w:rsid w:val="00F87C31"/>
    <w:rsid w:val="00F87D63"/>
    <w:rsid w:val="00F87DD4"/>
    <w:rsid w:val="00F9010E"/>
    <w:rsid w:val="00F902B7"/>
    <w:rsid w:val="00F90679"/>
    <w:rsid w:val="00F909A0"/>
    <w:rsid w:val="00F90CC4"/>
    <w:rsid w:val="00F90DFA"/>
    <w:rsid w:val="00F9122A"/>
    <w:rsid w:val="00F91271"/>
    <w:rsid w:val="00F915B4"/>
    <w:rsid w:val="00F915DA"/>
    <w:rsid w:val="00F9189E"/>
    <w:rsid w:val="00F91B26"/>
    <w:rsid w:val="00F91CC3"/>
    <w:rsid w:val="00F9210A"/>
    <w:rsid w:val="00F9212E"/>
    <w:rsid w:val="00F92BA9"/>
    <w:rsid w:val="00F92D50"/>
    <w:rsid w:val="00F92D6C"/>
    <w:rsid w:val="00F93266"/>
    <w:rsid w:val="00F9353C"/>
    <w:rsid w:val="00F935BB"/>
    <w:rsid w:val="00F93AEA"/>
    <w:rsid w:val="00F93FE9"/>
    <w:rsid w:val="00F943C2"/>
    <w:rsid w:val="00F9445F"/>
    <w:rsid w:val="00F949B4"/>
    <w:rsid w:val="00F94E6C"/>
    <w:rsid w:val="00F9546C"/>
    <w:rsid w:val="00F959EC"/>
    <w:rsid w:val="00F95C8A"/>
    <w:rsid w:val="00F95F0A"/>
    <w:rsid w:val="00F964BA"/>
    <w:rsid w:val="00F96A4F"/>
    <w:rsid w:val="00F96E21"/>
    <w:rsid w:val="00F96F61"/>
    <w:rsid w:val="00F9711A"/>
    <w:rsid w:val="00F976D1"/>
    <w:rsid w:val="00F9786F"/>
    <w:rsid w:val="00F97A9C"/>
    <w:rsid w:val="00F97F46"/>
    <w:rsid w:val="00F97F91"/>
    <w:rsid w:val="00FA00F8"/>
    <w:rsid w:val="00FA0123"/>
    <w:rsid w:val="00FA0233"/>
    <w:rsid w:val="00FA0292"/>
    <w:rsid w:val="00FA0329"/>
    <w:rsid w:val="00FA069A"/>
    <w:rsid w:val="00FA085C"/>
    <w:rsid w:val="00FA0A36"/>
    <w:rsid w:val="00FA0BCD"/>
    <w:rsid w:val="00FA0EBE"/>
    <w:rsid w:val="00FA1A77"/>
    <w:rsid w:val="00FA20AE"/>
    <w:rsid w:val="00FA24C0"/>
    <w:rsid w:val="00FA2AC8"/>
    <w:rsid w:val="00FA31E0"/>
    <w:rsid w:val="00FA3738"/>
    <w:rsid w:val="00FA374C"/>
    <w:rsid w:val="00FA39F2"/>
    <w:rsid w:val="00FA3CB0"/>
    <w:rsid w:val="00FA3D8A"/>
    <w:rsid w:val="00FA3DEF"/>
    <w:rsid w:val="00FA40BE"/>
    <w:rsid w:val="00FA41B6"/>
    <w:rsid w:val="00FA4804"/>
    <w:rsid w:val="00FA4C8B"/>
    <w:rsid w:val="00FA4ED6"/>
    <w:rsid w:val="00FA5263"/>
    <w:rsid w:val="00FA5323"/>
    <w:rsid w:val="00FA5504"/>
    <w:rsid w:val="00FA5D93"/>
    <w:rsid w:val="00FA61AD"/>
    <w:rsid w:val="00FA638E"/>
    <w:rsid w:val="00FA6B51"/>
    <w:rsid w:val="00FA6B7E"/>
    <w:rsid w:val="00FA6B8F"/>
    <w:rsid w:val="00FA7014"/>
    <w:rsid w:val="00FA7126"/>
    <w:rsid w:val="00FA7560"/>
    <w:rsid w:val="00FA758A"/>
    <w:rsid w:val="00FA758D"/>
    <w:rsid w:val="00FA77FB"/>
    <w:rsid w:val="00FB0D91"/>
    <w:rsid w:val="00FB10F3"/>
    <w:rsid w:val="00FB1272"/>
    <w:rsid w:val="00FB1684"/>
    <w:rsid w:val="00FB1926"/>
    <w:rsid w:val="00FB1BFE"/>
    <w:rsid w:val="00FB20AE"/>
    <w:rsid w:val="00FB2585"/>
    <w:rsid w:val="00FB283B"/>
    <w:rsid w:val="00FB2917"/>
    <w:rsid w:val="00FB29FD"/>
    <w:rsid w:val="00FB2D48"/>
    <w:rsid w:val="00FB2E37"/>
    <w:rsid w:val="00FB2FA4"/>
    <w:rsid w:val="00FB31F4"/>
    <w:rsid w:val="00FB3CDB"/>
    <w:rsid w:val="00FB4901"/>
    <w:rsid w:val="00FB495B"/>
    <w:rsid w:val="00FB57DB"/>
    <w:rsid w:val="00FB6591"/>
    <w:rsid w:val="00FB6669"/>
    <w:rsid w:val="00FB74EF"/>
    <w:rsid w:val="00FB7864"/>
    <w:rsid w:val="00FB7C84"/>
    <w:rsid w:val="00FB7FD5"/>
    <w:rsid w:val="00FC0371"/>
    <w:rsid w:val="00FC0432"/>
    <w:rsid w:val="00FC06DD"/>
    <w:rsid w:val="00FC06E3"/>
    <w:rsid w:val="00FC07EF"/>
    <w:rsid w:val="00FC0C0C"/>
    <w:rsid w:val="00FC1355"/>
    <w:rsid w:val="00FC13F5"/>
    <w:rsid w:val="00FC147D"/>
    <w:rsid w:val="00FC1861"/>
    <w:rsid w:val="00FC199B"/>
    <w:rsid w:val="00FC209B"/>
    <w:rsid w:val="00FC22AB"/>
    <w:rsid w:val="00FC23AB"/>
    <w:rsid w:val="00FC2604"/>
    <w:rsid w:val="00FC2691"/>
    <w:rsid w:val="00FC272E"/>
    <w:rsid w:val="00FC294A"/>
    <w:rsid w:val="00FC2F29"/>
    <w:rsid w:val="00FC30F3"/>
    <w:rsid w:val="00FC329C"/>
    <w:rsid w:val="00FC33B2"/>
    <w:rsid w:val="00FC33BA"/>
    <w:rsid w:val="00FC3858"/>
    <w:rsid w:val="00FC3969"/>
    <w:rsid w:val="00FC3A8D"/>
    <w:rsid w:val="00FC4AEE"/>
    <w:rsid w:val="00FC4DBD"/>
    <w:rsid w:val="00FC5536"/>
    <w:rsid w:val="00FC553A"/>
    <w:rsid w:val="00FC55F2"/>
    <w:rsid w:val="00FC594B"/>
    <w:rsid w:val="00FC5F05"/>
    <w:rsid w:val="00FC6266"/>
    <w:rsid w:val="00FC631C"/>
    <w:rsid w:val="00FC64BB"/>
    <w:rsid w:val="00FC68BA"/>
    <w:rsid w:val="00FC6A6A"/>
    <w:rsid w:val="00FC6AED"/>
    <w:rsid w:val="00FC70EB"/>
    <w:rsid w:val="00FC7D4C"/>
    <w:rsid w:val="00FC7DDB"/>
    <w:rsid w:val="00FC7EF4"/>
    <w:rsid w:val="00FC7F0A"/>
    <w:rsid w:val="00FD000F"/>
    <w:rsid w:val="00FD02A1"/>
    <w:rsid w:val="00FD0339"/>
    <w:rsid w:val="00FD07C6"/>
    <w:rsid w:val="00FD08A6"/>
    <w:rsid w:val="00FD0DA5"/>
    <w:rsid w:val="00FD1088"/>
    <w:rsid w:val="00FD157D"/>
    <w:rsid w:val="00FD1E31"/>
    <w:rsid w:val="00FD2322"/>
    <w:rsid w:val="00FD2394"/>
    <w:rsid w:val="00FD2978"/>
    <w:rsid w:val="00FD2C58"/>
    <w:rsid w:val="00FD2E62"/>
    <w:rsid w:val="00FD3285"/>
    <w:rsid w:val="00FD335E"/>
    <w:rsid w:val="00FD364D"/>
    <w:rsid w:val="00FD3BA5"/>
    <w:rsid w:val="00FD3FD3"/>
    <w:rsid w:val="00FD4211"/>
    <w:rsid w:val="00FD5295"/>
    <w:rsid w:val="00FD5726"/>
    <w:rsid w:val="00FD59BA"/>
    <w:rsid w:val="00FD5A79"/>
    <w:rsid w:val="00FD5FAA"/>
    <w:rsid w:val="00FD7777"/>
    <w:rsid w:val="00FD7841"/>
    <w:rsid w:val="00FE0A77"/>
    <w:rsid w:val="00FE0CE5"/>
    <w:rsid w:val="00FE0CF9"/>
    <w:rsid w:val="00FE104A"/>
    <w:rsid w:val="00FE104B"/>
    <w:rsid w:val="00FE1187"/>
    <w:rsid w:val="00FE1AE7"/>
    <w:rsid w:val="00FE1B08"/>
    <w:rsid w:val="00FE1DD7"/>
    <w:rsid w:val="00FE2153"/>
    <w:rsid w:val="00FE2431"/>
    <w:rsid w:val="00FE2C13"/>
    <w:rsid w:val="00FE2DB5"/>
    <w:rsid w:val="00FE2ED1"/>
    <w:rsid w:val="00FE3CCA"/>
    <w:rsid w:val="00FE47AC"/>
    <w:rsid w:val="00FE4ADC"/>
    <w:rsid w:val="00FE4BEA"/>
    <w:rsid w:val="00FE4C58"/>
    <w:rsid w:val="00FE5283"/>
    <w:rsid w:val="00FE52E1"/>
    <w:rsid w:val="00FE542A"/>
    <w:rsid w:val="00FE5B7D"/>
    <w:rsid w:val="00FE5C51"/>
    <w:rsid w:val="00FE65C8"/>
    <w:rsid w:val="00FE6746"/>
    <w:rsid w:val="00FE6BD0"/>
    <w:rsid w:val="00FE6C35"/>
    <w:rsid w:val="00FE72B3"/>
    <w:rsid w:val="00FE7795"/>
    <w:rsid w:val="00FE7EE9"/>
    <w:rsid w:val="00FE7F40"/>
    <w:rsid w:val="00FF0134"/>
    <w:rsid w:val="00FF03E6"/>
    <w:rsid w:val="00FF0B31"/>
    <w:rsid w:val="00FF0C5C"/>
    <w:rsid w:val="00FF1136"/>
    <w:rsid w:val="00FF113C"/>
    <w:rsid w:val="00FF15A3"/>
    <w:rsid w:val="00FF1B4B"/>
    <w:rsid w:val="00FF2293"/>
    <w:rsid w:val="00FF2550"/>
    <w:rsid w:val="00FF2859"/>
    <w:rsid w:val="00FF2D71"/>
    <w:rsid w:val="00FF321A"/>
    <w:rsid w:val="00FF3592"/>
    <w:rsid w:val="00FF4221"/>
    <w:rsid w:val="00FF43EE"/>
    <w:rsid w:val="00FF4532"/>
    <w:rsid w:val="00FF4690"/>
    <w:rsid w:val="00FF5089"/>
    <w:rsid w:val="00FF5299"/>
    <w:rsid w:val="00FF54C6"/>
    <w:rsid w:val="00FF57BA"/>
    <w:rsid w:val="00FF5C3A"/>
    <w:rsid w:val="00FF5F34"/>
    <w:rsid w:val="00FF610D"/>
    <w:rsid w:val="00FF6197"/>
    <w:rsid w:val="00FF65C7"/>
    <w:rsid w:val="00FF6621"/>
    <w:rsid w:val="00FF6F8B"/>
    <w:rsid w:val="00FF7304"/>
    <w:rsid w:val="00FF7375"/>
    <w:rsid w:val="00FF7A65"/>
    <w:rsid w:val="00FF7DA3"/>
    <w:rsid w:val="00FF7EB7"/>
    <w:rsid w:val="00FF7F88"/>
    <w:rsid w:val="00FF7FAA"/>
    <w:rsid w:val="03A4A2F5"/>
    <w:rsid w:val="03AF7DC7"/>
    <w:rsid w:val="0410DDE4"/>
    <w:rsid w:val="05C80354"/>
    <w:rsid w:val="07815CC8"/>
    <w:rsid w:val="08927502"/>
    <w:rsid w:val="08F8BBA4"/>
    <w:rsid w:val="092EFF78"/>
    <w:rsid w:val="098276B1"/>
    <w:rsid w:val="09A0FBE3"/>
    <w:rsid w:val="0B62D95A"/>
    <w:rsid w:val="0C2331F9"/>
    <w:rsid w:val="0C663A98"/>
    <w:rsid w:val="0CEBD258"/>
    <w:rsid w:val="0D1BF803"/>
    <w:rsid w:val="0DDA6B47"/>
    <w:rsid w:val="0E366683"/>
    <w:rsid w:val="106F8D46"/>
    <w:rsid w:val="1200AE95"/>
    <w:rsid w:val="13285CD8"/>
    <w:rsid w:val="135160E9"/>
    <w:rsid w:val="13D81410"/>
    <w:rsid w:val="13EDC088"/>
    <w:rsid w:val="14CE6FAA"/>
    <w:rsid w:val="159866E1"/>
    <w:rsid w:val="162022DC"/>
    <w:rsid w:val="1652E8AE"/>
    <w:rsid w:val="16FFEBAC"/>
    <w:rsid w:val="1B7A2C14"/>
    <w:rsid w:val="1C4DCD49"/>
    <w:rsid w:val="1CAFE8A4"/>
    <w:rsid w:val="1CD16233"/>
    <w:rsid w:val="1D01F622"/>
    <w:rsid w:val="1D321BCD"/>
    <w:rsid w:val="1F241DF4"/>
    <w:rsid w:val="1F2D1136"/>
    <w:rsid w:val="1FFE290C"/>
    <w:rsid w:val="20320F00"/>
    <w:rsid w:val="20783CD9"/>
    <w:rsid w:val="22B0CC24"/>
    <w:rsid w:val="246EAD8C"/>
    <w:rsid w:val="24B76DB9"/>
    <w:rsid w:val="24C319E5"/>
    <w:rsid w:val="255B880D"/>
    <w:rsid w:val="259B73A5"/>
    <w:rsid w:val="280E2B25"/>
    <w:rsid w:val="285F978E"/>
    <w:rsid w:val="28C8DD25"/>
    <w:rsid w:val="296E92AA"/>
    <w:rsid w:val="29E04754"/>
    <w:rsid w:val="29F840C1"/>
    <w:rsid w:val="2A7A73EA"/>
    <w:rsid w:val="2D441B4F"/>
    <w:rsid w:val="2D847FB2"/>
    <w:rsid w:val="2EB0EF1C"/>
    <w:rsid w:val="2FE4E97A"/>
    <w:rsid w:val="30305AF4"/>
    <w:rsid w:val="3076920D"/>
    <w:rsid w:val="30883A80"/>
    <w:rsid w:val="30E23584"/>
    <w:rsid w:val="33549C72"/>
    <w:rsid w:val="358380C4"/>
    <w:rsid w:val="35A1E01B"/>
    <w:rsid w:val="36663AB6"/>
    <w:rsid w:val="36D4CA90"/>
    <w:rsid w:val="3724D633"/>
    <w:rsid w:val="373443CE"/>
    <w:rsid w:val="374098DE"/>
    <w:rsid w:val="37C2CC07"/>
    <w:rsid w:val="38FC5731"/>
    <w:rsid w:val="39A39B51"/>
    <w:rsid w:val="3A353AEF"/>
    <w:rsid w:val="3B21E53D"/>
    <w:rsid w:val="3BD10B50"/>
    <w:rsid w:val="3BE73E55"/>
    <w:rsid w:val="3C0959F4"/>
    <w:rsid w:val="3C2DD373"/>
    <w:rsid w:val="3DCB6A3C"/>
    <w:rsid w:val="3EA33FAD"/>
    <w:rsid w:val="3ED0D4A7"/>
    <w:rsid w:val="3F894BA4"/>
    <w:rsid w:val="4162FA4F"/>
    <w:rsid w:val="41C7A560"/>
    <w:rsid w:val="42C9795E"/>
    <w:rsid w:val="4329928B"/>
    <w:rsid w:val="453CB432"/>
    <w:rsid w:val="461DCFF5"/>
    <w:rsid w:val="473EC33B"/>
    <w:rsid w:val="475F40AB"/>
    <w:rsid w:val="47D7C8DB"/>
    <w:rsid w:val="489B2C53"/>
    <w:rsid w:val="48E7EAED"/>
    <w:rsid w:val="491571F6"/>
    <w:rsid w:val="4951B211"/>
    <w:rsid w:val="4A4D9460"/>
    <w:rsid w:val="4B074247"/>
    <w:rsid w:val="4B7B658B"/>
    <w:rsid w:val="4BD8456C"/>
    <w:rsid w:val="4C7C6E1A"/>
    <w:rsid w:val="4D186BB0"/>
    <w:rsid w:val="4DF954A2"/>
    <w:rsid w:val="4F9CE7B2"/>
    <w:rsid w:val="4FBC6903"/>
    <w:rsid w:val="50DFB134"/>
    <w:rsid w:val="51C28387"/>
    <w:rsid w:val="524706C7"/>
    <w:rsid w:val="52BCB9DE"/>
    <w:rsid w:val="530A66A6"/>
    <w:rsid w:val="532E7B7E"/>
    <w:rsid w:val="536EB0D4"/>
    <w:rsid w:val="554657EA"/>
    <w:rsid w:val="55758970"/>
    <w:rsid w:val="5596097E"/>
    <w:rsid w:val="55F5F631"/>
    <w:rsid w:val="57792DB3"/>
    <w:rsid w:val="5781B1B6"/>
    <w:rsid w:val="5847DFAF"/>
    <w:rsid w:val="58572A42"/>
    <w:rsid w:val="589923DF"/>
    <w:rsid w:val="58D7C9D4"/>
    <w:rsid w:val="59530497"/>
    <w:rsid w:val="5B10F097"/>
    <w:rsid w:val="5CB86C29"/>
    <w:rsid w:val="5D0B44EB"/>
    <w:rsid w:val="5D390BBB"/>
    <w:rsid w:val="5D6CC7D3"/>
    <w:rsid w:val="5ECF556B"/>
    <w:rsid w:val="5F8DC8AF"/>
    <w:rsid w:val="604A08EA"/>
    <w:rsid w:val="6076D39B"/>
    <w:rsid w:val="60D88954"/>
    <w:rsid w:val="61C439E1"/>
    <w:rsid w:val="639D9E2D"/>
    <w:rsid w:val="63C69FA0"/>
    <w:rsid w:val="65106A7D"/>
    <w:rsid w:val="652638DB"/>
    <w:rsid w:val="6573839A"/>
    <w:rsid w:val="66D3DE29"/>
    <w:rsid w:val="6741D68B"/>
    <w:rsid w:val="681CD5C8"/>
    <w:rsid w:val="688AA44E"/>
    <w:rsid w:val="691F76AD"/>
    <w:rsid w:val="6BF8C3AF"/>
    <w:rsid w:val="6CB66CAA"/>
    <w:rsid w:val="6D6F85B7"/>
    <w:rsid w:val="6E59F7C0"/>
    <w:rsid w:val="70AF0D2B"/>
    <w:rsid w:val="70E1D05F"/>
    <w:rsid w:val="711DB0CF"/>
    <w:rsid w:val="729CE746"/>
    <w:rsid w:val="74C83D25"/>
    <w:rsid w:val="750DCB8C"/>
    <w:rsid w:val="753BC52D"/>
    <w:rsid w:val="7554EF2D"/>
    <w:rsid w:val="7559B2E7"/>
    <w:rsid w:val="763E0070"/>
    <w:rsid w:val="769E278E"/>
    <w:rsid w:val="76D6D864"/>
    <w:rsid w:val="77491C63"/>
    <w:rsid w:val="788FE9EE"/>
    <w:rsid w:val="78E68950"/>
    <w:rsid w:val="79D2918E"/>
    <w:rsid w:val="7D431072"/>
    <w:rsid w:val="7D8B9336"/>
    <w:rsid w:val="7DFBFC0A"/>
    <w:rsid w:val="7ECAAE06"/>
    <w:rsid w:val="7F52D57C"/>
    <w:rsid w:val="7F5CC0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E2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unhideWhenUsed="1"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66"/>
    <w:pPr>
      <w:spacing w:before="120" w:line="240" w:lineRule="auto"/>
      <w:jc w:val="both"/>
    </w:pPr>
    <w:rPr>
      <w:rFonts w:ascii="Franklin Gothic Book" w:hAnsi="Franklin Gothic Book"/>
    </w:rPr>
  </w:style>
  <w:style w:type="paragraph" w:styleId="Heading1">
    <w:name w:val="heading 1"/>
    <w:next w:val="MSACESParagraph"/>
    <w:link w:val="Heading1Char"/>
    <w:uiPriority w:val="2"/>
    <w:qFormat/>
    <w:rsid w:val="00325545"/>
    <w:pPr>
      <w:keepNext/>
      <w:keepLines/>
      <w:numPr>
        <w:numId w:val="3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3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3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qFormat/>
    <w:rsid w:val="003B095E"/>
    <w:pPr>
      <w:outlineLvl w:val="4"/>
    </w:pPr>
  </w:style>
  <w:style w:type="paragraph" w:styleId="Heading6">
    <w:name w:val="heading 6"/>
    <w:aliases w:val="Heading 3 - Body"/>
    <w:basedOn w:val="Heading3"/>
    <w:next w:val="Normal"/>
    <w:link w:val="Heading6Char"/>
    <w:uiPriority w:val="12"/>
    <w:semiHidden/>
    <w:qFormat/>
    <w:rsid w:val="00624315"/>
    <w:pPr>
      <w:outlineLvl w:val="5"/>
    </w:pPr>
    <w:rPr>
      <w:sz w:val="24"/>
    </w:rPr>
  </w:style>
  <w:style w:type="paragraph" w:styleId="Heading7">
    <w:name w:val="heading 7"/>
    <w:basedOn w:val="Heading1"/>
    <w:next w:val="Normal"/>
    <w:link w:val="Heading7Char"/>
    <w:uiPriority w:val="12"/>
    <w:semiHidden/>
    <w:qFormat/>
    <w:rsid w:val="00472D4D"/>
    <w:p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25545"/>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Bullet 1,Bullet1,Summary Bullets,lp1,L"/>
    <w:basedOn w:val="Normal"/>
    <w:link w:val="ListParagraphChar"/>
    <w:uiPriority w:val="34"/>
    <w:qFormat/>
    <w:rsid w:val="004908B7"/>
    <w:pPr>
      <w:numPr>
        <w:ilvl w:val="4"/>
        <w:numId w:val="3"/>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TAtableplain,HealthConsult,PBAC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35"/>
    <w:qFormat/>
    <w:rsid w:val="00631421"/>
    <w:pPr>
      <w:keepNext/>
      <w:tabs>
        <w:tab w:val="left" w:pos="0"/>
      </w:tabs>
      <w:spacing w:after="0" w:line="240" w:lineRule="auto"/>
      <w:contextualSpacing/>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rsid w:val="00631421"/>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lp1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3"/>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4C0ACC"/>
    <w:pPr>
      <w:numPr>
        <w:ilvl w:val="1"/>
      </w:numPr>
    </w:pPr>
    <w:rPr>
      <w:caps/>
    </w:rPr>
  </w:style>
  <w:style w:type="paragraph" w:customStyle="1" w:styleId="Heading2SECTION2">
    <w:name w:val="Heading 2 SECTION 2"/>
    <w:basedOn w:val="Heading2"/>
    <w:next w:val="Normal"/>
    <w:link w:val="Heading2SECTION2Char"/>
    <w:uiPriority w:val="3"/>
    <w:qFormat/>
    <w:rsid w:val="000374AD"/>
    <w:pPr>
      <w:numPr>
        <w:ilvl w:val="2"/>
      </w:numPr>
      <w:tabs>
        <w:tab w:val="left" w:pos="1134"/>
      </w:tabs>
    </w:pPr>
  </w:style>
  <w:style w:type="character" w:customStyle="1" w:styleId="Heading1subheadingChar">
    <w:name w:val="Heading 1 subheading Char"/>
    <w:basedOn w:val="Heading1Char"/>
    <w:link w:val="Heading1subheading"/>
    <w:uiPriority w:val="3"/>
    <w:rsid w:val="004C0ACC"/>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0374AD"/>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325545"/>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5"/>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3"/>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6"/>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3"/>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3"/>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2"/>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0">
    <w:name w:val="ES Heading 1"/>
    <w:basedOn w:val="Heading1"/>
    <w:next w:val="Heading1"/>
    <w:uiPriority w:val="8"/>
    <w:semiHidden/>
    <w:rsid w:val="00703418"/>
    <w:p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4"/>
      </w:numPr>
    </w:pPr>
  </w:style>
  <w:style w:type="paragraph" w:customStyle="1" w:styleId="MainBodyBulletPoint">
    <w:name w:val="MainBody Bullet Point"/>
    <w:basedOn w:val="InstructionBulletpoint"/>
    <w:link w:val="MainBodyBulletPointChar"/>
    <w:uiPriority w:val="1"/>
    <w:qFormat/>
    <w:rsid w:val="002532B4"/>
    <w:pPr>
      <w:numPr>
        <w:numId w:val="5"/>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325545"/>
    <w:rPr>
      <w:rFonts w:eastAsiaTheme="majorEastAsia" w:cstheme="majorBidi"/>
      <w:b/>
      <w:sz w:val="32"/>
      <w:szCs w:val="28"/>
    </w:rPr>
  </w:style>
  <w:style w:type="numbering" w:customStyle="1" w:styleId="Style1">
    <w:name w:val="Style1"/>
    <w:uiPriority w:val="99"/>
    <w:rsid w:val="009A580E"/>
    <w:pPr>
      <w:numPr>
        <w:numId w:val="7"/>
      </w:numPr>
    </w:pPr>
  </w:style>
  <w:style w:type="numbering" w:customStyle="1" w:styleId="Style2">
    <w:name w:val="Style2"/>
    <w:uiPriority w:val="99"/>
    <w:rsid w:val="002A391F"/>
    <w:pPr>
      <w:numPr>
        <w:numId w:val="9"/>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0"/>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nhideWhenUsed/>
    <w:rsid w:val="001952BB"/>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rsid w:val="001952BB"/>
    <w:rPr>
      <w:sz w:val="20"/>
      <w:szCs w:val="20"/>
    </w:rPr>
  </w:style>
  <w:style w:type="paragraph" w:customStyle="1" w:styleId="Guidelinescross-ref">
    <w:name w:val="Guidelines cross-ref"/>
    <w:basedOn w:val="Normal"/>
    <w:uiPriority w:val="99"/>
    <w:qFormat/>
    <w:rsid w:val="001952BB"/>
    <w:pPr>
      <w:spacing w:before="240" w:after="240" w:line="259" w:lineRule="auto"/>
      <w:jc w:val="left"/>
    </w:pPr>
    <w:rPr>
      <w:b/>
      <w:color w:val="0070C0"/>
    </w:rPr>
  </w:style>
  <w:style w:type="paragraph" w:customStyle="1" w:styleId="Instructionaltext0">
    <w:name w:val="Instructional text"/>
    <w:basedOn w:val="Normal"/>
    <w:link w:val="InstructionaltextChar0"/>
    <w:qFormat/>
    <w:rsid w:val="001952BB"/>
    <w:pPr>
      <w:spacing w:line="259" w:lineRule="auto"/>
      <w:jc w:val="left"/>
    </w:pPr>
    <w:rPr>
      <w:color w:val="258221"/>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uiPriority w:val="99"/>
    <w:qFormat/>
    <w:rsid w:val="008A41CD"/>
    <w:pPr>
      <w:spacing w:before="360"/>
    </w:pPr>
  </w:style>
  <w:style w:type="paragraph" w:customStyle="1" w:styleId="Instructionaltext-bullet">
    <w:name w:val="Instructional text - bullet"/>
    <w:basedOn w:val="Instructionaltext0"/>
    <w:uiPriority w:val="99"/>
    <w:qFormat/>
    <w:rsid w:val="00FD07C6"/>
    <w:pPr>
      <w:numPr>
        <w:numId w:val="11"/>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2"/>
      </w:numPr>
      <w:spacing w:after="120"/>
      <w:jc w:val="left"/>
    </w:pPr>
  </w:style>
  <w:style w:type="paragraph" w:customStyle="1" w:styleId="Summaryboxheading">
    <w:name w:val="Summary box heading"/>
    <w:basedOn w:val="Normal"/>
    <w:uiPriority w:val="99"/>
    <w:rsid w:val="00276C8F"/>
    <w:pPr>
      <w:spacing w:after="100" w:afterAutospacing="1" w:line="259" w:lineRule="auto"/>
    </w:pPr>
    <w:rPr>
      <w:rFonts w:ascii="Arial Narrow" w:eastAsia="Times New Roman" w:hAnsi="Arial Narrow" w:cs="Tahoma"/>
      <w:b/>
      <w:lang w:eastAsia="en-AU"/>
    </w:rPr>
  </w:style>
  <w:style w:type="paragraph" w:customStyle="1" w:styleId="In-tableHeading">
    <w:name w:val="In-table Heading"/>
    <w:uiPriority w:val="99"/>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uiPriority w:val="99"/>
    <w:rsid w:val="00636D93"/>
    <w:pPr>
      <w:numPr>
        <w:ilvl w:val="0"/>
        <w:numId w:val="13"/>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uiPriority w:val="99"/>
    <w:rsid w:val="00571D72"/>
    <w:pPr>
      <w:spacing w:before="0" w:after="0"/>
    </w:pPr>
    <w:rPr>
      <w:rFonts w:ascii="Calibri" w:eastAsia="Times New Roman" w:hAnsi="Calibri" w:cs="Arial"/>
      <w:i/>
      <w:szCs w:val="24"/>
      <w:lang w:eastAsia="en-AU"/>
    </w:rPr>
  </w:style>
  <w:style w:type="paragraph" w:customStyle="1" w:styleId="2-SectionHeading">
    <w:name w:val="2-Section Heading"/>
    <w:uiPriority w:val="99"/>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99"/>
    <w:unhideWhenUsed/>
    <w:qFormat/>
    <w:rsid w:val="009E2636"/>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99"/>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qFormat/>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ReportDate">
    <w:name w:val="ReportDate"/>
    <w:basedOn w:val="Normal"/>
    <w:uiPriority w:val="99"/>
    <w:locked/>
    <w:rsid w:val="006F28F1"/>
    <w:pPr>
      <w:spacing w:before="0" w:after="0" w:line="360" w:lineRule="auto"/>
      <w:jc w:val="right"/>
    </w:pPr>
    <w:rPr>
      <w:rFonts w:ascii="Arial" w:eastAsia="Times New Roman" w:hAnsi="Arial" w:cs="Arial"/>
      <w:sz w:val="40"/>
      <w:szCs w:val="40"/>
    </w:rPr>
  </w:style>
  <w:style w:type="paragraph" w:styleId="EndnoteText">
    <w:name w:val="endnote text"/>
    <w:basedOn w:val="Normal"/>
    <w:link w:val="EndnoteTextChar"/>
    <w:uiPriority w:val="99"/>
    <w:semiHidden/>
    <w:rsid w:val="00E60CB1"/>
    <w:pPr>
      <w:spacing w:before="0" w:after="0"/>
    </w:pPr>
    <w:rPr>
      <w:sz w:val="20"/>
      <w:szCs w:val="20"/>
    </w:rPr>
  </w:style>
  <w:style w:type="character" w:customStyle="1" w:styleId="EndnoteTextChar">
    <w:name w:val="Endnote Text Char"/>
    <w:basedOn w:val="DefaultParagraphFont"/>
    <w:link w:val="EndnoteText"/>
    <w:uiPriority w:val="99"/>
    <w:semiHidden/>
    <w:rsid w:val="00E60CB1"/>
    <w:rPr>
      <w:sz w:val="20"/>
      <w:szCs w:val="20"/>
    </w:rPr>
  </w:style>
  <w:style w:type="character" w:styleId="EndnoteReference">
    <w:name w:val="endnote reference"/>
    <w:basedOn w:val="DefaultParagraphFont"/>
    <w:uiPriority w:val="99"/>
    <w:semiHidden/>
    <w:rsid w:val="00E60CB1"/>
    <w:rPr>
      <w:vertAlign w:val="superscript"/>
    </w:rPr>
  </w:style>
  <w:style w:type="character" w:customStyle="1" w:styleId="UnresolvedMention1">
    <w:name w:val="Unresolved Mention1"/>
    <w:basedOn w:val="DefaultParagraphFont"/>
    <w:uiPriority w:val="99"/>
    <w:unhideWhenUsed/>
    <w:rsid w:val="00AC68E4"/>
    <w:rPr>
      <w:color w:val="605E5C"/>
      <w:shd w:val="clear" w:color="auto" w:fill="E1DFDD"/>
    </w:rPr>
  </w:style>
  <w:style w:type="table" w:customStyle="1" w:styleId="MSDTableGrid1">
    <w:name w:val="MSD Table Grid1"/>
    <w:basedOn w:val="TableNormal"/>
    <w:next w:val="TableGrid"/>
    <w:uiPriority w:val="39"/>
    <w:rsid w:val="005C3E6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Text"/>
    <w:link w:val="TableHeadingChar0"/>
    <w:qFormat/>
    <w:rsid w:val="00F53E8B"/>
    <w:pPr>
      <w:keepNext/>
      <w:keepLines/>
      <w:widowControl/>
      <w:spacing w:before="20" w:after="20" w:line="276" w:lineRule="auto"/>
      <w:jc w:val="both"/>
    </w:pPr>
    <w:rPr>
      <w:rFonts w:eastAsiaTheme="majorEastAsia" w:cs="Arial"/>
      <w:b/>
      <w:szCs w:val="20"/>
      <w:lang w:eastAsia="en-AU" w:bidi="en-US"/>
    </w:rPr>
  </w:style>
  <w:style w:type="table" w:customStyle="1" w:styleId="AZTable">
    <w:name w:val="AZ Table"/>
    <w:basedOn w:val="TableNormal"/>
    <w:uiPriority w:val="99"/>
    <w:rsid w:val="00F53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character" w:customStyle="1" w:styleId="TableHeadingChar0">
    <w:name w:val="Table Heading Char"/>
    <w:basedOn w:val="DefaultParagraphFont"/>
    <w:link w:val="TableHeading0"/>
    <w:locked/>
    <w:rsid w:val="00F53E8B"/>
    <w:rPr>
      <w:rFonts w:ascii="Arial Narrow" w:eastAsiaTheme="majorEastAsia" w:hAnsi="Arial Narrow" w:cs="Arial"/>
      <w:b/>
      <w:sz w:val="20"/>
      <w:szCs w:val="20"/>
      <w:lang w:eastAsia="en-AU" w:bidi="en-US"/>
    </w:rPr>
  </w:style>
  <w:style w:type="paragraph" w:customStyle="1" w:styleId="TableBodyText-H54">
    <w:name w:val="Table Body Text - H54"/>
    <w:basedOn w:val="BodyText"/>
    <w:link w:val="TableBodyText-H54Char"/>
    <w:qFormat/>
    <w:rsid w:val="0007664C"/>
    <w:pPr>
      <w:keepNext/>
      <w:widowControl w:val="0"/>
      <w:spacing w:before="20" w:after="20" w:line="360" w:lineRule="auto"/>
      <w:jc w:val="left"/>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07664C"/>
    <w:rPr>
      <w:rFonts w:ascii="Arial Narrow" w:eastAsia="Times New Roman" w:hAnsi="Arial Narrow" w:cs="Times New Roman"/>
      <w:color w:val="000000" w:themeColor="text1"/>
      <w:sz w:val="20"/>
      <w:szCs w:val="20"/>
      <w:lang w:val="en-GB"/>
    </w:rPr>
  </w:style>
  <w:style w:type="paragraph" w:customStyle="1" w:styleId="Heading5Alt">
    <w:name w:val="Heading 5 Alt"/>
    <w:basedOn w:val="Heading5"/>
    <w:uiPriority w:val="99"/>
    <w:qFormat/>
    <w:rsid w:val="00CC20E3"/>
    <w:pPr>
      <w:keepNext w:val="0"/>
      <w:keepLines w:val="0"/>
      <w:spacing w:before="240" w:after="60" w:line="360" w:lineRule="auto"/>
      <w:jc w:val="both"/>
    </w:pPr>
    <w:rPr>
      <w:rFonts w:eastAsia="Times New Roman" w:cs="Times New Roman"/>
      <w:bCs/>
      <w:i w:val="0"/>
      <w:iCs/>
      <w:snapToGrid/>
      <w:sz w:val="22"/>
      <w:szCs w:val="26"/>
      <w:lang w:eastAsia="zh-CN"/>
    </w:rPr>
  </w:style>
  <w:style w:type="table" w:customStyle="1" w:styleId="AZTable1">
    <w:name w:val="AZ Table1"/>
    <w:basedOn w:val="TableNormal"/>
    <w:uiPriority w:val="99"/>
    <w:rsid w:val="0079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paragraph" w:customStyle="1" w:styleId="Heading1Alt">
    <w:name w:val="Heading 1 Alt"/>
    <w:basedOn w:val="Heading1"/>
    <w:uiPriority w:val="99"/>
    <w:qFormat/>
    <w:rsid w:val="006D1BF3"/>
    <w:pPr>
      <w:tabs>
        <w:tab w:val="left" w:pos="1134"/>
      </w:tabs>
      <w:spacing w:before="240" w:after="240" w:line="360" w:lineRule="auto"/>
      <w:ind w:left="2268" w:hanging="2268"/>
      <w:jc w:val="both"/>
    </w:pPr>
    <w:rPr>
      <w:rFonts w:ascii="Arial" w:hAnsi="Arial"/>
      <w:smallCaps/>
      <w:color w:val="000000" w:themeColor="text1"/>
      <w:sz w:val="36"/>
      <w:szCs w:val="32"/>
    </w:rPr>
  </w:style>
  <w:style w:type="paragraph" w:customStyle="1" w:styleId="Heading2Alt">
    <w:name w:val="Heading 2 Alt"/>
    <w:basedOn w:val="Heading2"/>
    <w:uiPriority w:val="99"/>
    <w:qFormat/>
    <w:rsid w:val="006D1BF3"/>
    <w:pPr>
      <w:spacing w:before="0" w:after="0" w:line="360" w:lineRule="auto"/>
      <w:ind w:left="1134" w:hanging="1134"/>
      <w:jc w:val="both"/>
    </w:pPr>
    <w:rPr>
      <w:i w:val="0"/>
      <w:snapToGrid/>
      <w:color w:val="000000" w:themeColor="text1"/>
      <w:sz w:val="32"/>
      <w:szCs w:val="26"/>
    </w:rPr>
  </w:style>
  <w:style w:type="paragraph" w:customStyle="1" w:styleId="Heading3Alt">
    <w:name w:val="Heading 3 Alt"/>
    <w:basedOn w:val="Heading3"/>
    <w:link w:val="Heading3AltChar"/>
    <w:qFormat/>
    <w:rsid w:val="006D1BF3"/>
    <w:pPr>
      <w:spacing w:before="40" w:after="0" w:line="360" w:lineRule="auto"/>
      <w:ind w:left="1134" w:hanging="1134"/>
    </w:pPr>
    <w:rPr>
      <w:rFonts w:ascii="Arial" w:hAnsi="Arial"/>
      <w:color w:val="000000" w:themeColor="text1"/>
      <w:szCs w:val="24"/>
    </w:rPr>
  </w:style>
  <w:style w:type="paragraph" w:customStyle="1" w:styleId="Tabletextleft">
    <w:name w:val="Table text left"/>
    <w:basedOn w:val="Normal"/>
    <w:link w:val="TabletextleftChar"/>
    <w:qFormat/>
    <w:rsid w:val="006D1BF3"/>
    <w:pPr>
      <w:spacing w:before="20" w:after="20"/>
      <w:jc w:val="left"/>
    </w:pPr>
    <w:rPr>
      <w:rFonts w:eastAsia="Times New Roman" w:cs="Times New Roman"/>
      <w:sz w:val="18"/>
      <w:szCs w:val="20"/>
      <w:lang w:eastAsia="en-AU"/>
    </w:rPr>
  </w:style>
  <w:style w:type="character" w:customStyle="1" w:styleId="TabletextleftChar">
    <w:name w:val="Table text left Char"/>
    <w:basedOn w:val="DefaultParagraphFont"/>
    <w:link w:val="Tabletextleft"/>
    <w:rsid w:val="006D1BF3"/>
    <w:rPr>
      <w:rFonts w:eastAsia="Times New Roman" w:cs="Times New Roman"/>
      <w:sz w:val="18"/>
      <w:szCs w:val="20"/>
      <w:lang w:eastAsia="en-AU"/>
    </w:rPr>
  </w:style>
  <w:style w:type="paragraph" w:customStyle="1" w:styleId="TableHeadingleft">
    <w:name w:val="Table Heading left"/>
    <w:basedOn w:val="Normal"/>
    <w:next w:val="Tabletextleft"/>
    <w:uiPriority w:val="99"/>
    <w:qFormat/>
    <w:rsid w:val="006D1BF3"/>
    <w:pPr>
      <w:spacing w:before="40" w:after="40"/>
      <w:jc w:val="left"/>
    </w:pPr>
    <w:rPr>
      <w:rFonts w:cs="Tahoma"/>
      <w:b/>
      <w:sz w:val="20"/>
      <w:szCs w:val="18"/>
      <w:lang w:val="de-DE"/>
    </w:rPr>
  </w:style>
  <w:style w:type="table" w:customStyle="1" w:styleId="HTATableshaded">
    <w:name w:val="HTA Table shaded"/>
    <w:basedOn w:val="TableNormal"/>
    <w:rsid w:val="006D1BF3"/>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3AltChar">
    <w:name w:val="Heading 3 Alt Char"/>
    <w:basedOn w:val="Heading3Char"/>
    <w:link w:val="Heading3Alt"/>
    <w:rsid w:val="006D1BF3"/>
    <w:rPr>
      <w:rFonts w:ascii="Arial" w:eastAsiaTheme="majorEastAsia" w:hAnsi="Arial" w:cstheme="majorBidi"/>
      <w:b/>
      <w:color w:val="000000" w:themeColor="text1"/>
      <w:sz w:val="28"/>
      <w:szCs w:val="24"/>
    </w:rPr>
  </w:style>
  <w:style w:type="paragraph" w:customStyle="1" w:styleId="Tabletextbold">
    <w:name w:val="Table text bold"/>
    <w:basedOn w:val="Tabletextleft"/>
    <w:link w:val="TabletextboldChar"/>
    <w:qFormat/>
    <w:rsid w:val="00D62574"/>
    <w:pPr>
      <w:ind w:left="57" w:right="57"/>
    </w:pPr>
    <w:rPr>
      <w:rFonts w:eastAsia="Arial"/>
      <w:b/>
      <w:lang w:val="de-DE"/>
    </w:rPr>
  </w:style>
  <w:style w:type="character" w:customStyle="1" w:styleId="TabletextboldChar">
    <w:name w:val="Table text bold Char"/>
    <w:basedOn w:val="TabletextleftChar"/>
    <w:link w:val="Tabletextbold"/>
    <w:rsid w:val="00D62574"/>
    <w:rPr>
      <w:rFonts w:eastAsia="Arial" w:cs="Times New Roman"/>
      <w:b/>
      <w:sz w:val="18"/>
      <w:szCs w:val="20"/>
      <w:lang w:val="de-DE" w:eastAsia="en-AU"/>
    </w:rPr>
  </w:style>
  <w:style w:type="character" w:customStyle="1" w:styleId="secondary-date">
    <w:name w:val="secondary-date"/>
    <w:basedOn w:val="DefaultParagraphFont"/>
    <w:rsid w:val="00D62574"/>
  </w:style>
  <w:style w:type="paragraph" w:customStyle="1" w:styleId="Tablenotes">
    <w:name w:val="Tablenotes"/>
    <w:basedOn w:val="Normal"/>
    <w:link w:val="TablenotesChar"/>
    <w:qFormat/>
    <w:rsid w:val="00DE343C"/>
    <w:pPr>
      <w:widowControl w:val="0"/>
      <w:spacing w:before="0" w:after="360" w:line="269" w:lineRule="auto"/>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E343C"/>
    <w:rPr>
      <w:rFonts w:ascii="Arial Narrow" w:eastAsia="Times New Roman" w:hAnsi="Arial Narrow" w:cs="Arial"/>
      <w:snapToGrid w:val="0"/>
      <w:sz w:val="18"/>
      <w:szCs w:val="20"/>
    </w:rPr>
  </w:style>
  <w:style w:type="table" w:styleId="GridTable4-Accent3">
    <w:name w:val="Grid Table 4 Accent 3"/>
    <w:basedOn w:val="TableNormal"/>
    <w:uiPriority w:val="49"/>
    <w:rsid w:val="00F857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2S2">
    <w:name w:val="H2 S2"/>
    <w:basedOn w:val="Heading2"/>
    <w:uiPriority w:val="99"/>
    <w:qFormat/>
    <w:rsid w:val="006E0564"/>
    <w:pPr>
      <w:numPr>
        <w:ilvl w:val="1"/>
        <w:numId w:val="32"/>
      </w:numPr>
      <w:spacing w:before="0" w:after="200" w:line="276" w:lineRule="auto"/>
    </w:pPr>
    <w:rPr>
      <w:rFonts w:eastAsiaTheme="minorHAnsi" w:cs="Tahoma"/>
      <w:snapToGrid/>
      <w:szCs w:val="22"/>
    </w:rPr>
  </w:style>
  <w:style w:type="paragraph" w:customStyle="1" w:styleId="H1S2">
    <w:name w:val="H1 S2"/>
    <w:basedOn w:val="Heading1"/>
    <w:uiPriority w:val="99"/>
    <w:qFormat/>
    <w:rsid w:val="00AE7DE6"/>
    <w:pPr>
      <w:keepLines w:val="0"/>
      <w:numPr>
        <w:numId w:val="32"/>
      </w:numPr>
      <w:spacing w:before="0" w:after="200" w:line="276" w:lineRule="auto"/>
    </w:pPr>
    <w:rPr>
      <w:rFonts w:eastAsiaTheme="minorHAnsi" w:cs="Tahoma"/>
      <w:szCs w:val="22"/>
    </w:rPr>
  </w:style>
  <w:style w:type="paragraph" w:customStyle="1" w:styleId="H3S2">
    <w:name w:val="H3 S2"/>
    <w:basedOn w:val="Heading3"/>
    <w:next w:val="BodyText"/>
    <w:uiPriority w:val="99"/>
    <w:qFormat/>
    <w:rsid w:val="00F857CF"/>
    <w:pPr>
      <w:numPr>
        <w:ilvl w:val="2"/>
        <w:numId w:val="32"/>
      </w:numPr>
      <w:spacing w:before="0" w:after="200" w:line="276" w:lineRule="auto"/>
      <w:jc w:val="left"/>
    </w:pPr>
    <w:rPr>
      <w:rFonts w:ascii="Arial" w:eastAsiaTheme="minorHAnsi" w:hAnsi="Arial" w:cs="Tahoma"/>
      <w:szCs w:val="22"/>
    </w:rPr>
  </w:style>
  <w:style w:type="paragraph" w:customStyle="1" w:styleId="TableBodyHeading-H54">
    <w:name w:val="Table Body Heading - H54"/>
    <w:basedOn w:val="TableBodyText-H54"/>
    <w:uiPriority w:val="99"/>
    <w:qFormat/>
    <w:rsid w:val="00F70EEA"/>
    <w:pPr>
      <w:spacing w:before="0" w:after="0"/>
    </w:pPr>
    <w:rPr>
      <w:b/>
      <w:bCs/>
      <w:lang w:eastAsia="zh-CN"/>
    </w:rPr>
  </w:style>
  <w:style w:type="paragraph" w:customStyle="1" w:styleId="ListBullet-H41">
    <w:name w:val="List Bullet - H41"/>
    <w:basedOn w:val="Normal"/>
    <w:qFormat/>
    <w:rsid w:val="00F70EEA"/>
    <w:pPr>
      <w:keepLines/>
      <w:widowControl w:val="0"/>
      <w:numPr>
        <w:numId w:val="16"/>
      </w:numPr>
      <w:spacing w:before="240" w:after="120"/>
    </w:pPr>
    <w:rPr>
      <w:rFonts w:ascii="Arial" w:eastAsia="Times New Roman" w:hAnsi="Arial" w:cs="Times New Roman"/>
      <w:color w:val="000000" w:themeColor="text1"/>
      <w:sz w:val="20"/>
      <w:szCs w:val="24"/>
      <w:lang w:val="en-GB"/>
    </w:rPr>
  </w:style>
  <w:style w:type="paragraph" w:customStyle="1" w:styleId="ListLevel2-H41a">
    <w:name w:val="List Level 2 - H41a"/>
    <w:basedOn w:val="ListBullet-H41"/>
    <w:qFormat/>
    <w:rsid w:val="00F70EEA"/>
    <w:pPr>
      <w:numPr>
        <w:ilvl w:val="1"/>
      </w:numPr>
      <w:tabs>
        <w:tab w:val="num" w:pos="851"/>
      </w:tabs>
      <w:ind w:left="851" w:hanging="851"/>
    </w:pPr>
  </w:style>
  <w:style w:type="table" w:customStyle="1" w:styleId="Summarybox1">
    <w:name w:val="Summary box1"/>
    <w:basedOn w:val="TableNormal"/>
    <w:next w:val="TableGrid"/>
    <w:uiPriority w:val="59"/>
    <w:rsid w:val="00F70EEA"/>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eading 2 - Body Char1"/>
    <w:basedOn w:val="DefaultParagraphFont"/>
    <w:uiPriority w:val="10"/>
    <w:semiHidden/>
    <w:rsid w:val="00F17982"/>
    <w:rPr>
      <w:rFonts w:asciiTheme="majorHAnsi" w:eastAsiaTheme="majorEastAsia" w:hAnsiTheme="majorHAnsi" w:cstheme="majorBidi"/>
      <w:color w:val="2E74B5" w:themeColor="accent1" w:themeShade="BF"/>
      <w:sz w:val="24"/>
      <w:szCs w:val="22"/>
    </w:rPr>
  </w:style>
  <w:style w:type="character" w:customStyle="1" w:styleId="Heading6Char1">
    <w:name w:val="Heading 6 Char1"/>
    <w:aliases w:val="Heading 3 - Body Char1"/>
    <w:basedOn w:val="DefaultParagraphFont"/>
    <w:uiPriority w:val="12"/>
    <w:semiHidden/>
    <w:rsid w:val="00F17982"/>
    <w:rPr>
      <w:rFonts w:asciiTheme="majorHAnsi" w:eastAsiaTheme="majorEastAsia" w:hAnsiTheme="majorHAnsi" w:cstheme="majorBidi"/>
      <w:color w:val="1F4D78" w:themeColor="accent1" w:themeShade="7F"/>
      <w:sz w:val="24"/>
      <w:szCs w:val="22"/>
    </w:rPr>
  </w:style>
  <w:style w:type="paragraph" w:customStyle="1" w:styleId="msonormal0">
    <w:name w:val="msonormal"/>
    <w:basedOn w:val="Normal"/>
    <w:uiPriority w:val="99"/>
    <w:semiHidden/>
    <w:rsid w:val="00F17982"/>
    <w:pPr>
      <w:spacing w:before="100" w:after="100"/>
    </w:pPr>
    <w:rPr>
      <w:rFonts w:ascii="Times New Roman" w:eastAsia="Times New Roman" w:hAnsi="Times New Roman" w:cs="Times New Roman"/>
      <w:szCs w:val="20"/>
      <w:lang w:val="en-GB"/>
    </w:rPr>
  </w:style>
  <w:style w:type="character" w:customStyle="1" w:styleId="Heading9Char1">
    <w:name w:val="Heading 9 Char1"/>
    <w:aliases w:val="Section heading - Body Char1"/>
    <w:basedOn w:val="DefaultParagraphFont"/>
    <w:uiPriority w:val="12"/>
    <w:semiHidden/>
    <w:rsid w:val="00F17982"/>
    <w:rPr>
      <w:rFonts w:asciiTheme="majorHAnsi" w:eastAsiaTheme="majorEastAsia" w:hAnsiTheme="majorHAnsi" w:cstheme="majorBidi"/>
      <w:i/>
      <w:iCs/>
      <w:color w:val="272727" w:themeColor="text1" w:themeTint="D8"/>
      <w:sz w:val="21"/>
      <w:szCs w:val="21"/>
    </w:rPr>
  </w:style>
  <w:style w:type="character" w:customStyle="1" w:styleId="FootnoteTextChar1">
    <w:name w:val="Footnote Text Char1"/>
    <w:aliases w:val="Footnote Text Char Char Char1,Footnote Text Char2 Char1,Footnote Text Char Char1 Char1"/>
    <w:basedOn w:val="DefaultParagraphFont"/>
    <w:uiPriority w:val="99"/>
    <w:semiHidden/>
    <w:rsid w:val="00F17982"/>
    <w:rPr>
      <w:sz w:val="20"/>
      <w:szCs w:val="20"/>
    </w:rPr>
  </w:style>
  <w:style w:type="character" w:customStyle="1" w:styleId="CommentTextChar1">
    <w:name w:val="Comment Text Char1"/>
    <w:aliases w:val="- H19 Char1,Comment Text Char2 Char1,Comment Text Char Char1 Char1,Comment Text Char2 Char Char Char1,Comment Text Char Char1 Char Char Char1,Comment Text Char2 Char Char Char Char Char1"/>
    <w:basedOn w:val="DefaultParagraphFont"/>
    <w:semiHidden/>
    <w:rsid w:val="00F17982"/>
    <w:rPr>
      <w:sz w:val="20"/>
      <w:szCs w:val="20"/>
    </w:rPr>
  </w:style>
  <w:style w:type="character" w:customStyle="1" w:styleId="HeaderChar1">
    <w:name w:val="Header Char1"/>
    <w:aliases w:val="Page Header Char1,Header title Char1,he=header Char1,cntr/bld Char1"/>
    <w:basedOn w:val="DefaultParagraphFont"/>
    <w:uiPriority w:val="99"/>
    <w:semiHidden/>
    <w:rsid w:val="00F17982"/>
    <w:rPr>
      <w:sz w:val="24"/>
    </w:rPr>
  </w:style>
  <w:style w:type="character" w:customStyle="1" w:styleId="BodyTextChar1">
    <w:name w:val="Body Text Char1"/>
    <w:aliases w:val="- H16 Char1,Char1 Char1,Body Text PP Char1,Body Text Char1 Char Char1,Body Text Char3 Char Char Char1,Body Text Char2 Char1 Char Char Char1,Body Text Char1 Char Char1 Char Char Char1,Body Text Char Char Char Char1 Char Char Char1"/>
    <w:basedOn w:val="DefaultParagraphFont"/>
    <w:uiPriority w:val="99"/>
    <w:semiHidden/>
    <w:rsid w:val="00F17982"/>
    <w:rPr>
      <w:sz w:val="24"/>
    </w:rPr>
  </w:style>
  <w:style w:type="table" w:customStyle="1" w:styleId="ASDTable2">
    <w:name w:val="ASD Table2"/>
    <w:basedOn w:val="TableNormal"/>
    <w:next w:val="TableGrid"/>
    <w:uiPriority w:val="39"/>
    <w:rsid w:val="006B1AF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39"/>
    <w:rsid w:val="003E33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ED43EE"/>
    <w:pPr>
      <w:spacing w:after="0" w:line="240" w:lineRule="auto"/>
      <w:ind w:left="720" w:hanging="720"/>
      <w:outlineLvl w:val="0"/>
    </w:pPr>
    <w:rPr>
      <w:rFonts w:ascii="Calibri" w:eastAsia="Times New Roman" w:hAnsi="Calibri" w:cs="Calibri"/>
      <w:b/>
      <w:snapToGrid w:val="0"/>
      <w:sz w:val="32"/>
      <w:szCs w:val="32"/>
    </w:rPr>
  </w:style>
  <w:style w:type="table" w:customStyle="1" w:styleId="TableGrid10">
    <w:name w:val="Table Grid1"/>
    <w:basedOn w:val="TableNormal"/>
    <w:next w:val="TableGrid"/>
    <w:locked/>
    <w:rsid w:val="000C4977"/>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PBACtable1">
    <w:name w:val="PBAC table1"/>
    <w:basedOn w:val="TableNormal"/>
    <w:next w:val="TableGrid"/>
    <w:uiPriority w:val="3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0C4977"/>
    <w:pPr>
      <w:spacing w:after="360"/>
      <w:contextualSpacing/>
      <w:jc w:val="left"/>
    </w:pPr>
    <w:rPr>
      <w:sz w:val="18"/>
    </w:rPr>
  </w:style>
  <w:style w:type="character" w:styleId="Strong">
    <w:name w:val="Strong"/>
    <w:basedOn w:val="DefaultParagraphFont"/>
    <w:uiPriority w:val="22"/>
    <w:qFormat/>
    <w:rsid w:val="000C4977"/>
    <w:rPr>
      <w:b/>
      <w:bCs/>
    </w:rPr>
  </w:style>
  <w:style w:type="paragraph" w:customStyle="1" w:styleId="TableName">
    <w:name w:val="TableName"/>
    <w:basedOn w:val="Normal"/>
    <w:qFormat/>
    <w:rsid w:val="000C4977"/>
    <w:pPr>
      <w:keepNext/>
      <w:spacing w:after="240"/>
      <w:ind w:left="1418" w:hanging="1418"/>
      <w:jc w:val="left"/>
    </w:pPr>
    <w:rPr>
      <w:rFonts w:ascii="Franklin Gothic Medium" w:hAnsi="Franklin Gothic Medium"/>
    </w:rPr>
  </w:style>
  <w:style w:type="paragraph" w:customStyle="1" w:styleId="TableFigNoteHangingLast">
    <w:name w:val="TableFigNoteHanging Last"/>
    <w:basedOn w:val="TableFigNote"/>
    <w:qFormat/>
    <w:rsid w:val="000C4977"/>
    <w:pPr>
      <w:ind w:left="142" w:hanging="142"/>
    </w:pPr>
  </w:style>
  <w:style w:type="paragraph" w:customStyle="1" w:styleId="TableTextCA">
    <w:name w:val="Table Text CA"/>
    <w:basedOn w:val="TableText"/>
    <w:qFormat/>
    <w:rsid w:val="000C4977"/>
    <w:pPr>
      <w:widowControl/>
      <w:spacing w:before="40" w:after="40"/>
      <w:jc w:val="center"/>
    </w:pPr>
  </w:style>
  <w:style w:type="paragraph" w:customStyle="1" w:styleId="TableHeadingCA">
    <w:name w:val="Table Heading CA"/>
    <w:basedOn w:val="TableHeading0"/>
    <w:qFormat/>
    <w:rsid w:val="000C4977"/>
    <w:pPr>
      <w:keepNext w:val="0"/>
      <w:keepLines w:val="0"/>
      <w:spacing w:before="120" w:after="60" w:line="240" w:lineRule="auto"/>
      <w:jc w:val="center"/>
    </w:pPr>
    <w:rPr>
      <w:rFonts w:eastAsiaTheme="minorHAnsi" w:cstheme="minorBidi"/>
      <w:szCs w:val="22"/>
      <w:lang w:eastAsia="en-US" w:bidi="ar-SA"/>
    </w:rPr>
  </w:style>
  <w:style w:type="paragraph" w:customStyle="1" w:styleId="TableFigNoteLast">
    <w:name w:val="TableFigNote Last"/>
    <w:basedOn w:val="TableFigNote"/>
    <w:qFormat/>
    <w:rsid w:val="000C4977"/>
  </w:style>
  <w:style w:type="paragraph" w:customStyle="1" w:styleId="2ChapterText">
    <w:name w:val="2ChapterText"/>
    <w:basedOn w:val="Normal"/>
    <w:qFormat/>
    <w:rsid w:val="000C4977"/>
    <w:pPr>
      <w:spacing w:line="259" w:lineRule="auto"/>
      <w:jc w:val="left"/>
    </w:pPr>
    <w:rPr>
      <w:shd w:val="clear" w:color="auto" w:fill="BDD6EE" w:themeFill="accent1" w:themeFillTint="66"/>
    </w:rPr>
  </w:style>
  <w:style w:type="paragraph" w:customStyle="1" w:styleId="1ExplanatoryText">
    <w:name w:val="1ExplanatoryText"/>
    <w:basedOn w:val="Normal"/>
    <w:qFormat/>
    <w:rsid w:val="000C4977"/>
    <w:pPr>
      <w:shd w:val="clear" w:color="auto" w:fill="C5E0B3" w:themeFill="accent6" w:themeFillTint="66"/>
      <w:spacing w:line="259" w:lineRule="auto"/>
      <w:jc w:val="left"/>
    </w:pPr>
  </w:style>
  <w:style w:type="paragraph" w:styleId="Date">
    <w:name w:val="Date"/>
    <w:basedOn w:val="Normal"/>
    <w:next w:val="Normal"/>
    <w:link w:val="DateChar"/>
    <w:rsid w:val="000C4977"/>
    <w:pPr>
      <w:spacing w:before="1134" w:after="800" w:line="259" w:lineRule="auto"/>
      <w:ind w:left="4536"/>
      <w:jc w:val="left"/>
    </w:pPr>
    <w:rPr>
      <w:rFonts w:ascii="Arial" w:eastAsia="Times New Roman" w:hAnsi="Arial" w:cs="Tahoma"/>
      <w:b/>
      <w:sz w:val="36"/>
      <w:lang w:eastAsia="en-AU"/>
    </w:rPr>
  </w:style>
  <w:style w:type="character" w:customStyle="1" w:styleId="DateChar">
    <w:name w:val="Date Char"/>
    <w:basedOn w:val="DefaultParagraphFont"/>
    <w:link w:val="Date"/>
    <w:rsid w:val="000C4977"/>
    <w:rPr>
      <w:rFonts w:ascii="Arial" w:eastAsia="Times New Roman" w:hAnsi="Arial" w:cs="Tahoma"/>
      <w:b/>
      <w:sz w:val="36"/>
      <w:lang w:eastAsia="en-AU"/>
    </w:rPr>
  </w:style>
  <w:style w:type="paragraph" w:customStyle="1" w:styleId="PublicationTitle">
    <w:name w:val="PublicationTitle"/>
    <w:basedOn w:val="Normal"/>
    <w:rsid w:val="000C4977"/>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0C4977"/>
    <w:pPr>
      <w:spacing w:before="1701" w:line="259" w:lineRule="auto"/>
      <w:ind w:left="4536"/>
      <w:jc w:val="left"/>
    </w:pPr>
    <w:rPr>
      <w:rFonts w:ascii="Arial" w:eastAsia="Times New Roman" w:hAnsi="Arial" w:cs="Tahoma"/>
      <w:b/>
      <w:sz w:val="32"/>
      <w:lang w:eastAsia="en-AU"/>
    </w:rPr>
  </w:style>
  <w:style w:type="paragraph" w:customStyle="1" w:styleId="Nnumberedlist">
    <w:name w:val="Nnumbered list"/>
    <w:basedOn w:val="Normal"/>
    <w:rsid w:val="000C4977"/>
    <w:pPr>
      <w:numPr>
        <w:numId w:val="37"/>
      </w:numPr>
      <w:spacing w:line="259" w:lineRule="auto"/>
    </w:pPr>
    <w:rPr>
      <w:rFonts w:ascii="Calibri" w:eastAsia="Times New Roman" w:hAnsi="Calibri" w:cs="Tahoma"/>
      <w:lang w:eastAsia="en-AU"/>
    </w:rPr>
  </w:style>
  <w:style w:type="table" w:customStyle="1" w:styleId="TableGridLight1">
    <w:name w:val="Table Grid Light1"/>
    <w:basedOn w:val="TableNormal"/>
    <w:uiPriority w:val="40"/>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notes0">
    <w:name w:val="Table notes"/>
    <w:basedOn w:val="Normal"/>
    <w:link w:val="TablenotesChar0"/>
    <w:qFormat/>
    <w:rsid w:val="000C4977"/>
    <w:pPr>
      <w:spacing w:after="240" w:line="259" w:lineRule="auto"/>
      <w:contextualSpacing/>
    </w:pPr>
    <w:rPr>
      <w:rFonts w:ascii="Arial Narrow" w:hAnsi="Arial Narrow" w:cs="Arial"/>
      <w:sz w:val="18"/>
    </w:rPr>
  </w:style>
  <w:style w:type="character" w:customStyle="1" w:styleId="TablenotesChar0">
    <w:name w:val="Table notes Char"/>
    <w:basedOn w:val="DefaultParagraphFont"/>
    <w:link w:val="Tablenotes0"/>
    <w:rsid w:val="000C4977"/>
    <w:rPr>
      <w:rFonts w:ascii="Arial Narrow" w:hAnsi="Arial Narrow" w:cs="Arial"/>
      <w:sz w:val="18"/>
    </w:rPr>
  </w:style>
  <w:style w:type="numbering" w:customStyle="1" w:styleId="ESSectionheading-numbered">
    <w:name w:val="ES. Section heading - numbered"/>
    <w:uiPriority w:val="99"/>
    <w:rsid w:val="000C4977"/>
    <w:pPr>
      <w:numPr>
        <w:numId w:val="38"/>
      </w:numPr>
    </w:pPr>
  </w:style>
  <w:style w:type="paragraph" w:customStyle="1" w:styleId="BoxName">
    <w:name w:val="Box Name"/>
    <w:basedOn w:val="Normal"/>
    <w:qFormat/>
    <w:rsid w:val="000C4977"/>
    <w:pPr>
      <w:pBdr>
        <w:top w:val="single" w:sz="4" w:space="4" w:color="auto"/>
        <w:left w:val="single" w:sz="4" w:space="4" w:color="auto"/>
        <w:bottom w:val="single" w:sz="4" w:space="4" w:color="auto"/>
        <w:right w:val="single" w:sz="4" w:space="4" w:color="auto"/>
      </w:pBdr>
      <w:spacing w:after="120"/>
      <w:jc w:val="left"/>
    </w:pPr>
    <w:rPr>
      <w:rFonts w:ascii="Franklin Gothic Medium" w:hAnsi="Franklin Gothic Medium"/>
      <w:sz w:val="21"/>
    </w:rPr>
  </w:style>
  <w:style w:type="table" w:customStyle="1" w:styleId="PBACTableStyle1">
    <w:name w:val="PBAC Table Style1"/>
    <w:basedOn w:val="TableGrid1"/>
    <w:uiPriority w:val="99"/>
    <w:rsid w:val="000C4977"/>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0C49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FigNoteHanging">
    <w:name w:val="TableFigNoteHanging"/>
    <w:basedOn w:val="TableFigNoteHangingLast"/>
    <w:qFormat/>
    <w:rsid w:val="000C4977"/>
    <w:pPr>
      <w:spacing w:after="0"/>
      <w:contextualSpacing w:val="0"/>
    </w:pPr>
    <w:rPr>
      <w:rFonts w:asciiTheme="minorHAnsi" w:hAnsiTheme="minorHAnsi"/>
    </w:rPr>
  </w:style>
  <w:style w:type="table" w:customStyle="1" w:styleId="TableGrid2">
    <w:name w:val="Table Grid2"/>
    <w:basedOn w:val="TableNormal"/>
    <w:next w:val="TableGrid"/>
    <w:uiPriority w:val="59"/>
    <w:rsid w:val="000C4977"/>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link w:val="TableTextChar1"/>
    <w:rsid w:val="000C4977"/>
    <w:pPr>
      <w:keepNext/>
      <w:spacing w:before="40" w:after="40" w:line="259" w:lineRule="auto"/>
    </w:pPr>
    <w:rPr>
      <w:rFonts w:ascii="Arial Narrow" w:eastAsia="Times New Roman" w:hAnsi="Arial Narrow" w:cs="Tahoma"/>
      <w:sz w:val="18"/>
      <w:lang w:eastAsia="en-AU"/>
    </w:rPr>
  </w:style>
  <w:style w:type="character" w:customStyle="1" w:styleId="TableTextChar1">
    <w:name w:val="TableText Char"/>
    <w:link w:val="TableText1"/>
    <w:rsid w:val="000C4977"/>
    <w:rPr>
      <w:rFonts w:ascii="Arial Narrow" w:eastAsia="Times New Roman" w:hAnsi="Arial Narrow" w:cs="Tahoma"/>
      <w:sz w:val="18"/>
      <w:lang w:eastAsia="en-AU"/>
    </w:rPr>
  </w:style>
  <w:style w:type="paragraph" w:customStyle="1" w:styleId="References">
    <w:name w:val="References"/>
    <w:basedOn w:val="Normal"/>
    <w:rsid w:val="000C4977"/>
    <w:pPr>
      <w:keepLines/>
      <w:spacing w:after="240" w:line="312" w:lineRule="auto"/>
      <w:ind w:left="1440" w:hanging="720"/>
      <w:jc w:val="left"/>
    </w:pPr>
    <w:rPr>
      <w:rFonts w:ascii="Calibri" w:eastAsia="Times New Roman" w:hAnsi="Calibri" w:cs="Tahoma"/>
      <w:lang w:eastAsia="en-AU"/>
    </w:rPr>
  </w:style>
  <w:style w:type="paragraph" w:styleId="Title">
    <w:name w:val="Title"/>
    <w:basedOn w:val="Normal"/>
    <w:next w:val="Normal"/>
    <w:link w:val="TitleChar"/>
    <w:qFormat/>
    <w:rsid w:val="000C4977"/>
    <w:pPr>
      <w:spacing w:before="480" w:after="24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0C4977"/>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0C4977"/>
    <w:pPr>
      <w:spacing w:after="24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0C4977"/>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0C4977"/>
    <w:pPr>
      <w:numPr>
        <w:ilvl w:val="0"/>
        <w:numId w:val="40"/>
      </w:numPr>
      <w:spacing w:before="240" w:after="240"/>
      <w:ind w:left="2154" w:hanging="357"/>
    </w:pPr>
    <w:rPr>
      <w:rFonts w:ascii="Franklin Gothic Medium" w:hAnsi="Franklin Gothic Medium"/>
      <w:b w:val="0"/>
      <w:i w:val="0"/>
      <w:snapToGrid/>
      <w:color w:val="000000" w:themeColor="text1"/>
      <w:sz w:val="32"/>
      <w:szCs w:val="26"/>
    </w:rPr>
  </w:style>
  <w:style w:type="paragraph" w:customStyle="1" w:styleId="NormalBeforeBullet">
    <w:name w:val="Normal Before Bullet"/>
    <w:basedOn w:val="Normal"/>
    <w:qFormat/>
    <w:rsid w:val="000C4977"/>
    <w:pPr>
      <w:keepNext/>
      <w:spacing w:after="120"/>
      <w:jc w:val="left"/>
    </w:pPr>
  </w:style>
  <w:style w:type="paragraph" w:customStyle="1" w:styleId="Dash">
    <w:name w:val="Dash"/>
    <w:basedOn w:val="Bullet"/>
    <w:qFormat/>
    <w:rsid w:val="000C4977"/>
    <w:pPr>
      <w:numPr>
        <w:numId w:val="41"/>
      </w:numPr>
      <w:spacing w:after="40"/>
      <w:ind w:left="714" w:hanging="357"/>
    </w:pPr>
  </w:style>
  <w:style w:type="character" w:customStyle="1" w:styleId="UnresolvedMention10">
    <w:name w:val="Unresolved Mention10"/>
    <w:basedOn w:val="DefaultParagraphFont"/>
    <w:uiPriority w:val="99"/>
    <w:semiHidden/>
    <w:unhideWhenUsed/>
    <w:rsid w:val="000C4977"/>
    <w:rPr>
      <w:color w:val="605E5C"/>
      <w:shd w:val="clear" w:color="auto" w:fill="E1DFDD"/>
    </w:rPr>
  </w:style>
  <w:style w:type="character" w:customStyle="1" w:styleId="UnresolvedMention2">
    <w:name w:val="Unresolved Mention2"/>
    <w:basedOn w:val="DefaultParagraphFont"/>
    <w:uiPriority w:val="99"/>
    <w:semiHidden/>
    <w:unhideWhenUsed/>
    <w:rsid w:val="000C4977"/>
    <w:rPr>
      <w:color w:val="605E5C"/>
      <w:shd w:val="clear" w:color="auto" w:fill="E1DFDD"/>
    </w:rPr>
  </w:style>
  <w:style w:type="table" w:customStyle="1" w:styleId="PBACtable11">
    <w:name w:val="PBAC table11"/>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2">
    <w:name w:val="PBAC table2"/>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3">
    <w:name w:val="PBAC table3"/>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AZTable2">
    <w:name w:val="AZ Table2"/>
    <w:basedOn w:val="TableNormal"/>
    <w:uiPriority w:val="9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table" w:customStyle="1" w:styleId="PBACtable4">
    <w:name w:val="PBAC table4"/>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5">
    <w:name w:val="PBAC table5"/>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table" w:customStyle="1" w:styleId="PBACtable6">
    <w:name w:val="PBAC table6"/>
    <w:basedOn w:val="TableNormal"/>
    <w:next w:val="TableGrid"/>
    <w:uiPriority w:val="39"/>
    <w:rsid w:val="000C497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Narrow" w:hAnsi="Arial Narrow"/>
        <w:b/>
        <w:sz w:val="20"/>
      </w:rPr>
      <w:tblPr/>
      <w:tcPr>
        <w:shd w:val="clear" w:color="auto" w:fill="F2F2F2" w:themeFill="background1" w:themeFillShade="F2"/>
      </w:tcPr>
    </w:tblStylePr>
    <w:tblStylePr w:type="lastRow">
      <w:rPr>
        <w:i/>
        <w:iCs/>
      </w:rPr>
    </w:tblStylePr>
    <w:tblStylePr w:type="firstCol">
      <w:rPr>
        <w:rFonts w:ascii="Arial Narrow" w:hAnsi="Arial Narrow"/>
        <w:sz w:val="20"/>
      </w:rPr>
    </w:tblStylePr>
    <w:tblStylePr w:type="lastCol">
      <w:rPr>
        <w:rFonts w:ascii="Arial Narrow" w:hAnsi="Arial Narrow"/>
        <w:i/>
        <w:iCs/>
        <w:sz w:val="20"/>
      </w:rPr>
    </w:tblStylePr>
  </w:style>
  <w:style w:type="numbering" w:customStyle="1" w:styleId="Headings1">
    <w:name w:val="Headings1"/>
    <w:uiPriority w:val="99"/>
    <w:rsid w:val="000C4977"/>
    <w:pPr>
      <w:numPr>
        <w:numId w:val="23"/>
      </w:numPr>
    </w:pPr>
  </w:style>
  <w:style w:type="table" w:customStyle="1" w:styleId="PBACTableStyle11">
    <w:name w:val="PBAC Table Style11"/>
    <w:basedOn w:val="TableGrid1"/>
    <w:uiPriority w:val="99"/>
    <w:rsid w:val="000C4977"/>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0C49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0C49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1">
    <w:name w:val="Table Grid 111"/>
    <w:basedOn w:val="TableNormal"/>
    <w:next w:val="TableGrid1"/>
    <w:uiPriority w:val="99"/>
    <w:semiHidden/>
    <w:unhideWhenUsed/>
    <w:rsid w:val="000C4977"/>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SACESBulletpoints1">
    <w:name w:val="MSAC ES Bullet points1"/>
    <w:uiPriority w:val="99"/>
    <w:rsid w:val="000C4977"/>
    <w:pPr>
      <w:numPr>
        <w:numId w:val="24"/>
      </w:numPr>
    </w:pPr>
  </w:style>
  <w:style w:type="numbering" w:customStyle="1" w:styleId="Style11">
    <w:name w:val="Style11"/>
    <w:uiPriority w:val="99"/>
    <w:rsid w:val="000C4977"/>
    <w:pPr>
      <w:numPr>
        <w:numId w:val="59"/>
      </w:numPr>
    </w:pPr>
  </w:style>
  <w:style w:type="numbering" w:customStyle="1" w:styleId="Style21">
    <w:name w:val="Style21"/>
    <w:uiPriority w:val="99"/>
    <w:rsid w:val="000C4977"/>
    <w:pPr>
      <w:numPr>
        <w:numId w:val="58"/>
      </w:numPr>
    </w:pPr>
  </w:style>
  <w:style w:type="table" w:customStyle="1" w:styleId="ListTable1Light11">
    <w:name w:val="List Table 1 Light11"/>
    <w:basedOn w:val="TableNormal"/>
    <w:uiPriority w:val="46"/>
    <w:rsid w:val="000C49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0C49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31">
    <w:name w:val="Style31"/>
    <w:uiPriority w:val="99"/>
    <w:rsid w:val="000C4977"/>
    <w:pPr>
      <w:numPr>
        <w:numId w:val="29"/>
      </w:numPr>
    </w:pPr>
  </w:style>
  <w:style w:type="table" w:customStyle="1" w:styleId="ASDTable11">
    <w:name w:val="ASD Table11"/>
    <w:basedOn w:val="TableNormal"/>
    <w:next w:val="TableGrid"/>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1">
    <w:name w:val="MSD Table Grid1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1">
    <w:name w:val="AZ Table11"/>
    <w:basedOn w:val="TableNormal"/>
    <w:uiPriority w:val="99"/>
    <w:rsid w:val="000C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StylePr>
  </w:style>
  <w:style w:type="table" w:customStyle="1" w:styleId="HTATableshaded1">
    <w:name w:val="HTA Table shaded1"/>
    <w:basedOn w:val="TableNormal"/>
    <w:rsid w:val="000C4977"/>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GridTable4-Accent31">
    <w:name w:val="Grid Table 4 - Accent 31"/>
    <w:basedOn w:val="TableNormal"/>
    <w:next w:val="GridTable4-Accent3"/>
    <w:uiPriority w:val="49"/>
    <w:rsid w:val="000C49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ummarybox11">
    <w:name w:val="Summary box11"/>
    <w:basedOn w:val="TableNormal"/>
    <w:next w:val="TableGrid"/>
    <w:uiPriority w:val="59"/>
    <w:rsid w:val="000C4977"/>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1">
    <w:name w:val="ASD Table2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1">
    <w:name w:val="MSD Table Grid21"/>
    <w:basedOn w:val="TableNormal"/>
    <w:next w:val="TableGrid"/>
    <w:uiPriority w:val="39"/>
    <w:rsid w:val="000C49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E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FE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40638712">
      <w:bodyDiv w:val="1"/>
      <w:marLeft w:val="0"/>
      <w:marRight w:val="0"/>
      <w:marTop w:val="0"/>
      <w:marBottom w:val="0"/>
      <w:divBdr>
        <w:top w:val="none" w:sz="0" w:space="0" w:color="auto"/>
        <w:left w:val="none" w:sz="0" w:space="0" w:color="auto"/>
        <w:bottom w:val="none" w:sz="0" w:space="0" w:color="auto"/>
        <w:right w:val="none" w:sz="0" w:space="0" w:color="auto"/>
      </w:divBdr>
    </w:div>
    <w:div w:id="45494256">
      <w:bodyDiv w:val="1"/>
      <w:marLeft w:val="0"/>
      <w:marRight w:val="0"/>
      <w:marTop w:val="0"/>
      <w:marBottom w:val="0"/>
      <w:divBdr>
        <w:top w:val="none" w:sz="0" w:space="0" w:color="auto"/>
        <w:left w:val="none" w:sz="0" w:space="0" w:color="auto"/>
        <w:bottom w:val="none" w:sz="0" w:space="0" w:color="auto"/>
        <w:right w:val="none" w:sz="0" w:space="0" w:color="auto"/>
      </w:divBdr>
      <w:divsChild>
        <w:div w:id="2141340246">
          <w:marLeft w:val="360"/>
          <w:marRight w:val="0"/>
          <w:marTop w:val="200"/>
          <w:marBottom w:val="0"/>
          <w:divBdr>
            <w:top w:val="none" w:sz="0" w:space="0" w:color="auto"/>
            <w:left w:val="none" w:sz="0" w:space="0" w:color="auto"/>
            <w:bottom w:val="none" w:sz="0" w:space="0" w:color="auto"/>
            <w:right w:val="none" w:sz="0" w:space="0" w:color="auto"/>
          </w:divBdr>
        </w:div>
      </w:divsChild>
    </w:div>
    <w:div w:id="927465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2187410">
      <w:bodyDiv w:val="1"/>
      <w:marLeft w:val="0"/>
      <w:marRight w:val="0"/>
      <w:marTop w:val="0"/>
      <w:marBottom w:val="0"/>
      <w:divBdr>
        <w:top w:val="none" w:sz="0" w:space="0" w:color="auto"/>
        <w:left w:val="none" w:sz="0" w:space="0" w:color="auto"/>
        <w:bottom w:val="none" w:sz="0" w:space="0" w:color="auto"/>
        <w:right w:val="none" w:sz="0" w:space="0" w:color="auto"/>
      </w:divBdr>
    </w:div>
    <w:div w:id="141316008">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74851779">
      <w:bodyDiv w:val="1"/>
      <w:marLeft w:val="0"/>
      <w:marRight w:val="0"/>
      <w:marTop w:val="0"/>
      <w:marBottom w:val="0"/>
      <w:divBdr>
        <w:top w:val="none" w:sz="0" w:space="0" w:color="auto"/>
        <w:left w:val="none" w:sz="0" w:space="0" w:color="auto"/>
        <w:bottom w:val="none" w:sz="0" w:space="0" w:color="auto"/>
        <w:right w:val="none" w:sz="0" w:space="0" w:color="auto"/>
      </w:divBdr>
    </w:div>
    <w:div w:id="197007052">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11694994">
      <w:bodyDiv w:val="1"/>
      <w:marLeft w:val="0"/>
      <w:marRight w:val="0"/>
      <w:marTop w:val="0"/>
      <w:marBottom w:val="0"/>
      <w:divBdr>
        <w:top w:val="none" w:sz="0" w:space="0" w:color="auto"/>
        <w:left w:val="none" w:sz="0" w:space="0" w:color="auto"/>
        <w:bottom w:val="none" w:sz="0" w:space="0" w:color="auto"/>
        <w:right w:val="none" w:sz="0" w:space="0" w:color="auto"/>
      </w:divBdr>
    </w:div>
    <w:div w:id="263076018">
      <w:bodyDiv w:val="1"/>
      <w:marLeft w:val="0"/>
      <w:marRight w:val="0"/>
      <w:marTop w:val="0"/>
      <w:marBottom w:val="0"/>
      <w:divBdr>
        <w:top w:val="none" w:sz="0" w:space="0" w:color="auto"/>
        <w:left w:val="none" w:sz="0" w:space="0" w:color="auto"/>
        <w:bottom w:val="none" w:sz="0" w:space="0" w:color="auto"/>
        <w:right w:val="none" w:sz="0" w:space="0" w:color="auto"/>
      </w:divBdr>
      <w:divsChild>
        <w:div w:id="797532170">
          <w:marLeft w:val="360"/>
          <w:marRight w:val="0"/>
          <w:marTop w:val="200"/>
          <w:marBottom w:val="0"/>
          <w:divBdr>
            <w:top w:val="none" w:sz="0" w:space="0" w:color="auto"/>
            <w:left w:val="none" w:sz="0" w:space="0" w:color="auto"/>
            <w:bottom w:val="none" w:sz="0" w:space="0" w:color="auto"/>
            <w:right w:val="none" w:sz="0" w:space="0" w:color="auto"/>
          </w:divBdr>
        </w:div>
      </w:divsChild>
    </w:div>
    <w:div w:id="273175284">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1898947">
      <w:bodyDiv w:val="1"/>
      <w:marLeft w:val="0"/>
      <w:marRight w:val="0"/>
      <w:marTop w:val="0"/>
      <w:marBottom w:val="0"/>
      <w:divBdr>
        <w:top w:val="none" w:sz="0" w:space="0" w:color="auto"/>
        <w:left w:val="none" w:sz="0" w:space="0" w:color="auto"/>
        <w:bottom w:val="none" w:sz="0" w:space="0" w:color="auto"/>
        <w:right w:val="none" w:sz="0" w:space="0" w:color="auto"/>
      </w:divBdr>
    </w:div>
    <w:div w:id="426269267">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7065723">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478612994">
      <w:bodyDiv w:val="1"/>
      <w:marLeft w:val="0"/>
      <w:marRight w:val="0"/>
      <w:marTop w:val="0"/>
      <w:marBottom w:val="0"/>
      <w:divBdr>
        <w:top w:val="none" w:sz="0" w:space="0" w:color="auto"/>
        <w:left w:val="none" w:sz="0" w:space="0" w:color="auto"/>
        <w:bottom w:val="none" w:sz="0" w:space="0" w:color="auto"/>
        <w:right w:val="none" w:sz="0" w:space="0" w:color="auto"/>
      </w:divBdr>
    </w:div>
    <w:div w:id="514736953">
      <w:bodyDiv w:val="1"/>
      <w:marLeft w:val="0"/>
      <w:marRight w:val="0"/>
      <w:marTop w:val="0"/>
      <w:marBottom w:val="0"/>
      <w:divBdr>
        <w:top w:val="none" w:sz="0" w:space="0" w:color="auto"/>
        <w:left w:val="none" w:sz="0" w:space="0" w:color="auto"/>
        <w:bottom w:val="none" w:sz="0" w:space="0" w:color="auto"/>
        <w:right w:val="none" w:sz="0" w:space="0" w:color="auto"/>
      </w:divBdr>
    </w:div>
    <w:div w:id="518472947">
      <w:bodyDiv w:val="1"/>
      <w:marLeft w:val="0"/>
      <w:marRight w:val="0"/>
      <w:marTop w:val="0"/>
      <w:marBottom w:val="0"/>
      <w:divBdr>
        <w:top w:val="none" w:sz="0" w:space="0" w:color="auto"/>
        <w:left w:val="none" w:sz="0" w:space="0" w:color="auto"/>
        <w:bottom w:val="none" w:sz="0" w:space="0" w:color="auto"/>
        <w:right w:val="none" w:sz="0" w:space="0" w:color="auto"/>
      </w:divBdr>
      <w:divsChild>
        <w:div w:id="1686399458">
          <w:marLeft w:val="360"/>
          <w:marRight w:val="0"/>
          <w:marTop w:val="200"/>
          <w:marBottom w:val="0"/>
          <w:divBdr>
            <w:top w:val="none" w:sz="0" w:space="0" w:color="auto"/>
            <w:left w:val="none" w:sz="0" w:space="0" w:color="auto"/>
            <w:bottom w:val="none" w:sz="0" w:space="0" w:color="auto"/>
            <w:right w:val="none" w:sz="0" w:space="0" w:color="auto"/>
          </w:divBdr>
        </w:div>
      </w:divsChild>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2031">
      <w:bodyDiv w:val="1"/>
      <w:marLeft w:val="0"/>
      <w:marRight w:val="0"/>
      <w:marTop w:val="0"/>
      <w:marBottom w:val="0"/>
      <w:divBdr>
        <w:top w:val="none" w:sz="0" w:space="0" w:color="auto"/>
        <w:left w:val="none" w:sz="0" w:space="0" w:color="auto"/>
        <w:bottom w:val="none" w:sz="0" w:space="0" w:color="auto"/>
        <w:right w:val="none" w:sz="0" w:space="0" w:color="auto"/>
      </w:divBdr>
    </w:div>
    <w:div w:id="556665986">
      <w:bodyDiv w:val="1"/>
      <w:marLeft w:val="0"/>
      <w:marRight w:val="0"/>
      <w:marTop w:val="0"/>
      <w:marBottom w:val="0"/>
      <w:divBdr>
        <w:top w:val="none" w:sz="0" w:space="0" w:color="auto"/>
        <w:left w:val="none" w:sz="0" w:space="0" w:color="auto"/>
        <w:bottom w:val="none" w:sz="0" w:space="0" w:color="auto"/>
        <w:right w:val="none" w:sz="0" w:space="0" w:color="auto"/>
      </w:divBdr>
      <w:divsChild>
        <w:div w:id="649603005">
          <w:marLeft w:val="1080"/>
          <w:marRight w:val="0"/>
          <w:marTop w:val="100"/>
          <w:marBottom w:val="0"/>
          <w:divBdr>
            <w:top w:val="none" w:sz="0" w:space="0" w:color="auto"/>
            <w:left w:val="none" w:sz="0" w:space="0" w:color="auto"/>
            <w:bottom w:val="none" w:sz="0" w:space="0" w:color="auto"/>
            <w:right w:val="none" w:sz="0" w:space="0" w:color="auto"/>
          </w:divBdr>
        </w:div>
      </w:divsChild>
    </w:div>
    <w:div w:id="601451248">
      <w:bodyDiv w:val="1"/>
      <w:marLeft w:val="0"/>
      <w:marRight w:val="0"/>
      <w:marTop w:val="0"/>
      <w:marBottom w:val="0"/>
      <w:divBdr>
        <w:top w:val="none" w:sz="0" w:space="0" w:color="auto"/>
        <w:left w:val="none" w:sz="0" w:space="0" w:color="auto"/>
        <w:bottom w:val="none" w:sz="0" w:space="0" w:color="auto"/>
        <w:right w:val="none" w:sz="0" w:space="0" w:color="auto"/>
      </w:divBdr>
    </w:div>
    <w:div w:id="611284384">
      <w:bodyDiv w:val="1"/>
      <w:marLeft w:val="0"/>
      <w:marRight w:val="0"/>
      <w:marTop w:val="0"/>
      <w:marBottom w:val="0"/>
      <w:divBdr>
        <w:top w:val="none" w:sz="0" w:space="0" w:color="auto"/>
        <w:left w:val="none" w:sz="0" w:space="0" w:color="auto"/>
        <w:bottom w:val="none" w:sz="0" w:space="0" w:color="auto"/>
        <w:right w:val="none" w:sz="0" w:space="0" w:color="auto"/>
      </w:divBdr>
    </w:div>
    <w:div w:id="618417767">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31398195">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8672029">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135534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3973948">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1904189">
      <w:bodyDiv w:val="1"/>
      <w:marLeft w:val="0"/>
      <w:marRight w:val="0"/>
      <w:marTop w:val="0"/>
      <w:marBottom w:val="0"/>
      <w:divBdr>
        <w:top w:val="none" w:sz="0" w:space="0" w:color="auto"/>
        <w:left w:val="none" w:sz="0" w:space="0" w:color="auto"/>
        <w:bottom w:val="none" w:sz="0" w:space="0" w:color="auto"/>
        <w:right w:val="none" w:sz="0" w:space="0" w:color="auto"/>
      </w:divBdr>
    </w:div>
    <w:div w:id="97209841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545">
      <w:bodyDiv w:val="1"/>
      <w:marLeft w:val="0"/>
      <w:marRight w:val="0"/>
      <w:marTop w:val="0"/>
      <w:marBottom w:val="0"/>
      <w:divBdr>
        <w:top w:val="none" w:sz="0" w:space="0" w:color="auto"/>
        <w:left w:val="none" w:sz="0" w:space="0" w:color="auto"/>
        <w:bottom w:val="none" w:sz="0" w:space="0" w:color="auto"/>
        <w:right w:val="none" w:sz="0" w:space="0" w:color="auto"/>
      </w:divBdr>
    </w:div>
    <w:div w:id="106976760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1380141">
      <w:bodyDiv w:val="1"/>
      <w:marLeft w:val="0"/>
      <w:marRight w:val="0"/>
      <w:marTop w:val="0"/>
      <w:marBottom w:val="0"/>
      <w:divBdr>
        <w:top w:val="none" w:sz="0" w:space="0" w:color="auto"/>
        <w:left w:val="none" w:sz="0" w:space="0" w:color="auto"/>
        <w:bottom w:val="none" w:sz="0" w:space="0" w:color="auto"/>
        <w:right w:val="none" w:sz="0" w:space="0" w:color="auto"/>
      </w:divBdr>
    </w:div>
    <w:div w:id="1197695293">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4506963">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26670460">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13325">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3406538">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09758366">
      <w:bodyDiv w:val="1"/>
      <w:marLeft w:val="0"/>
      <w:marRight w:val="0"/>
      <w:marTop w:val="0"/>
      <w:marBottom w:val="0"/>
      <w:divBdr>
        <w:top w:val="none" w:sz="0" w:space="0" w:color="auto"/>
        <w:left w:val="none" w:sz="0" w:space="0" w:color="auto"/>
        <w:bottom w:val="none" w:sz="0" w:space="0" w:color="auto"/>
        <w:right w:val="none" w:sz="0" w:space="0" w:color="auto"/>
      </w:divBdr>
      <w:divsChild>
        <w:div w:id="2016181973">
          <w:marLeft w:val="1080"/>
          <w:marRight w:val="0"/>
          <w:marTop w:val="100"/>
          <w:marBottom w:val="0"/>
          <w:divBdr>
            <w:top w:val="none" w:sz="0" w:space="0" w:color="auto"/>
            <w:left w:val="none" w:sz="0" w:space="0" w:color="auto"/>
            <w:bottom w:val="none" w:sz="0" w:space="0" w:color="auto"/>
            <w:right w:val="none" w:sz="0" w:space="0" w:color="auto"/>
          </w:divBdr>
        </w:div>
      </w:divsChild>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040">
      <w:bodyDiv w:val="1"/>
      <w:marLeft w:val="0"/>
      <w:marRight w:val="0"/>
      <w:marTop w:val="0"/>
      <w:marBottom w:val="0"/>
      <w:divBdr>
        <w:top w:val="none" w:sz="0" w:space="0" w:color="auto"/>
        <w:left w:val="none" w:sz="0" w:space="0" w:color="auto"/>
        <w:bottom w:val="none" w:sz="0" w:space="0" w:color="auto"/>
        <w:right w:val="none" w:sz="0" w:space="0" w:color="auto"/>
      </w:divBdr>
      <w:divsChild>
        <w:div w:id="156073195">
          <w:marLeft w:val="1080"/>
          <w:marRight w:val="0"/>
          <w:marTop w:val="100"/>
          <w:marBottom w:val="0"/>
          <w:divBdr>
            <w:top w:val="none" w:sz="0" w:space="0" w:color="auto"/>
            <w:left w:val="none" w:sz="0" w:space="0" w:color="auto"/>
            <w:bottom w:val="none" w:sz="0" w:space="0" w:color="auto"/>
            <w:right w:val="none" w:sz="0" w:space="0" w:color="auto"/>
          </w:divBdr>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035796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47514447">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85595487">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697537015">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06103546">
      <w:bodyDiv w:val="1"/>
      <w:marLeft w:val="0"/>
      <w:marRight w:val="0"/>
      <w:marTop w:val="0"/>
      <w:marBottom w:val="0"/>
      <w:divBdr>
        <w:top w:val="none" w:sz="0" w:space="0" w:color="auto"/>
        <w:left w:val="none" w:sz="0" w:space="0" w:color="auto"/>
        <w:bottom w:val="none" w:sz="0" w:space="0" w:color="auto"/>
        <w:right w:val="none" w:sz="0" w:space="0" w:color="auto"/>
      </w:divBdr>
      <w:divsChild>
        <w:div w:id="299460506">
          <w:marLeft w:val="1080"/>
          <w:marRight w:val="0"/>
          <w:marTop w:val="100"/>
          <w:marBottom w:val="0"/>
          <w:divBdr>
            <w:top w:val="none" w:sz="0" w:space="0" w:color="auto"/>
            <w:left w:val="none" w:sz="0" w:space="0" w:color="auto"/>
            <w:bottom w:val="none" w:sz="0" w:space="0" w:color="auto"/>
            <w:right w:val="none" w:sz="0" w:space="0" w:color="auto"/>
          </w:divBdr>
        </w:div>
        <w:div w:id="402720206">
          <w:marLeft w:val="1080"/>
          <w:marRight w:val="0"/>
          <w:marTop w:val="100"/>
          <w:marBottom w:val="0"/>
          <w:divBdr>
            <w:top w:val="none" w:sz="0" w:space="0" w:color="auto"/>
            <w:left w:val="none" w:sz="0" w:space="0" w:color="auto"/>
            <w:bottom w:val="none" w:sz="0" w:space="0" w:color="auto"/>
            <w:right w:val="none" w:sz="0" w:space="0" w:color="auto"/>
          </w:divBdr>
        </w:div>
        <w:div w:id="2126659117">
          <w:marLeft w:val="1080"/>
          <w:marRight w:val="0"/>
          <w:marTop w:val="100"/>
          <w:marBottom w:val="0"/>
          <w:divBdr>
            <w:top w:val="none" w:sz="0" w:space="0" w:color="auto"/>
            <w:left w:val="none" w:sz="0" w:space="0" w:color="auto"/>
            <w:bottom w:val="none" w:sz="0" w:space="0" w:color="auto"/>
            <w:right w:val="none" w:sz="0" w:space="0" w:color="auto"/>
          </w:divBdr>
        </w:div>
      </w:divsChild>
    </w:div>
    <w:div w:id="1736780550">
      <w:bodyDiv w:val="1"/>
      <w:marLeft w:val="0"/>
      <w:marRight w:val="0"/>
      <w:marTop w:val="0"/>
      <w:marBottom w:val="0"/>
      <w:divBdr>
        <w:top w:val="none" w:sz="0" w:space="0" w:color="auto"/>
        <w:left w:val="none" w:sz="0" w:space="0" w:color="auto"/>
        <w:bottom w:val="none" w:sz="0" w:space="0" w:color="auto"/>
        <w:right w:val="none" w:sz="0" w:space="0" w:color="auto"/>
      </w:divBdr>
    </w:div>
    <w:div w:id="1747267615">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769421178">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333">
      <w:bodyDiv w:val="1"/>
      <w:marLeft w:val="0"/>
      <w:marRight w:val="0"/>
      <w:marTop w:val="0"/>
      <w:marBottom w:val="0"/>
      <w:divBdr>
        <w:top w:val="none" w:sz="0" w:space="0" w:color="auto"/>
        <w:left w:val="none" w:sz="0" w:space="0" w:color="auto"/>
        <w:bottom w:val="none" w:sz="0" w:space="0" w:color="auto"/>
        <w:right w:val="none" w:sz="0" w:space="0" w:color="auto"/>
      </w:divBdr>
    </w:div>
    <w:div w:id="1849709557">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89146430">
      <w:bodyDiv w:val="1"/>
      <w:marLeft w:val="0"/>
      <w:marRight w:val="0"/>
      <w:marTop w:val="0"/>
      <w:marBottom w:val="0"/>
      <w:divBdr>
        <w:top w:val="none" w:sz="0" w:space="0" w:color="auto"/>
        <w:left w:val="none" w:sz="0" w:space="0" w:color="auto"/>
        <w:bottom w:val="none" w:sz="0" w:space="0" w:color="auto"/>
        <w:right w:val="none" w:sz="0" w:space="0" w:color="auto"/>
      </w:divBdr>
    </w:div>
    <w:div w:id="1898588608">
      <w:bodyDiv w:val="1"/>
      <w:marLeft w:val="0"/>
      <w:marRight w:val="0"/>
      <w:marTop w:val="0"/>
      <w:marBottom w:val="0"/>
      <w:divBdr>
        <w:top w:val="none" w:sz="0" w:space="0" w:color="auto"/>
        <w:left w:val="none" w:sz="0" w:space="0" w:color="auto"/>
        <w:bottom w:val="none" w:sz="0" w:space="0" w:color="auto"/>
        <w:right w:val="none" w:sz="0" w:space="0" w:color="auto"/>
      </w:divBdr>
    </w:div>
    <w:div w:id="1933583484">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6209">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675790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73699753">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320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image" Target="media/image8.tmp"/><Relationship Id="rId26"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tmp"/><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msac.gov.au/internet/msac/publishing.nsf/Content/8D409C551135EC2BCA25866F000919DE/$File/1658%20Ratified%20PIC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go.confex.com/sgo/2020/meetingapp.cgi/Paper/15650" TargetMode="External"/><Relationship Id="rId7" Type="http://schemas.openxmlformats.org/officeDocument/2006/relationships/hyperlink" Target="https://www.sonicgenetics.com.au/our-tests/all-tests/breast-and-ovarian-cancer-germline/" TargetMode="External"/><Relationship Id="rId2" Type="http://schemas.openxmlformats.org/officeDocument/2006/relationships/hyperlink" Target="https://sgo.confex.com/sgo/2020/meetingapp.cgi/Paper/15650" TargetMode="External"/><Relationship Id="rId1" Type="http://schemas.openxmlformats.org/officeDocument/2006/relationships/hyperlink" Target="http://www.msac.gov.au/internet/msac/publishing.nsf/Content/8D409C551135EC2BCA25866F000919DE/$File/1658%20Redacted%20Application%20Form.pdf" TargetMode="External"/><Relationship Id="rId6" Type="http://schemas.openxmlformats.org/officeDocument/2006/relationships/hyperlink" Target="https://myriad-library.s3.amazonaws.com/technical-specifications/myChoice+CDx+Plus+Technical+Specifications.pdf" TargetMode="External"/><Relationship Id="rId5" Type="http://schemas.openxmlformats.org/officeDocument/2006/relationships/hyperlink" Target="https://academic.oup.com/oncolo/article/27/3/167/6515681" TargetMode="External"/><Relationship Id="rId4" Type="http://schemas.openxmlformats.org/officeDocument/2006/relationships/hyperlink" Target="https://www.eviq.org.au/cancer-genetics/resources/4056-considerations-for-germline-testing-for-v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AlD14</b:Tag>
    <b:SourceType>JournalArticle</b:SourceType>
    <b:Guid>{7687532C-3FCA-4DCE-B328-BEC613DF30B8}</b:Guid>
    <b:Author>
      <b:Author>
        <b:Corporate>Al-Dakkak et al</b:Corporate>
      </b:Author>
    </b:Author>
    <b:Title>A Systematic Review of Health State Utility Values for Advanced Ovarian Cancer</b:Title>
    <b:JournalName>Cancer – Patient-Reported Outcomes &amp; Patient Preference Studies</b:JournalName>
    <b:Year>2014</b:Year>
    <b:RefOrder>1</b:RefOrder>
  </b:Source>
  <b:Source>
    <b:Tag>Hav09</b:Tag>
    <b:SourceType>JournalArticle</b:SourceType>
    <b:Guid>{F71D12A4-6D1D-44AC-8EAC-41CABF9EAE24}</b:Guid>
    <b:Author>
      <b:Author>
        <b:Corporate> Havrilesky et al</b:Corporate>
      </b:Author>
    </b:Author>
    <b:Title>Determination of quality of life-related utilities for health states relevant to ovarian cancer diagnosis and treatment</b:Title>
    <b:JournalName>Gynecologic Oncology</b:JournalName>
    <b:Year>2009</b:Year>
    <b:RefOrder>2</b:RefOrder>
  </b:Source>
  <b:Source>
    <b:Tag>Edw15</b:Tag>
    <b:SourceType>JournalArticle</b:SourceType>
    <b:Guid>{99D76989-A3F5-40DE-8A80-95903532BB11}</b:Guid>
    <b:Author>
      <b:Author>
        <b:Corporate>Edwards et al</b:Corporate>
      </b:Author>
    </b:Author>
    <b:Title>Topotecan, pegylated liposomal doxorubicin hydrochloride, paclitaxel, trabectedin and gemcitabine for advanced recurrent or refractory ovarian cancer: a systematic review and economic evaluation</b:Title>
    <b:JournalName>NICE submission</b:JournalName>
    <b:Year>2015</b:Year>
    <b:RefOrder>3</b:RefOrder>
  </b:Source>
  <b:Source>
    <b:Tag>Nat131</b:Tag>
    <b:SourceType>DocumentFromInternetSite</b:SourceType>
    <b:Guid>{24FF11CA-95DF-499D-BF5A-1831D9E6875C}</b:Guid>
    <b:Author>
      <b:Author>
        <b:Corporate>National Institute for Health and Care Excellence TA285</b:Corporate>
      </b:Author>
    </b:Author>
    <b:Title>NICE Technology Appraisal TA285</b:Title>
    <b:Year>2013</b:Year>
    <b:URL>https://www.nice.org.uk/guidance/TA285</b:URL>
    <b:RefOrder>4</b:RefOrder>
  </b:Source>
  <b:Source>
    <b:Tag>Ney18</b:Tag>
    <b:SourceType>JournalArticle</b:SourceType>
    <b:Guid>{D6C64269-5DA7-48C5-A823-7CEE61ED4AA1}</b:Guid>
    <b:Author>
      <b:Author>
        <b:Corporate>Neyt et al</b:Corporate>
      </b:Author>
    </b:Author>
    <b:Title>First- and second-line bevacizumab in ovarian cancer: A Belgian cost-utility analysis</b:Title>
    <b:JournalName>PLoS ONE </b:JournalName>
    <b:Year>2018</b:Year>
    <b:Pages>13(4)</b:Pages>
    <b:RefOrder>5</b:RefOrder>
  </b:Source>
</b:Sources>
</file>

<file path=customXml/itemProps1.xml><?xml version="1.0" encoding="utf-8"?>
<ds:datastoreItem xmlns:ds="http://schemas.openxmlformats.org/officeDocument/2006/customXml" ds:itemID="{CCFA36FB-322B-4FA6-8544-4893B21A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24290</Words>
  <Characters>138454</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162420</CharactersWithSpaces>
  <SharedDoc>false</SharedDoc>
  <HLinks>
    <vt:vector size="54" baseType="variant">
      <vt:variant>
        <vt:i4>6684716</vt:i4>
      </vt:variant>
      <vt:variant>
        <vt:i4>195</vt:i4>
      </vt:variant>
      <vt:variant>
        <vt:i4>0</vt:i4>
      </vt:variant>
      <vt:variant>
        <vt:i4>5</vt:i4>
      </vt:variant>
      <vt:variant>
        <vt:lpwstr>http://msac.gov.au/internet/msac/publishing.nsf/Content/Home-1</vt:lpwstr>
      </vt:variant>
      <vt:variant>
        <vt:lpwstr/>
      </vt:variant>
      <vt:variant>
        <vt:i4>5963861</vt:i4>
      </vt:variant>
      <vt:variant>
        <vt:i4>18</vt:i4>
      </vt:variant>
      <vt:variant>
        <vt:i4>0</vt:i4>
      </vt:variant>
      <vt:variant>
        <vt:i4>5</vt:i4>
      </vt:variant>
      <vt:variant>
        <vt:lpwstr>http://www.msac.gov.au/internet/msac/publishing.nsf/Content/8D409C551135EC2BCA25866F000919DE/$File/1658 Ratified PICO.pdf</vt:lpwstr>
      </vt:variant>
      <vt:variant>
        <vt:lpwstr/>
      </vt:variant>
      <vt:variant>
        <vt:i4>3997744</vt:i4>
      </vt:variant>
      <vt:variant>
        <vt:i4>0</vt:i4>
      </vt:variant>
      <vt:variant>
        <vt:i4>0</vt:i4>
      </vt:variant>
      <vt:variant>
        <vt:i4>5</vt:i4>
      </vt:variant>
      <vt:variant>
        <vt:lpwstr>http://www.msac.gov.au/</vt:lpwstr>
      </vt:variant>
      <vt:variant>
        <vt:lpwstr/>
      </vt:variant>
      <vt:variant>
        <vt:i4>4194391</vt:i4>
      </vt:variant>
      <vt:variant>
        <vt:i4>15</vt:i4>
      </vt:variant>
      <vt:variant>
        <vt:i4>0</vt:i4>
      </vt:variant>
      <vt:variant>
        <vt:i4>5</vt:i4>
      </vt:variant>
      <vt:variant>
        <vt:lpwstr>https://www.sonicgenetics.com.au/our-tests/all-tests/breast-and-ovarian-cancer-germline/</vt:lpwstr>
      </vt:variant>
      <vt:variant>
        <vt:lpwstr/>
      </vt:variant>
      <vt:variant>
        <vt:i4>2949173</vt:i4>
      </vt:variant>
      <vt:variant>
        <vt:i4>12</vt:i4>
      </vt:variant>
      <vt:variant>
        <vt:i4>0</vt:i4>
      </vt:variant>
      <vt:variant>
        <vt:i4>5</vt:i4>
      </vt:variant>
      <vt:variant>
        <vt:lpwstr>https://myriad-library.s3.amazonaws.com/technical-specifications/myChoice+CDx+Plus+Technical+Specifications.pdf</vt:lpwstr>
      </vt:variant>
      <vt:variant>
        <vt:lpwstr/>
      </vt:variant>
      <vt:variant>
        <vt:i4>1835031</vt:i4>
      </vt:variant>
      <vt:variant>
        <vt:i4>9</vt:i4>
      </vt:variant>
      <vt:variant>
        <vt:i4>0</vt:i4>
      </vt:variant>
      <vt:variant>
        <vt:i4>5</vt:i4>
      </vt:variant>
      <vt:variant>
        <vt:lpwstr>https://academic.oup.com/oncolo/article/27/3/167/6515681</vt:lpwstr>
      </vt:variant>
      <vt:variant>
        <vt:lpwstr/>
      </vt:variant>
      <vt:variant>
        <vt:i4>8060961</vt:i4>
      </vt:variant>
      <vt:variant>
        <vt:i4>6</vt:i4>
      </vt:variant>
      <vt:variant>
        <vt:i4>0</vt:i4>
      </vt:variant>
      <vt:variant>
        <vt:i4>5</vt:i4>
      </vt:variant>
      <vt:variant>
        <vt:lpwstr>https://www.eviq.org.au/cancer-genetics/resources/4056-considerations-for-germline-testing-for-varia</vt:lpwstr>
      </vt:variant>
      <vt:variant>
        <vt:lpwstr>gene-table</vt:lpwstr>
      </vt:variant>
      <vt:variant>
        <vt:i4>3473449</vt:i4>
      </vt:variant>
      <vt:variant>
        <vt:i4>3</vt:i4>
      </vt:variant>
      <vt:variant>
        <vt:i4>0</vt:i4>
      </vt:variant>
      <vt:variant>
        <vt:i4>5</vt:i4>
      </vt:variant>
      <vt:variant>
        <vt:lpwstr>https://sgo.confex.com/sgo/2020/meetingapp.cgi/Paper/15650</vt:lpwstr>
      </vt:variant>
      <vt:variant>
        <vt:lpwstr/>
      </vt:variant>
      <vt:variant>
        <vt:i4>3473449</vt:i4>
      </vt:variant>
      <vt:variant>
        <vt:i4>0</vt:i4>
      </vt:variant>
      <vt:variant>
        <vt:i4>0</vt:i4>
      </vt:variant>
      <vt:variant>
        <vt:i4>5</vt:i4>
      </vt:variant>
      <vt:variant>
        <vt:lpwstr>https://sgo.confex.com/sgo/2020/meetingapp.cgi/Paper/15650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2022-10-23T23:08:00Z</dcterms:created>
  <dcterms:modified xsi:type="dcterms:W3CDTF">2022-10-23T23:09:00Z</dcterms:modified>
</cp:coreProperties>
</file>