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43B0E"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2173D38B" wp14:editId="73873C75">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B2A7AE0"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57B8C7B4" w14:textId="77777777" w:rsidR="00BC1364" w:rsidRPr="00F715D1" w:rsidRDefault="00BC1364" w:rsidP="00457C0E">
      <w:pPr>
        <w:pStyle w:val="Subtitle"/>
      </w:pPr>
      <w:r w:rsidRPr="00F715D1">
        <w:t xml:space="preserve">Application No. </w:t>
      </w:r>
      <w:r w:rsidR="00712B1D">
        <w:t>15</w:t>
      </w:r>
      <w:r w:rsidR="003B42C4">
        <w:t>9</w:t>
      </w:r>
      <w:r w:rsidR="005A2D17">
        <w:t>5</w:t>
      </w:r>
      <w:r w:rsidR="00424791">
        <w:t xml:space="preserve"> –</w:t>
      </w:r>
      <w:r w:rsidR="00457C0E">
        <w:t xml:space="preserve"> </w:t>
      </w:r>
      <w:r w:rsidR="005A2D17">
        <w:t>Closed loop upper airways stimulation for moderate to severe obstructive sleep apnoea</w:t>
      </w:r>
    </w:p>
    <w:p w14:paraId="66D2269F" w14:textId="7479B0D6" w:rsidR="00BC1364" w:rsidRPr="00F715D1" w:rsidRDefault="00B35595" w:rsidP="00194A71">
      <w:pPr>
        <w:tabs>
          <w:tab w:val="left" w:pos="3686"/>
        </w:tabs>
        <w:spacing w:after="240"/>
        <w:ind w:left="1440" w:hanging="14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AB74E5">
        <w:rPr>
          <w:rFonts w:ascii="Arial" w:hAnsi="Arial" w:cs="Arial"/>
          <w:b/>
          <w:szCs w:val="24"/>
        </w:rPr>
        <w:tab/>
      </w:r>
      <w:r w:rsidR="00BC622C">
        <w:rPr>
          <w:rFonts w:ascii="Arial" w:hAnsi="Arial" w:cs="Arial"/>
          <w:b/>
          <w:szCs w:val="24"/>
        </w:rPr>
        <w:t>Inspire M</w:t>
      </w:r>
      <w:r w:rsidR="005A2D17">
        <w:rPr>
          <w:rFonts w:ascii="Arial" w:hAnsi="Arial" w:cs="Arial"/>
          <w:b/>
          <w:szCs w:val="24"/>
        </w:rPr>
        <w:t>edical Systems Inc.</w:t>
      </w:r>
    </w:p>
    <w:p w14:paraId="2720809F"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194A71">
        <w:rPr>
          <w:rFonts w:ascii="Arial" w:hAnsi="Arial" w:cs="Arial"/>
          <w:b/>
          <w:szCs w:val="24"/>
        </w:rPr>
        <w:t>80</w:t>
      </w:r>
      <w:r w:rsidR="00194A71" w:rsidRPr="00194A71">
        <w:rPr>
          <w:rFonts w:ascii="Arial" w:hAnsi="Arial" w:cs="Arial"/>
          <w:b/>
          <w:szCs w:val="24"/>
          <w:vertAlign w:val="superscript"/>
        </w:rPr>
        <w:t>th</w:t>
      </w:r>
      <w:r w:rsidR="00194A71">
        <w:rPr>
          <w:rFonts w:ascii="Arial" w:hAnsi="Arial" w:cs="Arial"/>
          <w:b/>
          <w:szCs w:val="24"/>
        </w:rPr>
        <w:t xml:space="preserve"> </w:t>
      </w:r>
      <w:r w:rsidRPr="00F715D1">
        <w:rPr>
          <w:rFonts w:ascii="Arial" w:hAnsi="Arial" w:cs="Arial"/>
          <w:b/>
          <w:szCs w:val="24"/>
        </w:rPr>
        <w:t xml:space="preserve">Meeting, </w:t>
      </w:r>
      <w:r w:rsidR="00194A71">
        <w:rPr>
          <w:rFonts w:ascii="Arial" w:hAnsi="Arial" w:cs="Arial"/>
          <w:b/>
          <w:szCs w:val="24"/>
        </w:rPr>
        <w:t>26-27 November 2020</w:t>
      </w:r>
    </w:p>
    <w:p w14:paraId="24F32BF4" w14:textId="77777777" w:rsidR="0041184F" w:rsidRPr="00B03EAB" w:rsidRDefault="006A0D97" w:rsidP="00B03EAB">
      <w:pPr>
        <w:spacing w:after="360"/>
        <w:rPr>
          <w:color w:val="0000FF"/>
          <w:szCs w:val="24"/>
          <w:u w:val="single"/>
        </w:rPr>
      </w:pPr>
      <w:r w:rsidRPr="00F715D1">
        <w:rPr>
          <w:szCs w:val="24"/>
        </w:rPr>
        <w:t xml:space="preserve">Context for decision: </w:t>
      </w:r>
      <w:proofErr w:type="gramStart"/>
      <w:r w:rsidRPr="00F715D1">
        <w:rPr>
          <w:szCs w:val="24"/>
        </w:rPr>
        <w:t>MSAC makes its advice in accordance wit</w:t>
      </w:r>
      <w:r w:rsidR="00F715D1">
        <w:rPr>
          <w:szCs w:val="24"/>
        </w:rPr>
        <w:t>h its Terms of Reference</w:t>
      </w:r>
      <w:proofErr w:type="gramEnd"/>
      <w:r w:rsidR="00F715D1">
        <w:rPr>
          <w:szCs w:val="24"/>
        </w:rPr>
        <w:t>,</w:t>
      </w:r>
      <w:r w:rsidRPr="00F715D1">
        <w:rPr>
          <w:szCs w:val="24"/>
        </w:rPr>
        <w:t xml:space="preserve"> </w:t>
      </w:r>
      <w:hyperlink r:id="rId9" w:tooltip="Link to Medical Services Advisory Committee website" w:history="1">
        <w:proofErr w:type="gramStart"/>
        <w:r w:rsidR="00F715D1" w:rsidRPr="00F715D1">
          <w:rPr>
            <w:rStyle w:val="Hyperlink"/>
            <w:szCs w:val="24"/>
          </w:rPr>
          <w:t>visit the MSAC website</w:t>
        </w:r>
        <w:proofErr w:type="gramEnd"/>
      </w:hyperlink>
    </w:p>
    <w:p w14:paraId="1FEA0177" w14:textId="77777777" w:rsidR="003D7F29" w:rsidRPr="00F715D1" w:rsidRDefault="003D7F29" w:rsidP="00F715D1">
      <w:pPr>
        <w:pStyle w:val="Heading1"/>
      </w:pPr>
      <w:r w:rsidRPr="00F715D1">
        <w:t>Purpose of application</w:t>
      </w:r>
      <w:r w:rsidR="00822C7E" w:rsidRPr="00F715D1">
        <w:t xml:space="preserve"> </w:t>
      </w:r>
    </w:p>
    <w:p w14:paraId="6F46F331" w14:textId="47F93571" w:rsidR="00E269AD" w:rsidRDefault="00E269AD" w:rsidP="00E269AD">
      <w:r>
        <w:t xml:space="preserve">An application </w:t>
      </w:r>
      <w:r w:rsidRPr="002D2E56">
        <w:t xml:space="preserve">requesting </w:t>
      </w:r>
      <w:r w:rsidR="00B36E72">
        <w:t>Medicare Benefit</w:t>
      </w:r>
      <w:r w:rsidR="00E43EF1">
        <w:t>s</w:t>
      </w:r>
      <w:r w:rsidR="00B36E72">
        <w:t xml:space="preserve"> Schedule (</w:t>
      </w:r>
      <w:r w:rsidRPr="002D2E56">
        <w:t>MBS</w:t>
      </w:r>
      <w:r w:rsidR="00B36E72">
        <w:t>)</w:t>
      </w:r>
      <w:r w:rsidRPr="002D2E56">
        <w:t xml:space="preserve"> listing of closed </w:t>
      </w:r>
      <w:r w:rsidR="00B36E72">
        <w:t xml:space="preserve">loop </w:t>
      </w:r>
      <w:r w:rsidR="00B36E72" w:rsidRPr="005468B6">
        <w:t>upper airway stimulation (UAS) for patients who have failed or are intolerant to continuous positive airways pressure (CPAP), for the treatment of moderate to severe obstructive sleep apnoea (OSA)</w:t>
      </w:r>
      <w:r>
        <w:t xml:space="preserve"> was received from Inspire Medical Systems Inc</w:t>
      </w:r>
      <w:r w:rsidR="009041DA">
        <w:t>.</w:t>
      </w:r>
      <w:r>
        <w:t xml:space="preserve"> by the Department of Health.</w:t>
      </w:r>
    </w:p>
    <w:p w14:paraId="0FEC8B26" w14:textId="77777777" w:rsidR="00E977EE" w:rsidRPr="00F715D1" w:rsidRDefault="00E977EE" w:rsidP="00F715D1">
      <w:pPr>
        <w:pStyle w:val="Heading1"/>
      </w:pPr>
      <w:r w:rsidRPr="00F715D1">
        <w:t>MSAC’s advice to the Minister</w:t>
      </w:r>
    </w:p>
    <w:p w14:paraId="29AB3414" w14:textId="2616A63F" w:rsidR="00D4500F" w:rsidRDefault="00061919" w:rsidP="00D4500F">
      <w:pPr>
        <w:spacing w:after="240"/>
      </w:pPr>
      <w:r w:rsidRPr="00C22378">
        <w:t xml:space="preserve">After considering the strength of the available evidence in relation to comparative safety, clinical effectiveness and cost-effectiveness, MSAC did not support </w:t>
      </w:r>
      <w:r w:rsidR="00184625">
        <w:t xml:space="preserve">the creation of a new MBS item for </w:t>
      </w:r>
      <w:r w:rsidRPr="00C22378">
        <w:t>closed loop upper airways stimulation (UAS) for moderate to severe obstructive sleep apnoea</w:t>
      </w:r>
      <w:r>
        <w:t xml:space="preserve"> (OSA)</w:t>
      </w:r>
      <w:r w:rsidRPr="00C22378">
        <w:t xml:space="preserve">. MSAC considered the evidence did not demonstrate that the safety and effectiveness of UAS in the proposed MBS population </w:t>
      </w:r>
      <w:proofErr w:type="gramStart"/>
      <w:r w:rsidRPr="00C22378">
        <w:t>had been established</w:t>
      </w:r>
      <w:proofErr w:type="gramEnd"/>
      <w:r w:rsidRPr="00C22378">
        <w:t xml:space="preserve">. However, MSAC noted there </w:t>
      </w:r>
      <w:proofErr w:type="gramStart"/>
      <w:r w:rsidRPr="00C22378">
        <w:t>may</w:t>
      </w:r>
      <w:proofErr w:type="gramEnd"/>
      <w:r w:rsidRPr="00C22378">
        <w:t xml:space="preserve"> be a subpopulation of patients who have failed all other medical management options where UAS therapy may</w:t>
      </w:r>
      <w:r>
        <w:t xml:space="preserve"> </w:t>
      </w:r>
      <w:r w:rsidRPr="00C22378">
        <w:t>be appropriate, but that this population was not clearly defined in the application.</w:t>
      </w:r>
      <w:r>
        <w:t xml:space="preserve"> </w:t>
      </w:r>
      <w:r w:rsidRPr="00C22378">
        <w:t>MSAC considered there were significant issues with the economic modelling</w:t>
      </w:r>
      <w:r>
        <w:t>,</w:t>
      </w:r>
      <w:r w:rsidRPr="00C22378">
        <w:t xml:space="preserve"> resulting in high and uncertain </w:t>
      </w:r>
      <w:r>
        <w:t xml:space="preserve">incremental </w:t>
      </w:r>
      <w:r w:rsidRPr="00C22378">
        <w:t>cost-effectiveness</w:t>
      </w:r>
      <w:r>
        <w:t xml:space="preserve"> ratios (ICERs)</w:t>
      </w:r>
      <w:r w:rsidRPr="00C22378">
        <w:t>.</w:t>
      </w:r>
    </w:p>
    <w:tbl>
      <w:tblPr>
        <w:tblStyle w:val="TableGrid"/>
        <w:tblW w:w="0" w:type="auto"/>
        <w:tblLook w:val="04A0" w:firstRow="1" w:lastRow="0" w:firstColumn="1" w:lastColumn="0" w:noHBand="0" w:noVBand="1"/>
        <w:tblDescription w:val="Consumer summary of MSAC consideration"/>
      </w:tblPr>
      <w:tblGrid>
        <w:gridCol w:w="9016"/>
      </w:tblGrid>
      <w:tr w:rsidR="00D4500F" w14:paraId="5D59D7CD" w14:textId="77777777" w:rsidTr="00D4500F">
        <w:trPr>
          <w:tblHeader/>
        </w:trPr>
        <w:tc>
          <w:tcPr>
            <w:tcW w:w="9016" w:type="dxa"/>
          </w:tcPr>
          <w:p w14:paraId="7C582A40" w14:textId="7A2E928C" w:rsidR="00D4500F" w:rsidRPr="00D4500F" w:rsidRDefault="00D4500F" w:rsidP="00D4500F">
            <w:pPr>
              <w:spacing w:before="120" w:after="120"/>
              <w:rPr>
                <w:b/>
              </w:rPr>
            </w:pPr>
            <w:r w:rsidRPr="00D4500F">
              <w:rPr>
                <w:b/>
              </w:rPr>
              <w:t>Consumer summary</w:t>
            </w:r>
          </w:p>
        </w:tc>
      </w:tr>
      <w:tr w:rsidR="00D4500F" w14:paraId="7E6CB339" w14:textId="77777777" w:rsidTr="00D4500F">
        <w:tc>
          <w:tcPr>
            <w:tcW w:w="9016" w:type="dxa"/>
          </w:tcPr>
          <w:p w14:paraId="4C6FEA50" w14:textId="77777777" w:rsidR="00D4500F" w:rsidRDefault="00D4500F" w:rsidP="00D4500F">
            <w:pPr>
              <w:spacing w:before="120" w:after="240"/>
            </w:pPr>
            <w:r>
              <w:t xml:space="preserve">Inspire Medical Systems Inc. applied for public funding </w:t>
            </w:r>
            <w:proofErr w:type="gramStart"/>
            <w:r>
              <w:t>via the Medicare Benefits Schedule (MBS) for closed loop upper airways stimulation (UAS) for moderate to severe obstructive sleep apnoea (OSA)</w:t>
            </w:r>
            <w:proofErr w:type="gramEnd"/>
            <w:r>
              <w:t>.</w:t>
            </w:r>
          </w:p>
          <w:p w14:paraId="5B1E331F" w14:textId="348F7505" w:rsidR="00D4500F" w:rsidRDefault="00D4500F" w:rsidP="00D4500F">
            <w:pPr>
              <w:spacing w:after="240"/>
            </w:pPr>
            <w:r>
              <w:t xml:space="preserve">OSA is a sleep disorder where a person’s upper airway </w:t>
            </w:r>
            <w:proofErr w:type="gramStart"/>
            <w:r>
              <w:t>becomes completely or partially blocked</w:t>
            </w:r>
            <w:proofErr w:type="gramEnd"/>
            <w:r>
              <w:t xml:space="preserve"> during sleep. “Apnoea” is when breathing stops for 10 seconds or more. In moderate to severe OSA, people have greater than 15 to 30 episodes of airway blockage every hour, which leads to poor sleep.</w:t>
            </w:r>
          </w:p>
          <w:p w14:paraId="0F6BAF34" w14:textId="77777777" w:rsidR="00D4500F" w:rsidRDefault="00D4500F" w:rsidP="00D4500F">
            <w:pPr>
              <w:spacing w:after="240"/>
            </w:pPr>
            <w:r>
              <w:lastRenderedPageBreak/>
              <w:t xml:space="preserve">Closed loop UAS aims to stimulate a person’s hypoglossal nerve when they are asleep. The hypoglossal nerve controls muscles in the upper airway and base of the tongue. The UAS system is a device that has to </w:t>
            </w:r>
            <w:proofErr w:type="gramStart"/>
            <w:r>
              <w:t>be inserted</w:t>
            </w:r>
            <w:proofErr w:type="gramEnd"/>
            <w:r>
              <w:t xml:space="preserve"> during surgery. It has a lead that senses the </w:t>
            </w:r>
            <w:proofErr w:type="gramStart"/>
            <w:r>
              <w:t>person’s</w:t>
            </w:r>
            <w:proofErr w:type="gramEnd"/>
            <w:r>
              <w:t xml:space="preserve"> breathing. When breathing stops, the intent of the device is to send a mild electrical signal through another lead to the hypoglossal nerve, stimulating the nerve and opening the airways, which may allow the person to breathe more easily.</w:t>
            </w:r>
          </w:p>
          <w:p w14:paraId="312D266C" w14:textId="77777777" w:rsidR="00D4500F" w:rsidRDefault="00D4500F" w:rsidP="00D4500F">
            <w:pPr>
              <w:spacing w:after="240"/>
            </w:pPr>
            <w:r>
              <w:t xml:space="preserve">The Medical Services Advisory Committee (MSAC) considered that the evidence in the application did not show that closed loop UAS is safe and effective for most people. Some patients improved after using the device, but others did not improve, and some people got worse. MSAC noted there </w:t>
            </w:r>
            <w:proofErr w:type="gramStart"/>
            <w:r>
              <w:t>may</w:t>
            </w:r>
            <w:proofErr w:type="gramEnd"/>
            <w:r>
              <w:t xml:space="preserve"> be a subgroup of patients that UAS would be appropriate for, but this was not shown in the application.</w:t>
            </w:r>
          </w:p>
          <w:p w14:paraId="2C27D07B" w14:textId="77777777" w:rsidR="00D4500F" w:rsidRDefault="00D4500F" w:rsidP="00D4500F">
            <w:pPr>
              <w:spacing w:after="240"/>
            </w:pPr>
            <w:r>
              <w:t>MSAC also noted there were critical issues with the economic model that made it very uncertain if UAS would be good value for money.</w:t>
            </w:r>
          </w:p>
          <w:p w14:paraId="0E75D0F5" w14:textId="77777777" w:rsidR="00D4500F" w:rsidRPr="00D4500F" w:rsidRDefault="00D4500F" w:rsidP="00D4500F">
            <w:pPr>
              <w:spacing w:after="120"/>
              <w:rPr>
                <w:b/>
              </w:rPr>
            </w:pPr>
            <w:r w:rsidRPr="00D4500F">
              <w:rPr>
                <w:b/>
              </w:rPr>
              <w:t>MSAC’s advice to the Commonwealth Minister for Health</w:t>
            </w:r>
          </w:p>
          <w:p w14:paraId="5AB8CBBB" w14:textId="58DE0B6A" w:rsidR="00D4500F" w:rsidRDefault="00D4500F" w:rsidP="00D4500F">
            <w:pPr>
              <w:spacing w:after="120"/>
            </w:pPr>
            <w:r>
              <w:t>MSAC did not support MBS funding for closed loop UAS for people with moderate to severe OSA. This is because MSAC was not convinced that UAS was safe and effective for everyone, and was not sure if it would be good value for money.</w:t>
            </w:r>
          </w:p>
        </w:tc>
      </w:tr>
    </w:tbl>
    <w:p w14:paraId="02524839" w14:textId="77777777" w:rsidR="00550354" w:rsidRPr="00F715D1" w:rsidRDefault="00550354" w:rsidP="00F715D1">
      <w:pPr>
        <w:pStyle w:val="Heading1"/>
      </w:pPr>
      <w:r w:rsidRPr="00F715D1">
        <w:lastRenderedPageBreak/>
        <w:t xml:space="preserve">Summary of consideration and rationale for MSAC’s advice </w:t>
      </w:r>
    </w:p>
    <w:p w14:paraId="461E1B86" w14:textId="6082CE29" w:rsidR="002D670D" w:rsidRDefault="002D670D" w:rsidP="00921914">
      <w:pPr>
        <w:spacing w:after="240"/>
      </w:pPr>
      <w:r>
        <w:t>MSAC</w:t>
      </w:r>
      <w:r w:rsidRPr="00BA14A3">
        <w:t xml:space="preserve"> noted the purpose of the application requesting MBS listing of closed loop UAS for patients who have failed or are intolerant to CPAP, for the treatment of moderate to severe OSA.</w:t>
      </w:r>
    </w:p>
    <w:p w14:paraId="12A63BCF" w14:textId="04123AE5" w:rsidR="00F85BEA" w:rsidRDefault="002D670D" w:rsidP="002D670D">
      <w:r>
        <w:t xml:space="preserve">MSAC noted that drug-induced sleep endoscopy (DISE) is a required prior test for closed loop UAS, but DISE </w:t>
      </w:r>
      <w:proofErr w:type="gramStart"/>
      <w:r>
        <w:t>is not listed</w:t>
      </w:r>
      <w:proofErr w:type="gramEnd"/>
      <w:r>
        <w:t xml:space="preserve"> on the MBS and little </w:t>
      </w:r>
      <w:r w:rsidR="00D007E1">
        <w:t>is known about its utilisation.</w:t>
      </w:r>
    </w:p>
    <w:p w14:paraId="1FB99B27" w14:textId="76AA12CB" w:rsidR="002D670D" w:rsidRDefault="00F85BEA" w:rsidP="00D4500F">
      <w:pPr>
        <w:spacing w:before="240"/>
      </w:pPr>
      <w:r>
        <w:t xml:space="preserve">MSAC noted that OSA </w:t>
      </w:r>
      <w:r w:rsidR="004667C2">
        <w:t xml:space="preserve">has </w:t>
      </w:r>
      <w:r w:rsidR="00C015E4">
        <w:t xml:space="preserve">significant morbidity. </w:t>
      </w:r>
      <w:r w:rsidR="002D670D">
        <w:t>MSAC noted the estimated prevalence of OSA in Australia ranges from 4.7% (2.2% for women and 7.2% for men, Deloitte 2011) to 8.3% (3.7% for women and 12.9% for men, Sleep Health Sur</w:t>
      </w:r>
      <w:r w:rsidR="00D007E1">
        <w:t>vey of Australian Adults 2016).</w:t>
      </w:r>
    </w:p>
    <w:p w14:paraId="60A7CE2D" w14:textId="3E99F992" w:rsidR="009C1631" w:rsidRDefault="002D670D" w:rsidP="00D4500F">
      <w:pPr>
        <w:spacing w:before="240" w:after="240"/>
      </w:pPr>
      <w:r>
        <w:t>MSAC considered the main comparator (conservative medical management</w:t>
      </w:r>
      <w:r w:rsidR="00EC6BA9">
        <w:t>, i.e. medical management strategies [MMS]</w:t>
      </w:r>
      <w:r>
        <w:t>) to be appropriate,</w:t>
      </w:r>
      <w:r w:rsidR="00F85BEA">
        <w:t xml:space="preserve"> noting it may include weight and alcohol reduction,</w:t>
      </w:r>
      <w:r w:rsidR="00F85BEA" w:rsidRPr="00230281">
        <w:t xml:space="preserve"> sleep positioning th</w:t>
      </w:r>
      <w:r w:rsidR="00F85BEA">
        <w:t>erapy, sleep hygiene education,</w:t>
      </w:r>
      <w:r w:rsidR="00F85BEA" w:rsidRPr="00230281">
        <w:t xml:space="preserve"> and use of mandibular advancement appliances.</w:t>
      </w:r>
      <w:r>
        <w:t xml:space="preserve"> </w:t>
      </w:r>
      <w:r w:rsidR="00F85BEA">
        <w:t xml:space="preserve">MSAC </w:t>
      </w:r>
      <w:r>
        <w:t>noted the</w:t>
      </w:r>
      <w:r w:rsidR="004D5B6F" w:rsidRPr="004D5B6F">
        <w:t xml:space="preserve"> </w:t>
      </w:r>
      <w:r w:rsidR="00014516">
        <w:t>application</w:t>
      </w:r>
      <w:r w:rsidR="00052555">
        <w:t xml:space="preserve"> used the </w:t>
      </w:r>
      <w:r w:rsidR="00052555" w:rsidRPr="000F0AE8">
        <w:rPr>
          <w:szCs w:val="24"/>
        </w:rPr>
        <w:t>embedded randomised withdrawal study</w:t>
      </w:r>
      <w:r w:rsidR="00052555">
        <w:rPr>
          <w:szCs w:val="24"/>
        </w:rPr>
        <w:t xml:space="preserve"> in the </w:t>
      </w:r>
      <w:r>
        <w:t xml:space="preserve">STAR trial </w:t>
      </w:r>
      <w:r w:rsidR="00052555">
        <w:t>to demonstrate treatment effect of the</w:t>
      </w:r>
      <w:r>
        <w:t xml:space="preserve"> closed loop UAS with medical management. The commentary considered that the literature searches were not satisfactory. However, MSAC was not aware of any additional trials that could have been included</w:t>
      </w:r>
      <w:r w:rsidR="00D007E1">
        <w:t xml:space="preserve"> in the assessment.</w:t>
      </w:r>
    </w:p>
    <w:p w14:paraId="6054BF9B" w14:textId="33EBD5FD" w:rsidR="002D670D" w:rsidRDefault="002D670D" w:rsidP="002D670D">
      <w:r>
        <w:t xml:space="preserve">MSAC noted that the STAR trial excluded patients with an apnoea–hypopnoea index (AHI) of less than 20, although the current application is for patients with AHI </w:t>
      </w:r>
      <w:r>
        <w:sym w:font="Symbol" w:char="F0B3"/>
      </w:r>
      <w:r>
        <w:t xml:space="preserve">15. MSAC also noted that patients were eligible for the trial if they “had difficulty accepting or adhering to CPAP treatment”; MSAC considered that the generalisability of this to the proposed Australian population was unclear. MSAC considered that </w:t>
      </w:r>
      <w:r w:rsidR="00052555">
        <w:t xml:space="preserve">duration of </w:t>
      </w:r>
      <w:r>
        <w:t>follow-up in the STAR trial was adequate, but noted that, at the 5-year time point, only 56% of study participants (n = 71) completed a p</w:t>
      </w:r>
      <w:r w:rsidRPr="00FD1620">
        <w:t>olysomnography</w:t>
      </w:r>
      <w:r w:rsidR="00D007E1">
        <w:t xml:space="preserve"> (PSG) sleep study.</w:t>
      </w:r>
    </w:p>
    <w:p w14:paraId="62825361" w14:textId="3EBD800A" w:rsidR="002D670D" w:rsidRDefault="002D670D" w:rsidP="002D670D">
      <w:r>
        <w:lastRenderedPageBreak/>
        <w:t xml:space="preserve">MSAC </w:t>
      </w:r>
      <w:r w:rsidR="001464E9">
        <w:t xml:space="preserve">noted that the ADAR did not compare </w:t>
      </w:r>
      <w:r>
        <w:t xml:space="preserve">closed loop UAS with </w:t>
      </w:r>
      <w:proofErr w:type="spellStart"/>
      <w:r w:rsidRPr="00131EC2">
        <w:t>uvulopalatopharyngoplasty</w:t>
      </w:r>
      <w:proofErr w:type="spellEnd"/>
      <w:r>
        <w:t xml:space="preserve"> (UPPP, supplementary comparator) </w:t>
      </w:r>
      <w:r w:rsidR="001464E9">
        <w:t xml:space="preserve">as the SKUP trial </w:t>
      </w:r>
      <w:r w:rsidR="001464E9" w:rsidRPr="007D75D8">
        <w:rPr>
          <w:szCs w:val="24"/>
        </w:rPr>
        <w:t xml:space="preserve">had substantial differences to the STAR </w:t>
      </w:r>
      <w:r w:rsidR="001464E9">
        <w:rPr>
          <w:szCs w:val="24"/>
        </w:rPr>
        <w:t>trial</w:t>
      </w:r>
      <w:r w:rsidR="001464E9">
        <w:t xml:space="preserve"> in terms of</w:t>
      </w:r>
      <w:r>
        <w:t xml:space="preserve"> differences in baseline characteristics, u</w:t>
      </w:r>
      <w:r w:rsidR="00D4500F">
        <w:t>se of DISE and follow-up times.</w:t>
      </w:r>
    </w:p>
    <w:p w14:paraId="37135C39" w14:textId="0DBD1769" w:rsidR="002D670D" w:rsidRDefault="002D670D" w:rsidP="00D4500F">
      <w:pPr>
        <w:spacing w:before="240"/>
      </w:pPr>
      <w:r>
        <w:t>MSAC reviewed the comparative safety, noting that</w:t>
      </w:r>
      <w:r w:rsidR="005A4D4A">
        <w:t xml:space="preserve"> after 5 years</w:t>
      </w:r>
      <w:r w:rsidR="009C1631">
        <w:t xml:space="preserve"> follow-up from the STAR trial</w:t>
      </w:r>
      <w:r w:rsidR="005A4D4A">
        <w:t xml:space="preserve">, 8/126 (6%) had </w:t>
      </w:r>
      <w:proofErr w:type="gramStart"/>
      <w:r w:rsidR="005A4D4A">
        <w:t>9</w:t>
      </w:r>
      <w:proofErr w:type="gramEnd"/>
      <w:r w:rsidR="005A4D4A">
        <w:t xml:space="preserve"> serious device related adverse events requiring surgical repositioning or replacement. </w:t>
      </w:r>
      <w:r w:rsidR="009C1631">
        <w:t>MSAC also noted from a systematic review (</w:t>
      </w:r>
      <w:proofErr w:type="spellStart"/>
      <w:r w:rsidR="009C1631">
        <w:t>Certal</w:t>
      </w:r>
      <w:proofErr w:type="spellEnd"/>
      <w:r w:rsidR="009C1631">
        <w:t xml:space="preserve"> 2015), 9/200 (4.5%) patients had serious device-related adverse events that led to removal of the device. </w:t>
      </w:r>
      <w:r w:rsidR="005A4D4A">
        <w:t xml:space="preserve">MSAC agreed with ESC and considered the claim of inferior safety </w:t>
      </w:r>
      <w:r w:rsidR="00D345AC">
        <w:t>of</w:t>
      </w:r>
      <w:r w:rsidR="005A4D4A">
        <w:t xml:space="preserve"> closed loop UAS compared with </w:t>
      </w:r>
      <w:r w:rsidR="00304328">
        <w:t xml:space="preserve">medical management </w:t>
      </w:r>
      <w:r w:rsidR="005A4D4A">
        <w:t>to be reasonable.</w:t>
      </w:r>
    </w:p>
    <w:p w14:paraId="6C4EA7C2" w14:textId="3C0F0243" w:rsidR="002D670D" w:rsidRDefault="002D670D" w:rsidP="00D4500F">
      <w:pPr>
        <w:spacing w:before="240"/>
      </w:pPr>
      <w:r>
        <w:t>MSAC reviewed the comparative effectiveness, noting that, overall, patients improved over 12 months using closed loop UAS, as measured by AHI, oxygen desaturation index (ODI), Epworth Sleepiness Scale (ESS) and Functional Outcomes of Sleep Questionnaire (FOSQ). However, some patients did not respond, and others deteriorated. MSAC agreed with ESC that the withdrawal study did not demonstrate that closed loop UAS was superior to medical management. MSAC noted ESCs concerns that ESS is a subjective measure, but considered that this is the most commo</w:t>
      </w:r>
      <w:r w:rsidR="00D4500F">
        <w:t>nly used measure of sleepiness.</w:t>
      </w:r>
    </w:p>
    <w:p w14:paraId="17C6C8F8" w14:textId="48E713F1" w:rsidR="00921914" w:rsidRDefault="002D670D" w:rsidP="00D4500F">
      <w:pPr>
        <w:spacing w:before="240"/>
      </w:pPr>
      <w:r>
        <w:t xml:space="preserve">MSAC reviewed the economic evaluation, noting translation issues relating to the generalisability of the population in the STAR trial to the proposed Australian population. MSAC agreed with ESC </w:t>
      </w:r>
      <w:r w:rsidR="00921914">
        <w:t>that:</w:t>
      </w:r>
    </w:p>
    <w:p w14:paraId="1F77776A" w14:textId="5966C605" w:rsidR="00921914" w:rsidRDefault="00560A97" w:rsidP="00921914">
      <w:pPr>
        <w:pStyle w:val="ListParagraph"/>
        <w:numPr>
          <w:ilvl w:val="0"/>
          <w:numId w:val="36"/>
        </w:numPr>
      </w:pPr>
      <w:r>
        <w:t>t</w:t>
      </w:r>
      <w:r w:rsidR="00921914">
        <w:t xml:space="preserve">he </w:t>
      </w:r>
      <w:r w:rsidR="002D670D">
        <w:t>economic model was overly simplistic</w:t>
      </w:r>
      <w:r w:rsidR="00921914">
        <w:t xml:space="preserve">- alternative models have relevant health states noting the </w:t>
      </w:r>
      <w:r>
        <w:t xml:space="preserve">National Institute for Clinical Excellence (NICE) model for CPAP in OSA (McDaid 2009) </w:t>
      </w:r>
      <w:r w:rsidR="00921914">
        <w:t>uses blood pressure to drive cardiac (Framing</w:t>
      </w:r>
      <w:r>
        <w:t xml:space="preserve">ham equation) and stroke events; whereas </w:t>
      </w:r>
      <w:proofErr w:type="spellStart"/>
      <w:r>
        <w:t>Pietzch</w:t>
      </w:r>
      <w:proofErr w:type="spellEnd"/>
      <w:r>
        <w:t xml:space="preserve"> et al. 2015 uses changes in AHI. MSAC noted that ESS </w:t>
      </w:r>
      <w:r w:rsidR="00921914">
        <w:t>is</w:t>
      </w:r>
      <w:r>
        <w:t xml:space="preserve"> the</w:t>
      </w:r>
      <w:r w:rsidR="00921914">
        <w:t xml:space="preserve"> only trial outcome in the</w:t>
      </w:r>
      <w:r>
        <w:t xml:space="preserve"> model and queried if AHI should also be included</w:t>
      </w:r>
    </w:p>
    <w:p w14:paraId="22DFD0E4" w14:textId="77777777" w:rsidR="00560A97" w:rsidRDefault="002D670D" w:rsidP="00921914">
      <w:pPr>
        <w:pStyle w:val="ListParagraph"/>
        <w:numPr>
          <w:ilvl w:val="0"/>
          <w:numId w:val="36"/>
        </w:numPr>
      </w:pPr>
      <w:r>
        <w:t xml:space="preserve">that the 45-year time horizon was too long, and </w:t>
      </w:r>
    </w:p>
    <w:p w14:paraId="5CEE296D" w14:textId="77777777" w:rsidR="00560A97" w:rsidRDefault="002D670D" w:rsidP="00921914">
      <w:pPr>
        <w:pStyle w:val="ListParagraph"/>
        <w:numPr>
          <w:ilvl w:val="0"/>
          <w:numId w:val="36"/>
        </w:numPr>
      </w:pPr>
      <w:proofErr w:type="gramStart"/>
      <w:r>
        <w:t>that</w:t>
      </w:r>
      <w:proofErr w:type="gramEnd"/>
      <w:r>
        <w:t xml:space="preserve"> the effect size</w:t>
      </w:r>
      <w:r w:rsidR="00964C38">
        <w:t xml:space="preserve"> of UAS on mortality</w:t>
      </w:r>
      <w:r w:rsidR="00921914">
        <w:t xml:space="preserve"> estimated from longitudinal population study (Young 2008)</w:t>
      </w:r>
      <w:r>
        <w:t xml:space="preserve"> may be overestimated.</w:t>
      </w:r>
      <w:r w:rsidR="00A73F85">
        <w:t xml:space="preserve"> </w:t>
      </w:r>
    </w:p>
    <w:p w14:paraId="5AAB8EBF" w14:textId="7B5B9F6F" w:rsidR="009214C0" w:rsidRDefault="003E2CB2" w:rsidP="00D4500F">
      <w:pPr>
        <w:spacing w:before="240"/>
      </w:pPr>
      <w:r>
        <w:t xml:space="preserve">Furthermore, </w:t>
      </w:r>
      <w:r w:rsidR="002D670D">
        <w:t>MSAC</w:t>
      </w:r>
      <w:r w:rsidR="00964C38">
        <w:t xml:space="preserve"> </w:t>
      </w:r>
      <w:r>
        <w:t xml:space="preserve">noted the economics </w:t>
      </w:r>
      <w:proofErr w:type="gramStart"/>
      <w:r>
        <w:t>was driven by a reduction in mortality from UAS</w:t>
      </w:r>
      <w:r w:rsidR="009214C0">
        <w:t xml:space="preserve"> but noted that the STAR trial did not assess mortality or cardiac event outcomes, though Woodson 2014 described blood pressure</w:t>
      </w:r>
      <w:r w:rsidR="001D34F9">
        <w:t xml:space="preserve"> measurements</w:t>
      </w:r>
      <w:proofErr w:type="gramEnd"/>
      <w:r w:rsidR="009214C0">
        <w:t xml:space="preserve">. MSAC also </w:t>
      </w:r>
      <w:r w:rsidR="002D670D">
        <w:t>noted the SAVE study – a large trial of CPAP in patients with cardiovascular disease – showed no effect of CPAP on mortality</w:t>
      </w:r>
      <w:r w:rsidR="001D34F9">
        <w:t xml:space="preserve"> </w:t>
      </w:r>
      <w:r w:rsidR="00EC6BA9">
        <w:t>or</w:t>
      </w:r>
      <w:r w:rsidR="001D34F9">
        <w:t xml:space="preserve"> cardiovascular outcomes</w:t>
      </w:r>
      <w:r w:rsidR="001D34F9">
        <w:rPr>
          <w:rStyle w:val="FootnoteReference"/>
        </w:rPr>
        <w:footnoteReference w:id="1"/>
      </w:r>
      <w:r w:rsidR="00F42810">
        <w:t xml:space="preserve">. However, </w:t>
      </w:r>
      <w:r w:rsidR="002D670D">
        <w:t>MSAC considered that the SAVE patient population was considerably different to the proposed p</w:t>
      </w:r>
      <w:r w:rsidR="00D007E1">
        <w:t>opulation for this application.</w:t>
      </w:r>
    </w:p>
    <w:p w14:paraId="16D98140" w14:textId="18423E12" w:rsidR="002D670D" w:rsidRDefault="002D670D" w:rsidP="00D4500F">
      <w:pPr>
        <w:spacing w:before="240"/>
      </w:pPr>
      <w:r>
        <w:t xml:space="preserve">MSAC </w:t>
      </w:r>
      <w:r w:rsidR="0072495E">
        <w:t xml:space="preserve">noted </w:t>
      </w:r>
      <w:r>
        <w:t>the applicant’s pre-MSAC response, including additional sensitivity analyses relating to the time horizon</w:t>
      </w:r>
      <w:r w:rsidR="008A3FEC">
        <w:t xml:space="preserve"> (20 years)</w:t>
      </w:r>
      <w:r>
        <w:t xml:space="preserve"> and mortality hazard ratios, as well as further</w:t>
      </w:r>
      <w:r w:rsidR="00B07401">
        <w:t xml:space="preserve"> sensitivity</w:t>
      </w:r>
      <w:r>
        <w:t xml:space="preserve"> analys</w:t>
      </w:r>
      <w:r w:rsidR="00B07401">
        <w:t>e</w:t>
      </w:r>
      <w:r>
        <w:t>s by the Department</w:t>
      </w:r>
      <w:r w:rsidR="008A3FEC">
        <w:t xml:space="preserve"> to include ICERs</w:t>
      </w:r>
      <w:r w:rsidR="00580142">
        <w:t xml:space="preserve"> </w:t>
      </w:r>
      <w:r w:rsidR="008A3FEC">
        <w:t>over 15 years</w:t>
      </w:r>
      <w:r w:rsidR="00EA0792">
        <w:t xml:space="preserve"> </w:t>
      </w:r>
      <w:r w:rsidR="00B07401">
        <w:t xml:space="preserve">- </w:t>
      </w:r>
      <w:r w:rsidR="001D34F9">
        <w:t xml:space="preserve">also </w:t>
      </w:r>
      <w:r w:rsidR="008A3FEC">
        <w:t xml:space="preserve">agreed </w:t>
      </w:r>
      <w:r w:rsidR="001D34F9">
        <w:t xml:space="preserve">by ESC </w:t>
      </w:r>
      <w:r w:rsidR="008A3FEC">
        <w:t>as</w:t>
      </w:r>
      <w:r w:rsidR="00580142">
        <w:t xml:space="preserve"> an</w:t>
      </w:r>
      <w:r w:rsidR="008A3FEC">
        <w:t xml:space="preserve"> appropriate time horizon</w:t>
      </w:r>
      <w:r>
        <w:t>. MSAC noted that the ICER was</w:t>
      </w:r>
      <w:r w:rsidR="00B07401">
        <w:t xml:space="preserve"> highly sensitive to these changes</w:t>
      </w:r>
      <w:r>
        <w:t xml:space="preserve"> </w:t>
      </w:r>
      <w:r w:rsidR="00B07401">
        <w:t xml:space="preserve">and </w:t>
      </w:r>
      <w:r>
        <w:t xml:space="preserve">up to three times the base case in some scenarios. </w:t>
      </w:r>
      <w:r w:rsidR="00135ADA">
        <w:t xml:space="preserve">MSAC </w:t>
      </w:r>
      <w:r w:rsidR="00B07401">
        <w:t xml:space="preserve">also </w:t>
      </w:r>
      <w:r w:rsidR="00135ADA">
        <w:t>noted t</w:t>
      </w:r>
      <w:r>
        <w:t>he largest cost is the device itself</w:t>
      </w:r>
      <w:r w:rsidR="00135ADA">
        <w:t xml:space="preserve"> and advised that the device cost</w:t>
      </w:r>
      <w:r>
        <w:t xml:space="preserve"> would need to </w:t>
      </w:r>
      <w:proofErr w:type="gramStart"/>
      <w:r>
        <w:t>be substantially reduced</w:t>
      </w:r>
      <w:proofErr w:type="gramEnd"/>
      <w:r>
        <w:t xml:space="preserve"> to achieve cost-effectiveness </w:t>
      </w:r>
      <w:r w:rsidR="00135ADA">
        <w:t xml:space="preserve">if it was to be considered by the Prostheses List Advisory Committee (PLAC) </w:t>
      </w:r>
      <w:r>
        <w:t xml:space="preserve">for </w:t>
      </w:r>
      <w:r w:rsidR="00D007E1">
        <w:t>listing on the Prostheses List.</w:t>
      </w:r>
    </w:p>
    <w:p w14:paraId="3592390C" w14:textId="07816A59" w:rsidR="00F85BEA" w:rsidRDefault="009C1631" w:rsidP="002D670D">
      <w:r>
        <w:lastRenderedPageBreak/>
        <w:t xml:space="preserve">MSAC noted the application did not use the prevalence data from the Deloitte report (2011), but used data from sleep studies and estimated that the eligible population would be around 20,000 people. </w:t>
      </w:r>
      <w:r w:rsidR="00F85BEA">
        <w:t>MSAC</w:t>
      </w:r>
      <w:r w:rsidR="00014516">
        <w:t xml:space="preserve"> noted the utilisation estimates indicating that the eligible patient population is very large and</w:t>
      </w:r>
      <w:r w:rsidR="00F85BEA">
        <w:t xml:space="preserve"> was concerned there would be issues with equitable access given the predicted capacity of treatment centres indicates only 0.7% of the estimated eligible patients would receive the intervention.</w:t>
      </w:r>
      <w:r w:rsidR="008A3FEC">
        <w:t xml:space="preserve"> </w:t>
      </w:r>
      <w:r>
        <w:t xml:space="preserve">MSAC considered that utilisation is likely to </w:t>
      </w:r>
      <w:proofErr w:type="gramStart"/>
      <w:r>
        <w:t>be limited</w:t>
      </w:r>
      <w:proofErr w:type="gramEnd"/>
      <w:r>
        <w:t xml:space="preserve"> by the capacity of treatment centres and specialists. </w:t>
      </w:r>
      <w:r w:rsidR="008A3FEC">
        <w:t>MSAC considered that the costs</w:t>
      </w:r>
      <w:r>
        <w:t xml:space="preserve"> to the MBS, and in particular private health insurance,</w:t>
      </w:r>
      <w:r w:rsidR="008A3FEC">
        <w:t xml:space="preserve"> were substantial given the low estimated number of patients who </w:t>
      </w:r>
      <w:proofErr w:type="gramStart"/>
      <w:r>
        <w:t>were estimated</w:t>
      </w:r>
      <w:proofErr w:type="gramEnd"/>
      <w:r>
        <w:t xml:space="preserve"> to</w:t>
      </w:r>
      <w:r w:rsidR="008A3FEC">
        <w:t xml:space="preserve"> receive the device.</w:t>
      </w:r>
    </w:p>
    <w:p w14:paraId="134BBAD7" w14:textId="73579AF0" w:rsidR="002D670D" w:rsidRDefault="002D670D" w:rsidP="00D4500F">
      <w:pPr>
        <w:spacing w:before="240"/>
      </w:pPr>
      <w:r>
        <w:t xml:space="preserve">MSAC considered that the place of closed loop UAS in clinical management would be as a last resort for patients who had failed all other </w:t>
      </w:r>
      <w:r w:rsidR="00A73F85">
        <w:t>conservative medical management options</w:t>
      </w:r>
      <w:r>
        <w:t>. MSAC queried whether a subgroup of patients could be identified for whom closed loop UAS is a last resort, as a way to re</w:t>
      </w:r>
      <w:r w:rsidR="00D4500F">
        <w:t>strict the eligible population.</w:t>
      </w:r>
    </w:p>
    <w:p w14:paraId="63819ECA" w14:textId="264CF879" w:rsidR="00AA3FA8" w:rsidRDefault="002D670D" w:rsidP="00D4500F">
      <w:pPr>
        <w:spacing w:before="240"/>
      </w:pPr>
      <w:r>
        <w:t xml:space="preserve">MSAC considered that any resubmission would need to </w:t>
      </w:r>
      <w:r w:rsidR="00E42E16">
        <w:t xml:space="preserve">refine and </w:t>
      </w:r>
      <w:r>
        <w:t>clearly define the eligible population</w:t>
      </w:r>
      <w:r w:rsidR="00E42E16">
        <w:t xml:space="preserve">, </w:t>
      </w:r>
      <w:r>
        <w:t xml:space="preserve">including the use of DISE </w:t>
      </w:r>
      <w:r w:rsidR="0072495E">
        <w:t>(</w:t>
      </w:r>
      <w:r w:rsidR="00E42E16">
        <w:t xml:space="preserve">which </w:t>
      </w:r>
      <w:proofErr w:type="gramStart"/>
      <w:r w:rsidR="00E42E16">
        <w:t>is not listed</w:t>
      </w:r>
      <w:proofErr w:type="gramEnd"/>
      <w:r w:rsidR="00E42E16">
        <w:t xml:space="preserve"> on the MBS</w:t>
      </w:r>
      <w:r w:rsidR="0072495E">
        <w:t>)</w:t>
      </w:r>
      <w:r>
        <w:t xml:space="preserve"> and potentially restrict the population to a subgroup for whom closed loop UAS is a last resort</w:t>
      </w:r>
      <w:r w:rsidR="00E42E16">
        <w:t xml:space="preserve">. </w:t>
      </w:r>
      <w:proofErr w:type="gramStart"/>
      <w:r w:rsidR="00E42E16">
        <w:t>The resubmission would also need to provide evidence to support use in this refined population and the criteria/mechanisms to ensure the procedure is not used in patients outside of this refined eligible population</w:t>
      </w:r>
      <w:r>
        <w:t xml:space="preserve">; reduce the cost of the device; and </w:t>
      </w:r>
      <w:r w:rsidR="003E2CB2">
        <w:t xml:space="preserve">consistent with ESC advice </w:t>
      </w:r>
      <w:r>
        <w:t>improve the economic model in terms of structure, time horizon, effect size estimate and consideration of device replacement</w:t>
      </w:r>
      <w:r w:rsidR="00AA3FA8">
        <w:t xml:space="preserve"> (</w:t>
      </w:r>
      <w:r w:rsidR="00984B27">
        <w:fldChar w:fldCharType="begin"/>
      </w:r>
      <w:r w:rsidR="00984B27">
        <w:instrText xml:space="preserve"> REF _Ref60640927 \h </w:instrText>
      </w:r>
      <w:r w:rsidR="00984B27">
        <w:fldChar w:fldCharType="separate"/>
      </w:r>
      <w:r w:rsidR="00984B27">
        <w:t xml:space="preserve">Table </w:t>
      </w:r>
      <w:r w:rsidR="00984B27">
        <w:rPr>
          <w:noProof/>
        </w:rPr>
        <w:t>1</w:t>
      </w:r>
      <w:r w:rsidR="00984B27">
        <w:fldChar w:fldCharType="end"/>
      </w:r>
      <w:r w:rsidR="00AA3FA8">
        <w:t>)</w:t>
      </w:r>
      <w:r>
        <w:t>.</w:t>
      </w:r>
      <w:proofErr w:type="gramEnd"/>
    </w:p>
    <w:p w14:paraId="09B58C0B" w14:textId="01FDCBFA" w:rsidR="00AA3FA8" w:rsidRPr="00875ED2" w:rsidRDefault="00AA3FA8" w:rsidP="00D4500F">
      <w:pPr>
        <w:spacing w:before="240"/>
        <w:rPr>
          <w:rFonts w:ascii="Arial Narrow" w:hAnsi="Arial Narrow"/>
          <w:b/>
          <w:sz w:val="20"/>
        </w:rPr>
      </w:pPr>
      <w:bookmarkStart w:id="0" w:name="_Ref60640927"/>
      <w:r w:rsidRPr="00875ED2">
        <w:rPr>
          <w:rFonts w:ascii="Arial Narrow" w:hAnsi="Arial Narrow"/>
          <w:b/>
          <w:sz w:val="20"/>
        </w:rPr>
        <w:t xml:space="preserve">Table </w:t>
      </w:r>
      <w:r w:rsidR="00086098" w:rsidRPr="00875ED2">
        <w:rPr>
          <w:rFonts w:ascii="Arial Narrow" w:hAnsi="Arial Narrow"/>
          <w:b/>
          <w:sz w:val="20"/>
        </w:rPr>
        <w:fldChar w:fldCharType="begin"/>
      </w:r>
      <w:r w:rsidR="00086098" w:rsidRPr="00875ED2">
        <w:rPr>
          <w:rFonts w:ascii="Arial Narrow" w:hAnsi="Arial Narrow"/>
          <w:b/>
          <w:sz w:val="20"/>
        </w:rPr>
        <w:instrText xml:space="preserve"> SEQ Table \* ARABIC </w:instrText>
      </w:r>
      <w:r w:rsidR="00086098" w:rsidRPr="00875ED2">
        <w:rPr>
          <w:rFonts w:ascii="Arial Narrow" w:hAnsi="Arial Narrow"/>
          <w:b/>
          <w:sz w:val="20"/>
        </w:rPr>
        <w:fldChar w:fldCharType="separate"/>
      </w:r>
      <w:r w:rsidR="00D007E1" w:rsidRPr="00875ED2">
        <w:rPr>
          <w:rFonts w:ascii="Arial Narrow" w:hAnsi="Arial Narrow"/>
          <w:b/>
          <w:sz w:val="20"/>
        </w:rPr>
        <w:t>1</w:t>
      </w:r>
      <w:r w:rsidR="00086098" w:rsidRPr="00875ED2">
        <w:rPr>
          <w:rFonts w:ascii="Arial Narrow" w:hAnsi="Arial Narrow"/>
          <w:b/>
          <w:sz w:val="20"/>
        </w:rPr>
        <w:fldChar w:fldCharType="end"/>
      </w:r>
      <w:bookmarkEnd w:id="0"/>
      <w:r w:rsidRPr="00875ED2">
        <w:rPr>
          <w:rFonts w:ascii="Arial Narrow" w:hAnsi="Arial Narrow"/>
          <w:b/>
          <w:sz w:val="20"/>
        </w:rPr>
        <w:tab/>
        <w:t>Requirements for a resubmission</w:t>
      </w:r>
    </w:p>
    <w:tbl>
      <w:tblPr>
        <w:tblStyle w:val="TableGrid"/>
        <w:tblW w:w="0" w:type="auto"/>
        <w:tblLook w:val="04A0" w:firstRow="1" w:lastRow="0" w:firstColumn="1" w:lastColumn="0" w:noHBand="0" w:noVBand="1"/>
        <w:tblDescription w:val="Requirements for a resubmission"/>
      </w:tblPr>
      <w:tblGrid>
        <w:gridCol w:w="4508"/>
        <w:gridCol w:w="4508"/>
      </w:tblGrid>
      <w:tr w:rsidR="00AA3FA8" w14:paraId="22B15DD1" w14:textId="77777777" w:rsidTr="00875ED2">
        <w:trPr>
          <w:tblHeader/>
        </w:trPr>
        <w:tc>
          <w:tcPr>
            <w:tcW w:w="4508" w:type="dxa"/>
          </w:tcPr>
          <w:p w14:paraId="194C2A27" w14:textId="10522CDB" w:rsidR="00AA3FA8" w:rsidRPr="00D007E1" w:rsidRDefault="00AA3FA8" w:rsidP="00D007E1">
            <w:pPr>
              <w:pStyle w:val="Tabletext0"/>
              <w:rPr>
                <w:b/>
              </w:rPr>
            </w:pPr>
            <w:r w:rsidRPr="00D007E1">
              <w:rPr>
                <w:b/>
              </w:rPr>
              <w:t>Item</w:t>
            </w:r>
          </w:p>
        </w:tc>
        <w:tc>
          <w:tcPr>
            <w:tcW w:w="4508" w:type="dxa"/>
          </w:tcPr>
          <w:p w14:paraId="19F9E420" w14:textId="6963CBE0" w:rsidR="00AA3FA8" w:rsidRPr="00D007E1" w:rsidRDefault="00AA3FA8" w:rsidP="00D007E1">
            <w:pPr>
              <w:pStyle w:val="Tabletext0"/>
              <w:rPr>
                <w:b/>
              </w:rPr>
            </w:pPr>
            <w:r w:rsidRPr="00D007E1">
              <w:rPr>
                <w:b/>
              </w:rPr>
              <w:t>MSAC advice</w:t>
            </w:r>
          </w:p>
        </w:tc>
      </w:tr>
      <w:tr w:rsidR="00AE7899" w14:paraId="4C6D286C" w14:textId="77777777" w:rsidTr="00AA3FA8">
        <w:tc>
          <w:tcPr>
            <w:tcW w:w="4508" w:type="dxa"/>
          </w:tcPr>
          <w:p w14:paraId="703085C0" w14:textId="12FFC874" w:rsidR="00AE7899" w:rsidRDefault="00AE7899" w:rsidP="00AA3FA8">
            <w:pPr>
              <w:pStyle w:val="Tabletext0"/>
            </w:pPr>
            <w:r>
              <w:t>Use of DISE as a prior test</w:t>
            </w:r>
          </w:p>
        </w:tc>
        <w:tc>
          <w:tcPr>
            <w:tcW w:w="4508" w:type="dxa"/>
          </w:tcPr>
          <w:p w14:paraId="1087FFCD" w14:textId="6DA128F2" w:rsidR="00AE7899" w:rsidRDefault="00822369" w:rsidP="00822369">
            <w:pPr>
              <w:pStyle w:val="Tabletext0"/>
            </w:pPr>
            <w:r>
              <w:t>Address the uncertainty regarding the use of DISE as raised by ESC</w:t>
            </w:r>
          </w:p>
        </w:tc>
      </w:tr>
      <w:tr w:rsidR="00AA3FA8" w14:paraId="1A9EF81B" w14:textId="77777777" w:rsidTr="00AA3FA8">
        <w:tc>
          <w:tcPr>
            <w:tcW w:w="4508" w:type="dxa"/>
          </w:tcPr>
          <w:p w14:paraId="0968EBA1" w14:textId="18675BDF" w:rsidR="00AA3FA8" w:rsidRDefault="00AA3FA8" w:rsidP="00D007E1">
            <w:pPr>
              <w:pStyle w:val="Tabletext0"/>
            </w:pPr>
            <w:r>
              <w:t>Population</w:t>
            </w:r>
            <w:r w:rsidR="006A31C7">
              <w:t xml:space="preserve"> and clinical place</w:t>
            </w:r>
          </w:p>
        </w:tc>
        <w:tc>
          <w:tcPr>
            <w:tcW w:w="4508" w:type="dxa"/>
          </w:tcPr>
          <w:p w14:paraId="192424A8" w14:textId="35FE2AA3" w:rsidR="00AA3FA8" w:rsidRDefault="00AA3FA8" w:rsidP="00D007E1">
            <w:pPr>
              <w:pStyle w:val="Tabletext0"/>
            </w:pPr>
            <w:proofErr w:type="gramStart"/>
            <w:r>
              <w:t>T</w:t>
            </w:r>
            <w:r w:rsidRPr="00AA3FA8">
              <w:t>here may be a subpopulation of patients who have failed all other medical management options where UAS therapy may be appropriate</w:t>
            </w:r>
            <w:r>
              <w:t>.</w:t>
            </w:r>
            <w:proofErr w:type="gramEnd"/>
            <w:r>
              <w:t xml:space="preserve"> The resubmission would need to </w:t>
            </w:r>
            <w:r w:rsidR="00AE7899">
              <w:t xml:space="preserve">define this subpopulation using the appropriate </w:t>
            </w:r>
            <w:r>
              <w:t>eligibility criteria</w:t>
            </w:r>
            <w:r w:rsidR="006A31C7">
              <w:t>.</w:t>
            </w:r>
          </w:p>
        </w:tc>
      </w:tr>
      <w:tr w:rsidR="00AA3FA8" w14:paraId="47C29BDF" w14:textId="77777777" w:rsidTr="00AA3FA8">
        <w:tc>
          <w:tcPr>
            <w:tcW w:w="4508" w:type="dxa"/>
          </w:tcPr>
          <w:p w14:paraId="5FA0EAB0" w14:textId="375545CA" w:rsidR="00AA3FA8" w:rsidRDefault="006A31C7" w:rsidP="00D007E1">
            <w:pPr>
              <w:pStyle w:val="Tabletext0"/>
            </w:pPr>
            <w:r>
              <w:t>Clinical evidence</w:t>
            </w:r>
          </w:p>
        </w:tc>
        <w:tc>
          <w:tcPr>
            <w:tcW w:w="4508" w:type="dxa"/>
          </w:tcPr>
          <w:p w14:paraId="3B585BB2" w14:textId="5B940353" w:rsidR="00AA3FA8" w:rsidRDefault="006A31C7" w:rsidP="00D007E1">
            <w:pPr>
              <w:pStyle w:val="Tabletext0"/>
            </w:pPr>
            <w:r>
              <w:t>Provide evidence to support use of UAS in this refined population</w:t>
            </w:r>
          </w:p>
        </w:tc>
      </w:tr>
      <w:tr w:rsidR="00AA3FA8" w14:paraId="1F70905B" w14:textId="77777777" w:rsidTr="00AA3FA8">
        <w:tc>
          <w:tcPr>
            <w:tcW w:w="4508" w:type="dxa"/>
          </w:tcPr>
          <w:p w14:paraId="0FE29C8C" w14:textId="60A017B2" w:rsidR="00AA3FA8" w:rsidRDefault="006A31C7" w:rsidP="00D007E1">
            <w:pPr>
              <w:pStyle w:val="Tabletext0"/>
            </w:pPr>
            <w:r>
              <w:t>Economic evaluation</w:t>
            </w:r>
          </w:p>
        </w:tc>
        <w:tc>
          <w:tcPr>
            <w:tcW w:w="4508" w:type="dxa"/>
          </w:tcPr>
          <w:p w14:paraId="039C54DF" w14:textId="2F1966EF" w:rsidR="00AA3FA8" w:rsidRDefault="006A31C7" w:rsidP="00D007E1">
            <w:pPr>
              <w:pStyle w:val="Tabletext0"/>
            </w:pPr>
            <w:r>
              <w:t>Improve the economic model to address the uncertainties regarding the model structure, time horizon</w:t>
            </w:r>
            <w:r w:rsidR="004D79DC">
              <w:t xml:space="preserve"> (and device replacement due to end battery life)</w:t>
            </w:r>
            <w:r>
              <w:t>, effect size</w:t>
            </w:r>
            <w:r w:rsidR="00AF03E9">
              <w:t xml:space="preserve"> (AHI/mortality)</w:t>
            </w:r>
            <w:r>
              <w:t xml:space="preserve"> estimate</w:t>
            </w:r>
            <w:r w:rsidR="004D79DC">
              <w:t xml:space="preserve"> as raised by ESC. The resubmission should also reduce the cost of the device in order to </w:t>
            </w:r>
            <w:r w:rsidR="00AF03E9">
              <w:t>ensure</w:t>
            </w:r>
            <w:r w:rsidR="004D79DC">
              <w:t xml:space="preserve"> cost-effectiv</w:t>
            </w:r>
            <w:r w:rsidR="00451948">
              <w:t>eness.</w:t>
            </w:r>
          </w:p>
        </w:tc>
      </w:tr>
      <w:tr w:rsidR="00AF03E9" w14:paraId="2B63D9F1" w14:textId="77777777" w:rsidTr="00AA3FA8">
        <w:tc>
          <w:tcPr>
            <w:tcW w:w="4508" w:type="dxa"/>
          </w:tcPr>
          <w:p w14:paraId="6E33DE69" w14:textId="5E89DF28" w:rsidR="00AF03E9" w:rsidRDefault="00AF03E9" w:rsidP="00AA3FA8">
            <w:pPr>
              <w:pStyle w:val="Tabletext0"/>
            </w:pPr>
            <w:r>
              <w:t>Financial estimates</w:t>
            </w:r>
          </w:p>
        </w:tc>
        <w:tc>
          <w:tcPr>
            <w:tcW w:w="4508" w:type="dxa"/>
          </w:tcPr>
          <w:p w14:paraId="56E85DD0" w14:textId="73826BE2" w:rsidR="00AF03E9" w:rsidRDefault="00AF03E9" w:rsidP="00AF03E9">
            <w:pPr>
              <w:pStyle w:val="Tabletext0"/>
            </w:pPr>
            <w:r>
              <w:t>Update, as required</w:t>
            </w:r>
            <w:r w:rsidR="005C5B23">
              <w:t xml:space="preserve"> (see above)</w:t>
            </w:r>
            <w:r>
              <w:t>.</w:t>
            </w:r>
          </w:p>
        </w:tc>
      </w:tr>
    </w:tbl>
    <w:p w14:paraId="33C57221" w14:textId="6EE2326D" w:rsidR="002D670D" w:rsidRPr="00451948" w:rsidRDefault="002D670D" w:rsidP="00D007E1">
      <w:pPr>
        <w:pStyle w:val="Tablenotes1"/>
        <w:rPr>
          <w:sz w:val="24"/>
        </w:rPr>
      </w:pPr>
      <w:r>
        <w:t xml:space="preserve"> </w:t>
      </w:r>
      <w:r w:rsidR="00451948">
        <w:t xml:space="preserve">Abbreviations: </w:t>
      </w:r>
      <w:r w:rsidR="00AF03E9" w:rsidRPr="00AF03E9">
        <w:t xml:space="preserve">AHI=apnoea hypopnoea index; </w:t>
      </w:r>
      <w:r w:rsidR="00451948">
        <w:t>DISE=dr</w:t>
      </w:r>
      <w:r w:rsidR="00BF30B4">
        <w:t>ug induced sleep endoscopy; UAS=</w:t>
      </w:r>
      <w:r w:rsidR="00451948">
        <w:t>upper airway stimulation</w:t>
      </w:r>
    </w:p>
    <w:p w14:paraId="6A11FE0D" w14:textId="77777777" w:rsidR="00BC1364" w:rsidRPr="00451948" w:rsidRDefault="00BC1364" w:rsidP="00D007E1">
      <w:pPr>
        <w:pStyle w:val="Heading1"/>
      </w:pPr>
      <w:r w:rsidRPr="00451948">
        <w:t>Background</w:t>
      </w:r>
    </w:p>
    <w:p w14:paraId="4F4C2C56" w14:textId="4053FCCD" w:rsidR="00E269AD" w:rsidRDefault="00E269AD" w:rsidP="00451948">
      <w:pPr>
        <w:spacing w:after="240"/>
      </w:pPr>
      <w:r w:rsidRPr="00451948">
        <w:t>This is the first submission (</w:t>
      </w:r>
      <w:r w:rsidR="00B36E72" w:rsidRPr="00451948">
        <w:t>Applicant Developed Assessment Report [</w:t>
      </w:r>
      <w:r w:rsidRPr="00451948">
        <w:t>ADAR</w:t>
      </w:r>
      <w:r w:rsidR="00B36E72" w:rsidRPr="00451948">
        <w:t>]</w:t>
      </w:r>
      <w:r w:rsidRPr="00451948">
        <w:t xml:space="preserve">) for MSAC Application 1595 - </w:t>
      </w:r>
      <w:r w:rsidR="00360443">
        <w:t>C</w:t>
      </w:r>
      <w:r w:rsidRPr="00E35493">
        <w:t>losed loop UAS for moderate to severe OSA.</w:t>
      </w:r>
    </w:p>
    <w:p w14:paraId="384DC37F" w14:textId="77777777" w:rsidR="00E269AD" w:rsidRDefault="00E269AD" w:rsidP="00E269AD">
      <w:r w:rsidRPr="00E269AD">
        <w:t xml:space="preserve">The Department has since received a related application, </w:t>
      </w:r>
      <w:hyperlink r:id="rId10" w:history="1">
        <w:r w:rsidRPr="009D546C">
          <w:rPr>
            <w:rStyle w:val="Hyperlink"/>
          </w:rPr>
          <w:t>MSAC Application 1630</w:t>
        </w:r>
      </w:hyperlink>
      <w:r w:rsidRPr="00CF142C">
        <w:rPr>
          <w:color w:val="FF0000"/>
        </w:rPr>
        <w:t xml:space="preserve"> </w:t>
      </w:r>
      <w:r w:rsidRPr="00E269AD">
        <w:t xml:space="preserve">for hypoglossal nerve stimulation using the </w:t>
      </w:r>
      <w:proofErr w:type="spellStart"/>
      <w:r w:rsidRPr="00E269AD">
        <w:t>Genio</w:t>
      </w:r>
      <w:proofErr w:type="spellEnd"/>
      <w:r w:rsidRPr="00E269AD">
        <w:t xml:space="preserve"> System for the treatment of moderate to severe obstructive sleep apnoea in patent who have failed or intolerant to continuous positive airways pressure, submitted by </w:t>
      </w:r>
      <w:proofErr w:type="spellStart"/>
      <w:r w:rsidRPr="00E269AD">
        <w:t>Nyxoah</w:t>
      </w:r>
      <w:proofErr w:type="spellEnd"/>
      <w:r w:rsidRPr="00E269AD">
        <w:t xml:space="preserve"> S.A.</w:t>
      </w:r>
    </w:p>
    <w:p w14:paraId="1A51BA54" w14:textId="77777777" w:rsidR="00BC1364" w:rsidRPr="00F715D1" w:rsidRDefault="00BC1364" w:rsidP="00F715D1">
      <w:pPr>
        <w:pStyle w:val="Heading1"/>
      </w:pPr>
      <w:r w:rsidRPr="00F715D1">
        <w:lastRenderedPageBreak/>
        <w:t>Prerequisites to implementation of any funding advice</w:t>
      </w:r>
    </w:p>
    <w:p w14:paraId="7B08CD31" w14:textId="7C9457DA" w:rsidR="00E269AD" w:rsidRDefault="00E269AD" w:rsidP="00E269AD">
      <w:r w:rsidRPr="009972F9">
        <w:t xml:space="preserve">Items on the Australian Register of Therapeutic Goods (ARTG) that are relevant to this application </w:t>
      </w:r>
      <w:proofErr w:type="gramStart"/>
      <w:r w:rsidRPr="009972F9">
        <w:t>are shown</w:t>
      </w:r>
      <w:proofErr w:type="gramEnd"/>
      <w:r w:rsidRPr="009972F9">
        <w:t xml:space="preserve"> in </w:t>
      </w:r>
      <w:r w:rsidRPr="009972F9">
        <w:fldChar w:fldCharType="begin"/>
      </w:r>
      <w:r w:rsidRPr="009972F9">
        <w:instrText xml:space="preserve"> REF _Ref51154468 \h </w:instrText>
      </w:r>
      <w:r>
        <w:instrText xml:space="preserve"> \* MERGEFORMAT </w:instrText>
      </w:r>
      <w:r w:rsidRPr="009972F9">
        <w:fldChar w:fldCharType="separate"/>
      </w:r>
      <w:r w:rsidR="00D007E1">
        <w:t xml:space="preserve">Table </w:t>
      </w:r>
      <w:r w:rsidR="00D007E1">
        <w:rPr>
          <w:noProof/>
        </w:rPr>
        <w:t>2</w:t>
      </w:r>
      <w:r w:rsidRPr="009972F9">
        <w:fldChar w:fldCharType="end"/>
      </w:r>
      <w:r w:rsidRPr="009972F9">
        <w:t>.</w:t>
      </w:r>
    </w:p>
    <w:p w14:paraId="1BB4CC23" w14:textId="6317B6C9" w:rsidR="00E269AD" w:rsidRPr="00875ED2" w:rsidRDefault="00E269AD" w:rsidP="00D4500F">
      <w:pPr>
        <w:spacing w:before="240"/>
        <w:rPr>
          <w:rFonts w:ascii="Arial Narrow" w:eastAsia="Arial Narrow" w:hAnsi="Arial Narrow"/>
          <w:b/>
          <w:sz w:val="20"/>
        </w:rPr>
      </w:pPr>
      <w:bookmarkStart w:id="1" w:name="_Ref51154468"/>
      <w:bookmarkStart w:id="2" w:name="_Toc50391279"/>
      <w:bookmarkStart w:id="3" w:name="_Toc48916445"/>
      <w:r w:rsidRPr="00875ED2">
        <w:rPr>
          <w:rFonts w:ascii="Arial Narrow" w:hAnsi="Arial Narrow"/>
          <w:b/>
          <w:sz w:val="20"/>
        </w:rPr>
        <w:t xml:space="preserve">Table </w:t>
      </w:r>
      <w:r w:rsidR="00086098" w:rsidRPr="00875ED2">
        <w:rPr>
          <w:rFonts w:ascii="Arial Narrow" w:hAnsi="Arial Narrow"/>
          <w:b/>
          <w:sz w:val="20"/>
        </w:rPr>
        <w:fldChar w:fldCharType="begin"/>
      </w:r>
      <w:r w:rsidR="00086098" w:rsidRPr="00875ED2">
        <w:rPr>
          <w:rFonts w:ascii="Arial Narrow" w:hAnsi="Arial Narrow"/>
          <w:b/>
          <w:sz w:val="20"/>
        </w:rPr>
        <w:instrText xml:space="preserve"> SEQ Table \* ARABIC </w:instrText>
      </w:r>
      <w:r w:rsidR="00086098" w:rsidRPr="00875ED2">
        <w:rPr>
          <w:rFonts w:ascii="Arial Narrow" w:hAnsi="Arial Narrow"/>
          <w:b/>
          <w:sz w:val="20"/>
        </w:rPr>
        <w:fldChar w:fldCharType="separate"/>
      </w:r>
      <w:r w:rsidR="00D007E1" w:rsidRPr="00875ED2">
        <w:rPr>
          <w:rFonts w:ascii="Arial Narrow" w:hAnsi="Arial Narrow"/>
          <w:b/>
          <w:sz w:val="20"/>
        </w:rPr>
        <w:t>2</w:t>
      </w:r>
      <w:r w:rsidR="00086098" w:rsidRPr="00875ED2">
        <w:rPr>
          <w:rFonts w:ascii="Arial Narrow" w:hAnsi="Arial Narrow"/>
          <w:b/>
          <w:sz w:val="20"/>
        </w:rPr>
        <w:fldChar w:fldCharType="end"/>
      </w:r>
      <w:bookmarkEnd w:id="1"/>
      <w:r w:rsidRPr="00875ED2">
        <w:rPr>
          <w:rFonts w:ascii="Arial Narrow" w:hAnsi="Arial Narrow"/>
          <w:b/>
          <w:sz w:val="20"/>
        </w:rPr>
        <w:tab/>
      </w:r>
      <w:r w:rsidRPr="00875ED2">
        <w:rPr>
          <w:rFonts w:ascii="Arial Narrow" w:eastAsia="Arial Narrow" w:hAnsi="Arial Narrow"/>
          <w:b/>
          <w:sz w:val="20"/>
        </w:rPr>
        <w:t>Closed loop UAS devices included on the ARTG</w:t>
      </w:r>
      <w:bookmarkEnd w:id="2"/>
      <w:bookmarkEnd w:id="3"/>
    </w:p>
    <w:tbl>
      <w:tblPr>
        <w:tblStyle w:val="TableGrid"/>
        <w:tblW w:w="5000" w:type="pct"/>
        <w:tblLook w:val="01E0" w:firstRow="1" w:lastRow="1" w:firstColumn="1" w:lastColumn="1" w:noHBand="0" w:noVBand="0"/>
        <w:tblCaption w:val="Proton beam therapy devices included on the ARTG"/>
      </w:tblPr>
      <w:tblGrid>
        <w:gridCol w:w="1269"/>
        <w:gridCol w:w="1420"/>
        <w:gridCol w:w="2411"/>
        <w:gridCol w:w="1419"/>
        <w:gridCol w:w="1134"/>
        <w:gridCol w:w="1363"/>
      </w:tblGrid>
      <w:tr w:rsidR="00E269AD" w14:paraId="65F9E033" w14:textId="77777777" w:rsidTr="00D4500F">
        <w:trPr>
          <w:trHeight w:val="540"/>
          <w:tblHeader/>
        </w:trPr>
        <w:tc>
          <w:tcPr>
            <w:tcW w:w="703" w:type="pct"/>
          </w:tcPr>
          <w:p w14:paraId="02080D98" w14:textId="77777777" w:rsidR="00E269AD" w:rsidRDefault="00E269AD" w:rsidP="00E269AD">
            <w:r w:rsidRPr="5495A977">
              <w:rPr>
                <w:rFonts w:ascii="Arial Narrow" w:eastAsia="Arial Narrow" w:hAnsi="Arial Narrow" w:cs="Arial Narrow"/>
                <w:b/>
                <w:bCs/>
                <w:sz w:val="20"/>
              </w:rPr>
              <w:t>ARTG no.</w:t>
            </w:r>
          </w:p>
        </w:tc>
        <w:tc>
          <w:tcPr>
            <w:tcW w:w="787" w:type="pct"/>
          </w:tcPr>
          <w:p w14:paraId="09FE4083" w14:textId="77777777" w:rsidR="00E269AD" w:rsidRDefault="00E269AD" w:rsidP="00E269AD">
            <w:r>
              <w:rPr>
                <w:rFonts w:ascii="Arial Narrow" w:eastAsia="Arial Narrow" w:hAnsi="Arial Narrow" w:cs="Arial Narrow"/>
                <w:b/>
                <w:bCs/>
                <w:sz w:val="20"/>
              </w:rPr>
              <w:t>GMDN</w:t>
            </w:r>
          </w:p>
        </w:tc>
        <w:tc>
          <w:tcPr>
            <w:tcW w:w="1337" w:type="pct"/>
          </w:tcPr>
          <w:p w14:paraId="79FD8F38" w14:textId="77777777" w:rsidR="00E269AD" w:rsidRDefault="00E269AD" w:rsidP="00E269AD">
            <w:r w:rsidRPr="5495A977">
              <w:rPr>
                <w:rFonts w:ascii="Arial Narrow" w:eastAsia="Arial Narrow" w:hAnsi="Arial Narrow" w:cs="Arial Narrow"/>
                <w:b/>
                <w:bCs/>
                <w:sz w:val="20"/>
              </w:rPr>
              <w:t xml:space="preserve">Product </w:t>
            </w:r>
            <w:r>
              <w:rPr>
                <w:rFonts w:ascii="Arial Narrow" w:eastAsia="Arial Narrow" w:hAnsi="Arial Narrow" w:cs="Arial Narrow"/>
                <w:b/>
                <w:bCs/>
                <w:sz w:val="20"/>
              </w:rPr>
              <w:t>name</w:t>
            </w:r>
          </w:p>
        </w:tc>
        <w:tc>
          <w:tcPr>
            <w:tcW w:w="787" w:type="pct"/>
          </w:tcPr>
          <w:p w14:paraId="0F6C5FEF" w14:textId="77777777" w:rsidR="00E269AD" w:rsidRDefault="00E269AD" w:rsidP="00E269AD">
            <w:r w:rsidRPr="5495A977">
              <w:rPr>
                <w:rFonts w:ascii="Arial Narrow" w:eastAsia="Arial Narrow" w:hAnsi="Arial Narrow" w:cs="Arial Narrow"/>
                <w:b/>
                <w:bCs/>
                <w:sz w:val="20"/>
              </w:rPr>
              <w:t>Product category</w:t>
            </w:r>
          </w:p>
        </w:tc>
        <w:tc>
          <w:tcPr>
            <w:tcW w:w="629" w:type="pct"/>
          </w:tcPr>
          <w:p w14:paraId="4BA8FD1C" w14:textId="77777777" w:rsidR="00E269AD" w:rsidRDefault="00E269AD" w:rsidP="00E269AD">
            <w:r w:rsidRPr="5495A977">
              <w:rPr>
                <w:rFonts w:ascii="Arial Narrow" w:eastAsia="Arial Narrow" w:hAnsi="Arial Narrow" w:cs="Arial Narrow"/>
                <w:b/>
                <w:bCs/>
                <w:sz w:val="20"/>
              </w:rPr>
              <w:t>Sponsor</w:t>
            </w:r>
          </w:p>
        </w:tc>
        <w:tc>
          <w:tcPr>
            <w:tcW w:w="756" w:type="pct"/>
          </w:tcPr>
          <w:p w14:paraId="2D02F83C" w14:textId="77777777" w:rsidR="00E269AD" w:rsidRPr="5495A977" w:rsidRDefault="00E269AD" w:rsidP="00E269AD">
            <w:pPr>
              <w:rPr>
                <w:rFonts w:ascii="Arial Narrow" w:eastAsia="Arial Narrow" w:hAnsi="Arial Narrow" w:cs="Arial Narrow"/>
                <w:b/>
                <w:bCs/>
                <w:sz w:val="20"/>
              </w:rPr>
            </w:pPr>
            <w:r>
              <w:rPr>
                <w:rFonts w:ascii="Arial Narrow" w:eastAsia="Arial Narrow" w:hAnsi="Arial Narrow" w:cs="Arial Narrow"/>
                <w:b/>
                <w:bCs/>
                <w:sz w:val="20"/>
              </w:rPr>
              <w:t>Manufacturer</w:t>
            </w:r>
          </w:p>
        </w:tc>
      </w:tr>
      <w:tr w:rsidR="00E269AD" w14:paraId="55D39555" w14:textId="77777777" w:rsidTr="00D4500F">
        <w:trPr>
          <w:trHeight w:val="1144"/>
        </w:trPr>
        <w:tc>
          <w:tcPr>
            <w:tcW w:w="703" w:type="pct"/>
          </w:tcPr>
          <w:p w14:paraId="29F0D561" w14:textId="0F9E52DF" w:rsidR="00E269AD" w:rsidRDefault="00E269AD" w:rsidP="00E269AD">
            <w:pPr>
              <w:pStyle w:val="Tabletext0"/>
              <w:spacing w:before="0" w:after="0"/>
              <w:rPr>
                <w:rFonts w:eastAsia="Arial Narrow"/>
              </w:rPr>
            </w:pPr>
            <w:r w:rsidRPr="00E35493">
              <w:rPr>
                <w:rFonts w:eastAsia="Arial Narrow"/>
              </w:rPr>
              <w:t>340930</w:t>
            </w:r>
          </w:p>
          <w:p w14:paraId="1736B804" w14:textId="77777777" w:rsidR="00E269AD" w:rsidRDefault="00E269AD" w:rsidP="00D4500F">
            <w:pPr>
              <w:pStyle w:val="Tabletext0"/>
              <w:spacing w:after="0"/>
              <w:rPr>
                <w:rFonts w:eastAsia="Arial Narrow"/>
              </w:rPr>
            </w:pPr>
            <w:r>
              <w:rPr>
                <w:rFonts w:eastAsia="Arial Narrow"/>
              </w:rPr>
              <w:t>(</w:t>
            </w:r>
            <w:r w:rsidRPr="5495A977">
              <w:rPr>
                <w:rFonts w:eastAsia="Arial Narrow"/>
              </w:rPr>
              <w:t xml:space="preserve">ARTG start date </w:t>
            </w:r>
            <w:r>
              <w:rPr>
                <w:rFonts w:eastAsia="Arial Narrow"/>
              </w:rPr>
              <w:t>6/8</w:t>
            </w:r>
            <w:r w:rsidRPr="5495A977">
              <w:rPr>
                <w:rFonts w:eastAsia="Arial Narrow"/>
              </w:rPr>
              <w:t>/20</w:t>
            </w:r>
            <w:r>
              <w:rPr>
                <w:rFonts w:eastAsia="Arial Narrow"/>
              </w:rPr>
              <w:t>20</w:t>
            </w:r>
            <w:r w:rsidRPr="5495A977">
              <w:rPr>
                <w:rFonts w:eastAsia="Arial Narrow"/>
              </w:rPr>
              <w:t>)</w:t>
            </w:r>
          </w:p>
        </w:tc>
        <w:tc>
          <w:tcPr>
            <w:tcW w:w="787" w:type="pct"/>
          </w:tcPr>
          <w:p w14:paraId="293E39C3" w14:textId="77777777" w:rsidR="00E269AD" w:rsidRDefault="00E269AD" w:rsidP="00E269AD">
            <w:pPr>
              <w:pStyle w:val="Tabletext0"/>
              <w:spacing w:before="0" w:after="0"/>
            </w:pPr>
            <w:r w:rsidRPr="00E35493">
              <w:rPr>
                <w:rFonts w:eastAsia="Arial Narrow"/>
              </w:rPr>
              <w:t>60360 Implantable sleep apnoea treatment system</w:t>
            </w:r>
          </w:p>
        </w:tc>
        <w:tc>
          <w:tcPr>
            <w:tcW w:w="1337" w:type="pct"/>
          </w:tcPr>
          <w:p w14:paraId="533AAC2E" w14:textId="77777777" w:rsidR="00E269AD" w:rsidRDefault="00E269AD" w:rsidP="00E269AD">
            <w:pPr>
              <w:pStyle w:val="Tabletext0"/>
              <w:spacing w:before="0" w:after="0"/>
            </w:pPr>
            <w:r w:rsidRPr="00C428C2">
              <w:rPr>
                <w:rFonts w:eastAsia="Arial Narrow"/>
              </w:rPr>
              <w:t>Inspire IV Implantable Pulse Generator Model 3028 - Implantable sleep apnoea treatment system</w:t>
            </w:r>
          </w:p>
        </w:tc>
        <w:tc>
          <w:tcPr>
            <w:tcW w:w="787" w:type="pct"/>
          </w:tcPr>
          <w:p w14:paraId="0CEC3F59" w14:textId="77777777" w:rsidR="00E269AD" w:rsidRDefault="00E269AD" w:rsidP="00E269AD">
            <w:pPr>
              <w:pStyle w:val="Tabletext0"/>
              <w:spacing w:before="0" w:after="0"/>
            </w:pPr>
            <w:r w:rsidRPr="5495A977">
              <w:rPr>
                <w:rFonts w:eastAsia="Arial Narrow"/>
              </w:rPr>
              <w:t xml:space="preserve">Medical Device Class </w:t>
            </w:r>
            <w:r>
              <w:rPr>
                <w:rFonts w:eastAsia="Arial Narrow"/>
              </w:rPr>
              <w:t>AIMD</w:t>
            </w:r>
          </w:p>
        </w:tc>
        <w:tc>
          <w:tcPr>
            <w:tcW w:w="629" w:type="pct"/>
          </w:tcPr>
          <w:p w14:paraId="5E46FC9E" w14:textId="77777777" w:rsidR="00E269AD" w:rsidRDefault="00E269AD" w:rsidP="00E269AD">
            <w:pPr>
              <w:pStyle w:val="Tabletext0"/>
              <w:spacing w:before="0" w:after="0"/>
            </w:pPr>
            <w:r w:rsidRPr="00E35493">
              <w:rPr>
                <w:rFonts w:eastAsia="Arial Narrow"/>
              </w:rPr>
              <w:t>Plexus RA Pty Ltd</w:t>
            </w:r>
          </w:p>
        </w:tc>
        <w:tc>
          <w:tcPr>
            <w:tcW w:w="756" w:type="pct"/>
          </w:tcPr>
          <w:p w14:paraId="64561795" w14:textId="77777777" w:rsidR="00E269AD" w:rsidRPr="00E35493" w:rsidRDefault="00E269AD" w:rsidP="00E269AD">
            <w:pPr>
              <w:pStyle w:val="Tabletext0"/>
              <w:spacing w:before="0" w:after="0"/>
              <w:rPr>
                <w:rFonts w:eastAsia="Arial Narrow"/>
              </w:rPr>
            </w:pPr>
            <w:r w:rsidRPr="00E35493">
              <w:rPr>
                <w:rFonts w:eastAsia="Arial Narrow"/>
              </w:rPr>
              <w:t>Inspire Medical Systems</w:t>
            </w:r>
          </w:p>
        </w:tc>
      </w:tr>
      <w:tr w:rsidR="00E269AD" w14:paraId="211C1F3E" w14:textId="77777777" w:rsidTr="00D4500F">
        <w:trPr>
          <w:trHeight w:val="1230"/>
        </w:trPr>
        <w:tc>
          <w:tcPr>
            <w:tcW w:w="703" w:type="pct"/>
          </w:tcPr>
          <w:p w14:paraId="01746F8E" w14:textId="14166C53" w:rsidR="00E269AD" w:rsidRDefault="00D4500F" w:rsidP="00E269AD">
            <w:pPr>
              <w:pStyle w:val="Tabletext0"/>
              <w:spacing w:before="0" w:after="0"/>
              <w:rPr>
                <w:rFonts w:eastAsia="Arial Narrow"/>
              </w:rPr>
            </w:pPr>
            <w:r>
              <w:rPr>
                <w:rFonts w:eastAsia="Arial Narrow"/>
              </w:rPr>
              <w:t>340931</w:t>
            </w:r>
          </w:p>
          <w:p w14:paraId="6AE859E6" w14:textId="77777777" w:rsidR="00E269AD" w:rsidRPr="00E35493" w:rsidRDefault="00E269AD" w:rsidP="00E269AD">
            <w:pPr>
              <w:pStyle w:val="Tabletext0"/>
              <w:spacing w:before="0" w:after="0"/>
              <w:rPr>
                <w:rFonts w:eastAsia="Arial Narrow"/>
              </w:rPr>
            </w:pPr>
            <w:r>
              <w:rPr>
                <w:rFonts w:eastAsia="Arial Narrow"/>
              </w:rPr>
              <w:t>(</w:t>
            </w:r>
            <w:r w:rsidRPr="5495A977">
              <w:rPr>
                <w:rFonts w:eastAsia="Arial Narrow"/>
              </w:rPr>
              <w:t xml:space="preserve">ARTG start date </w:t>
            </w:r>
            <w:r>
              <w:rPr>
                <w:rFonts w:eastAsia="Arial Narrow"/>
              </w:rPr>
              <w:t>6/8</w:t>
            </w:r>
            <w:r w:rsidRPr="5495A977">
              <w:rPr>
                <w:rFonts w:eastAsia="Arial Narrow"/>
              </w:rPr>
              <w:t>/20</w:t>
            </w:r>
            <w:r>
              <w:rPr>
                <w:rFonts w:eastAsia="Arial Narrow"/>
              </w:rPr>
              <w:t>20</w:t>
            </w:r>
            <w:r w:rsidRPr="5495A977">
              <w:rPr>
                <w:rFonts w:eastAsia="Arial Narrow"/>
              </w:rPr>
              <w:t>)</w:t>
            </w:r>
          </w:p>
        </w:tc>
        <w:tc>
          <w:tcPr>
            <w:tcW w:w="787" w:type="pct"/>
          </w:tcPr>
          <w:p w14:paraId="6ECDB90D" w14:textId="77777777" w:rsidR="00E269AD" w:rsidRDefault="00E269AD" w:rsidP="00E269AD">
            <w:pPr>
              <w:pStyle w:val="Tabletext0"/>
              <w:spacing w:before="0" w:after="0"/>
            </w:pPr>
            <w:r w:rsidRPr="00E35493">
              <w:rPr>
                <w:rFonts w:eastAsia="Arial Narrow"/>
              </w:rPr>
              <w:t>60360 Implantable sleep apnoea treatment system</w:t>
            </w:r>
          </w:p>
        </w:tc>
        <w:tc>
          <w:tcPr>
            <w:tcW w:w="1337" w:type="pct"/>
          </w:tcPr>
          <w:p w14:paraId="65410DB3" w14:textId="77777777" w:rsidR="00E269AD" w:rsidRDefault="00E269AD" w:rsidP="00E269AD">
            <w:pPr>
              <w:pStyle w:val="Tabletext0"/>
              <w:spacing w:before="0" w:after="0"/>
            </w:pPr>
            <w:r w:rsidRPr="00C428C2">
              <w:rPr>
                <w:rFonts w:eastAsia="Arial Narrow"/>
              </w:rPr>
              <w:t>Inspire Stimulation Lead Model 4063 - Implantable sleep apnoea treatment system</w:t>
            </w:r>
          </w:p>
        </w:tc>
        <w:tc>
          <w:tcPr>
            <w:tcW w:w="787" w:type="pct"/>
          </w:tcPr>
          <w:p w14:paraId="0BB76E1D" w14:textId="77777777" w:rsidR="00E269AD" w:rsidRDefault="00E269AD" w:rsidP="00E269AD">
            <w:pPr>
              <w:pStyle w:val="Tabletext0"/>
              <w:spacing w:before="0" w:after="0"/>
            </w:pPr>
            <w:r>
              <w:rPr>
                <w:rFonts w:eastAsia="Arial Narrow"/>
              </w:rPr>
              <w:t>Medical Device Class III</w:t>
            </w:r>
          </w:p>
        </w:tc>
        <w:tc>
          <w:tcPr>
            <w:tcW w:w="629" w:type="pct"/>
          </w:tcPr>
          <w:p w14:paraId="1707F919" w14:textId="77777777" w:rsidR="00E269AD" w:rsidRDefault="00E269AD" w:rsidP="00E269AD">
            <w:pPr>
              <w:pStyle w:val="Tabletext0"/>
              <w:spacing w:before="0" w:after="0"/>
            </w:pPr>
            <w:r w:rsidRPr="00E35493">
              <w:rPr>
                <w:rFonts w:eastAsia="Arial Narrow"/>
              </w:rPr>
              <w:t>Plexus RA Pty Ltd</w:t>
            </w:r>
          </w:p>
        </w:tc>
        <w:tc>
          <w:tcPr>
            <w:tcW w:w="756" w:type="pct"/>
          </w:tcPr>
          <w:p w14:paraId="27EBEE27" w14:textId="77777777" w:rsidR="00E269AD" w:rsidRPr="00E35493" w:rsidRDefault="00E269AD" w:rsidP="00E269AD">
            <w:pPr>
              <w:pStyle w:val="Tabletext0"/>
              <w:spacing w:before="0" w:after="0"/>
              <w:rPr>
                <w:rFonts w:eastAsia="Arial Narrow"/>
              </w:rPr>
            </w:pPr>
            <w:r w:rsidRPr="00E35493">
              <w:rPr>
                <w:rFonts w:eastAsia="Arial Narrow"/>
              </w:rPr>
              <w:t>Inspire Medical Systems</w:t>
            </w:r>
          </w:p>
        </w:tc>
      </w:tr>
      <w:tr w:rsidR="00E269AD" w14:paraId="58C09A07" w14:textId="77777777" w:rsidTr="00D4500F">
        <w:trPr>
          <w:trHeight w:val="1230"/>
        </w:trPr>
        <w:tc>
          <w:tcPr>
            <w:tcW w:w="703" w:type="pct"/>
          </w:tcPr>
          <w:p w14:paraId="1BC90B3D" w14:textId="79C3A959" w:rsidR="00E269AD" w:rsidRDefault="00E269AD" w:rsidP="00E269AD">
            <w:pPr>
              <w:pStyle w:val="Tabletext0"/>
              <w:spacing w:before="0" w:after="0"/>
              <w:rPr>
                <w:rFonts w:eastAsia="Arial Narrow"/>
              </w:rPr>
            </w:pPr>
            <w:r w:rsidRPr="00E35493">
              <w:rPr>
                <w:rFonts w:eastAsia="Arial Narrow"/>
              </w:rPr>
              <w:t>340932</w:t>
            </w:r>
          </w:p>
          <w:p w14:paraId="0AC0EBEB" w14:textId="77777777" w:rsidR="00E269AD" w:rsidRPr="5495A977" w:rsidRDefault="00E269AD" w:rsidP="00E269AD">
            <w:pPr>
              <w:pStyle w:val="Tabletext0"/>
              <w:spacing w:before="0" w:after="0"/>
              <w:rPr>
                <w:rFonts w:eastAsia="Arial Narrow"/>
              </w:rPr>
            </w:pPr>
            <w:r>
              <w:rPr>
                <w:rFonts w:eastAsia="Arial Narrow"/>
              </w:rPr>
              <w:t>(</w:t>
            </w:r>
            <w:r w:rsidRPr="5495A977">
              <w:rPr>
                <w:rFonts w:eastAsia="Arial Narrow"/>
              </w:rPr>
              <w:t xml:space="preserve">ARTG start date </w:t>
            </w:r>
            <w:r>
              <w:rPr>
                <w:rFonts w:eastAsia="Arial Narrow"/>
              </w:rPr>
              <w:t>6/8</w:t>
            </w:r>
            <w:r w:rsidRPr="5495A977">
              <w:rPr>
                <w:rFonts w:eastAsia="Arial Narrow"/>
              </w:rPr>
              <w:t>/20</w:t>
            </w:r>
            <w:r>
              <w:rPr>
                <w:rFonts w:eastAsia="Arial Narrow"/>
              </w:rPr>
              <w:t>20</w:t>
            </w:r>
            <w:r w:rsidRPr="5495A977">
              <w:rPr>
                <w:rFonts w:eastAsia="Arial Narrow"/>
              </w:rPr>
              <w:t>)</w:t>
            </w:r>
          </w:p>
        </w:tc>
        <w:tc>
          <w:tcPr>
            <w:tcW w:w="787" w:type="pct"/>
          </w:tcPr>
          <w:p w14:paraId="26275829" w14:textId="77777777" w:rsidR="00E269AD" w:rsidRPr="5495A977" w:rsidRDefault="00E269AD" w:rsidP="00E269AD">
            <w:pPr>
              <w:pStyle w:val="Tabletext0"/>
              <w:spacing w:before="0" w:after="0"/>
              <w:rPr>
                <w:rFonts w:eastAsia="Arial Narrow"/>
              </w:rPr>
            </w:pPr>
            <w:r w:rsidRPr="00E35493">
              <w:rPr>
                <w:rFonts w:eastAsia="Arial Narrow"/>
              </w:rPr>
              <w:t>60360 Implantable sleep apnoea treatment system</w:t>
            </w:r>
          </w:p>
        </w:tc>
        <w:tc>
          <w:tcPr>
            <w:tcW w:w="1337" w:type="pct"/>
          </w:tcPr>
          <w:p w14:paraId="4E6DE2CD" w14:textId="77777777" w:rsidR="00E269AD" w:rsidRPr="5495A977" w:rsidRDefault="00E269AD" w:rsidP="00E269AD">
            <w:pPr>
              <w:pStyle w:val="Tabletext0"/>
              <w:spacing w:before="0" w:after="0"/>
              <w:rPr>
                <w:rFonts w:eastAsia="Arial Narrow"/>
              </w:rPr>
            </w:pPr>
            <w:r w:rsidRPr="00C428C2">
              <w:rPr>
                <w:rFonts w:eastAsia="Arial Narrow"/>
              </w:rPr>
              <w:t>Inspire Respiratory Sensing Lead Model 4340 - Implantable sleep apnoea treatment system</w:t>
            </w:r>
          </w:p>
        </w:tc>
        <w:tc>
          <w:tcPr>
            <w:tcW w:w="787" w:type="pct"/>
          </w:tcPr>
          <w:p w14:paraId="68A2BE5E" w14:textId="77777777" w:rsidR="00E269AD" w:rsidRPr="5495A977" w:rsidRDefault="00E269AD" w:rsidP="00E269AD">
            <w:pPr>
              <w:pStyle w:val="Tabletext0"/>
              <w:spacing w:before="0" w:after="0"/>
              <w:rPr>
                <w:rFonts w:eastAsia="Arial Narrow"/>
              </w:rPr>
            </w:pPr>
            <w:r>
              <w:rPr>
                <w:rFonts w:eastAsia="Arial Narrow"/>
              </w:rPr>
              <w:t>Medical Device Class III</w:t>
            </w:r>
          </w:p>
        </w:tc>
        <w:tc>
          <w:tcPr>
            <w:tcW w:w="629" w:type="pct"/>
          </w:tcPr>
          <w:p w14:paraId="466E0B91" w14:textId="77777777" w:rsidR="00E269AD" w:rsidRPr="00AF1D9D" w:rsidRDefault="00E269AD" w:rsidP="00E269AD">
            <w:pPr>
              <w:pStyle w:val="Tabletext0"/>
              <w:spacing w:before="0" w:after="0"/>
              <w:rPr>
                <w:rFonts w:eastAsia="Arial Narrow"/>
              </w:rPr>
            </w:pPr>
            <w:r w:rsidRPr="00E35493">
              <w:rPr>
                <w:rFonts w:eastAsia="Arial Narrow"/>
              </w:rPr>
              <w:t>Plexus RA Pty Ltd</w:t>
            </w:r>
          </w:p>
        </w:tc>
        <w:tc>
          <w:tcPr>
            <w:tcW w:w="756" w:type="pct"/>
          </w:tcPr>
          <w:p w14:paraId="06BE9757" w14:textId="77777777" w:rsidR="00E269AD" w:rsidRPr="00E35493" w:rsidRDefault="00E269AD" w:rsidP="00E269AD">
            <w:pPr>
              <w:pStyle w:val="Tabletext0"/>
              <w:spacing w:before="0" w:after="0"/>
              <w:rPr>
                <w:rFonts w:eastAsia="Arial Narrow"/>
              </w:rPr>
            </w:pPr>
            <w:r w:rsidRPr="00E35493">
              <w:rPr>
                <w:rFonts w:eastAsia="Arial Narrow"/>
              </w:rPr>
              <w:t>Inspire Medical Systems</w:t>
            </w:r>
          </w:p>
        </w:tc>
      </w:tr>
      <w:tr w:rsidR="00E269AD" w14:paraId="43839372" w14:textId="77777777" w:rsidTr="00D4500F">
        <w:trPr>
          <w:trHeight w:val="1230"/>
        </w:trPr>
        <w:tc>
          <w:tcPr>
            <w:tcW w:w="703" w:type="pct"/>
          </w:tcPr>
          <w:p w14:paraId="49253785" w14:textId="76D32E33" w:rsidR="00E269AD" w:rsidRDefault="00E269AD" w:rsidP="00E269AD">
            <w:pPr>
              <w:pStyle w:val="Tabletext0"/>
              <w:spacing w:before="0" w:after="0"/>
              <w:rPr>
                <w:rFonts w:eastAsia="Arial Narrow"/>
              </w:rPr>
            </w:pPr>
            <w:r w:rsidRPr="00E35493">
              <w:rPr>
                <w:rFonts w:eastAsia="Arial Narrow"/>
              </w:rPr>
              <w:t xml:space="preserve">340933 </w:t>
            </w:r>
          </w:p>
          <w:p w14:paraId="33CFC15C" w14:textId="77777777" w:rsidR="00E269AD" w:rsidRPr="5495A977" w:rsidRDefault="00E269AD" w:rsidP="00E269AD">
            <w:pPr>
              <w:pStyle w:val="Tabletext0"/>
              <w:spacing w:before="0" w:after="0"/>
              <w:rPr>
                <w:rFonts w:eastAsia="Arial Narrow"/>
              </w:rPr>
            </w:pPr>
            <w:r>
              <w:rPr>
                <w:rFonts w:eastAsia="Arial Narrow"/>
              </w:rPr>
              <w:t>(</w:t>
            </w:r>
            <w:r w:rsidRPr="5495A977">
              <w:rPr>
                <w:rFonts w:eastAsia="Arial Narrow"/>
              </w:rPr>
              <w:t xml:space="preserve">ARTG start date </w:t>
            </w:r>
            <w:r>
              <w:rPr>
                <w:rFonts w:eastAsia="Arial Narrow"/>
              </w:rPr>
              <w:t>6/8</w:t>
            </w:r>
            <w:r w:rsidRPr="5495A977">
              <w:rPr>
                <w:rFonts w:eastAsia="Arial Narrow"/>
              </w:rPr>
              <w:t>/20</w:t>
            </w:r>
            <w:r>
              <w:rPr>
                <w:rFonts w:eastAsia="Arial Narrow"/>
              </w:rPr>
              <w:t>20</w:t>
            </w:r>
            <w:r w:rsidRPr="5495A977">
              <w:rPr>
                <w:rFonts w:eastAsia="Arial Narrow"/>
              </w:rPr>
              <w:t>)</w:t>
            </w:r>
          </w:p>
        </w:tc>
        <w:tc>
          <w:tcPr>
            <w:tcW w:w="787" w:type="pct"/>
          </w:tcPr>
          <w:p w14:paraId="4439AA4F" w14:textId="77777777" w:rsidR="00E269AD" w:rsidRPr="5495A977" w:rsidRDefault="00E269AD" w:rsidP="00E269AD">
            <w:pPr>
              <w:pStyle w:val="Tabletext0"/>
              <w:spacing w:before="0" w:after="0"/>
              <w:rPr>
                <w:rFonts w:eastAsia="Arial Narrow"/>
              </w:rPr>
            </w:pPr>
            <w:r w:rsidRPr="00E35493">
              <w:rPr>
                <w:rFonts w:eastAsia="Arial Narrow"/>
              </w:rPr>
              <w:t>60360 Implantable sleep apnoea treatment system</w:t>
            </w:r>
          </w:p>
        </w:tc>
        <w:tc>
          <w:tcPr>
            <w:tcW w:w="1337" w:type="pct"/>
          </w:tcPr>
          <w:p w14:paraId="734761E7" w14:textId="77777777" w:rsidR="00E269AD" w:rsidRPr="5495A977" w:rsidRDefault="00E269AD" w:rsidP="00E269AD">
            <w:pPr>
              <w:pStyle w:val="Tabletext0"/>
              <w:spacing w:before="0" w:after="0"/>
              <w:rPr>
                <w:rFonts w:eastAsia="Arial Narrow"/>
              </w:rPr>
            </w:pPr>
            <w:r w:rsidRPr="00C428C2">
              <w:rPr>
                <w:rFonts w:eastAsia="Arial Narrow"/>
              </w:rPr>
              <w:t>Inspire Physician Programmer Model 2740 - Implantable sleep apnoea treatment system</w:t>
            </w:r>
          </w:p>
        </w:tc>
        <w:tc>
          <w:tcPr>
            <w:tcW w:w="787" w:type="pct"/>
          </w:tcPr>
          <w:p w14:paraId="1483C685" w14:textId="77777777" w:rsidR="00E269AD" w:rsidRPr="5495A977" w:rsidRDefault="00E269AD" w:rsidP="00E269AD">
            <w:pPr>
              <w:pStyle w:val="Tabletext0"/>
              <w:spacing w:before="0" w:after="0"/>
              <w:rPr>
                <w:rFonts w:eastAsia="Arial Narrow"/>
              </w:rPr>
            </w:pPr>
            <w:r>
              <w:rPr>
                <w:rFonts w:eastAsia="Arial Narrow"/>
              </w:rPr>
              <w:t>Medical Device Class III</w:t>
            </w:r>
          </w:p>
        </w:tc>
        <w:tc>
          <w:tcPr>
            <w:tcW w:w="629" w:type="pct"/>
          </w:tcPr>
          <w:p w14:paraId="1E638980" w14:textId="77777777" w:rsidR="00E269AD" w:rsidRPr="00AF1D9D" w:rsidRDefault="00E269AD" w:rsidP="00E269AD">
            <w:pPr>
              <w:pStyle w:val="Tabletext0"/>
              <w:spacing w:before="0" w:after="0"/>
              <w:rPr>
                <w:rFonts w:eastAsia="Arial Narrow"/>
              </w:rPr>
            </w:pPr>
            <w:r w:rsidRPr="00E35493">
              <w:rPr>
                <w:rFonts w:eastAsia="Arial Narrow"/>
              </w:rPr>
              <w:t>Plexus RA Pty Ltd</w:t>
            </w:r>
          </w:p>
        </w:tc>
        <w:tc>
          <w:tcPr>
            <w:tcW w:w="756" w:type="pct"/>
          </w:tcPr>
          <w:p w14:paraId="6B9EBB47" w14:textId="77777777" w:rsidR="00E269AD" w:rsidRPr="00E35493" w:rsidRDefault="00E269AD" w:rsidP="00E269AD">
            <w:pPr>
              <w:pStyle w:val="Tabletext0"/>
              <w:spacing w:before="0" w:after="0"/>
              <w:rPr>
                <w:rFonts w:eastAsia="Arial Narrow"/>
              </w:rPr>
            </w:pPr>
            <w:r w:rsidRPr="00E35493">
              <w:rPr>
                <w:rFonts w:eastAsia="Arial Narrow"/>
              </w:rPr>
              <w:t>Inspire Medical Systems</w:t>
            </w:r>
          </w:p>
        </w:tc>
      </w:tr>
      <w:tr w:rsidR="00E269AD" w14:paraId="0B5D33D7" w14:textId="77777777" w:rsidTr="00D4500F">
        <w:trPr>
          <w:trHeight w:val="1230"/>
        </w:trPr>
        <w:tc>
          <w:tcPr>
            <w:tcW w:w="703" w:type="pct"/>
          </w:tcPr>
          <w:p w14:paraId="3893954E" w14:textId="39B022DD" w:rsidR="00E269AD" w:rsidRDefault="00E269AD" w:rsidP="00E269AD">
            <w:pPr>
              <w:pStyle w:val="Tabletext0"/>
              <w:spacing w:before="0" w:after="0"/>
              <w:rPr>
                <w:rFonts w:eastAsia="Arial Narrow"/>
              </w:rPr>
            </w:pPr>
            <w:r w:rsidRPr="00E35493">
              <w:rPr>
                <w:rFonts w:eastAsia="Arial Narrow"/>
              </w:rPr>
              <w:t>340934</w:t>
            </w:r>
          </w:p>
          <w:p w14:paraId="10D39DB1" w14:textId="77777777" w:rsidR="00E269AD" w:rsidRPr="5495A977" w:rsidRDefault="00E269AD" w:rsidP="00E269AD">
            <w:pPr>
              <w:pStyle w:val="Tabletext0"/>
              <w:spacing w:before="0" w:after="0"/>
              <w:rPr>
                <w:rFonts w:eastAsia="Arial Narrow"/>
              </w:rPr>
            </w:pPr>
            <w:r>
              <w:rPr>
                <w:rFonts w:eastAsia="Arial Narrow"/>
              </w:rPr>
              <w:t>(</w:t>
            </w:r>
            <w:r w:rsidRPr="5495A977">
              <w:rPr>
                <w:rFonts w:eastAsia="Arial Narrow"/>
              </w:rPr>
              <w:t xml:space="preserve">ARTG start date </w:t>
            </w:r>
            <w:r>
              <w:rPr>
                <w:rFonts w:eastAsia="Arial Narrow"/>
              </w:rPr>
              <w:t>6/8</w:t>
            </w:r>
            <w:r w:rsidRPr="5495A977">
              <w:rPr>
                <w:rFonts w:eastAsia="Arial Narrow"/>
              </w:rPr>
              <w:t>/20</w:t>
            </w:r>
            <w:r>
              <w:rPr>
                <w:rFonts w:eastAsia="Arial Narrow"/>
              </w:rPr>
              <w:t>20</w:t>
            </w:r>
            <w:r w:rsidRPr="5495A977">
              <w:rPr>
                <w:rFonts w:eastAsia="Arial Narrow"/>
              </w:rPr>
              <w:t>)</w:t>
            </w:r>
          </w:p>
        </w:tc>
        <w:tc>
          <w:tcPr>
            <w:tcW w:w="787" w:type="pct"/>
          </w:tcPr>
          <w:p w14:paraId="2155464D" w14:textId="77777777" w:rsidR="00E269AD" w:rsidRPr="5495A977" w:rsidRDefault="00E269AD" w:rsidP="00E269AD">
            <w:pPr>
              <w:pStyle w:val="Tabletext0"/>
              <w:spacing w:before="0" w:after="0"/>
              <w:rPr>
                <w:rFonts w:eastAsia="Arial Narrow"/>
              </w:rPr>
            </w:pPr>
            <w:r w:rsidRPr="00E35493">
              <w:rPr>
                <w:rFonts w:eastAsia="Arial Narrow"/>
              </w:rPr>
              <w:t>60360 Implantable sleep apnoea treatment system</w:t>
            </w:r>
          </w:p>
        </w:tc>
        <w:tc>
          <w:tcPr>
            <w:tcW w:w="1337" w:type="pct"/>
          </w:tcPr>
          <w:p w14:paraId="5F76B7E3" w14:textId="77777777" w:rsidR="00E269AD" w:rsidRPr="5495A977" w:rsidRDefault="00E269AD" w:rsidP="00E269AD">
            <w:pPr>
              <w:pStyle w:val="Tabletext0"/>
              <w:spacing w:before="0" w:after="0"/>
              <w:rPr>
                <w:rFonts w:eastAsia="Arial Narrow"/>
              </w:rPr>
            </w:pPr>
            <w:r w:rsidRPr="00C428C2">
              <w:rPr>
                <w:rFonts w:eastAsia="Arial Narrow"/>
              </w:rPr>
              <w:t>Inspire Sleep Remote Model 2500 - Implantable sleep apnoea treatment system</w:t>
            </w:r>
          </w:p>
        </w:tc>
        <w:tc>
          <w:tcPr>
            <w:tcW w:w="787" w:type="pct"/>
          </w:tcPr>
          <w:p w14:paraId="687956FB" w14:textId="77777777" w:rsidR="00E269AD" w:rsidRPr="5495A977" w:rsidRDefault="00E269AD" w:rsidP="00E269AD">
            <w:pPr>
              <w:pStyle w:val="Tabletext0"/>
              <w:spacing w:before="0" w:after="0"/>
              <w:rPr>
                <w:rFonts w:eastAsia="Arial Narrow"/>
              </w:rPr>
            </w:pPr>
            <w:r>
              <w:rPr>
                <w:rFonts w:eastAsia="Arial Narrow"/>
              </w:rPr>
              <w:t>Medical Device Class III</w:t>
            </w:r>
          </w:p>
        </w:tc>
        <w:tc>
          <w:tcPr>
            <w:tcW w:w="629" w:type="pct"/>
          </w:tcPr>
          <w:p w14:paraId="120ABB05" w14:textId="77777777" w:rsidR="00E269AD" w:rsidRPr="00AF1D9D" w:rsidRDefault="00E269AD" w:rsidP="00E269AD">
            <w:pPr>
              <w:pStyle w:val="Tabletext0"/>
              <w:spacing w:before="0" w:after="0"/>
              <w:rPr>
                <w:rFonts w:eastAsia="Arial Narrow"/>
              </w:rPr>
            </w:pPr>
            <w:r w:rsidRPr="00E35493">
              <w:rPr>
                <w:rFonts w:eastAsia="Arial Narrow"/>
              </w:rPr>
              <w:t>Plexus RA Pty Ltd</w:t>
            </w:r>
          </w:p>
        </w:tc>
        <w:tc>
          <w:tcPr>
            <w:tcW w:w="756" w:type="pct"/>
          </w:tcPr>
          <w:p w14:paraId="40B56E81" w14:textId="77777777" w:rsidR="00E269AD" w:rsidRPr="00E35493" w:rsidRDefault="00E269AD" w:rsidP="00E269AD">
            <w:pPr>
              <w:pStyle w:val="Tabletext0"/>
              <w:spacing w:before="0" w:after="0"/>
              <w:rPr>
                <w:rFonts w:eastAsia="Arial Narrow"/>
              </w:rPr>
            </w:pPr>
            <w:r w:rsidRPr="00E35493">
              <w:rPr>
                <w:rFonts w:eastAsia="Arial Narrow"/>
              </w:rPr>
              <w:t>Inspire Medical Systems</w:t>
            </w:r>
          </w:p>
        </w:tc>
      </w:tr>
    </w:tbl>
    <w:p w14:paraId="119A84F1" w14:textId="77777777" w:rsidR="00E269AD" w:rsidRDefault="00E269AD" w:rsidP="00417876">
      <w:pPr>
        <w:pStyle w:val="Tablenotes"/>
      </w:pPr>
      <w:r>
        <w:t xml:space="preserve">Source: </w:t>
      </w:r>
      <w:r w:rsidRPr="00C428C2">
        <w:t xml:space="preserve">Public ARTG summaries of the products, available at the </w:t>
      </w:r>
      <w:hyperlink r:id="rId11" w:history="1">
        <w:r w:rsidRPr="00D24ABC">
          <w:rPr>
            <w:rStyle w:val="Hyperlink"/>
          </w:rPr>
          <w:t>ARTG website</w:t>
        </w:r>
      </w:hyperlink>
      <w:r>
        <w:t>; accessed 16 September 2020.</w:t>
      </w:r>
    </w:p>
    <w:p w14:paraId="6FEAD01D" w14:textId="5B523218" w:rsidR="00E269AD" w:rsidRDefault="00E269AD" w:rsidP="00417876">
      <w:pPr>
        <w:pStyle w:val="Tablenotes"/>
      </w:pPr>
      <w:r>
        <w:t>Abbreviations: AIMD=Active implantable medical device; ARTG=Australian regi</w:t>
      </w:r>
      <w:r w:rsidR="00BF30B4">
        <w:t xml:space="preserve">ster of therapeutic goods; </w:t>
      </w:r>
      <w:r>
        <w:rPr>
          <w:rFonts w:eastAsia="Arial Narrow"/>
        </w:rPr>
        <w:t>GMDN=Global medical device n</w:t>
      </w:r>
      <w:r w:rsidRPr="00AF1D9D">
        <w:rPr>
          <w:rFonts w:eastAsia="Arial Narrow"/>
        </w:rPr>
        <w:t>omenclature</w:t>
      </w:r>
    </w:p>
    <w:p w14:paraId="1E3EDC14" w14:textId="77777777" w:rsidR="00E269AD" w:rsidRDefault="00E269AD" w:rsidP="00E269AD">
      <w:r>
        <w:t>As per the ARTG listings, the closed loop UAS is indicated to treat moderate to severe OSA (15</w:t>
      </w:r>
      <w:r>
        <w:rPr>
          <w:rFonts w:cs="Calibri"/>
        </w:rPr>
        <w:t>≤</w:t>
      </w:r>
      <w:r w:rsidR="00B36E72" w:rsidRPr="00B36E72">
        <w:t xml:space="preserve"> </w:t>
      </w:r>
      <w:r w:rsidR="00B36E72">
        <w:t>apnoea</w:t>
      </w:r>
      <w:r w:rsidR="00B36E72">
        <w:softHyphen/>
        <w:t xml:space="preserve">–hypopnoea index [AHI] </w:t>
      </w:r>
      <w:r>
        <w:rPr>
          <w:rFonts w:cs="Calibri"/>
        </w:rPr>
        <w:t>≥</w:t>
      </w:r>
      <w:r>
        <w:t xml:space="preserve">65) in patients who are not effectively treated by, or able to tolerate, positive airway pressure therapies. </w:t>
      </w:r>
      <w:r w:rsidRPr="00A63897">
        <w:t xml:space="preserve">The </w:t>
      </w:r>
      <w:r>
        <w:t>Instructions for Use (</w:t>
      </w:r>
      <w:r w:rsidRPr="00A63897">
        <w:t>IFU</w:t>
      </w:r>
      <w:r>
        <w:t>)</w:t>
      </w:r>
      <w:r w:rsidRPr="00A63897">
        <w:t xml:space="preserve"> supplied with the devices in Australia</w:t>
      </w:r>
      <w:r>
        <w:t xml:space="preserve">, a requirement of the device’s inclusion on the ARTG, </w:t>
      </w:r>
      <w:r w:rsidRPr="00A63897">
        <w:t xml:space="preserve">specifies that the closed loop UAS </w:t>
      </w:r>
      <w:proofErr w:type="gramStart"/>
      <w:r w:rsidRPr="00A63897">
        <w:t>is contraindicated</w:t>
      </w:r>
      <w:proofErr w:type="gramEnd"/>
      <w:r w:rsidRPr="00A63897">
        <w:t xml:space="preserve"> for use in patients with </w:t>
      </w:r>
      <w:r>
        <w:t>complete concentric collapse (</w:t>
      </w:r>
      <w:r w:rsidRPr="00A63897">
        <w:t>CCC</w:t>
      </w:r>
      <w:r>
        <w:t>)</w:t>
      </w:r>
      <w:r w:rsidRPr="00A63897">
        <w:t xml:space="preserve"> of the soft palate.</w:t>
      </w:r>
      <w:r>
        <w:t xml:space="preserve"> </w:t>
      </w:r>
    </w:p>
    <w:p w14:paraId="6C8DA256" w14:textId="77777777" w:rsidR="00BC1364" w:rsidRPr="00F715D1" w:rsidRDefault="00BC1364" w:rsidP="00F715D1">
      <w:pPr>
        <w:pStyle w:val="Heading1"/>
      </w:pPr>
      <w:r w:rsidRPr="00F715D1">
        <w:t>Proposal for public funding</w:t>
      </w:r>
    </w:p>
    <w:p w14:paraId="1099AA7E" w14:textId="0EDDA468" w:rsidR="00DE2F7D" w:rsidRDefault="00DE2F7D" w:rsidP="007B10A2">
      <w:pPr>
        <w:spacing w:after="240"/>
      </w:pPr>
      <w:r>
        <w:t xml:space="preserve">The applicant proposed </w:t>
      </w:r>
      <w:r w:rsidRPr="006B6F55">
        <w:t>MBS item descriptor</w:t>
      </w:r>
      <w:r>
        <w:t xml:space="preserve">s </w:t>
      </w:r>
      <w:proofErr w:type="gramStart"/>
      <w:r>
        <w:t>are provided</w:t>
      </w:r>
      <w:proofErr w:type="gramEnd"/>
      <w:r>
        <w:t xml:space="preserve"> in </w:t>
      </w:r>
      <w:r>
        <w:fldChar w:fldCharType="begin"/>
      </w:r>
      <w:r>
        <w:instrText xml:space="preserve"> REF _Ref51578258 \h </w:instrText>
      </w:r>
      <w:r>
        <w:fldChar w:fldCharType="separate"/>
      </w:r>
      <w:r w:rsidR="00D007E1">
        <w:t xml:space="preserve">Table </w:t>
      </w:r>
      <w:r w:rsidR="00D007E1">
        <w:rPr>
          <w:noProof/>
        </w:rPr>
        <w:t>3</w:t>
      </w:r>
      <w:r>
        <w:fldChar w:fldCharType="end"/>
      </w:r>
      <w:r>
        <w:t xml:space="preserve">, </w:t>
      </w:r>
      <w:r>
        <w:fldChar w:fldCharType="begin"/>
      </w:r>
      <w:r>
        <w:instrText xml:space="preserve"> REF _Ref51578261 \h </w:instrText>
      </w:r>
      <w:r>
        <w:fldChar w:fldCharType="separate"/>
      </w:r>
      <w:r w:rsidR="00D007E1">
        <w:t xml:space="preserve">Table </w:t>
      </w:r>
      <w:r w:rsidR="00D007E1">
        <w:rPr>
          <w:noProof/>
        </w:rPr>
        <w:t>4</w:t>
      </w:r>
      <w:r>
        <w:fldChar w:fldCharType="end"/>
      </w:r>
      <w:r>
        <w:t xml:space="preserve"> and </w:t>
      </w:r>
      <w:r>
        <w:fldChar w:fldCharType="begin"/>
      </w:r>
      <w:r>
        <w:instrText xml:space="preserve"> REF _Ref51578262 \h </w:instrText>
      </w:r>
      <w:r>
        <w:fldChar w:fldCharType="separate"/>
      </w:r>
      <w:r w:rsidR="00D007E1">
        <w:t xml:space="preserve">Table </w:t>
      </w:r>
      <w:r w:rsidR="00D007E1">
        <w:rPr>
          <w:noProof/>
        </w:rPr>
        <w:t>5</w:t>
      </w:r>
      <w:r>
        <w:fldChar w:fldCharType="end"/>
      </w:r>
      <w:r w:rsidRPr="006B6F55">
        <w:t>.</w:t>
      </w:r>
    </w:p>
    <w:p w14:paraId="722E50F4" w14:textId="698FAD66" w:rsidR="00DE2F7D" w:rsidRPr="00875ED2" w:rsidRDefault="00DE2F7D" w:rsidP="00875ED2">
      <w:pPr>
        <w:keepNext/>
        <w:keepLines/>
        <w:rPr>
          <w:rFonts w:ascii="Arial Narrow" w:hAnsi="Arial Narrow"/>
          <w:b/>
          <w:sz w:val="20"/>
        </w:rPr>
      </w:pPr>
      <w:bookmarkStart w:id="4" w:name="_Ref51578258"/>
      <w:bookmarkStart w:id="5" w:name="_Toc399251120"/>
      <w:r w:rsidRPr="00875ED2">
        <w:rPr>
          <w:rFonts w:ascii="Arial Narrow" w:hAnsi="Arial Narrow"/>
          <w:b/>
          <w:sz w:val="20"/>
        </w:rPr>
        <w:lastRenderedPageBreak/>
        <w:t xml:space="preserve">Table </w:t>
      </w:r>
      <w:r w:rsidR="00086098" w:rsidRPr="00875ED2">
        <w:rPr>
          <w:rFonts w:ascii="Arial Narrow" w:hAnsi="Arial Narrow"/>
          <w:b/>
          <w:sz w:val="20"/>
        </w:rPr>
        <w:fldChar w:fldCharType="begin"/>
      </w:r>
      <w:r w:rsidR="00086098" w:rsidRPr="00875ED2">
        <w:rPr>
          <w:rFonts w:ascii="Arial Narrow" w:hAnsi="Arial Narrow"/>
          <w:b/>
          <w:sz w:val="20"/>
        </w:rPr>
        <w:instrText xml:space="preserve"> SEQ Table \* ARABIC </w:instrText>
      </w:r>
      <w:r w:rsidR="00086098" w:rsidRPr="00875ED2">
        <w:rPr>
          <w:rFonts w:ascii="Arial Narrow" w:hAnsi="Arial Narrow"/>
          <w:b/>
          <w:sz w:val="20"/>
        </w:rPr>
        <w:fldChar w:fldCharType="separate"/>
      </w:r>
      <w:r w:rsidR="00D007E1" w:rsidRPr="00875ED2">
        <w:rPr>
          <w:rFonts w:ascii="Arial Narrow" w:hAnsi="Arial Narrow"/>
          <w:b/>
          <w:sz w:val="20"/>
        </w:rPr>
        <w:t>3</w:t>
      </w:r>
      <w:r w:rsidR="00086098" w:rsidRPr="00875ED2">
        <w:rPr>
          <w:rFonts w:ascii="Arial Narrow" w:hAnsi="Arial Narrow"/>
          <w:b/>
          <w:sz w:val="20"/>
        </w:rPr>
        <w:fldChar w:fldCharType="end"/>
      </w:r>
      <w:bookmarkEnd w:id="4"/>
      <w:r w:rsidRPr="00875ED2">
        <w:rPr>
          <w:rFonts w:ascii="Arial Narrow" w:hAnsi="Arial Narrow"/>
          <w:b/>
          <w:sz w:val="20"/>
        </w:rPr>
        <w:tab/>
        <w:t>Proposed MBS item descriptor</w:t>
      </w:r>
      <w:bookmarkEnd w:id="5"/>
    </w:p>
    <w:tbl>
      <w:tblPr>
        <w:tblStyle w:val="TableGrid"/>
        <w:tblW w:w="4981" w:type="pct"/>
        <w:tblLook w:val="04A0" w:firstRow="1" w:lastRow="0" w:firstColumn="1" w:lastColumn="0" w:noHBand="0" w:noVBand="1"/>
        <w:tblCaption w:val="Table 2  Proposed MBS item descriptor"/>
        <w:tblDescription w:val="A description of the proposed item MBS item descriptor"/>
      </w:tblPr>
      <w:tblGrid>
        <w:gridCol w:w="8982"/>
      </w:tblGrid>
      <w:tr w:rsidR="00DE2F7D" w:rsidRPr="00D33FC3" w14:paraId="5C468F75" w14:textId="77777777" w:rsidTr="00D4500F">
        <w:trPr>
          <w:tblHeader/>
        </w:trPr>
        <w:tc>
          <w:tcPr>
            <w:tcW w:w="5000" w:type="pct"/>
          </w:tcPr>
          <w:p w14:paraId="75E48EC8" w14:textId="77777777" w:rsidR="00DE2F7D" w:rsidRPr="00D33FC3" w:rsidRDefault="00DE2F7D" w:rsidP="00875ED2">
            <w:pPr>
              <w:pStyle w:val="Tabletextright"/>
              <w:keepLines/>
              <w:spacing w:before="40" w:after="40"/>
              <w:rPr>
                <w:sz w:val="24"/>
              </w:rPr>
            </w:pPr>
            <w:r>
              <w:t>Category 3 – Therapeutic procedures</w:t>
            </w:r>
          </w:p>
        </w:tc>
      </w:tr>
      <w:tr w:rsidR="00DE2F7D" w:rsidRPr="000938E1" w14:paraId="056F3E3B" w14:textId="77777777" w:rsidTr="00D4500F">
        <w:tc>
          <w:tcPr>
            <w:tcW w:w="5000" w:type="pct"/>
          </w:tcPr>
          <w:p w14:paraId="19FA5EA3" w14:textId="77777777" w:rsidR="00DE2F7D" w:rsidRDefault="00DE2F7D" w:rsidP="00875ED2">
            <w:pPr>
              <w:pStyle w:val="Tabletext0"/>
              <w:keepNext/>
              <w:keepLines/>
              <w:rPr>
                <w:snapToGrid w:val="0"/>
                <w:sz w:val="24"/>
              </w:rPr>
            </w:pPr>
            <w:r>
              <w:t>MBS item #####</w:t>
            </w:r>
          </w:p>
          <w:p w14:paraId="350D529B" w14:textId="77777777" w:rsidR="00DE2F7D" w:rsidRPr="002D2FF8" w:rsidRDefault="00DE2F7D" w:rsidP="00875ED2">
            <w:pPr>
              <w:pStyle w:val="Tabletext0"/>
              <w:keepNext/>
              <w:keepLines/>
              <w:rPr>
                <w:rFonts w:cstheme="minorHAnsi"/>
              </w:rPr>
            </w:pPr>
            <w:r w:rsidRPr="002D2FF8">
              <w:rPr>
                <w:rFonts w:cstheme="minorHAnsi"/>
              </w:rPr>
              <w:t>Unilateral closed-loop hypoglossal nerve stimulation therapy through stimulation of the hypoglossal nerve, including:</w:t>
            </w:r>
          </w:p>
          <w:p w14:paraId="5B26D169" w14:textId="77777777" w:rsidR="00DE2F7D" w:rsidRPr="002D2FF8" w:rsidRDefault="00DE2F7D" w:rsidP="00875ED2">
            <w:pPr>
              <w:pStyle w:val="Tabletext0"/>
              <w:keepNext/>
              <w:keepLines/>
              <w:numPr>
                <w:ilvl w:val="0"/>
                <w:numId w:val="27"/>
              </w:numPr>
              <w:tabs>
                <w:tab w:val="left" w:pos="495"/>
              </w:tabs>
              <w:ind w:left="495" w:hanging="319"/>
              <w:jc w:val="both"/>
              <w:rPr>
                <w:rFonts w:cstheme="minorHAnsi"/>
              </w:rPr>
            </w:pPr>
            <w:r w:rsidRPr="002D2FF8">
              <w:rPr>
                <w:rFonts w:cstheme="minorHAnsi"/>
              </w:rPr>
              <w:t xml:space="preserve">subcutaneous placement of electrical pulse generator, </w:t>
            </w:r>
          </w:p>
          <w:p w14:paraId="7B3C7F75" w14:textId="77777777" w:rsidR="00DE2F7D" w:rsidRPr="002D2FF8" w:rsidRDefault="00DE2F7D" w:rsidP="00875ED2">
            <w:pPr>
              <w:pStyle w:val="Tabletext0"/>
              <w:keepNext/>
              <w:keepLines/>
              <w:numPr>
                <w:ilvl w:val="0"/>
                <w:numId w:val="27"/>
              </w:numPr>
              <w:tabs>
                <w:tab w:val="left" w:pos="495"/>
              </w:tabs>
              <w:ind w:left="495" w:hanging="319"/>
              <w:jc w:val="both"/>
              <w:rPr>
                <w:rFonts w:cstheme="minorHAnsi"/>
              </w:rPr>
            </w:pPr>
            <w:r w:rsidRPr="002D2FF8">
              <w:rPr>
                <w:rFonts w:cstheme="minorHAnsi"/>
              </w:rPr>
              <w:t>surgical placement of lead including connection of the lead to the hypoglossal nerve and intra-operative test stimulation</w:t>
            </w:r>
          </w:p>
          <w:p w14:paraId="5AF2B54C" w14:textId="77777777" w:rsidR="00DE2F7D" w:rsidRPr="002D2FF8" w:rsidRDefault="00DE2F7D" w:rsidP="00875ED2">
            <w:pPr>
              <w:pStyle w:val="Tabletext0"/>
              <w:keepNext/>
              <w:keepLines/>
              <w:numPr>
                <w:ilvl w:val="0"/>
                <w:numId w:val="27"/>
              </w:numPr>
              <w:tabs>
                <w:tab w:val="left" w:pos="495"/>
              </w:tabs>
              <w:ind w:left="495" w:hanging="319"/>
              <w:jc w:val="both"/>
              <w:rPr>
                <w:rFonts w:cstheme="minorHAnsi"/>
              </w:rPr>
            </w:pPr>
            <w:r w:rsidRPr="002D2FF8">
              <w:rPr>
                <w:rFonts w:cstheme="minorHAnsi"/>
              </w:rPr>
              <w:t>surgical placement of respiratory lead and intra-operative test stimulation</w:t>
            </w:r>
            <w:r>
              <w:rPr>
                <w:rFonts w:cstheme="minorHAnsi"/>
              </w:rPr>
              <w:t xml:space="preserve"> </w:t>
            </w:r>
            <w:r w:rsidRPr="002D2FF8">
              <w:rPr>
                <w:rFonts w:cstheme="minorHAnsi"/>
              </w:rPr>
              <w:t>for management of moderate to severe obstructive sleep apnoea in a patient who:</w:t>
            </w:r>
          </w:p>
          <w:p w14:paraId="2C21FFF3" w14:textId="77777777" w:rsidR="00DE2F7D" w:rsidRPr="002D2FF8" w:rsidRDefault="00DE2F7D" w:rsidP="00875ED2">
            <w:pPr>
              <w:pStyle w:val="Tabletext0"/>
              <w:keepNext/>
              <w:keepLines/>
              <w:ind w:left="495"/>
              <w:rPr>
                <w:rFonts w:cstheme="minorHAnsi"/>
              </w:rPr>
            </w:pPr>
            <w:r w:rsidRPr="002D2FF8">
              <w:rPr>
                <w:rFonts w:cstheme="minorHAnsi"/>
              </w:rPr>
              <w:t>a) has an Apnoea Hypopnoea Index of greater than or equal to 15 and less than or equal to 65; and</w:t>
            </w:r>
          </w:p>
          <w:p w14:paraId="2F64D0DD" w14:textId="77777777" w:rsidR="00DE2F7D" w:rsidRPr="002D2FF8" w:rsidRDefault="00DE2F7D" w:rsidP="00875ED2">
            <w:pPr>
              <w:pStyle w:val="Tabletext0"/>
              <w:keepNext/>
              <w:keepLines/>
              <w:ind w:left="495"/>
              <w:rPr>
                <w:rFonts w:cstheme="minorHAnsi"/>
              </w:rPr>
            </w:pPr>
            <w:r w:rsidRPr="002D2FF8">
              <w:rPr>
                <w:rFonts w:cstheme="minorHAnsi"/>
              </w:rPr>
              <w:t>b) is aged 18 and over; and</w:t>
            </w:r>
          </w:p>
          <w:p w14:paraId="49AD81FB" w14:textId="77777777" w:rsidR="00DE2F7D" w:rsidRPr="002D2FF8" w:rsidRDefault="00DE2F7D" w:rsidP="00875ED2">
            <w:pPr>
              <w:pStyle w:val="Tabletext0"/>
              <w:keepNext/>
              <w:keepLines/>
              <w:ind w:left="495"/>
              <w:rPr>
                <w:rFonts w:cstheme="minorHAnsi"/>
              </w:rPr>
            </w:pPr>
            <w:r w:rsidRPr="002D2FF8">
              <w:rPr>
                <w:rFonts w:cstheme="minorHAnsi"/>
              </w:rPr>
              <w:t xml:space="preserve">c) has failed or is intolerant to continuous positive airway pressure or </w:t>
            </w:r>
            <w:proofErr w:type="spellStart"/>
            <w:r w:rsidRPr="002D2FF8">
              <w:rPr>
                <w:rFonts w:cstheme="minorHAnsi"/>
              </w:rPr>
              <w:t>bilevel</w:t>
            </w:r>
            <w:proofErr w:type="spellEnd"/>
            <w:r w:rsidRPr="002D2FF8">
              <w:rPr>
                <w:rFonts w:cstheme="minorHAnsi"/>
              </w:rPr>
              <w:t xml:space="preserve"> airway pressure; and</w:t>
            </w:r>
          </w:p>
          <w:p w14:paraId="20604FE7" w14:textId="77777777" w:rsidR="00DE2F7D" w:rsidRPr="002D2FF8" w:rsidRDefault="00DE2F7D" w:rsidP="00875ED2">
            <w:pPr>
              <w:pStyle w:val="Tabletext0"/>
              <w:keepNext/>
              <w:keepLines/>
              <w:ind w:left="495"/>
              <w:rPr>
                <w:rFonts w:cstheme="minorHAnsi"/>
              </w:rPr>
            </w:pPr>
            <w:r w:rsidRPr="002D2FF8">
              <w:rPr>
                <w:rFonts w:cstheme="minorHAnsi"/>
              </w:rPr>
              <w:t>d) has a BMI less than or equal to 32 kg/m²; and</w:t>
            </w:r>
          </w:p>
          <w:p w14:paraId="7CD83398" w14:textId="00C5BD68" w:rsidR="00DE2F7D" w:rsidRPr="002D2FF8" w:rsidRDefault="00DE2F7D" w:rsidP="00D4500F">
            <w:pPr>
              <w:pStyle w:val="Tabletext0"/>
              <w:keepNext/>
              <w:keepLines/>
              <w:ind w:left="495"/>
              <w:rPr>
                <w:rFonts w:cstheme="minorHAnsi"/>
              </w:rPr>
            </w:pPr>
            <w:r w:rsidRPr="002D2FF8">
              <w:rPr>
                <w:rFonts w:cstheme="minorHAnsi"/>
              </w:rPr>
              <w:t>e) does not have complete concentr</w:t>
            </w:r>
            <w:r w:rsidR="00D4500F">
              <w:rPr>
                <w:rFonts w:cstheme="minorHAnsi"/>
              </w:rPr>
              <w:t>ic collapse of the upper airway</w:t>
            </w:r>
          </w:p>
          <w:p w14:paraId="0D405492" w14:textId="77777777" w:rsidR="00DE2F7D" w:rsidRDefault="00DE2F7D" w:rsidP="00D4500F">
            <w:pPr>
              <w:pStyle w:val="Tabletext0"/>
              <w:keepNext/>
              <w:keepLines/>
              <w:spacing w:before="240"/>
              <w:ind w:left="352"/>
              <w:rPr>
                <w:rFonts w:cstheme="minorHAnsi"/>
              </w:rPr>
            </w:pPr>
            <w:r w:rsidRPr="002D2FF8">
              <w:rPr>
                <w:rFonts w:cstheme="minorHAnsi"/>
              </w:rPr>
              <w:t>Only once per patient</w:t>
            </w:r>
          </w:p>
          <w:p w14:paraId="77F90C60" w14:textId="77777777" w:rsidR="00DE2F7D" w:rsidRDefault="00DE2F7D" w:rsidP="00875ED2">
            <w:pPr>
              <w:pStyle w:val="Tabletext0"/>
              <w:keepNext/>
              <w:keepLines/>
              <w:ind w:left="353"/>
              <w:rPr>
                <w:rFonts w:cstheme="minorHAnsi"/>
              </w:rPr>
            </w:pPr>
            <w:r>
              <w:rPr>
                <w:rFonts w:cstheme="minorHAnsi"/>
              </w:rPr>
              <w:t>Multiple Operation Rule</w:t>
            </w:r>
          </w:p>
          <w:p w14:paraId="285CA694" w14:textId="77777777" w:rsidR="00DE2F7D" w:rsidRPr="000938E1" w:rsidRDefault="00DE2F7D" w:rsidP="00875ED2">
            <w:pPr>
              <w:pStyle w:val="Tabletext0"/>
              <w:keepNext/>
              <w:keepLines/>
              <w:ind w:left="353"/>
              <w:rPr>
                <w:rFonts w:cstheme="minorHAnsi"/>
              </w:rPr>
            </w:pPr>
            <w:r>
              <w:rPr>
                <w:rFonts w:cstheme="minorHAnsi"/>
              </w:rPr>
              <w:t>(</w:t>
            </w:r>
            <w:proofErr w:type="spellStart"/>
            <w:r>
              <w:rPr>
                <w:rFonts w:cstheme="minorHAnsi"/>
              </w:rPr>
              <w:t>Anaes</w:t>
            </w:r>
            <w:proofErr w:type="spellEnd"/>
            <w:r>
              <w:rPr>
                <w:rFonts w:cstheme="minorHAnsi"/>
              </w:rPr>
              <w:t>.)</w:t>
            </w:r>
          </w:p>
        </w:tc>
      </w:tr>
      <w:tr w:rsidR="00DE2F7D" w14:paraId="4C4624B0" w14:textId="77777777" w:rsidTr="00D4500F">
        <w:tc>
          <w:tcPr>
            <w:tcW w:w="5000" w:type="pct"/>
          </w:tcPr>
          <w:p w14:paraId="17B31555" w14:textId="77777777" w:rsidR="00DE2F7D" w:rsidRDefault="00DE2F7D" w:rsidP="007B10A2">
            <w:pPr>
              <w:pStyle w:val="Tabletext0"/>
              <w:spacing w:line="312" w:lineRule="auto"/>
              <w:rPr>
                <w:sz w:val="24"/>
              </w:rPr>
            </w:pPr>
            <w:r>
              <w:t xml:space="preserve">MBS </w:t>
            </w:r>
            <w:r w:rsidRPr="00C03585">
              <w:t xml:space="preserve">Fee: </w:t>
            </w:r>
            <w:r>
              <w:t>$943.00</w:t>
            </w:r>
            <w:r>
              <w:tab/>
            </w:r>
            <w:r w:rsidRPr="000938E1">
              <w:rPr>
                <w:rFonts w:cstheme="minorHAnsi"/>
              </w:rPr>
              <w:t>Benefit 75% = $707.25 (in-hospital/admitted patient only)</w:t>
            </w:r>
          </w:p>
        </w:tc>
      </w:tr>
    </w:tbl>
    <w:p w14:paraId="39FA405D" w14:textId="77777777" w:rsidR="00DE2F7D" w:rsidRDefault="00DE2F7D" w:rsidP="00DE2F7D">
      <w:pPr>
        <w:pStyle w:val="Tablecaption"/>
        <w:spacing w:after="240" w:line="312" w:lineRule="auto"/>
        <w:rPr>
          <w:sz w:val="18"/>
          <w:szCs w:val="18"/>
        </w:rPr>
      </w:pPr>
      <w:r w:rsidRPr="000938E1">
        <w:rPr>
          <w:sz w:val="18"/>
          <w:szCs w:val="18"/>
        </w:rPr>
        <w:t>Source: Table 9, p29 of the ADAR.</w:t>
      </w:r>
    </w:p>
    <w:p w14:paraId="5084141D" w14:textId="745FF75E" w:rsidR="00DE2F7D" w:rsidRPr="00875ED2" w:rsidRDefault="00DE2F7D" w:rsidP="00875ED2">
      <w:pPr>
        <w:rPr>
          <w:rFonts w:ascii="Arial Narrow" w:hAnsi="Arial Narrow"/>
          <w:b/>
          <w:sz w:val="20"/>
        </w:rPr>
      </w:pPr>
      <w:bookmarkStart w:id="6" w:name="_Ref51578261"/>
      <w:r w:rsidRPr="00875ED2">
        <w:rPr>
          <w:rFonts w:ascii="Arial Narrow" w:hAnsi="Arial Narrow"/>
          <w:b/>
          <w:sz w:val="20"/>
        </w:rPr>
        <w:t xml:space="preserve">Table </w:t>
      </w:r>
      <w:r w:rsidR="00086098" w:rsidRPr="00875ED2">
        <w:rPr>
          <w:rFonts w:ascii="Arial Narrow" w:hAnsi="Arial Narrow"/>
          <w:b/>
          <w:sz w:val="20"/>
        </w:rPr>
        <w:fldChar w:fldCharType="begin"/>
      </w:r>
      <w:r w:rsidR="00086098" w:rsidRPr="00875ED2">
        <w:rPr>
          <w:rFonts w:ascii="Arial Narrow" w:hAnsi="Arial Narrow"/>
          <w:b/>
          <w:sz w:val="20"/>
        </w:rPr>
        <w:instrText xml:space="preserve"> SEQ Table \* ARABIC </w:instrText>
      </w:r>
      <w:r w:rsidR="00086098" w:rsidRPr="00875ED2">
        <w:rPr>
          <w:rFonts w:ascii="Arial Narrow" w:hAnsi="Arial Narrow"/>
          <w:b/>
          <w:sz w:val="20"/>
        </w:rPr>
        <w:fldChar w:fldCharType="separate"/>
      </w:r>
      <w:r w:rsidR="00D007E1" w:rsidRPr="00875ED2">
        <w:rPr>
          <w:rFonts w:ascii="Arial Narrow" w:hAnsi="Arial Narrow"/>
          <w:b/>
          <w:sz w:val="20"/>
        </w:rPr>
        <w:t>4</w:t>
      </w:r>
      <w:r w:rsidR="00086098" w:rsidRPr="00875ED2">
        <w:rPr>
          <w:rFonts w:ascii="Arial Narrow" w:hAnsi="Arial Narrow"/>
          <w:b/>
          <w:sz w:val="20"/>
        </w:rPr>
        <w:fldChar w:fldCharType="end"/>
      </w:r>
      <w:bookmarkEnd w:id="6"/>
      <w:r w:rsidRPr="00875ED2">
        <w:rPr>
          <w:rFonts w:ascii="Arial Narrow" w:hAnsi="Arial Narrow"/>
          <w:b/>
          <w:sz w:val="20"/>
        </w:rPr>
        <w:tab/>
        <w:t xml:space="preserve">Proposed MBS item descriptor for re-positioning or removal of the </w:t>
      </w:r>
      <w:r w:rsidR="00B36E72" w:rsidRPr="00875ED2">
        <w:rPr>
          <w:rFonts w:ascii="Arial Narrow" w:hAnsi="Arial Narrow"/>
          <w:b/>
          <w:sz w:val="20"/>
        </w:rPr>
        <w:t>implantable pulse generator (</w:t>
      </w:r>
      <w:r w:rsidRPr="00875ED2">
        <w:rPr>
          <w:rFonts w:ascii="Arial Narrow" w:hAnsi="Arial Narrow"/>
          <w:b/>
          <w:sz w:val="20"/>
        </w:rPr>
        <w:t>IPG</w:t>
      </w:r>
      <w:r w:rsidR="00B36E72" w:rsidRPr="00875ED2">
        <w:rPr>
          <w:rFonts w:ascii="Arial Narrow" w:hAnsi="Arial Narrow"/>
          <w:b/>
          <w:sz w:val="20"/>
        </w:rPr>
        <w:t>)</w:t>
      </w:r>
      <w:r w:rsidRPr="00875ED2">
        <w:rPr>
          <w:rFonts w:ascii="Arial Narrow" w:hAnsi="Arial Narrow"/>
          <w:b/>
          <w:sz w:val="20"/>
        </w:rPr>
        <w:t xml:space="preserve"> device; ESC proposed changes (striketh</w:t>
      </w:r>
      <w:r w:rsidR="007B10A2" w:rsidRPr="00875ED2">
        <w:rPr>
          <w:rFonts w:ascii="Arial Narrow" w:hAnsi="Arial Narrow"/>
          <w:b/>
          <w:sz w:val="20"/>
        </w:rPr>
        <w:t>r</w:t>
      </w:r>
      <w:r w:rsidRPr="00875ED2">
        <w:rPr>
          <w:rFonts w:ascii="Arial Narrow" w:hAnsi="Arial Narrow"/>
          <w:b/>
          <w:sz w:val="20"/>
        </w:rPr>
        <w:t>ough)</w:t>
      </w:r>
    </w:p>
    <w:tbl>
      <w:tblPr>
        <w:tblStyle w:val="TableGrid"/>
        <w:tblW w:w="4981" w:type="pct"/>
        <w:tblLook w:val="04A0" w:firstRow="1" w:lastRow="0" w:firstColumn="1" w:lastColumn="0" w:noHBand="0" w:noVBand="1"/>
        <w:tblCaption w:val="Table 3  Proposed MBS item descriptor for re-positioning or removal of the IPG device"/>
        <w:tblDescription w:val="Proposed item descriptor for re-postioning of the UAS device."/>
      </w:tblPr>
      <w:tblGrid>
        <w:gridCol w:w="8982"/>
      </w:tblGrid>
      <w:tr w:rsidR="00DE2F7D" w:rsidRPr="00D33FC3" w14:paraId="257D2432" w14:textId="77777777" w:rsidTr="00D4500F">
        <w:trPr>
          <w:tblHeader/>
        </w:trPr>
        <w:tc>
          <w:tcPr>
            <w:tcW w:w="5000" w:type="pct"/>
          </w:tcPr>
          <w:p w14:paraId="76047EB0" w14:textId="77777777" w:rsidR="00DE2F7D" w:rsidRPr="00D33FC3" w:rsidRDefault="00DE2F7D" w:rsidP="007B10A2">
            <w:pPr>
              <w:pStyle w:val="Tabletextright"/>
              <w:spacing w:before="40" w:after="40" w:line="312" w:lineRule="auto"/>
              <w:rPr>
                <w:sz w:val="24"/>
              </w:rPr>
            </w:pPr>
            <w:r>
              <w:t>Category 3 – Therapeutic procedures</w:t>
            </w:r>
          </w:p>
        </w:tc>
      </w:tr>
      <w:tr w:rsidR="00DE2F7D" w:rsidRPr="00C03585" w14:paraId="5C752857" w14:textId="77777777" w:rsidTr="00D4500F">
        <w:tc>
          <w:tcPr>
            <w:tcW w:w="5000" w:type="pct"/>
          </w:tcPr>
          <w:p w14:paraId="4CE24830" w14:textId="77777777" w:rsidR="00DE2F7D" w:rsidRDefault="00DE2F7D" w:rsidP="007B10A2">
            <w:pPr>
              <w:pStyle w:val="Tabletext0"/>
              <w:spacing w:line="312" w:lineRule="auto"/>
              <w:rPr>
                <w:snapToGrid w:val="0"/>
                <w:sz w:val="24"/>
              </w:rPr>
            </w:pPr>
            <w:r>
              <w:t>MBS item #####</w:t>
            </w:r>
          </w:p>
          <w:p w14:paraId="1FF831DB" w14:textId="77777777" w:rsidR="00DE2F7D" w:rsidRPr="00A0184F" w:rsidRDefault="00DE2F7D" w:rsidP="007B10A2">
            <w:pPr>
              <w:pStyle w:val="Tabletext0"/>
              <w:tabs>
                <w:tab w:val="left" w:pos="495"/>
              </w:tabs>
              <w:spacing w:line="312" w:lineRule="auto"/>
              <w:rPr>
                <w:rFonts w:cstheme="minorHAnsi"/>
                <w:strike/>
              </w:rPr>
            </w:pPr>
            <w:r w:rsidRPr="007957E9">
              <w:t>Unilateral closed-loop hypoglossal nerve stimulation therapy through stimulation of the hypoglossal nerve, surgical repositioning or removal of electrical pulse generator for management of moderate to severe obstructiv</w:t>
            </w:r>
            <w:r>
              <w:t>e sleep apnoea</w:t>
            </w:r>
            <w:r w:rsidRPr="00A0184F">
              <w:rPr>
                <w:strike/>
              </w:rPr>
              <w:t xml:space="preserve"> in a patient who</w:t>
            </w:r>
            <w:r w:rsidRPr="00A0184F">
              <w:rPr>
                <w:rFonts w:cstheme="minorHAnsi"/>
                <w:strike/>
              </w:rPr>
              <w:t>:</w:t>
            </w:r>
          </w:p>
          <w:p w14:paraId="0F9D5EED" w14:textId="77777777" w:rsidR="00DE2F7D" w:rsidRPr="00A0184F" w:rsidRDefault="00DE2F7D" w:rsidP="007B10A2">
            <w:pPr>
              <w:pStyle w:val="Tabletext0"/>
              <w:spacing w:line="312" w:lineRule="auto"/>
              <w:ind w:left="495"/>
              <w:rPr>
                <w:rFonts w:cstheme="minorHAnsi"/>
                <w:strike/>
              </w:rPr>
            </w:pPr>
            <w:r w:rsidRPr="00A0184F">
              <w:rPr>
                <w:rFonts w:cstheme="minorHAnsi"/>
                <w:strike/>
              </w:rPr>
              <w:t>a) has an Apnoea Hypopnoea Index of greater than or equal to 15 and less than or equal to 65; and</w:t>
            </w:r>
          </w:p>
          <w:p w14:paraId="234F5EB3" w14:textId="77777777" w:rsidR="00DE2F7D" w:rsidRPr="00A0184F" w:rsidRDefault="00DE2F7D" w:rsidP="007B10A2">
            <w:pPr>
              <w:pStyle w:val="Tabletext0"/>
              <w:spacing w:line="312" w:lineRule="auto"/>
              <w:ind w:left="495"/>
              <w:rPr>
                <w:rFonts w:cstheme="minorHAnsi"/>
                <w:strike/>
              </w:rPr>
            </w:pPr>
            <w:r w:rsidRPr="00A0184F">
              <w:rPr>
                <w:rFonts w:cstheme="minorHAnsi"/>
                <w:strike/>
              </w:rPr>
              <w:t>b) is aged 18 and over; and</w:t>
            </w:r>
          </w:p>
          <w:p w14:paraId="36F0C023" w14:textId="77777777" w:rsidR="00DE2F7D" w:rsidRPr="00A0184F" w:rsidRDefault="00DE2F7D" w:rsidP="007B10A2">
            <w:pPr>
              <w:pStyle w:val="Tabletext0"/>
              <w:spacing w:line="312" w:lineRule="auto"/>
              <w:ind w:left="495"/>
              <w:rPr>
                <w:rFonts w:cstheme="minorHAnsi"/>
                <w:strike/>
              </w:rPr>
            </w:pPr>
            <w:r w:rsidRPr="00A0184F">
              <w:rPr>
                <w:rFonts w:cstheme="minorHAnsi"/>
                <w:strike/>
              </w:rPr>
              <w:t xml:space="preserve">c) has failed or is intolerant to continuous positive airway pressure or </w:t>
            </w:r>
            <w:proofErr w:type="spellStart"/>
            <w:r w:rsidRPr="00A0184F">
              <w:rPr>
                <w:rFonts w:cstheme="minorHAnsi"/>
                <w:strike/>
              </w:rPr>
              <w:t>bilevel</w:t>
            </w:r>
            <w:proofErr w:type="spellEnd"/>
            <w:r w:rsidRPr="00A0184F">
              <w:rPr>
                <w:rFonts w:cstheme="minorHAnsi"/>
                <w:strike/>
              </w:rPr>
              <w:t xml:space="preserve"> airway pressure; and</w:t>
            </w:r>
          </w:p>
          <w:p w14:paraId="4D07C0A7" w14:textId="77777777" w:rsidR="00DE2F7D" w:rsidRPr="00A0184F" w:rsidRDefault="00DE2F7D" w:rsidP="007B10A2">
            <w:pPr>
              <w:pStyle w:val="Tabletext0"/>
              <w:spacing w:line="312" w:lineRule="auto"/>
              <w:ind w:left="495"/>
              <w:rPr>
                <w:rFonts w:cstheme="minorHAnsi"/>
                <w:strike/>
              </w:rPr>
            </w:pPr>
            <w:r w:rsidRPr="00A0184F">
              <w:rPr>
                <w:rFonts w:cstheme="minorHAnsi"/>
                <w:strike/>
              </w:rPr>
              <w:t>d) has a BMI less than or equal to 32 kg/m²; and</w:t>
            </w:r>
          </w:p>
          <w:p w14:paraId="0A127740" w14:textId="33FF320D" w:rsidR="00DE2F7D" w:rsidRPr="00D4500F" w:rsidRDefault="00DE2F7D" w:rsidP="00D4500F">
            <w:pPr>
              <w:pStyle w:val="Tabletext0"/>
              <w:spacing w:line="312" w:lineRule="auto"/>
              <w:ind w:left="495"/>
              <w:rPr>
                <w:rFonts w:cstheme="minorHAnsi"/>
                <w:strike/>
              </w:rPr>
            </w:pPr>
            <w:r w:rsidRPr="00A0184F">
              <w:rPr>
                <w:rFonts w:cstheme="minorHAnsi"/>
                <w:strike/>
              </w:rPr>
              <w:t>e) does not have complete concentr</w:t>
            </w:r>
            <w:r w:rsidR="00D4500F">
              <w:rPr>
                <w:rFonts w:cstheme="minorHAnsi"/>
                <w:strike/>
              </w:rPr>
              <w:t>ic collapse of the upper airway</w:t>
            </w:r>
          </w:p>
          <w:p w14:paraId="017575B2" w14:textId="77777777" w:rsidR="00DE2F7D" w:rsidRDefault="00DE2F7D" w:rsidP="00D4500F">
            <w:pPr>
              <w:pStyle w:val="Tabletext0"/>
              <w:spacing w:before="240" w:line="312" w:lineRule="auto"/>
              <w:ind w:left="352"/>
              <w:rPr>
                <w:rFonts w:cstheme="minorHAnsi"/>
              </w:rPr>
            </w:pPr>
            <w:r w:rsidRPr="002D2FF8">
              <w:rPr>
                <w:rFonts w:cstheme="minorHAnsi"/>
              </w:rPr>
              <w:t>Only once per patient</w:t>
            </w:r>
          </w:p>
          <w:p w14:paraId="1230DDEC" w14:textId="77777777" w:rsidR="00DE2F7D" w:rsidRDefault="00DE2F7D" w:rsidP="007B10A2">
            <w:pPr>
              <w:pStyle w:val="Tabletext0"/>
              <w:spacing w:line="312" w:lineRule="auto"/>
              <w:ind w:left="353"/>
              <w:rPr>
                <w:rFonts w:cstheme="minorHAnsi"/>
              </w:rPr>
            </w:pPr>
            <w:r>
              <w:rPr>
                <w:rFonts w:cstheme="minorHAnsi"/>
              </w:rPr>
              <w:t>Multiple Operation Rule</w:t>
            </w:r>
          </w:p>
          <w:p w14:paraId="77BE594F" w14:textId="77777777" w:rsidR="00DE2F7D" w:rsidRPr="000938E1" w:rsidRDefault="00DE2F7D" w:rsidP="007B10A2">
            <w:pPr>
              <w:pStyle w:val="Tabletext0"/>
              <w:spacing w:line="312" w:lineRule="auto"/>
              <w:ind w:left="353"/>
              <w:rPr>
                <w:rFonts w:cstheme="minorHAnsi"/>
              </w:rPr>
            </w:pPr>
            <w:r>
              <w:rPr>
                <w:rFonts w:cstheme="minorHAnsi"/>
              </w:rPr>
              <w:t>(</w:t>
            </w:r>
            <w:proofErr w:type="spellStart"/>
            <w:r>
              <w:rPr>
                <w:rFonts w:cstheme="minorHAnsi"/>
              </w:rPr>
              <w:t>Anaes</w:t>
            </w:r>
            <w:proofErr w:type="spellEnd"/>
            <w:r>
              <w:rPr>
                <w:rFonts w:cstheme="minorHAnsi"/>
              </w:rPr>
              <w:t>.)</w:t>
            </w:r>
          </w:p>
        </w:tc>
      </w:tr>
      <w:tr w:rsidR="00DE2F7D" w:rsidRPr="00C03585" w14:paraId="3D875A60" w14:textId="77777777" w:rsidTr="00D4500F">
        <w:tc>
          <w:tcPr>
            <w:tcW w:w="5000" w:type="pct"/>
          </w:tcPr>
          <w:p w14:paraId="159984C6" w14:textId="77777777" w:rsidR="00DE2F7D" w:rsidRDefault="00DE2F7D" w:rsidP="00360443">
            <w:pPr>
              <w:pStyle w:val="Tabletext0"/>
              <w:keepNext/>
              <w:keepLines/>
              <w:spacing w:line="312" w:lineRule="auto"/>
              <w:rPr>
                <w:sz w:val="24"/>
              </w:rPr>
            </w:pPr>
            <w:r>
              <w:t xml:space="preserve">MBS </w:t>
            </w:r>
            <w:r w:rsidRPr="00C03585">
              <w:t xml:space="preserve">Fee: </w:t>
            </w:r>
            <w:r>
              <w:t>$161.95</w:t>
            </w:r>
            <w:r>
              <w:tab/>
            </w:r>
            <w:r w:rsidRPr="000938E1">
              <w:rPr>
                <w:rFonts w:cstheme="minorHAnsi"/>
              </w:rPr>
              <w:t>Benefit 75% = $</w:t>
            </w:r>
            <w:r>
              <w:rPr>
                <w:rFonts w:cstheme="minorHAnsi"/>
              </w:rPr>
              <w:t>121.50</w:t>
            </w:r>
            <w:r w:rsidRPr="000938E1">
              <w:rPr>
                <w:rFonts w:cstheme="minorHAnsi"/>
              </w:rPr>
              <w:t xml:space="preserve"> (in-hospital/admitted patient only)</w:t>
            </w:r>
          </w:p>
        </w:tc>
      </w:tr>
    </w:tbl>
    <w:p w14:paraId="0CA2E26E" w14:textId="77777777" w:rsidR="00DE2F7D" w:rsidRPr="000938E1" w:rsidRDefault="00DE2F7D" w:rsidP="00360443">
      <w:pPr>
        <w:pStyle w:val="Tablecaption"/>
        <w:keepNext w:val="0"/>
        <w:spacing w:after="240" w:line="312" w:lineRule="auto"/>
        <w:rPr>
          <w:sz w:val="18"/>
          <w:szCs w:val="18"/>
        </w:rPr>
      </w:pPr>
      <w:r w:rsidRPr="000938E1">
        <w:rPr>
          <w:sz w:val="18"/>
          <w:szCs w:val="18"/>
        </w:rPr>
        <w:t xml:space="preserve">Source: Table </w:t>
      </w:r>
      <w:r>
        <w:rPr>
          <w:sz w:val="18"/>
          <w:szCs w:val="18"/>
        </w:rPr>
        <w:t>10</w:t>
      </w:r>
      <w:r w:rsidRPr="000938E1">
        <w:rPr>
          <w:sz w:val="18"/>
          <w:szCs w:val="18"/>
        </w:rPr>
        <w:t>, p29</w:t>
      </w:r>
      <w:r>
        <w:rPr>
          <w:sz w:val="18"/>
          <w:szCs w:val="18"/>
        </w:rPr>
        <w:t>-30</w:t>
      </w:r>
      <w:r w:rsidRPr="000938E1">
        <w:rPr>
          <w:sz w:val="18"/>
          <w:szCs w:val="18"/>
        </w:rPr>
        <w:t xml:space="preserve"> of the ADAR.</w:t>
      </w:r>
    </w:p>
    <w:p w14:paraId="5FD5495C" w14:textId="312F1F0A" w:rsidR="00DE2F7D" w:rsidRPr="00875ED2" w:rsidRDefault="00DE2F7D" w:rsidP="00875ED2">
      <w:pPr>
        <w:keepNext/>
        <w:keepLines/>
        <w:rPr>
          <w:rFonts w:ascii="Arial Narrow" w:hAnsi="Arial Narrow"/>
          <w:b/>
          <w:sz w:val="20"/>
        </w:rPr>
      </w:pPr>
      <w:bookmarkStart w:id="7" w:name="_Ref51578262"/>
      <w:r w:rsidRPr="00875ED2">
        <w:rPr>
          <w:rFonts w:ascii="Arial Narrow" w:hAnsi="Arial Narrow"/>
          <w:b/>
          <w:sz w:val="20"/>
        </w:rPr>
        <w:lastRenderedPageBreak/>
        <w:t xml:space="preserve">Table </w:t>
      </w:r>
      <w:r w:rsidR="00086098" w:rsidRPr="00875ED2">
        <w:rPr>
          <w:rFonts w:ascii="Arial Narrow" w:hAnsi="Arial Narrow"/>
          <w:b/>
          <w:sz w:val="20"/>
        </w:rPr>
        <w:fldChar w:fldCharType="begin"/>
      </w:r>
      <w:r w:rsidR="00086098" w:rsidRPr="00875ED2">
        <w:rPr>
          <w:rFonts w:ascii="Arial Narrow" w:hAnsi="Arial Narrow"/>
          <w:b/>
          <w:sz w:val="20"/>
        </w:rPr>
        <w:instrText xml:space="preserve"> SEQ Table \* ARABIC </w:instrText>
      </w:r>
      <w:r w:rsidR="00086098" w:rsidRPr="00875ED2">
        <w:rPr>
          <w:rFonts w:ascii="Arial Narrow" w:hAnsi="Arial Narrow"/>
          <w:b/>
          <w:sz w:val="20"/>
        </w:rPr>
        <w:fldChar w:fldCharType="separate"/>
      </w:r>
      <w:r w:rsidR="00D007E1" w:rsidRPr="00875ED2">
        <w:rPr>
          <w:rFonts w:ascii="Arial Narrow" w:hAnsi="Arial Narrow"/>
          <w:b/>
          <w:sz w:val="20"/>
        </w:rPr>
        <w:t>5</w:t>
      </w:r>
      <w:r w:rsidR="00086098" w:rsidRPr="00875ED2">
        <w:rPr>
          <w:rFonts w:ascii="Arial Narrow" w:hAnsi="Arial Narrow"/>
          <w:b/>
          <w:sz w:val="20"/>
        </w:rPr>
        <w:fldChar w:fldCharType="end"/>
      </w:r>
      <w:bookmarkEnd w:id="7"/>
      <w:r w:rsidRPr="00875ED2">
        <w:rPr>
          <w:rFonts w:ascii="Arial Narrow" w:hAnsi="Arial Narrow"/>
          <w:b/>
          <w:sz w:val="20"/>
        </w:rPr>
        <w:tab/>
        <w:t>Proposed MBS item descriptor for replacement of IPG at end of battery life; ESC proposed changes (strikethrough)</w:t>
      </w:r>
    </w:p>
    <w:tbl>
      <w:tblPr>
        <w:tblStyle w:val="TableGrid"/>
        <w:tblW w:w="4981" w:type="pct"/>
        <w:tblLook w:val="04A0" w:firstRow="1" w:lastRow="0" w:firstColumn="1" w:lastColumn="0" w:noHBand="0" w:noVBand="1"/>
        <w:tblCaption w:val="Table 4  Proposed MBS item descriptor for replacement of IPG at end of battery life"/>
        <w:tblDescription w:val="Description of the proposed MBS item descriptor for replacement of the devie at the end of battery life."/>
      </w:tblPr>
      <w:tblGrid>
        <w:gridCol w:w="8982"/>
      </w:tblGrid>
      <w:tr w:rsidR="00DE2F7D" w:rsidRPr="00D33FC3" w14:paraId="17CC7BEC" w14:textId="77777777" w:rsidTr="00D4500F">
        <w:trPr>
          <w:tblHeader/>
        </w:trPr>
        <w:tc>
          <w:tcPr>
            <w:tcW w:w="5000" w:type="pct"/>
          </w:tcPr>
          <w:p w14:paraId="146C3F7E" w14:textId="77777777" w:rsidR="00DE2F7D" w:rsidRPr="00D33FC3" w:rsidRDefault="00DE2F7D" w:rsidP="00875ED2">
            <w:pPr>
              <w:pStyle w:val="Tabletextright"/>
              <w:keepLines/>
              <w:spacing w:before="40" w:after="40"/>
              <w:rPr>
                <w:sz w:val="24"/>
              </w:rPr>
            </w:pPr>
            <w:r>
              <w:t>Category 3 – Therapeutic procedures</w:t>
            </w:r>
          </w:p>
        </w:tc>
      </w:tr>
      <w:tr w:rsidR="00DE2F7D" w:rsidRPr="00C03585" w14:paraId="3859C526" w14:textId="77777777" w:rsidTr="00D4500F">
        <w:tc>
          <w:tcPr>
            <w:tcW w:w="5000" w:type="pct"/>
          </w:tcPr>
          <w:p w14:paraId="1ABADA96" w14:textId="77777777" w:rsidR="00DE2F7D" w:rsidRDefault="00DE2F7D" w:rsidP="00875ED2">
            <w:pPr>
              <w:pStyle w:val="Tabletext0"/>
              <w:keepNext/>
              <w:keepLines/>
              <w:rPr>
                <w:snapToGrid w:val="0"/>
                <w:sz w:val="24"/>
              </w:rPr>
            </w:pPr>
            <w:r>
              <w:t>MBS item #####</w:t>
            </w:r>
          </w:p>
          <w:p w14:paraId="0D607BC5" w14:textId="77777777" w:rsidR="00DE2F7D" w:rsidRPr="00A0184F" w:rsidRDefault="00DE2F7D" w:rsidP="00875ED2">
            <w:pPr>
              <w:pStyle w:val="Tabletext0"/>
              <w:keepNext/>
              <w:keepLines/>
              <w:tabs>
                <w:tab w:val="left" w:pos="495"/>
              </w:tabs>
              <w:rPr>
                <w:rFonts w:cstheme="minorHAnsi"/>
                <w:strike/>
              </w:rPr>
            </w:pPr>
            <w:r w:rsidRPr="007957E9">
              <w:t>Unilateral closed</w:t>
            </w:r>
            <w:r>
              <w:t xml:space="preserve"> </w:t>
            </w:r>
            <w:r w:rsidRPr="007957E9">
              <w:t xml:space="preserve">loop hypoglossal nerve stimulation therapy through stimulation of the hypoglossal nerve, surgical </w:t>
            </w:r>
            <w:r>
              <w:t>replacement</w:t>
            </w:r>
            <w:r w:rsidRPr="007957E9">
              <w:t xml:space="preserve"> of electrical pulse </w:t>
            </w:r>
            <w:r w:rsidRPr="0034578B">
              <w:t>generator</w:t>
            </w:r>
            <w:r>
              <w:rPr>
                <w:strike/>
              </w:rPr>
              <w:t>.,</w:t>
            </w:r>
            <w:r w:rsidRPr="00A0184F">
              <w:rPr>
                <w:strike/>
              </w:rPr>
              <w:t xml:space="preserve"> for management of moderate to severe obstructive sleep apnoea in a patient who:</w:t>
            </w:r>
          </w:p>
          <w:p w14:paraId="4978EEC9" w14:textId="77777777" w:rsidR="00DE2F7D" w:rsidRPr="00A0184F" w:rsidRDefault="00DE2F7D" w:rsidP="00875ED2">
            <w:pPr>
              <w:pStyle w:val="Tabletext0"/>
              <w:keepNext/>
              <w:keepLines/>
              <w:ind w:left="495"/>
              <w:rPr>
                <w:rFonts w:cstheme="minorHAnsi"/>
                <w:strike/>
              </w:rPr>
            </w:pPr>
            <w:r w:rsidRPr="00A0184F">
              <w:rPr>
                <w:rFonts w:cstheme="minorHAnsi"/>
                <w:strike/>
              </w:rPr>
              <w:t>a) has an Apnoea Hypopnoea Index of greater than or equal to 15 and less than or equal to 65; and</w:t>
            </w:r>
          </w:p>
          <w:p w14:paraId="3F6D7407" w14:textId="77777777" w:rsidR="00DE2F7D" w:rsidRPr="00A0184F" w:rsidRDefault="00DE2F7D" w:rsidP="00875ED2">
            <w:pPr>
              <w:pStyle w:val="Tabletext0"/>
              <w:keepNext/>
              <w:keepLines/>
              <w:ind w:left="495"/>
              <w:rPr>
                <w:rFonts w:cstheme="minorHAnsi"/>
                <w:strike/>
              </w:rPr>
            </w:pPr>
            <w:r w:rsidRPr="00A0184F">
              <w:rPr>
                <w:rFonts w:cstheme="minorHAnsi"/>
                <w:strike/>
              </w:rPr>
              <w:t>b) is aged 18 and over; and</w:t>
            </w:r>
          </w:p>
          <w:p w14:paraId="650916AB" w14:textId="77777777" w:rsidR="00DE2F7D" w:rsidRPr="00A0184F" w:rsidRDefault="00DE2F7D" w:rsidP="00875ED2">
            <w:pPr>
              <w:pStyle w:val="Tabletext0"/>
              <w:keepNext/>
              <w:keepLines/>
              <w:ind w:left="495"/>
              <w:rPr>
                <w:rFonts w:cstheme="minorHAnsi"/>
                <w:strike/>
              </w:rPr>
            </w:pPr>
            <w:r w:rsidRPr="00A0184F">
              <w:rPr>
                <w:rFonts w:cstheme="minorHAnsi"/>
                <w:strike/>
              </w:rPr>
              <w:t xml:space="preserve">c) has failed or is intolerant to continuous positive airway pressure or </w:t>
            </w:r>
            <w:proofErr w:type="spellStart"/>
            <w:r w:rsidRPr="00A0184F">
              <w:rPr>
                <w:rFonts w:cstheme="minorHAnsi"/>
                <w:strike/>
              </w:rPr>
              <w:t>bilevel</w:t>
            </w:r>
            <w:proofErr w:type="spellEnd"/>
            <w:r w:rsidRPr="00A0184F">
              <w:rPr>
                <w:rFonts w:cstheme="minorHAnsi"/>
                <w:strike/>
              </w:rPr>
              <w:t xml:space="preserve"> airway pressure; and</w:t>
            </w:r>
          </w:p>
          <w:p w14:paraId="28B78E11" w14:textId="77777777" w:rsidR="00DE2F7D" w:rsidRPr="00A0184F" w:rsidRDefault="00DE2F7D" w:rsidP="00875ED2">
            <w:pPr>
              <w:pStyle w:val="Tabletext0"/>
              <w:keepNext/>
              <w:keepLines/>
              <w:ind w:left="495"/>
              <w:rPr>
                <w:rFonts w:cstheme="minorHAnsi"/>
                <w:strike/>
              </w:rPr>
            </w:pPr>
            <w:r w:rsidRPr="00A0184F">
              <w:rPr>
                <w:rFonts w:cstheme="minorHAnsi"/>
                <w:strike/>
              </w:rPr>
              <w:t>d) has a BMI less than or equal to 32 kg/m²; and</w:t>
            </w:r>
          </w:p>
          <w:p w14:paraId="232060C5" w14:textId="03F7E07A" w:rsidR="00DE2F7D" w:rsidRPr="00D4500F" w:rsidRDefault="00DE2F7D" w:rsidP="00D4500F">
            <w:pPr>
              <w:pStyle w:val="Tabletext0"/>
              <w:keepNext/>
              <w:keepLines/>
              <w:ind w:left="495"/>
              <w:rPr>
                <w:rFonts w:cstheme="minorHAnsi"/>
                <w:strike/>
              </w:rPr>
            </w:pPr>
            <w:r w:rsidRPr="00A0184F">
              <w:rPr>
                <w:rFonts w:cstheme="minorHAnsi"/>
                <w:strike/>
              </w:rPr>
              <w:t>e) does not have complete concentr</w:t>
            </w:r>
            <w:r w:rsidR="00D4500F">
              <w:rPr>
                <w:rFonts w:cstheme="minorHAnsi"/>
                <w:strike/>
              </w:rPr>
              <w:t>ic collapse of the upper airway</w:t>
            </w:r>
          </w:p>
          <w:p w14:paraId="2C2D2F39" w14:textId="77777777" w:rsidR="00DE2F7D" w:rsidRPr="00477BBF" w:rsidRDefault="00DE2F7D" w:rsidP="00D4500F">
            <w:pPr>
              <w:pStyle w:val="Tabletext0"/>
              <w:keepNext/>
              <w:keepLines/>
              <w:spacing w:before="240"/>
              <w:ind w:left="352"/>
              <w:rPr>
                <w:rFonts w:cstheme="minorHAnsi"/>
                <w:strike/>
              </w:rPr>
            </w:pPr>
            <w:r w:rsidRPr="00477BBF">
              <w:rPr>
                <w:rFonts w:cstheme="minorHAnsi"/>
                <w:strike/>
              </w:rPr>
              <w:t>Only once per patient</w:t>
            </w:r>
          </w:p>
          <w:p w14:paraId="5C796663" w14:textId="77777777" w:rsidR="00DE2F7D" w:rsidRPr="000938E1" w:rsidRDefault="00DE2F7D" w:rsidP="00875ED2">
            <w:pPr>
              <w:pStyle w:val="Tabletext0"/>
              <w:keepNext/>
              <w:keepLines/>
              <w:ind w:left="353"/>
              <w:rPr>
                <w:rFonts w:cstheme="minorHAnsi"/>
              </w:rPr>
            </w:pPr>
            <w:r>
              <w:rPr>
                <w:rFonts w:cstheme="minorHAnsi"/>
              </w:rPr>
              <w:t>Multiple Operation Rule</w:t>
            </w:r>
          </w:p>
        </w:tc>
      </w:tr>
      <w:tr w:rsidR="00DE2F7D" w:rsidRPr="00C03585" w14:paraId="2F1232E7" w14:textId="77777777" w:rsidTr="00D4500F">
        <w:tc>
          <w:tcPr>
            <w:tcW w:w="5000" w:type="pct"/>
          </w:tcPr>
          <w:p w14:paraId="66ED0CD5" w14:textId="77777777" w:rsidR="00DE2F7D" w:rsidRDefault="00DE2F7D" w:rsidP="007B10A2">
            <w:pPr>
              <w:pStyle w:val="Tabletext0"/>
              <w:spacing w:line="312" w:lineRule="auto"/>
              <w:rPr>
                <w:sz w:val="24"/>
              </w:rPr>
            </w:pPr>
            <w:r>
              <w:t xml:space="preserve">MBS </w:t>
            </w:r>
            <w:r w:rsidRPr="00C03585">
              <w:t xml:space="preserve">Fee: </w:t>
            </w:r>
            <w:r>
              <w:t>$346.05</w:t>
            </w:r>
            <w:r>
              <w:tab/>
            </w:r>
            <w:r w:rsidRPr="000938E1">
              <w:rPr>
                <w:rFonts w:cstheme="minorHAnsi"/>
              </w:rPr>
              <w:t>Benefit 75% = $</w:t>
            </w:r>
            <w:r>
              <w:rPr>
                <w:rFonts w:cstheme="minorHAnsi"/>
              </w:rPr>
              <w:t>259.55</w:t>
            </w:r>
            <w:r w:rsidRPr="000938E1">
              <w:rPr>
                <w:rFonts w:cstheme="minorHAnsi"/>
              </w:rPr>
              <w:t xml:space="preserve"> </w:t>
            </w:r>
          </w:p>
        </w:tc>
      </w:tr>
    </w:tbl>
    <w:p w14:paraId="6837947E" w14:textId="77777777" w:rsidR="00DE2F7D" w:rsidRPr="000938E1" w:rsidRDefault="00DE2F7D" w:rsidP="00DE2F7D">
      <w:pPr>
        <w:pStyle w:val="Tablecaption"/>
        <w:spacing w:after="240"/>
        <w:rPr>
          <w:sz w:val="18"/>
          <w:szCs w:val="18"/>
        </w:rPr>
      </w:pPr>
      <w:r w:rsidRPr="000938E1">
        <w:rPr>
          <w:sz w:val="18"/>
          <w:szCs w:val="18"/>
        </w:rPr>
        <w:t xml:space="preserve">Source: Table </w:t>
      </w:r>
      <w:r>
        <w:rPr>
          <w:sz w:val="18"/>
          <w:szCs w:val="18"/>
        </w:rPr>
        <w:t>11</w:t>
      </w:r>
      <w:r w:rsidRPr="000938E1">
        <w:rPr>
          <w:sz w:val="18"/>
          <w:szCs w:val="18"/>
        </w:rPr>
        <w:t xml:space="preserve"> p</w:t>
      </w:r>
      <w:r>
        <w:rPr>
          <w:sz w:val="18"/>
          <w:szCs w:val="18"/>
        </w:rPr>
        <w:t>30</w:t>
      </w:r>
      <w:r w:rsidRPr="000938E1">
        <w:rPr>
          <w:sz w:val="18"/>
          <w:szCs w:val="18"/>
        </w:rPr>
        <w:t xml:space="preserve"> of the ADAR.</w:t>
      </w:r>
    </w:p>
    <w:p w14:paraId="3748980A" w14:textId="77777777" w:rsidR="00DE2F7D" w:rsidRDefault="00DE2F7D" w:rsidP="00DE2F7D">
      <w:pPr>
        <w:spacing w:after="240"/>
      </w:pPr>
      <w:r>
        <w:t>The commentary noted that PASC requested:</w:t>
      </w:r>
    </w:p>
    <w:p w14:paraId="76FD918B" w14:textId="77777777" w:rsidR="00DE2F7D" w:rsidRDefault="00DE2F7D" w:rsidP="00DE2F7D">
      <w:pPr>
        <w:pStyle w:val="ListParagraph"/>
        <w:numPr>
          <w:ilvl w:val="0"/>
          <w:numId w:val="28"/>
        </w:numPr>
        <w:spacing w:after="240"/>
      </w:pPr>
      <w:r>
        <w:t xml:space="preserve">The addition of an MBS explanatory note that identified the required expertise and management within a multidisciplinary environment, however this </w:t>
      </w:r>
      <w:proofErr w:type="gramStart"/>
      <w:r>
        <w:t>was not provided</w:t>
      </w:r>
      <w:proofErr w:type="gramEnd"/>
      <w:r>
        <w:t xml:space="preserve"> in the ADAR.</w:t>
      </w:r>
    </w:p>
    <w:p w14:paraId="78C5807F" w14:textId="77777777" w:rsidR="00DE2F7D" w:rsidRDefault="00DE2F7D" w:rsidP="00DE2F7D">
      <w:pPr>
        <w:pStyle w:val="ListParagraph"/>
        <w:numPr>
          <w:ilvl w:val="0"/>
          <w:numId w:val="28"/>
        </w:numPr>
        <w:spacing w:after="240"/>
      </w:pPr>
      <w:r>
        <w:t xml:space="preserve">Clarification of whether ‘assistance on operation’ need to be added, however this has not been added to the item descriptors and the ADAR has not provided clarification of this matter. </w:t>
      </w:r>
    </w:p>
    <w:p w14:paraId="4BDF83D8" w14:textId="77777777" w:rsidR="00DE2F7D" w:rsidRDefault="00DE2F7D" w:rsidP="00DE2F7D">
      <w:pPr>
        <w:pStyle w:val="ListParagraph"/>
        <w:numPr>
          <w:ilvl w:val="0"/>
          <w:numId w:val="28"/>
        </w:numPr>
        <w:spacing w:after="240"/>
      </w:pPr>
      <w:r>
        <w:t xml:space="preserve">Advice on how the two cut-offs, failed CPAP and intolerant to CPAP, affected the definition of the patient population for MBS purposes, however this was not provided in the ADAR. </w:t>
      </w:r>
    </w:p>
    <w:p w14:paraId="58D1CB1C" w14:textId="77777777" w:rsidR="00DE2F7D" w:rsidRDefault="00DE2F7D" w:rsidP="00DE2F7D">
      <w:pPr>
        <w:spacing w:after="240"/>
      </w:pPr>
      <w:r>
        <w:t xml:space="preserve">The commentary proposed that it would be informative for the item descriptors to include a definition of CPAP failure and to </w:t>
      </w:r>
      <w:r w:rsidRPr="00A1667C">
        <w:t xml:space="preserve">identify the patients that would be eligible for </w:t>
      </w:r>
      <w:r>
        <w:t xml:space="preserve">re-positioning or removal of the IPG device. </w:t>
      </w:r>
    </w:p>
    <w:p w14:paraId="0369E29E" w14:textId="77777777" w:rsidR="00DE2F7D" w:rsidRDefault="00DE2F7D" w:rsidP="00DE2F7D">
      <w:pPr>
        <w:spacing w:after="240"/>
      </w:pPr>
      <w:proofErr w:type="gramStart"/>
      <w:r>
        <w:t xml:space="preserve">The commentary also proposed that the item descriptor in table 4 be amended to include a reason for the IPG removal, i.e. </w:t>
      </w:r>
      <w:r w:rsidRPr="00662DF2">
        <w:rPr>
          <w:iCs/>
        </w:rPr>
        <w:t>should be modified to state</w:t>
      </w:r>
      <w:r>
        <w:t xml:space="preserve"> ‘</w:t>
      </w:r>
      <w:r w:rsidRPr="000361B0">
        <w:t>Unilateral closed loop hypoglossal nerve stimulation therapy through stimulation of the hypoglossal nerve, surgical replacement of electrical pulse generator</w:t>
      </w:r>
      <w:r>
        <w:t xml:space="preserve"> </w:t>
      </w:r>
      <w:r w:rsidRPr="000361B0">
        <w:rPr>
          <w:i/>
          <w:iCs/>
        </w:rPr>
        <w:t>when battery has been depleted</w:t>
      </w:r>
      <w:r>
        <w:t>,</w:t>
      </w:r>
      <w:r w:rsidRPr="000361B0">
        <w:t xml:space="preserve"> for management of moderate to severe obstructive sleep apnoea in a patient who</w:t>
      </w:r>
      <w:r>
        <w:t>:’.</w:t>
      </w:r>
      <w:proofErr w:type="gramEnd"/>
      <w:r>
        <w:t xml:space="preserve"> </w:t>
      </w:r>
    </w:p>
    <w:p w14:paraId="10277B07" w14:textId="77777777" w:rsidR="00DE2F7D" w:rsidRPr="00DE2F7D" w:rsidRDefault="00DE2F7D" w:rsidP="00DE2F7D">
      <w:pPr>
        <w:spacing w:after="240"/>
      </w:pPr>
      <w:r>
        <w:t>The commentary noted that t</w:t>
      </w:r>
      <w:r w:rsidRPr="00A1667C">
        <w:t xml:space="preserve">he ADAR </w:t>
      </w:r>
      <w:r>
        <w:t xml:space="preserve">indicated that </w:t>
      </w:r>
      <w:r w:rsidRPr="00A1667C">
        <w:t xml:space="preserve">did not </w:t>
      </w:r>
      <w:r>
        <w:t>discuss</w:t>
      </w:r>
      <w:r w:rsidRPr="00A1667C">
        <w:t xml:space="preserve"> the accuracy of </w:t>
      </w:r>
      <w:r>
        <w:t>identifying</w:t>
      </w:r>
      <w:r w:rsidRPr="00A1667C">
        <w:t xml:space="preserve"> patients without </w:t>
      </w:r>
      <w:r>
        <w:t>CCC</w:t>
      </w:r>
      <w:r w:rsidRPr="00A1667C">
        <w:t xml:space="preserve">, </w:t>
      </w:r>
      <w:r>
        <w:t>but</w:t>
      </w:r>
      <w:r w:rsidRPr="00A1667C">
        <w:t xml:space="preserve"> </w:t>
      </w:r>
      <w:r w:rsidRPr="008B5DEF">
        <w:t xml:space="preserve">indicated </w:t>
      </w:r>
      <w:r>
        <w:t xml:space="preserve">this </w:t>
      </w:r>
      <w:proofErr w:type="gramStart"/>
      <w:r>
        <w:t>would</w:t>
      </w:r>
      <w:r w:rsidRPr="00A1667C">
        <w:t xml:space="preserve"> be done</w:t>
      </w:r>
      <w:proofErr w:type="gramEnd"/>
      <w:r w:rsidRPr="00A1667C">
        <w:t xml:space="preserve"> using</w:t>
      </w:r>
      <w:r w:rsidR="00B36E72" w:rsidRPr="00B36E72">
        <w:t xml:space="preserve"> drug induced sleep endoscopy</w:t>
      </w:r>
      <w:r w:rsidRPr="00A1667C">
        <w:t xml:space="preserve"> </w:t>
      </w:r>
      <w:r w:rsidR="00B36E72">
        <w:t>(</w:t>
      </w:r>
      <w:r w:rsidRPr="00A1667C">
        <w:t>DISE</w:t>
      </w:r>
      <w:r w:rsidR="00B36E72">
        <w:t>)</w:t>
      </w:r>
      <w:r w:rsidRPr="00A1667C">
        <w:t>.</w:t>
      </w:r>
    </w:p>
    <w:p w14:paraId="55A774CA" w14:textId="77777777" w:rsidR="00DE2F7D" w:rsidRPr="00B02E35" w:rsidRDefault="00DE2F7D" w:rsidP="007B10A2">
      <w:pPr>
        <w:pStyle w:val="Heading1"/>
        <w:spacing w:before="0"/>
      </w:pPr>
      <w:r>
        <w:t>Summary of public consultation feedback/consumer i</w:t>
      </w:r>
      <w:r w:rsidRPr="00B02E35">
        <w:t>ssues</w:t>
      </w:r>
    </w:p>
    <w:p w14:paraId="14383A88" w14:textId="77777777" w:rsidR="00DE2F7D" w:rsidRDefault="00DE2F7D" w:rsidP="00DE2F7D">
      <w:pPr>
        <w:tabs>
          <w:tab w:val="left" w:pos="720"/>
          <w:tab w:val="left" w:pos="1140"/>
        </w:tabs>
        <w:rPr>
          <w:bCs/>
          <w:snapToGrid w:val="0"/>
        </w:rPr>
      </w:pPr>
      <w:r w:rsidRPr="001F1AA5">
        <w:rPr>
          <w:bCs/>
          <w:snapToGrid w:val="0"/>
        </w:rPr>
        <w:t xml:space="preserve">Consultation feedback </w:t>
      </w:r>
      <w:proofErr w:type="gramStart"/>
      <w:r w:rsidRPr="001F1AA5">
        <w:rPr>
          <w:bCs/>
          <w:snapToGrid w:val="0"/>
        </w:rPr>
        <w:t>was received</w:t>
      </w:r>
      <w:proofErr w:type="gramEnd"/>
      <w:r w:rsidRPr="001F1AA5">
        <w:rPr>
          <w:bCs/>
          <w:snapToGrid w:val="0"/>
        </w:rPr>
        <w:t xml:space="preserve"> from one </w:t>
      </w:r>
      <w:r>
        <w:rPr>
          <w:bCs/>
          <w:snapToGrid w:val="0"/>
        </w:rPr>
        <w:t>individual specialist</w:t>
      </w:r>
      <w:r w:rsidRPr="001F1AA5">
        <w:rPr>
          <w:bCs/>
          <w:snapToGrid w:val="0"/>
        </w:rPr>
        <w:t xml:space="preserve"> and two specialist </w:t>
      </w:r>
      <w:r>
        <w:rPr>
          <w:bCs/>
          <w:snapToGrid w:val="0"/>
        </w:rPr>
        <w:t xml:space="preserve">organisations. The responses were </w:t>
      </w:r>
      <w:r w:rsidRPr="001F1AA5">
        <w:rPr>
          <w:bCs/>
          <w:snapToGrid w:val="0"/>
        </w:rPr>
        <w:t>in support of MBS listing of closed loop UAS in the proposed MBS population</w:t>
      </w:r>
      <w:r>
        <w:rPr>
          <w:bCs/>
          <w:snapToGrid w:val="0"/>
        </w:rPr>
        <w:t xml:space="preserve"> noting the symptomatic benefit that closed loop UAS may provide to the patients who are unable to tolerate or unsuitable for other </w:t>
      </w:r>
      <w:r w:rsidRPr="007C6C95">
        <w:rPr>
          <w:bCs/>
        </w:rPr>
        <w:t xml:space="preserve">forms of therapy for </w:t>
      </w:r>
      <w:r>
        <w:rPr>
          <w:bCs/>
        </w:rPr>
        <w:t xml:space="preserve">OSA, along with reducing the burden of untreated OSA (e.g. cardiovascular consequences). There was also strong consensus among the responses that appropriate patient selection co-ordinated by a multi-disciplinary team and appropriate clinician training/credentialing is </w:t>
      </w:r>
      <w:r>
        <w:rPr>
          <w:bCs/>
        </w:rPr>
        <w:lastRenderedPageBreak/>
        <w:t xml:space="preserve">necessary. Two of the response also noted that there are other devices that can provide hypoglossal nerve stimulation therapy that </w:t>
      </w:r>
      <w:proofErr w:type="gramStart"/>
      <w:r>
        <w:rPr>
          <w:bCs/>
        </w:rPr>
        <w:t>are intended to be used</w:t>
      </w:r>
      <w:proofErr w:type="gramEnd"/>
      <w:r>
        <w:rPr>
          <w:bCs/>
        </w:rPr>
        <w:t xml:space="preserve"> in the same patient population.</w:t>
      </w:r>
    </w:p>
    <w:p w14:paraId="4C2A4261" w14:textId="77777777" w:rsidR="00BC1364" w:rsidRPr="00F715D1" w:rsidRDefault="00BC1364" w:rsidP="00F715D1">
      <w:pPr>
        <w:pStyle w:val="Heading1"/>
      </w:pPr>
      <w:r w:rsidRPr="00F715D1">
        <w:t>Proposed intervention’s place in clinical management</w:t>
      </w:r>
    </w:p>
    <w:p w14:paraId="0C416E50" w14:textId="77777777" w:rsidR="00CF4E81" w:rsidRDefault="00CF4E81" w:rsidP="007B10A2">
      <w:pPr>
        <w:pStyle w:val="Heading2"/>
      </w:pPr>
      <w:r w:rsidRPr="00CF4E81">
        <w:t xml:space="preserve">Description of </w:t>
      </w:r>
      <w:r w:rsidRPr="007B10A2">
        <w:t>Proposed</w:t>
      </w:r>
      <w:r w:rsidRPr="00CF4E81">
        <w:t xml:space="preserve"> Intervention</w:t>
      </w:r>
    </w:p>
    <w:p w14:paraId="4531BC31" w14:textId="180CEC91" w:rsidR="007B10A2" w:rsidRPr="007B10A2" w:rsidRDefault="007B10A2" w:rsidP="007B10A2">
      <w:pPr>
        <w:spacing w:after="240"/>
      </w:pPr>
      <w:r>
        <w:t>Closed loop UAS includes the surgical placement of an IPG, a respiratory sensing lead and a stimulation lead that delivers mild stimulation to the hypoglossal nerve. The closed loop UAS is designed to increase the volume of the airways during sleep, by applying stimulation to the hypoglossal nerve which innervates the extrinsic and intrinsic muscles of the tongue, causing tongue protrusion and stiffening of the anterior pharyngeal wall. The ADAR indicated that the hypoglossal nerve does not have a sensory function and is purely motor. The hypoglossal nerve has the ability to affect multiple levels of the pharyngeal airway rather than the tongue base alone.</w:t>
      </w:r>
    </w:p>
    <w:p w14:paraId="200D886F" w14:textId="77777777" w:rsidR="00CF4E81" w:rsidRPr="00CF4E81" w:rsidRDefault="00CF4E81" w:rsidP="007B10A2">
      <w:pPr>
        <w:pStyle w:val="Heading2"/>
      </w:pPr>
      <w:r w:rsidRPr="00CF4E81">
        <w:t>Description of Medical Condition(s)</w:t>
      </w:r>
    </w:p>
    <w:p w14:paraId="4237BBA1" w14:textId="77777777" w:rsidR="007B10A2" w:rsidRDefault="007B10A2" w:rsidP="007B10A2">
      <w:pPr>
        <w:spacing w:after="240"/>
      </w:pPr>
      <w:r w:rsidRPr="008365DD">
        <w:t>OSA is a disorder of sleep</w:t>
      </w:r>
      <w:r>
        <w:t>,</w:t>
      </w:r>
      <w:r w:rsidRPr="008365DD">
        <w:t xml:space="preserve"> characterised by repeated upper airway obstructions during the night, with resultant oxygen desaturations and arousals. An apnoea </w:t>
      </w:r>
      <w:proofErr w:type="gramStart"/>
      <w:r w:rsidRPr="008365DD">
        <w:t>is defined</w:t>
      </w:r>
      <w:proofErr w:type="gramEnd"/>
      <w:r w:rsidRPr="008365DD">
        <w:t xml:space="preserve"> as a complete cessation of breathing</w:t>
      </w:r>
      <w:r>
        <w:t xml:space="preserve"> that lasts</w:t>
      </w:r>
      <w:r w:rsidRPr="008365DD">
        <w:t xml:space="preserve"> 10 seconds or </w:t>
      </w:r>
      <w:r>
        <w:t>longer</w:t>
      </w:r>
      <w:r w:rsidRPr="008365DD">
        <w:t xml:space="preserve">. </w:t>
      </w:r>
      <w:r>
        <w:t>T</w:t>
      </w:r>
      <w:r w:rsidRPr="00202232">
        <w:t xml:space="preserve">he diagnosis of OSA is confirmed by </w:t>
      </w:r>
      <w:r>
        <w:t>conducting a</w:t>
      </w:r>
      <w:r w:rsidR="00417876" w:rsidRPr="00417876">
        <w:t xml:space="preserve"> polysomnography</w:t>
      </w:r>
      <w:r w:rsidR="00417876">
        <w:t xml:space="preserve"> (</w:t>
      </w:r>
      <w:r>
        <w:t>PSG</w:t>
      </w:r>
      <w:r w:rsidR="00417876">
        <w:t>)</w:t>
      </w:r>
      <w:r>
        <w:t xml:space="preserve"> sleep study to observe </w:t>
      </w:r>
      <w:r w:rsidRPr="00202232">
        <w:t>the number of apnoea and/or hypopnea episodes per hour (the AHI)</w:t>
      </w:r>
      <w:r>
        <w:t>, with moderate to severe OSA</w:t>
      </w:r>
      <w:r w:rsidRPr="008365DD">
        <w:t xml:space="preserve"> defined as having an AHI </w:t>
      </w:r>
      <w:r>
        <w:rPr>
          <w:rFonts w:cs="Calibri"/>
        </w:rPr>
        <w:t>≥</w:t>
      </w:r>
      <w:r w:rsidRPr="008365DD">
        <w:t xml:space="preserve">15 and </w:t>
      </w:r>
      <w:r>
        <w:rPr>
          <w:rFonts w:cs="Calibri"/>
        </w:rPr>
        <w:t>≤</w:t>
      </w:r>
      <w:r w:rsidRPr="008365DD">
        <w:t xml:space="preserve">65. </w:t>
      </w:r>
    </w:p>
    <w:p w14:paraId="6F25D6E4" w14:textId="77777777" w:rsidR="007B10A2" w:rsidRDefault="007B10A2" w:rsidP="007B10A2">
      <w:pPr>
        <w:spacing w:after="240"/>
      </w:pPr>
      <w:r>
        <w:t>The population proposed for treatment with closed loop UAS is patients who:</w:t>
      </w:r>
    </w:p>
    <w:p w14:paraId="19B1ED01" w14:textId="77777777" w:rsidR="007B10A2" w:rsidRDefault="007B10A2" w:rsidP="007B10A2">
      <w:pPr>
        <w:pStyle w:val="ListParagraph"/>
        <w:numPr>
          <w:ilvl w:val="0"/>
          <w:numId w:val="30"/>
        </w:numPr>
        <w:tabs>
          <w:tab w:val="clear" w:pos="1080"/>
          <w:tab w:val="num" w:pos="709"/>
        </w:tabs>
        <w:spacing w:after="240"/>
        <w:ind w:left="709" w:hanging="491"/>
      </w:pPr>
      <w:r>
        <w:t xml:space="preserve">are 18 years or older with a body mass index (BMI) less than or equal to 32 kg/m², </w:t>
      </w:r>
    </w:p>
    <w:p w14:paraId="59DE02B9" w14:textId="77777777" w:rsidR="007B10A2" w:rsidRDefault="007B10A2" w:rsidP="007B10A2">
      <w:pPr>
        <w:pStyle w:val="ListParagraph"/>
        <w:numPr>
          <w:ilvl w:val="0"/>
          <w:numId w:val="30"/>
        </w:numPr>
        <w:tabs>
          <w:tab w:val="clear" w:pos="1080"/>
          <w:tab w:val="num" w:pos="709"/>
        </w:tabs>
        <w:spacing w:after="240"/>
        <w:ind w:left="709" w:hanging="491"/>
      </w:pPr>
      <w:r>
        <w:t xml:space="preserve">have moderate to severe OSA, defined as having an AHI ≥ 15 and ≤ 65, </w:t>
      </w:r>
    </w:p>
    <w:p w14:paraId="351B585C" w14:textId="77777777" w:rsidR="007B10A2" w:rsidRDefault="007B10A2" w:rsidP="007B10A2">
      <w:pPr>
        <w:pStyle w:val="ListParagraph"/>
        <w:numPr>
          <w:ilvl w:val="0"/>
          <w:numId w:val="30"/>
        </w:numPr>
        <w:tabs>
          <w:tab w:val="clear" w:pos="1080"/>
          <w:tab w:val="num" w:pos="709"/>
        </w:tabs>
        <w:spacing w:after="240"/>
        <w:ind w:left="709" w:hanging="491"/>
      </w:pPr>
      <w:r>
        <w:t>have been confirmed to have failed or cannot tolerate CPAP or bi-level positive airway pressure (BIPAP), and</w:t>
      </w:r>
    </w:p>
    <w:p w14:paraId="7519A380" w14:textId="77777777" w:rsidR="007B10A2" w:rsidRPr="007B10A2" w:rsidRDefault="007B10A2" w:rsidP="007B10A2">
      <w:pPr>
        <w:pStyle w:val="ListParagraph"/>
        <w:numPr>
          <w:ilvl w:val="0"/>
          <w:numId w:val="30"/>
        </w:numPr>
        <w:tabs>
          <w:tab w:val="clear" w:pos="1080"/>
          <w:tab w:val="num" w:pos="709"/>
          <w:tab w:val="left" w:pos="1140"/>
        </w:tabs>
        <w:spacing w:after="240"/>
        <w:ind w:left="709" w:hanging="491"/>
        <w:rPr>
          <w:color w:val="3366FF"/>
          <w:szCs w:val="24"/>
        </w:rPr>
      </w:pPr>
      <w:proofErr w:type="gramStart"/>
      <w:r>
        <w:t>do</w:t>
      </w:r>
      <w:proofErr w:type="gramEnd"/>
      <w:r>
        <w:t xml:space="preserve"> not </w:t>
      </w:r>
      <w:r w:rsidRPr="000450C3">
        <w:t xml:space="preserve">have total concentric collapse at the level of the soft palate. </w:t>
      </w:r>
    </w:p>
    <w:p w14:paraId="73A25CC8" w14:textId="77777777" w:rsidR="007B10A2" w:rsidRPr="008365DD" w:rsidRDefault="007B10A2" w:rsidP="007B10A2">
      <w:pPr>
        <w:spacing w:after="240"/>
      </w:pPr>
      <w:r>
        <w:rPr>
          <w:szCs w:val="24"/>
        </w:rPr>
        <w:t>In</w:t>
      </w:r>
      <w:r w:rsidRPr="00005D80">
        <w:rPr>
          <w:szCs w:val="24"/>
        </w:rPr>
        <w:t xml:space="preserve"> the </w:t>
      </w:r>
      <w:hyperlink r:id="rId12" w:history="1">
        <w:r w:rsidRPr="00005D80">
          <w:rPr>
            <w:rStyle w:val="Hyperlink"/>
            <w:szCs w:val="24"/>
          </w:rPr>
          <w:t>ratified PICO Confirmation for MSAC application 1595</w:t>
        </w:r>
      </w:hyperlink>
      <w:r w:rsidRPr="00005D80">
        <w:rPr>
          <w:szCs w:val="24"/>
        </w:rPr>
        <w:t>, f</w:t>
      </w:r>
      <w:r w:rsidRPr="00005D80">
        <w:t xml:space="preserve">ailure of CPAP therapy </w:t>
      </w:r>
      <w:proofErr w:type="gramStart"/>
      <w:r>
        <w:t>was</w:t>
      </w:r>
      <w:r w:rsidRPr="00005D80">
        <w:t xml:space="preserve"> defined</w:t>
      </w:r>
      <w:proofErr w:type="gramEnd"/>
      <w:r w:rsidRPr="00005D80">
        <w:t xml:space="preserve"> as continued AHI &gt;20 despite appropriate CPAP usage</w:t>
      </w:r>
      <w:r>
        <w:t xml:space="preserve">, and </w:t>
      </w:r>
      <w:r w:rsidRPr="00005D80">
        <w:t xml:space="preserve">CPAP </w:t>
      </w:r>
      <w:r w:rsidRPr="008365DD">
        <w:t xml:space="preserve">intolerance </w:t>
      </w:r>
      <w:r>
        <w:t>was</w:t>
      </w:r>
      <w:r w:rsidRPr="008365DD">
        <w:t xml:space="preserve"> defined as</w:t>
      </w:r>
      <w:r>
        <w:t>:</w:t>
      </w:r>
    </w:p>
    <w:p w14:paraId="36CE6B74" w14:textId="77777777" w:rsidR="007B10A2" w:rsidRDefault="007B10A2" w:rsidP="007B10A2">
      <w:pPr>
        <w:pStyle w:val="ListParagraph"/>
        <w:numPr>
          <w:ilvl w:val="0"/>
          <w:numId w:val="31"/>
        </w:numPr>
        <w:spacing w:after="240" w:line="276" w:lineRule="auto"/>
      </w:pPr>
      <w:r>
        <w:t>i</w:t>
      </w:r>
      <w:r w:rsidRPr="008365DD">
        <w:t>nability to use CPAP (</w:t>
      </w:r>
      <w:r>
        <w:t>&gt;</w:t>
      </w:r>
      <w:r w:rsidRPr="008365DD">
        <w:t xml:space="preserve">5 nights per week of usage: usage defined as </w:t>
      </w:r>
      <w:r>
        <w:t>&gt;</w:t>
      </w:r>
      <w:r w:rsidRPr="008365DD">
        <w:t>4</w:t>
      </w:r>
      <w:r>
        <w:t xml:space="preserve"> </w:t>
      </w:r>
      <w:r w:rsidRPr="008365DD">
        <w:t>hours of use per night), or</w:t>
      </w:r>
    </w:p>
    <w:p w14:paraId="27FD124A" w14:textId="77777777" w:rsidR="007B10A2" w:rsidRDefault="007B10A2" w:rsidP="007B10A2">
      <w:pPr>
        <w:pStyle w:val="ListParagraph"/>
        <w:numPr>
          <w:ilvl w:val="0"/>
          <w:numId w:val="31"/>
        </w:numPr>
        <w:spacing w:after="240"/>
      </w:pPr>
      <w:proofErr w:type="gramStart"/>
      <w:r>
        <w:t>u</w:t>
      </w:r>
      <w:r w:rsidRPr="008365DD">
        <w:t>nwillingness</w:t>
      </w:r>
      <w:proofErr w:type="gramEnd"/>
      <w:r w:rsidRPr="008365DD">
        <w:t xml:space="preserve"> to use CPAP (for example, a patient returns the CPAP system after attempting to use it).</w:t>
      </w:r>
    </w:p>
    <w:p w14:paraId="32B36FDC" w14:textId="0003249F" w:rsidR="007B10A2" w:rsidRDefault="007B10A2" w:rsidP="007B10A2">
      <w:pPr>
        <w:spacing w:after="240"/>
        <w:rPr>
          <w:highlight w:val="cyan"/>
        </w:rPr>
      </w:pPr>
      <w:r w:rsidRPr="00BA75A1">
        <w:t xml:space="preserve">The current and proposed clinical management algorithm for </w:t>
      </w:r>
      <w:r>
        <w:t xml:space="preserve">the treatment of </w:t>
      </w:r>
      <w:r w:rsidRPr="00BA75A1">
        <w:t xml:space="preserve">patients with </w:t>
      </w:r>
      <w:r>
        <w:t>moderate to severe OSA,</w:t>
      </w:r>
      <w:r w:rsidRPr="00BA75A1">
        <w:t xml:space="preserve"> </w:t>
      </w:r>
      <w:proofErr w:type="gramStart"/>
      <w:r w:rsidRPr="00BA75A1">
        <w:t>are presented</w:t>
      </w:r>
      <w:proofErr w:type="gramEnd"/>
      <w:r w:rsidRPr="00BA75A1">
        <w:t xml:space="preserve"> in</w:t>
      </w:r>
      <w:r>
        <w:t xml:space="preserve"> </w:t>
      </w:r>
      <w:r>
        <w:fldChar w:fldCharType="begin"/>
      </w:r>
      <w:r>
        <w:instrText xml:space="preserve"> REF _Ref58247495 \h </w:instrText>
      </w:r>
      <w:r>
        <w:fldChar w:fldCharType="separate"/>
      </w:r>
      <w:r w:rsidR="00D007E1">
        <w:t xml:space="preserve">Figure </w:t>
      </w:r>
      <w:r w:rsidR="00D007E1">
        <w:rPr>
          <w:noProof/>
        </w:rPr>
        <w:t>1</w:t>
      </w:r>
      <w:r>
        <w:fldChar w:fldCharType="end"/>
      </w:r>
      <w:r>
        <w:t xml:space="preserve"> and</w:t>
      </w:r>
      <w:r w:rsidR="00360443">
        <w:t xml:space="preserve"> </w:t>
      </w:r>
      <w:r>
        <w:fldChar w:fldCharType="begin"/>
      </w:r>
      <w:r>
        <w:instrText xml:space="preserve"> REF _Ref58247499 \h </w:instrText>
      </w:r>
      <w:r>
        <w:fldChar w:fldCharType="separate"/>
      </w:r>
      <w:r w:rsidR="00D007E1">
        <w:t xml:space="preserve">Figure </w:t>
      </w:r>
      <w:r w:rsidR="00D007E1">
        <w:rPr>
          <w:noProof/>
        </w:rPr>
        <w:t>2</w:t>
      </w:r>
      <w:r>
        <w:fldChar w:fldCharType="end"/>
      </w:r>
      <w:r w:rsidRPr="00BA75A1">
        <w:t>.</w:t>
      </w:r>
    </w:p>
    <w:p w14:paraId="28D70FA2" w14:textId="77777777" w:rsidR="007B10A2" w:rsidRDefault="007B10A2" w:rsidP="007B10A2">
      <w:pPr>
        <w:spacing w:after="240"/>
      </w:pPr>
      <w:r>
        <w:t xml:space="preserve">The ADAR indicated that the proposed clinical management algorithm is similar to the current algorithm, although following implantation it is unlikely that CPAP </w:t>
      </w:r>
      <w:proofErr w:type="gramStart"/>
      <w:r>
        <w:t>would be resumed</w:t>
      </w:r>
      <w:proofErr w:type="gramEnd"/>
      <w:r>
        <w:t>, as may happen following upper airway surgery.</w:t>
      </w:r>
    </w:p>
    <w:p w14:paraId="5D7F82FB" w14:textId="77777777" w:rsidR="007B10A2" w:rsidRPr="003E6B63" w:rsidRDefault="007B10A2" w:rsidP="007B10A2">
      <w:pPr>
        <w:keepLines/>
        <w:rPr>
          <w:bCs/>
          <w:sz w:val="18"/>
          <w:szCs w:val="18"/>
        </w:rPr>
      </w:pPr>
      <w:r w:rsidRPr="003461E1">
        <w:rPr>
          <w:noProof/>
        </w:rPr>
        <w:lastRenderedPageBreak/>
        <w:drawing>
          <wp:inline distT="0" distB="0" distL="0" distR="0" wp14:anchorId="544F3F52" wp14:editId="77A3089F">
            <wp:extent cx="5733415" cy="4086225"/>
            <wp:effectExtent l="0" t="0" r="635" b="0"/>
            <wp:docPr id="5" name="Picture 5" descr="Current clinical management algorithm for moderate to severe 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3415" cy="4086225"/>
                    </a:xfrm>
                    <a:prstGeom prst="rect">
                      <a:avLst/>
                    </a:prstGeom>
                    <a:noFill/>
                    <a:ln>
                      <a:noFill/>
                    </a:ln>
                  </pic:spPr>
                </pic:pic>
              </a:graphicData>
            </a:graphic>
          </wp:inline>
        </w:drawing>
      </w:r>
    </w:p>
    <w:p w14:paraId="7FD0BBCF" w14:textId="4714C310" w:rsidR="007B10A2" w:rsidRPr="00875ED2" w:rsidRDefault="007B10A2" w:rsidP="00875ED2">
      <w:pPr>
        <w:rPr>
          <w:rFonts w:ascii="Arial Narrow" w:hAnsi="Arial Narrow"/>
          <w:b/>
          <w:sz w:val="20"/>
        </w:rPr>
      </w:pPr>
      <w:bookmarkStart w:id="8" w:name="_Ref58247495"/>
      <w:bookmarkStart w:id="9" w:name="_Toc453165014"/>
      <w:r w:rsidRPr="00875ED2">
        <w:rPr>
          <w:rFonts w:ascii="Arial Narrow" w:hAnsi="Arial Narrow"/>
          <w:b/>
          <w:sz w:val="20"/>
        </w:rPr>
        <w:t xml:space="preserve">Figure </w:t>
      </w:r>
      <w:r w:rsidR="00086098" w:rsidRPr="00875ED2">
        <w:rPr>
          <w:rFonts w:ascii="Arial Narrow" w:hAnsi="Arial Narrow"/>
          <w:b/>
          <w:sz w:val="20"/>
        </w:rPr>
        <w:fldChar w:fldCharType="begin"/>
      </w:r>
      <w:r w:rsidR="00086098" w:rsidRPr="00875ED2">
        <w:rPr>
          <w:rFonts w:ascii="Arial Narrow" w:hAnsi="Arial Narrow"/>
          <w:b/>
          <w:sz w:val="20"/>
        </w:rPr>
        <w:instrText xml:space="preserve"> SEQ Figure \* ARABIC </w:instrText>
      </w:r>
      <w:r w:rsidR="00086098" w:rsidRPr="00875ED2">
        <w:rPr>
          <w:rFonts w:ascii="Arial Narrow" w:hAnsi="Arial Narrow"/>
          <w:b/>
          <w:sz w:val="20"/>
        </w:rPr>
        <w:fldChar w:fldCharType="separate"/>
      </w:r>
      <w:proofErr w:type="gramStart"/>
      <w:r w:rsidR="00D007E1" w:rsidRPr="00875ED2">
        <w:rPr>
          <w:rFonts w:ascii="Arial Narrow" w:hAnsi="Arial Narrow"/>
          <w:b/>
          <w:sz w:val="20"/>
        </w:rPr>
        <w:t>1</w:t>
      </w:r>
      <w:proofErr w:type="gramEnd"/>
      <w:r w:rsidR="00086098" w:rsidRPr="00875ED2">
        <w:rPr>
          <w:rFonts w:ascii="Arial Narrow" w:hAnsi="Arial Narrow"/>
          <w:b/>
          <w:sz w:val="20"/>
        </w:rPr>
        <w:fldChar w:fldCharType="end"/>
      </w:r>
      <w:bookmarkEnd w:id="8"/>
      <w:r w:rsidRPr="00875ED2">
        <w:rPr>
          <w:rFonts w:ascii="Arial Narrow" w:hAnsi="Arial Narrow"/>
          <w:b/>
          <w:sz w:val="20"/>
        </w:rPr>
        <w:tab/>
        <w:t>Current clinical management algorithm for moderate to severe OSA</w:t>
      </w:r>
      <w:bookmarkEnd w:id="9"/>
    </w:p>
    <w:p w14:paraId="05C1F23C" w14:textId="77777777" w:rsidR="007B10A2" w:rsidRPr="00741569" w:rsidRDefault="007B10A2" w:rsidP="007B10A2">
      <w:pPr>
        <w:keepLines/>
        <w:rPr>
          <w:rFonts w:ascii="Arial Narrow" w:hAnsi="Arial Narrow"/>
          <w:sz w:val="18"/>
          <w:szCs w:val="18"/>
        </w:rPr>
      </w:pPr>
      <w:r w:rsidRPr="00741569">
        <w:rPr>
          <w:rFonts w:ascii="Arial Narrow" w:hAnsi="Arial Narrow"/>
          <w:sz w:val="18"/>
          <w:szCs w:val="18"/>
        </w:rPr>
        <w:t>Source: Figure 8, p42 of the ADAR.</w:t>
      </w:r>
    </w:p>
    <w:p w14:paraId="7C7688FD" w14:textId="77777777" w:rsidR="007B10A2" w:rsidRDefault="007B10A2" w:rsidP="007B10A2">
      <w:pPr>
        <w:keepLines/>
        <w:spacing w:after="240"/>
        <w:rPr>
          <w:highlight w:val="cyan"/>
        </w:rPr>
      </w:pPr>
      <w:r>
        <w:rPr>
          <w:rFonts w:ascii="Arial Narrow" w:hAnsi="Arial Narrow"/>
          <w:sz w:val="18"/>
          <w:szCs w:val="18"/>
        </w:rPr>
        <w:t xml:space="preserve">Abbreviations: </w:t>
      </w:r>
      <w:r w:rsidRPr="00741569">
        <w:rPr>
          <w:rFonts w:ascii="Arial Narrow" w:hAnsi="Arial Narrow"/>
          <w:sz w:val="18"/>
          <w:szCs w:val="18"/>
        </w:rPr>
        <w:t>CPAP=continued positive airway pressure; DISE=drug induced sleep endoscopy; OSA=obstructive sleep apnoea</w:t>
      </w:r>
    </w:p>
    <w:p w14:paraId="6A723DA8" w14:textId="77777777" w:rsidR="007B10A2" w:rsidRPr="003E6B63" w:rsidRDefault="007B10A2" w:rsidP="007B10A2">
      <w:pPr>
        <w:keepNext/>
        <w:keepLines/>
        <w:rPr>
          <w:bCs/>
          <w:sz w:val="18"/>
          <w:szCs w:val="18"/>
        </w:rPr>
      </w:pPr>
      <w:r w:rsidRPr="00A72CC9">
        <w:rPr>
          <w:noProof/>
        </w:rPr>
        <w:lastRenderedPageBreak/>
        <w:drawing>
          <wp:inline distT="0" distB="0" distL="0" distR="0" wp14:anchorId="655367B7" wp14:editId="73B1F430">
            <wp:extent cx="5731510" cy="5358889"/>
            <wp:effectExtent l="0" t="0" r="2540" b="0"/>
            <wp:docPr id="18" name="Picture 18" descr="Proposed clinical management algorithm for moderate to severe 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5358889"/>
                    </a:xfrm>
                    <a:prstGeom prst="rect">
                      <a:avLst/>
                    </a:prstGeom>
                    <a:ln>
                      <a:noFill/>
                    </a:ln>
                  </pic:spPr>
                </pic:pic>
              </a:graphicData>
            </a:graphic>
          </wp:inline>
        </w:drawing>
      </w:r>
    </w:p>
    <w:p w14:paraId="3BB437AA" w14:textId="266C7039" w:rsidR="007B10A2" w:rsidRPr="00875ED2" w:rsidRDefault="007B10A2" w:rsidP="00875ED2">
      <w:pPr>
        <w:rPr>
          <w:rFonts w:ascii="Arial Narrow" w:hAnsi="Arial Narrow"/>
          <w:b/>
          <w:sz w:val="20"/>
        </w:rPr>
      </w:pPr>
      <w:bookmarkStart w:id="10" w:name="_Ref58247499"/>
      <w:r w:rsidRPr="00875ED2">
        <w:rPr>
          <w:rFonts w:ascii="Arial Narrow" w:hAnsi="Arial Narrow"/>
          <w:b/>
          <w:sz w:val="20"/>
        </w:rPr>
        <w:t xml:space="preserve">Figure </w:t>
      </w:r>
      <w:r w:rsidR="00086098" w:rsidRPr="00875ED2">
        <w:rPr>
          <w:rFonts w:ascii="Arial Narrow" w:hAnsi="Arial Narrow"/>
          <w:b/>
          <w:sz w:val="20"/>
        </w:rPr>
        <w:fldChar w:fldCharType="begin"/>
      </w:r>
      <w:r w:rsidR="00086098" w:rsidRPr="00875ED2">
        <w:rPr>
          <w:rFonts w:ascii="Arial Narrow" w:hAnsi="Arial Narrow"/>
          <w:b/>
          <w:sz w:val="20"/>
        </w:rPr>
        <w:instrText xml:space="preserve"> SEQ Figure \* ARABIC </w:instrText>
      </w:r>
      <w:r w:rsidR="00086098" w:rsidRPr="00875ED2">
        <w:rPr>
          <w:rFonts w:ascii="Arial Narrow" w:hAnsi="Arial Narrow"/>
          <w:b/>
          <w:sz w:val="20"/>
        </w:rPr>
        <w:fldChar w:fldCharType="separate"/>
      </w:r>
      <w:proofErr w:type="gramStart"/>
      <w:r w:rsidR="00D007E1" w:rsidRPr="00875ED2">
        <w:rPr>
          <w:rFonts w:ascii="Arial Narrow" w:hAnsi="Arial Narrow"/>
          <w:b/>
          <w:sz w:val="20"/>
        </w:rPr>
        <w:t>2</w:t>
      </w:r>
      <w:proofErr w:type="gramEnd"/>
      <w:r w:rsidR="00086098" w:rsidRPr="00875ED2">
        <w:rPr>
          <w:rFonts w:ascii="Arial Narrow" w:hAnsi="Arial Narrow"/>
          <w:b/>
          <w:sz w:val="20"/>
        </w:rPr>
        <w:fldChar w:fldCharType="end"/>
      </w:r>
      <w:bookmarkEnd w:id="10"/>
      <w:r w:rsidRPr="00875ED2">
        <w:rPr>
          <w:rFonts w:ascii="Arial Narrow" w:hAnsi="Arial Narrow"/>
          <w:b/>
          <w:sz w:val="20"/>
        </w:rPr>
        <w:tab/>
        <w:t>Proposed clinical management algorithm for moderate to severe OSA</w:t>
      </w:r>
    </w:p>
    <w:p w14:paraId="0BC8423D" w14:textId="77777777" w:rsidR="007B10A2" w:rsidRPr="00741569" w:rsidRDefault="007B10A2" w:rsidP="007B10A2">
      <w:pPr>
        <w:keepNext/>
        <w:keepLines/>
        <w:rPr>
          <w:rFonts w:ascii="Arial Narrow" w:hAnsi="Arial Narrow"/>
          <w:sz w:val="18"/>
          <w:szCs w:val="18"/>
        </w:rPr>
      </w:pPr>
      <w:r w:rsidRPr="00741569">
        <w:rPr>
          <w:rFonts w:ascii="Arial Narrow" w:hAnsi="Arial Narrow"/>
          <w:sz w:val="18"/>
          <w:szCs w:val="18"/>
        </w:rPr>
        <w:t xml:space="preserve">Source: Figure </w:t>
      </w:r>
      <w:r>
        <w:rPr>
          <w:rFonts w:ascii="Arial Narrow" w:hAnsi="Arial Narrow"/>
          <w:sz w:val="18"/>
          <w:szCs w:val="18"/>
        </w:rPr>
        <w:t>9</w:t>
      </w:r>
      <w:r w:rsidRPr="00741569">
        <w:rPr>
          <w:rFonts w:ascii="Arial Narrow" w:hAnsi="Arial Narrow"/>
          <w:sz w:val="18"/>
          <w:szCs w:val="18"/>
        </w:rPr>
        <w:t>, p4</w:t>
      </w:r>
      <w:r>
        <w:rPr>
          <w:rFonts w:ascii="Arial Narrow" w:hAnsi="Arial Narrow"/>
          <w:sz w:val="18"/>
          <w:szCs w:val="18"/>
        </w:rPr>
        <w:t>3</w:t>
      </w:r>
      <w:r w:rsidRPr="00741569">
        <w:rPr>
          <w:rFonts w:ascii="Arial Narrow" w:hAnsi="Arial Narrow"/>
          <w:sz w:val="18"/>
          <w:szCs w:val="18"/>
        </w:rPr>
        <w:t xml:space="preserve"> of the ADAR.</w:t>
      </w:r>
    </w:p>
    <w:p w14:paraId="1CA1CA98" w14:textId="77777777" w:rsidR="007B10A2" w:rsidRPr="007B10A2" w:rsidRDefault="007B10A2" w:rsidP="007B10A2">
      <w:pPr>
        <w:keepNext/>
        <w:keepLines/>
        <w:spacing w:after="240"/>
        <w:rPr>
          <w:bCs/>
          <w:sz w:val="18"/>
          <w:szCs w:val="18"/>
        </w:rPr>
      </w:pPr>
      <w:r>
        <w:rPr>
          <w:rFonts w:ascii="Arial Narrow" w:hAnsi="Arial Narrow"/>
          <w:sz w:val="18"/>
          <w:szCs w:val="18"/>
        </w:rPr>
        <w:t xml:space="preserve">Abbreviations: </w:t>
      </w:r>
      <w:r w:rsidRPr="00741569">
        <w:rPr>
          <w:rFonts w:ascii="Arial Narrow" w:hAnsi="Arial Narrow"/>
          <w:sz w:val="18"/>
          <w:szCs w:val="18"/>
        </w:rPr>
        <w:t>CPAP=continued positive airway pressure; DISE=drug induced sleep endoscopy;</w:t>
      </w:r>
      <w:r>
        <w:rPr>
          <w:rFonts w:ascii="Arial Narrow" w:hAnsi="Arial Narrow"/>
          <w:sz w:val="18"/>
          <w:szCs w:val="18"/>
        </w:rPr>
        <w:t xml:space="preserve"> IPG=implantable pulse generator;</w:t>
      </w:r>
      <w:r w:rsidRPr="00741569">
        <w:rPr>
          <w:rFonts w:ascii="Arial Narrow" w:hAnsi="Arial Narrow"/>
          <w:sz w:val="18"/>
          <w:szCs w:val="18"/>
        </w:rPr>
        <w:t xml:space="preserve"> OSA=obstructive sleep apnoea</w:t>
      </w:r>
      <w:r>
        <w:rPr>
          <w:rFonts w:ascii="Arial Narrow" w:hAnsi="Arial Narrow"/>
          <w:sz w:val="18"/>
          <w:szCs w:val="18"/>
        </w:rPr>
        <w:t>; UAS=upper airway stimulation</w:t>
      </w:r>
    </w:p>
    <w:p w14:paraId="05E5F80C" w14:textId="644C3C14" w:rsidR="00CF4E81" w:rsidRPr="007B10A2" w:rsidRDefault="007B10A2" w:rsidP="007B10A2">
      <w:pPr>
        <w:spacing w:before="240"/>
      </w:pPr>
      <w:r w:rsidRPr="00230281">
        <w:rPr>
          <w:iCs/>
        </w:rPr>
        <w:t xml:space="preserve">The commentary noted that the ADAR provided no discussion of whether closed loop UAS would replace other upper airway surgery, such as </w:t>
      </w:r>
      <w:proofErr w:type="spellStart"/>
      <w:r w:rsidRPr="00230281">
        <w:t>uvulopalatopharyngoplasty</w:t>
      </w:r>
      <w:proofErr w:type="spellEnd"/>
      <w:r w:rsidRPr="00230281">
        <w:rPr>
          <w:iCs/>
        </w:rPr>
        <w:t xml:space="preserve"> </w:t>
      </w:r>
      <w:r>
        <w:rPr>
          <w:iCs/>
        </w:rPr>
        <w:t>(</w:t>
      </w:r>
      <w:r w:rsidRPr="00230281">
        <w:rPr>
          <w:iCs/>
        </w:rPr>
        <w:t>UPPP</w:t>
      </w:r>
      <w:r>
        <w:rPr>
          <w:iCs/>
        </w:rPr>
        <w:t>)</w:t>
      </w:r>
      <w:r w:rsidRPr="00230281">
        <w:rPr>
          <w:iCs/>
        </w:rPr>
        <w:t xml:space="preserve"> (supplementary comparator), or would sit alongside such therapy in the clinical management algorithm. Nor did the ADAR provide discussion around the possibility that UPPP may occur prior to or following UAS. Using expert opinion, the ADAR assumed that closed loop UAS would substitute for UPPP (30%), however the ADAR provided no evidence for the supplementary comparator of UPPP, so there is no evidence upon which to base the replacement of UPPP with closed loop UAS. Overall, the commentary considered that the ADAR did not adequately describe the clinical management algorithm.</w:t>
      </w:r>
    </w:p>
    <w:p w14:paraId="62699B21" w14:textId="77777777" w:rsidR="00BC1364" w:rsidRPr="00F715D1" w:rsidRDefault="00BC1364" w:rsidP="00F715D1">
      <w:pPr>
        <w:pStyle w:val="Heading1"/>
      </w:pPr>
      <w:r w:rsidRPr="00F715D1">
        <w:t xml:space="preserve">Comparator </w:t>
      </w:r>
    </w:p>
    <w:p w14:paraId="087138BA" w14:textId="77777777" w:rsidR="007B10A2" w:rsidRDefault="007B10A2" w:rsidP="007B10A2">
      <w:pPr>
        <w:pStyle w:val="Heading2"/>
      </w:pPr>
      <w:r>
        <w:t>Medical management strategies (main comparator)</w:t>
      </w:r>
    </w:p>
    <w:p w14:paraId="7A99F515" w14:textId="77777777" w:rsidR="007B10A2" w:rsidRDefault="007B10A2" w:rsidP="007B10A2">
      <w:pPr>
        <w:spacing w:after="240"/>
      </w:pPr>
      <w:r w:rsidRPr="00230281">
        <w:t>The proposed comparator is conservative medical management, termed medical management strategies (MMS),</w:t>
      </w:r>
      <w:r>
        <w:t xml:space="preserve"> which</w:t>
      </w:r>
      <w:r w:rsidRPr="00230281">
        <w:t xml:space="preserve"> may </w:t>
      </w:r>
      <w:proofErr w:type="gramStart"/>
      <w:r w:rsidRPr="00230281">
        <w:t>include:</w:t>
      </w:r>
      <w:proofErr w:type="gramEnd"/>
      <w:r w:rsidRPr="00230281">
        <w:t xml:space="preserve"> weight and alcohol reduction; sleep positioning therapy; sleep hygiene education; and use of mandibular advancement appliances.</w:t>
      </w:r>
    </w:p>
    <w:p w14:paraId="7F5C2BB3" w14:textId="77777777" w:rsidR="007B10A2" w:rsidRPr="00230281" w:rsidRDefault="007B10A2" w:rsidP="007B10A2">
      <w:pPr>
        <w:pStyle w:val="Heading2"/>
      </w:pPr>
      <w:r>
        <w:lastRenderedPageBreak/>
        <w:t>Upper airway surgery (supplementary comparator)</w:t>
      </w:r>
    </w:p>
    <w:p w14:paraId="0E0562A6" w14:textId="5BA9BFED" w:rsidR="007B10A2" w:rsidRDefault="007B10A2" w:rsidP="007B10A2">
      <w:pPr>
        <w:spacing w:after="240"/>
      </w:pPr>
      <w:r>
        <w:t xml:space="preserve">Upper airway surgery, such as UPPP, </w:t>
      </w:r>
      <w:proofErr w:type="gramStart"/>
      <w:r>
        <w:t>was nominated</w:t>
      </w:r>
      <w:proofErr w:type="gramEnd"/>
      <w:r>
        <w:t xml:space="preserve"> </w:t>
      </w:r>
      <w:r w:rsidRPr="00230281">
        <w:t xml:space="preserve">as a supplementary comparator. </w:t>
      </w:r>
      <w:r>
        <w:t xml:space="preserve">The ADAR noted there are a number of surgical options for treating moderate to severe </w:t>
      </w:r>
      <w:proofErr w:type="gramStart"/>
      <w:r>
        <w:t>OSA which</w:t>
      </w:r>
      <w:proofErr w:type="gramEnd"/>
      <w:r>
        <w:t xml:space="preserve"> included: UPPP, Radiofrequency Volumetric Tissue Reduction (RFVTR), genioglossus advancement, hyoid suspension, midline </w:t>
      </w:r>
      <w:proofErr w:type="spellStart"/>
      <w:r>
        <w:t>glossectomy</w:t>
      </w:r>
      <w:proofErr w:type="spellEnd"/>
      <w:r>
        <w:t xml:space="preserve"> and </w:t>
      </w:r>
      <w:proofErr w:type="spellStart"/>
      <w:r>
        <w:t>lingualplasty</w:t>
      </w:r>
      <w:proofErr w:type="spellEnd"/>
      <w:r>
        <w:t xml:space="preserve">, laser assisted </w:t>
      </w:r>
      <w:proofErr w:type="spellStart"/>
      <w:r>
        <w:t>uvuloplasty</w:t>
      </w:r>
      <w:proofErr w:type="spellEnd"/>
      <w:r>
        <w:t xml:space="preserve">, </w:t>
      </w:r>
      <w:proofErr w:type="spellStart"/>
      <w:r>
        <w:t>maxillomandibular</w:t>
      </w:r>
      <w:proofErr w:type="spellEnd"/>
      <w:r>
        <w:t xml:space="preserve"> osteotomy (MMO) and </w:t>
      </w:r>
      <w:proofErr w:type="spellStart"/>
      <w:r>
        <w:t>maxillomandibular</w:t>
      </w:r>
      <w:proofErr w:type="spellEnd"/>
      <w:r>
        <w:t xml:space="preserve"> advancement (MMA). The ADAR noted that the following MBS items </w:t>
      </w:r>
      <w:proofErr w:type="gramStart"/>
      <w:r>
        <w:t>may</w:t>
      </w:r>
      <w:proofErr w:type="gramEnd"/>
      <w:r>
        <w:t xml:space="preserve"> be relevant for upper airway surgery to treat OSA: </w:t>
      </w:r>
      <w:r w:rsidRPr="00D40D49">
        <w:t xml:space="preserve">MBS item 41786 </w:t>
      </w:r>
      <w:r>
        <w:t>(UPPP), MBS item 30272 (partial excision of the tongue), MBS item 41779 (</w:t>
      </w:r>
      <w:proofErr w:type="spellStart"/>
      <w:r>
        <w:t>pharyngotomy</w:t>
      </w:r>
      <w:proofErr w:type="spellEnd"/>
      <w:r>
        <w:t>) and MBS item 41787 (</w:t>
      </w:r>
      <w:proofErr w:type="spellStart"/>
      <w:r>
        <w:t>uvulectomy</w:t>
      </w:r>
      <w:proofErr w:type="spellEnd"/>
      <w:r>
        <w:t xml:space="preserve"> and partial </w:t>
      </w:r>
      <w:proofErr w:type="spellStart"/>
      <w:r>
        <w:t>palatectomy</w:t>
      </w:r>
      <w:proofErr w:type="spellEnd"/>
      <w:r>
        <w:t>).</w:t>
      </w:r>
    </w:p>
    <w:p w14:paraId="7FA62E14" w14:textId="1A34E02F" w:rsidR="007B10A2" w:rsidRDefault="007B10A2" w:rsidP="007B10A2">
      <w:r>
        <w:rPr>
          <w:iCs/>
        </w:rPr>
        <w:t>W</w:t>
      </w:r>
      <w:r w:rsidRPr="00C44993">
        <w:rPr>
          <w:iCs/>
        </w:rPr>
        <w:t>hile the ADAR nominated upper airway surgery as a supplementary comparator</w:t>
      </w:r>
      <w:r>
        <w:rPr>
          <w:iCs/>
        </w:rPr>
        <w:t xml:space="preserve">, </w:t>
      </w:r>
      <w:r w:rsidRPr="00C44993">
        <w:rPr>
          <w:iCs/>
        </w:rPr>
        <w:t xml:space="preserve">the comparative safety, efficacy and cost-effectiveness of closed loop UAS </w:t>
      </w:r>
      <w:r w:rsidRPr="00C44993">
        <w:rPr>
          <w:i/>
          <w:iCs/>
        </w:rPr>
        <w:t>vs</w:t>
      </w:r>
      <w:r w:rsidRPr="00C44993">
        <w:rPr>
          <w:iCs/>
        </w:rPr>
        <w:t xml:space="preserve">. UPPP </w:t>
      </w:r>
      <w:proofErr w:type="gramStart"/>
      <w:r w:rsidRPr="00C44993">
        <w:rPr>
          <w:iCs/>
        </w:rPr>
        <w:t>was not presented</w:t>
      </w:r>
      <w:proofErr w:type="gramEnd"/>
      <w:r w:rsidRPr="00C44993">
        <w:rPr>
          <w:iCs/>
        </w:rPr>
        <w:t xml:space="preserve"> in the ADAR. Rather the ADAR claimed that a comparison between UAS and UPPP was not possible </w:t>
      </w:r>
      <w:proofErr w:type="gramStart"/>
      <w:r w:rsidRPr="00C44993">
        <w:rPr>
          <w:iCs/>
        </w:rPr>
        <w:t>given differences in patient populations in the available evidence for each intervention</w:t>
      </w:r>
      <w:proofErr w:type="gramEnd"/>
      <w:r w:rsidRPr="00C44993">
        <w:rPr>
          <w:iCs/>
        </w:rPr>
        <w:t>.</w:t>
      </w:r>
    </w:p>
    <w:p w14:paraId="2542A2D0" w14:textId="77777777" w:rsidR="00BC1364" w:rsidRPr="00F715D1" w:rsidRDefault="00BC1364" w:rsidP="00F715D1">
      <w:pPr>
        <w:pStyle w:val="Heading1"/>
      </w:pPr>
      <w:r w:rsidRPr="00F715D1">
        <w:t>Comparative safety</w:t>
      </w:r>
    </w:p>
    <w:p w14:paraId="086CCE9F" w14:textId="6E89654B" w:rsidR="007B10A2" w:rsidRDefault="007B10A2" w:rsidP="007B10A2">
      <w:pPr>
        <w:tabs>
          <w:tab w:val="left" w:pos="720"/>
          <w:tab w:val="left" w:pos="1140"/>
        </w:tabs>
        <w:spacing w:after="240"/>
        <w:rPr>
          <w:color w:val="3366FF"/>
          <w:szCs w:val="24"/>
        </w:rPr>
      </w:pPr>
      <w:r w:rsidRPr="000F0AE8">
        <w:rPr>
          <w:szCs w:val="24"/>
        </w:rPr>
        <w:t xml:space="preserve">The clinical evidence presented in the ADAR consisted of </w:t>
      </w:r>
      <w:r>
        <w:rPr>
          <w:szCs w:val="24"/>
        </w:rPr>
        <w:t>one single arm interventional study (STAR</w:t>
      </w:r>
      <w:r>
        <w:rPr>
          <w:rStyle w:val="FootnoteReference"/>
          <w:szCs w:val="24"/>
        </w:rPr>
        <w:footnoteReference w:id="2"/>
      </w:r>
      <w:r>
        <w:rPr>
          <w:szCs w:val="24"/>
        </w:rPr>
        <w:t xml:space="preserve"> study), reported in three publications (Woodson </w:t>
      </w:r>
      <w:r w:rsidRPr="000F0AE8">
        <w:rPr>
          <w:szCs w:val="24"/>
        </w:rPr>
        <w:t>2018</w:t>
      </w:r>
      <w:r>
        <w:rPr>
          <w:rStyle w:val="FootnoteReference"/>
          <w:szCs w:val="24"/>
        </w:rPr>
        <w:footnoteReference w:id="3"/>
      </w:r>
      <w:r>
        <w:rPr>
          <w:szCs w:val="24"/>
        </w:rPr>
        <w:t xml:space="preserve">, </w:t>
      </w:r>
      <w:proofErr w:type="spellStart"/>
      <w:r>
        <w:rPr>
          <w:szCs w:val="24"/>
        </w:rPr>
        <w:t>Strollo</w:t>
      </w:r>
      <w:proofErr w:type="spellEnd"/>
      <w:r>
        <w:rPr>
          <w:szCs w:val="24"/>
        </w:rPr>
        <w:t xml:space="preserve"> 2017</w:t>
      </w:r>
      <w:r>
        <w:rPr>
          <w:rStyle w:val="FootnoteReference"/>
          <w:szCs w:val="24"/>
        </w:rPr>
        <w:footnoteReference w:id="4"/>
      </w:r>
      <w:r>
        <w:rPr>
          <w:szCs w:val="24"/>
        </w:rPr>
        <w:t xml:space="preserve"> and </w:t>
      </w:r>
      <w:proofErr w:type="spellStart"/>
      <w:r>
        <w:rPr>
          <w:szCs w:val="24"/>
        </w:rPr>
        <w:t>Strollo</w:t>
      </w:r>
      <w:proofErr w:type="spellEnd"/>
      <w:r>
        <w:rPr>
          <w:szCs w:val="24"/>
        </w:rPr>
        <w:t xml:space="preserve"> 2014</w:t>
      </w:r>
      <w:r>
        <w:rPr>
          <w:rStyle w:val="FootnoteReference"/>
          <w:szCs w:val="24"/>
        </w:rPr>
        <w:footnoteReference w:id="5"/>
      </w:r>
      <w:r w:rsidRPr="000F0AE8">
        <w:rPr>
          <w:szCs w:val="24"/>
        </w:rPr>
        <w:t>)</w:t>
      </w:r>
      <w:r>
        <w:rPr>
          <w:szCs w:val="24"/>
        </w:rPr>
        <w:t xml:space="preserve"> with</w:t>
      </w:r>
      <w:r w:rsidRPr="000F0AE8">
        <w:rPr>
          <w:szCs w:val="24"/>
        </w:rPr>
        <w:t xml:space="preserve"> an embedded randomised withdrawal study (Woodson 2014</w:t>
      </w:r>
      <w:r>
        <w:rPr>
          <w:rStyle w:val="FootnoteReference"/>
          <w:szCs w:val="24"/>
        </w:rPr>
        <w:footnoteReference w:id="6"/>
      </w:r>
      <w:r w:rsidRPr="000F0AE8">
        <w:rPr>
          <w:szCs w:val="24"/>
        </w:rPr>
        <w:t xml:space="preserve">), summarised in </w:t>
      </w:r>
      <w:r>
        <w:rPr>
          <w:color w:val="3366FF"/>
          <w:szCs w:val="24"/>
        </w:rPr>
        <w:fldChar w:fldCharType="begin"/>
      </w:r>
      <w:r>
        <w:rPr>
          <w:color w:val="3366FF"/>
          <w:szCs w:val="24"/>
        </w:rPr>
        <w:instrText xml:space="preserve"> REF _Ref51583525 \h </w:instrText>
      </w:r>
      <w:r>
        <w:rPr>
          <w:color w:val="3366FF"/>
          <w:szCs w:val="24"/>
        </w:rPr>
      </w:r>
      <w:r>
        <w:rPr>
          <w:color w:val="3366FF"/>
          <w:szCs w:val="24"/>
        </w:rPr>
        <w:fldChar w:fldCharType="separate"/>
      </w:r>
      <w:r w:rsidR="00D007E1" w:rsidRPr="005E5B41">
        <w:t xml:space="preserve">Table </w:t>
      </w:r>
      <w:r w:rsidR="00D007E1">
        <w:rPr>
          <w:noProof/>
        </w:rPr>
        <w:t>6</w:t>
      </w:r>
      <w:r>
        <w:rPr>
          <w:color w:val="3366FF"/>
          <w:szCs w:val="24"/>
        </w:rPr>
        <w:fldChar w:fldCharType="end"/>
      </w:r>
      <w:r>
        <w:rPr>
          <w:color w:val="3366FF"/>
          <w:szCs w:val="24"/>
        </w:rPr>
        <w:t>.</w:t>
      </w:r>
    </w:p>
    <w:p w14:paraId="513F610F" w14:textId="798932ED" w:rsidR="007B10A2" w:rsidRDefault="007B10A2" w:rsidP="007B10A2">
      <w:pPr>
        <w:tabs>
          <w:tab w:val="left" w:pos="720"/>
          <w:tab w:val="left" w:pos="1140"/>
        </w:tabs>
        <w:spacing w:after="240"/>
        <w:rPr>
          <w:color w:val="3366FF"/>
          <w:szCs w:val="24"/>
        </w:rPr>
      </w:pPr>
      <w:r w:rsidRPr="007D75D8">
        <w:rPr>
          <w:szCs w:val="24"/>
        </w:rPr>
        <w:t>The ADAR also identified the SKUP</w:t>
      </w:r>
      <w:r>
        <w:rPr>
          <w:szCs w:val="24"/>
        </w:rPr>
        <w:t>3</w:t>
      </w:r>
      <w:r w:rsidRPr="007D75D8">
        <w:rPr>
          <w:rStyle w:val="FootnoteReference"/>
          <w:szCs w:val="24"/>
        </w:rPr>
        <w:footnoteReference w:id="7"/>
      </w:r>
      <w:r>
        <w:rPr>
          <w:szCs w:val="24"/>
        </w:rPr>
        <w:t xml:space="preserve"> study</w:t>
      </w:r>
      <w:r w:rsidRPr="007D75D8">
        <w:rPr>
          <w:szCs w:val="24"/>
        </w:rPr>
        <w:t xml:space="preserve"> (</w:t>
      </w:r>
      <w:proofErr w:type="spellStart"/>
      <w:r>
        <w:rPr>
          <w:szCs w:val="24"/>
        </w:rPr>
        <w:t>Browaldh</w:t>
      </w:r>
      <w:proofErr w:type="spellEnd"/>
      <w:r>
        <w:rPr>
          <w:szCs w:val="24"/>
        </w:rPr>
        <w:t xml:space="preserve"> 2018</w:t>
      </w:r>
      <w:r>
        <w:rPr>
          <w:rStyle w:val="FootnoteReference"/>
          <w:szCs w:val="24"/>
        </w:rPr>
        <w:footnoteReference w:id="8"/>
      </w:r>
      <w:r>
        <w:rPr>
          <w:szCs w:val="24"/>
        </w:rPr>
        <w:t xml:space="preserve">, </w:t>
      </w:r>
      <w:proofErr w:type="spellStart"/>
      <w:r>
        <w:rPr>
          <w:szCs w:val="24"/>
        </w:rPr>
        <w:t>Joar</w:t>
      </w:r>
      <w:proofErr w:type="spellEnd"/>
      <w:r>
        <w:rPr>
          <w:szCs w:val="24"/>
        </w:rPr>
        <w:t xml:space="preserve"> 2018</w:t>
      </w:r>
      <w:r>
        <w:rPr>
          <w:rStyle w:val="FootnoteReference"/>
          <w:szCs w:val="24"/>
        </w:rPr>
        <w:footnoteReference w:id="9"/>
      </w:r>
      <w:r>
        <w:rPr>
          <w:szCs w:val="24"/>
        </w:rPr>
        <w:t>)</w:t>
      </w:r>
      <w:r w:rsidRPr="007D75D8">
        <w:rPr>
          <w:szCs w:val="24"/>
        </w:rPr>
        <w:t xml:space="preserve"> as evidence for the supplementary comparator</w:t>
      </w:r>
      <w:r>
        <w:rPr>
          <w:szCs w:val="24"/>
        </w:rPr>
        <w:t xml:space="preserve"> UPPP</w:t>
      </w:r>
      <w:r w:rsidRPr="007D75D8">
        <w:rPr>
          <w:szCs w:val="24"/>
        </w:rPr>
        <w:t xml:space="preserve">. However, the ADAR claimed the SKUP trial had substantial differences to the STAR study, </w:t>
      </w:r>
      <w:r>
        <w:rPr>
          <w:szCs w:val="24"/>
        </w:rPr>
        <w:t xml:space="preserve">and therefore claimed </w:t>
      </w:r>
      <w:r w:rsidRPr="007D75D8">
        <w:rPr>
          <w:szCs w:val="24"/>
        </w:rPr>
        <w:t xml:space="preserve">a comparison of closed loop UAS and UPPP surgery </w:t>
      </w:r>
      <w:proofErr w:type="gramStart"/>
      <w:r w:rsidRPr="007D75D8">
        <w:rPr>
          <w:szCs w:val="24"/>
        </w:rPr>
        <w:t>could not be made</w:t>
      </w:r>
      <w:proofErr w:type="gramEnd"/>
      <w:r w:rsidRPr="007D75D8">
        <w:rPr>
          <w:szCs w:val="24"/>
        </w:rPr>
        <w:t xml:space="preserve">. </w:t>
      </w:r>
      <w:r>
        <w:rPr>
          <w:szCs w:val="24"/>
        </w:rPr>
        <w:t>The commentary considered this was reasonable.</w:t>
      </w:r>
      <w:r w:rsidRPr="007D75D8">
        <w:rPr>
          <w:szCs w:val="24"/>
        </w:rPr>
        <w:t xml:space="preserve">  </w:t>
      </w:r>
    </w:p>
    <w:p w14:paraId="077B583D" w14:textId="030DA3E5" w:rsidR="007B10A2" w:rsidRPr="00875ED2" w:rsidRDefault="007B10A2" w:rsidP="00875ED2">
      <w:pPr>
        <w:rPr>
          <w:rFonts w:ascii="Arial Narrow" w:hAnsi="Arial Narrow"/>
          <w:b/>
          <w:sz w:val="20"/>
        </w:rPr>
      </w:pPr>
      <w:bookmarkStart w:id="11" w:name="_Ref51583525"/>
      <w:r w:rsidRPr="00875ED2">
        <w:rPr>
          <w:rFonts w:ascii="Arial Narrow" w:hAnsi="Arial Narrow"/>
          <w:b/>
          <w:sz w:val="20"/>
        </w:rPr>
        <w:t xml:space="preserve">Table </w:t>
      </w:r>
      <w:r w:rsidRPr="00875ED2">
        <w:rPr>
          <w:rFonts w:ascii="Arial Narrow" w:hAnsi="Arial Narrow"/>
          <w:b/>
          <w:sz w:val="20"/>
        </w:rPr>
        <w:fldChar w:fldCharType="begin"/>
      </w:r>
      <w:r w:rsidRPr="00875ED2">
        <w:rPr>
          <w:rFonts w:ascii="Arial Narrow" w:hAnsi="Arial Narrow"/>
          <w:b/>
          <w:sz w:val="20"/>
        </w:rPr>
        <w:instrText xml:space="preserve"> SEQ Table \* ARABIC </w:instrText>
      </w:r>
      <w:r w:rsidRPr="00875ED2">
        <w:rPr>
          <w:rFonts w:ascii="Arial Narrow" w:hAnsi="Arial Narrow"/>
          <w:b/>
          <w:sz w:val="20"/>
        </w:rPr>
        <w:fldChar w:fldCharType="separate"/>
      </w:r>
      <w:proofErr w:type="gramStart"/>
      <w:r w:rsidR="00D007E1" w:rsidRPr="00875ED2">
        <w:rPr>
          <w:rFonts w:ascii="Arial Narrow" w:hAnsi="Arial Narrow"/>
          <w:b/>
          <w:sz w:val="20"/>
        </w:rPr>
        <w:t>6</w:t>
      </w:r>
      <w:proofErr w:type="gramEnd"/>
      <w:r w:rsidRPr="00875ED2">
        <w:rPr>
          <w:rFonts w:ascii="Arial Narrow" w:hAnsi="Arial Narrow"/>
          <w:b/>
          <w:sz w:val="20"/>
        </w:rPr>
        <w:fldChar w:fldCharType="end"/>
      </w:r>
      <w:bookmarkEnd w:id="11"/>
      <w:r w:rsidRPr="00875ED2">
        <w:rPr>
          <w:rFonts w:ascii="Arial Narrow" w:hAnsi="Arial Narrow"/>
          <w:b/>
          <w:sz w:val="20"/>
        </w:rPr>
        <w:tab/>
        <w:t xml:space="preserve">Key features of the included evidence </w:t>
      </w:r>
    </w:p>
    <w:tbl>
      <w:tblPr>
        <w:tblStyle w:val="TableGrid"/>
        <w:tblW w:w="4841" w:type="pct"/>
        <w:tblLook w:val="04A0" w:firstRow="1" w:lastRow="0" w:firstColumn="1" w:lastColumn="0" w:noHBand="0" w:noVBand="1"/>
        <w:tblCaption w:val="Table 14 Key features of the included evidence comparing intervention with comparator"/>
        <w:tblDescription w:val="This table provides a summary of the key features of each study included in the evidence base - including the study authors, sample size, study design and duration, risk of bias in the results, patient population characteristics, key outcomes measured, and whether the results were used in the economic evaluation in the report."/>
      </w:tblPr>
      <w:tblGrid>
        <w:gridCol w:w="1276"/>
        <w:gridCol w:w="711"/>
        <w:gridCol w:w="1554"/>
        <w:gridCol w:w="850"/>
        <w:gridCol w:w="1688"/>
        <w:gridCol w:w="1267"/>
        <w:gridCol w:w="1383"/>
      </w:tblGrid>
      <w:tr w:rsidR="007B10A2" w:rsidRPr="00183E4D" w14:paraId="2293CFB6" w14:textId="77777777" w:rsidTr="00D4500F">
        <w:trPr>
          <w:tblHeader/>
        </w:trPr>
        <w:tc>
          <w:tcPr>
            <w:tcW w:w="731" w:type="pct"/>
          </w:tcPr>
          <w:p w14:paraId="21F4E332" w14:textId="77777777" w:rsidR="007B10A2" w:rsidRPr="00183E4D" w:rsidRDefault="007B10A2" w:rsidP="007B10A2">
            <w:pPr>
              <w:pStyle w:val="TableHeading"/>
              <w:ind w:left="0" w:firstLine="0"/>
              <w:rPr>
                <w:snapToGrid w:val="0"/>
                <w:lang w:eastAsia="en-US"/>
              </w:rPr>
            </w:pPr>
            <w:r w:rsidRPr="00183E4D">
              <w:rPr>
                <w:snapToGrid w:val="0"/>
                <w:lang w:eastAsia="en-US"/>
              </w:rPr>
              <w:t>Study</w:t>
            </w:r>
          </w:p>
        </w:tc>
        <w:tc>
          <w:tcPr>
            <w:tcW w:w="407" w:type="pct"/>
          </w:tcPr>
          <w:p w14:paraId="4ABCB022" w14:textId="77777777" w:rsidR="007B10A2" w:rsidRPr="00183E4D" w:rsidRDefault="007B10A2" w:rsidP="007B10A2">
            <w:pPr>
              <w:pStyle w:val="TableHeading"/>
              <w:ind w:left="0" w:firstLine="0"/>
              <w:jc w:val="center"/>
              <w:rPr>
                <w:snapToGrid w:val="0"/>
                <w:lang w:eastAsia="en-US"/>
              </w:rPr>
            </w:pPr>
            <w:r w:rsidRPr="00183E4D">
              <w:rPr>
                <w:snapToGrid w:val="0"/>
                <w:lang w:eastAsia="en-US"/>
              </w:rPr>
              <w:t>N</w:t>
            </w:r>
          </w:p>
        </w:tc>
        <w:tc>
          <w:tcPr>
            <w:tcW w:w="890" w:type="pct"/>
          </w:tcPr>
          <w:p w14:paraId="43BDE051" w14:textId="77777777" w:rsidR="007B10A2" w:rsidRPr="00183E4D" w:rsidRDefault="007B10A2" w:rsidP="007B10A2">
            <w:pPr>
              <w:pStyle w:val="TableHeading"/>
              <w:ind w:left="0" w:firstLine="0"/>
              <w:jc w:val="center"/>
              <w:rPr>
                <w:snapToGrid w:val="0"/>
                <w:lang w:eastAsia="en-US"/>
              </w:rPr>
            </w:pPr>
            <w:r w:rsidRPr="00183E4D">
              <w:rPr>
                <w:snapToGrid w:val="0"/>
                <w:lang w:eastAsia="en-US"/>
              </w:rPr>
              <w:t>Design/ duration</w:t>
            </w:r>
          </w:p>
        </w:tc>
        <w:tc>
          <w:tcPr>
            <w:tcW w:w="487" w:type="pct"/>
          </w:tcPr>
          <w:p w14:paraId="665366B4" w14:textId="77777777" w:rsidR="007B10A2" w:rsidRPr="00183E4D" w:rsidRDefault="007B10A2" w:rsidP="007B10A2">
            <w:pPr>
              <w:pStyle w:val="TableHeading"/>
              <w:ind w:left="0" w:firstLine="0"/>
              <w:jc w:val="center"/>
              <w:rPr>
                <w:snapToGrid w:val="0"/>
                <w:lang w:eastAsia="en-US"/>
              </w:rPr>
            </w:pPr>
            <w:r w:rsidRPr="00183E4D">
              <w:rPr>
                <w:snapToGrid w:val="0"/>
                <w:lang w:eastAsia="en-US"/>
              </w:rPr>
              <w:t>Risk of bias</w:t>
            </w:r>
          </w:p>
        </w:tc>
        <w:tc>
          <w:tcPr>
            <w:tcW w:w="967" w:type="pct"/>
          </w:tcPr>
          <w:p w14:paraId="2897FB15" w14:textId="77777777" w:rsidR="007B10A2" w:rsidRPr="00183E4D" w:rsidRDefault="007B10A2" w:rsidP="007B10A2">
            <w:pPr>
              <w:pStyle w:val="TableHeading"/>
              <w:ind w:left="0" w:firstLine="0"/>
              <w:jc w:val="center"/>
              <w:rPr>
                <w:snapToGrid w:val="0"/>
                <w:lang w:eastAsia="en-US"/>
              </w:rPr>
            </w:pPr>
            <w:r w:rsidRPr="00183E4D">
              <w:rPr>
                <w:snapToGrid w:val="0"/>
                <w:lang w:eastAsia="en-US"/>
              </w:rPr>
              <w:t>Patient population</w:t>
            </w:r>
          </w:p>
        </w:tc>
        <w:tc>
          <w:tcPr>
            <w:tcW w:w="726" w:type="pct"/>
          </w:tcPr>
          <w:p w14:paraId="6988197C" w14:textId="77777777" w:rsidR="007B10A2" w:rsidRPr="00183E4D" w:rsidRDefault="007B10A2" w:rsidP="007B10A2">
            <w:pPr>
              <w:pStyle w:val="TableHeading"/>
              <w:ind w:left="0" w:firstLine="0"/>
              <w:jc w:val="center"/>
              <w:rPr>
                <w:snapToGrid w:val="0"/>
                <w:lang w:eastAsia="en-US"/>
              </w:rPr>
            </w:pPr>
            <w:r w:rsidRPr="00183E4D">
              <w:rPr>
                <w:snapToGrid w:val="0"/>
                <w:lang w:eastAsia="en-US"/>
              </w:rPr>
              <w:t>Key outcomes</w:t>
            </w:r>
          </w:p>
        </w:tc>
        <w:tc>
          <w:tcPr>
            <w:tcW w:w="792" w:type="pct"/>
          </w:tcPr>
          <w:p w14:paraId="2546A77B" w14:textId="77777777" w:rsidR="007B10A2" w:rsidRPr="00183E4D" w:rsidRDefault="007B10A2" w:rsidP="007B10A2">
            <w:pPr>
              <w:pStyle w:val="TableHeading"/>
              <w:ind w:left="0" w:firstLine="0"/>
              <w:jc w:val="center"/>
              <w:rPr>
                <w:snapToGrid w:val="0"/>
                <w:lang w:eastAsia="en-US"/>
              </w:rPr>
            </w:pPr>
            <w:r w:rsidRPr="00183E4D">
              <w:rPr>
                <w:snapToGrid w:val="0"/>
                <w:lang w:eastAsia="en-US"/>
              </w:rPr>
              <w:t>Result used in economic model</w:t>
            </w:r>
          </w:p>
        </w:tc>
      </w:tr>
      <w:tr w:rsidR="007B10A2" w:rsidRPr="002913B3" w14:paraId="6C6ED93A" w14:textId="77777777" w:rsidTr="00D4500F">
        <w:tc>
          <w:tcPr>
            <w:tcW w:w="731" w:type="pct"/>
          </w:tcPr>
          <w:p w14:paraId="1B942B2C" w14:textId="77777777" w:rsidR="007B10A2" w:rsidRPr="007129BF" w:rsidRDefault="007B10A2" w:rsidP="007B10A2">
            <w:pPr>
              <w:spacing w:before="40" w:after="40"/>
              <w:rPr>
                <w:rFonts w:ascii="Arial Narrow" w:hAnsi="Arial Narrow"/>
                <w:snapToGrid w:val="0"/>
                <w:sz w:val="20"/>
              </w:rPr>
            </w:pPr>
            <w:r>
              <w:rPr>
                <w:rFonts w:ascii="Arial Narrow" w:hAnsi="Arial Narrow"/>
                <w:snapToGrid w:val="0"/>
                <w:sz w:val="20"/>
              </w:rPr>
              <w:t>Woodson 2018 STAR study</w:t>
            </w:r>
          </w:p>
        </w:tc>
        <w:tc>
          <w:tcPr>
            <w:tcW w:w="407" w:type="pct"/>
          </w:tcPr>
          <w:p w14:paraId="1E48F75A" w14:textId="77777777" w:rsidR="007B10A2" w:rsidRPr="007129BF" w:rsidRDefault="007B10A2" w:rsidP="007B10A2">
            <w:pPr>
              <w:spacing w:before="40" w:after="40"/>
              <w:jc w:val="center"/>
              <w:rPr>
                <w:rFonts w:ascii="Arial Narrow" w:hAnsi="Arial Narrow"/>
                <w:snapToGrid w:val="0"/>
                <w:sz w:val="20"/>
              </w:rPr>
            </w:pPr>
            <w:r>
              <w:rPr>
                <w:rFonts w:ascii="Arial Narrow" w:hAnsi="Arial Narrow"/>
                <w:snapToGrid w:val="0"/>
                <w:sz w:val="20"/>
              </w:rPr>
              <w:t>126</w:t>
            </w:r>
          </w:p>
        </w:tc>
        <w:tc>
          <w:tcPr>
            <w:tcW w:w="890" w:type="pct"/>
          </w:tcPr>
          <w:p w14:paraId="7045EC4B" w14:textId="77777777" w:rsidR="007B10A2" w:rsidRPr="007129BF" w:rsidRDefault="007B10A2" w:rsidP="007B10A2">
            <w:pPr>
              <w:spacing w:before="40" w:after="40"/>
              <w:rPr>
                <w:rFonts w:ascii="Arial Narrow" w:hAnsi="Arial Narrow"/>
                <w:snapToGrid w:val="0"/>
                <w:sz w:val="20"/>
              </w:rPr>
            </w:pPr>
            <w:proofErr w:type="spellStart"/>
            <w:r>
              <w:rPr>
                <w:rFonts w:ascii="Arial Narrow" w:hAnsi="Arial Narrow"/>
                <w:snapToGrid w:val="0"/>
                <w:sz w:val="20"/>
              </w:rPr>
              <w:t>Coh</w:t>
            </w:r>
            <w:proofErr w:type="spellEnd"/>
            <w:r>
              <w:rPr>
                <w:rFonts w:ascii="Arial Narrow" w:hAnsi="Arial Narrow"/>
                <w:snapToGrid w:val="0"/>
                <w:sz w:val="20"/>
              </w:rPr>
              <w:t>, MC</w:t>
            </w:r>
          </w:p>
          <w:p w14:paraId="4586E6B7" w14:textId="77777777" w:rsidR="007B10A2" w:rsidRPr="007129BF" w:rsidRDefault="007B10A2" w:rsidP="007B10A2">
            <w:pPr>
              <w:spacing w:before="40" w:after="40"/>
              <w:rPr>
                <w:rFonts w:ascii="Arial Narrow" w:hAnsi="Arial Narrow"/>
                <w:snapToGrid w:val="0"/>
                <w:sz w:val="20"/>
              </w:rPr>
            </w:pPr>
            <w:r>
              <w:rPr>
                <w:rFonts w:ascii="Arial Narrow" w:hAnsi="Arial Narrow"/>
                <w:snapToGrid w:val="0"/>
                <w:sz w:val="20"/>
              </w:rPr>
              <w:t>5 years</w:t>
            </w:r>
          </w:p>
        </w:tc>
        <w:tc>
          <w:tcPr>
            <w:tcW w:w="487" w:type="pct"/>
          </w:tcPr>
          <w:p w14:paraId="634DE2DB" w14:textId="77777777" w:rsidR="007B10A2" w:rsidRPr="003F2A1B" w:rsidRDefault="007B10A2" w:rsidP="007B10A2">
            <w:pPr>
              <w:spacing w:before="40" w:after="40"/>
              <w:jc w:val="center"/>
              <w:rPr>
                <w:rFonts w:ascii="Arial Narrow" w:hAnsi="Arial Narrow"/>
                <w:iCs/>
                <w:snapToGrid w:val="0"/>
                <w:sz w:val="20"/>
              </w:rPr>
            </w:pPr>
            <w:r w:rsidRPr="003F2A1B">
              <w:rPr>
                <w:rFonts w:ascii="Arial Narrow" w:hAnsi="Arial Narrow"/>
                <w:iCs/>
                <w:snapToGrid w:val="0"/>
                <w:sz w:val="20"/>
              </w:rPr>
              <w:t>High</w:t>
            </w:r>
          </w:p>
        </w:tc>
        <w:tc>
          <w:tcPr>
            <w:tcW w:w="967" w:type="pct"/>
          </w:tcPr>
          <w:p w14:paraId="3E04C65F" w14:textId="77777777" w:rsidR="007B10A2" w:rsidRPr="007129BF" w:rsidRDefault="007B10A2" w:rsidP="007B10A2">
            <w:pPr>
              <w:spacing w:before="40" w:after="40"/>
              <w:rPr>
                <w:rFonts w:ascii="Arial Narrow" w:hAnsi="Arial Narrow"/>
                <w:snapToGrid w:val="0"/>
                <w:sz w:val="20"/>
              </w:rPr>
            </w:pPr>
            <w:r>
              <w:rPr>
                <w:rFonts w:ascii="Arial Narrow" w:hAnsi="Arial Narrow"/>
                <w:snapToGrid w:val="0"/>
                <w:sz w:val="20"/>
              </w:rPr>
              <w:t>Moderate to severe OSA; intolerant to CPAP</w:t>
            </w:r>
          </w:p>
        </w:tc>
        <w:tc>
          <w:tcPr>
            <w:tcW w:w="726" w:type="pct"/>
          </w:tcPr>
          <w:p w14:paraId="583B0A0B" w14:textId="77777777" w:rsidR="007B10A2" w:rsidRPr="007129BF" w:rsidRDefault="007B10A2" w:rsidP="007B10A2">
            <w:pPr>
              <w:spacing w:before="40" w:after="40"/>
              <w:rPr>
                <w:rFonts w:ascii="Arial Narrow" w:hAnsi="Arial Narrow"/>
                <w:snapToGrid w:val="0"/>
                <w:sz w:val="20"/>
              </w:rPr>
            </w:pPr>
            <w:r>
              <w:rPr>
                <w:rFonts w:ascii="Arial Narrow" w:hAnsi="Arial Narrow"/>
                <w:snapToGrid w:val="0"/>
                <w:sz w:val="20"/>
              </w:rPr>
              <w:t>AHI, ODI, ESS, FOSQ, adverse events</w:t>
            </w:r>
          </w:p>
        </w:tc>
        <w:tc>
          <w:tcPr>
            <w:tcW w:w="792" w:type="pct"/>
          </w:tcPr>
          <w:p w14:paraId="6BFD3889" w14:textId="77777777" w:rsidR="007B10A2" w:rsidRPr="007129BF" w:rsidRDefault="007B10A2" w:rsidP="007B10A2">
            <w:pPr>
              <w:spacing w:before="40" w:after="40"/>
              <w:jc w:val="center"/>
              <w:rPr>
                <w:rFonts w:ascii="Arial Narrow" w:hAnsi="Arial Narrow"/>
                <w:snapToGrid w:val="0"/>
                <w:sz w:val="20"/>
              </w:rPr>
            </w:pPr>
            <w:r>
              <w:rPr>
                <w:rFonts w:ascii="Arial Narrow" w:hAnsi="Arial Narrow"/>
                <w:snapToGrid w:val="0"/>
                <w:sz w:val="20"/>
              </w:rPr>
              <w:t>U</w:t>
            </w:r>
            <w:r w:rsidRPr="007129BF">
              <w:rPr>
                <w:rFonts w:ascii="Arial Narrow" w:hAnsi="Arial Narrow"/>
                <w:snapToGrid w:val="0"/>
                <w:sz w:val="20"/>
              </w:rPr>
              <w:t>sed</w:t>
            </w:r>
          </w:p>
        </w:tc>
      </w:tr>
      <w:tr w:rsidR="007B10A2" w:rsidRPr="002913B3" w14:paraId="43EBF959" w14:textId="77777777" w:rsidTr="00D4500F">
        <w:tc>
          <w:tcPr>
            <w:tcW w:w="731" w:type="pct"/>
          </w:tcPr>
          <w:p w14:paraId="739070D7" w14:textId="77777777" w:rsidR="007B10A2" w:rsidRPr="007129BF" w:rsidRDefault="007B10A2" w:rsidP="007B10A2">
            <w:pPr>
              <w:spacing w:before="40" w:after="40"/>
              <w:rPr>
                <w:rFonts w:ascii="Arial Narrow" w:hAnsi="Arial Narrow"/>
                <w:snapToGrid w:val="0"/>
                <w:sz w:val="20"/>
              </w:rPr>
            </w:pPr>
            <w:r>
              <w:rPr>
                <w:rFonts w:ascii="Arial Narrow" w:hAnsi="Arial Narrow"/>
                <w:snapToGrid w:val="0"/>
                <w:sz w:val="20"/>
              </w:rPr>
              <w:t>Woodson 2014 STAR sub-study</w:t>
            </w:r>
          </w:p>
        </w:tc>
        <w:tc>
          <w:tcPr>
            <w:tcW w:w="407" w:type="pct"/>
          </w:tcPr>
          <w:p w14:paraId="0745E22B" w14:textId="77777777" w:rsidR="007B10A2" w:rsidRPr="007129BF" w:rsidRDefault="007B10A2" w:rsidP="007B10A2">
            <w:pPr>
              <w:spacing w:before="40" w:after="40"/>
              <w:jc w:val="center"/>
              <w:rPr>
                <w:rFonts w:ascii="Arial Narrow" w:hAnsi="Arial Narrow"/>
                <w:snapToGrid w:val="0"/>
                <w:sz w:val="20"/>
              </w:rPr>
            </w:pPr>
            <w:r>
              <w:rPr>
                <w:rFonts w:ascii="Arial Narrow" w:hAnsi="Arial Narrow"/>
                <w:snapToGrid w:val="0"/>
                <w:sz w:val="20"/>
              </w:rPr>
              <w:t>46</w:t>
            </w:r>
          </w:p>
        </w:tc>
        <w:tc>
          <w:tcPr>
            <w:tcW w:w="890" w:type="pct"/>
          </w:tcPr>
          <w:p w14:paraId="1F023B0E" w14:textId="77777777" w:rsidR="007B10A2" w:rsidRPr="007129BF" w:rsidRDefault="007B10A2" w:rsidP="007B10A2">
            <w:pPr>
              <w:spacing w:before="40" w:after="40"/>
              <w:rPr>
                <w:rFonts w:ascii="Arial Narrow" w:hAnsi="Arial Narrow"/>
                <w:snapToGrid w:val="0"/>
                <w:sz w:val="20"/>
              </w:rPr>
            </w:pPr>
            <w:r w:rsidRPr="007129BF">
              <w:rPr>
                <w:rFonts w:ascii="Arial Narrow" w:hAnsi="Arial Narrow"/>
                <w:snapToGrid w:val="0"/>
                <w:sz w:val="20"/>
              </w:rPr>
              <w:t>R</w:t>
            </w:r>
            <w:r>
              <w:rPr>
                <w:rFonts w:ascii="Arial Narrow" w:hAnsi="Arial Narrow"/>
                <w:snapToGrid w:val="0"/>
                <w:sz w:val="20"/>
              </w:rPr>
              <w:t>, MC</w:t>
            </w:r>
          </w:p>
          <w:p w14:paraId="33A03ABD" w14:textId="77777777" w:rsidR="007B10A2" w:rsidRPr="007129BF" w:rsidRDefault="007B10A2" w:rsidP="007B10A2">
            <w:pPr>
              <w:spacing w:before="40" w:after="40"/>
              <w:rPr>
                <w:rFonts w:ascii="Arial Narrow" w:hAnsi="Arial Narrow"/>
                <w:snapToGrid w:val="0"/>
                <w:sz w:val="20"/>
              </w:rPr>
            </w:pPr>
            <w:r>
              <w:rPr>
                <w:rFonts w:ascii="Arial Narrow" w:hAnsi="Arial Narrow"/>
                <w:snapToGrid w:val="0"/>
                <w:sz w:val="20"/>
              </w:rPr>
              <w:t>1 week therapy withdrawal; assessment at 6 months</w:t>
            </w:r>
          </w:p>
        </w:tc>
        <w:tc>
          <w:tcPr>
            <w:tcW w:w="487" w:type="pct"/>
          </w:tcPr>
          <w:p w14:paraId="24FA3669" w14:textId="77777777" w:rsidR="007B10A2" w:rsidRPr="003F2A1B" w:rsidRDefault="007B10A2" w:rsidP="007B10A2">
            <w:pPr>
              <w:spacing w:before="40" w:after="40"/>
              <w:jc w:val="center"/>
              <w:rPr>
                <w:rFonts w:ascii="Arial Narrow" w:hAnsi="Arial Narrow"/>
                <w:iCs/>
                <w:snapToGrid w:val="0"/>
                <w:sz w:val="20"/>
              </w:rPr>
            </w:pPr>
            <w:r w:rsidRPr="003F2A1B">
              <w:rPr>
                <w:rFonts w:ascii="Arial Narrow" w:hAnsi="Arial Narrow"/>
                <w:iCs/>
                <w:snapToGrid w:val="0"/>
                <w:sz w:val="20"/>
              </w:rPr>
              <w:t>High</w:t>
            </w:r>
          </w:p>
        </w:tc>
        <w:tc>
          <w:tcPr>
            <w:tcW w:w="967" w:type="pct"/>
          </w:tcPr>
          <w:p w14:paraId="2E061424" w14:textId="77777777" w:rsidR="007B10A2" w:rsidRPr="007129BF" w:rsidRDefault="007B10A2" w:rsidP="007B10A2">
            <w:pPr>
              <w:spacing w:before="40" w:after="40"/>
              <w:rPr>
                <w:rFonts w:ascii="Arial Narrow" w:hAnsi="Arial Narrow"/>
                <w:snapToGrid w:val="0"/>
                <w:sz w:val="20"/>
              </w:rPr>
            </w:pPr>
            <w:r>
              <w:rPr>
                <w:rFonts w:ascii="Arial Narrow" w:hAnsi="Arial Narrow"/>
                <w:snapToGrid w:val="0"/>
                <w:sz w:val="20"/>
              </w:rPr>
              <w:t>Moderate to severe OSA; intolerant to CPAP – responders to treatment</w:t>
            </w:r>
          </w:p>
        </w:tc>
        <w:tc>
          <w:tcPr>
            <w:tcW w:w="726" w:type="pct"/>
          </w:tcPr>
          <w:p w14:paraId="3A3F732F" w14:textId="77777777" w:rsidR="007B10A2" w:rsidRPr="007129BF" w:rsidRDefault="007B10A2" w:rsidP="007B10A2">
            <w:pPr>
              <w:spacing w:before="40" w:after="40"/>
              <w:rPr>
                <w:rFonts w:ascii="Arial Narrow" w:hAnsi="Arial Narrow"/>
                <w:snapToGrid w:val="0"/>
                <w:sz w:val="20"/>
              </w:rPr>
            </w:pPr>
            <w:r>
              <w:rPr>
                <w:rFonts w:ascii="Arial Narrow" w:hAnsi="Arial Narrow"/>
                <w:snapToGrid w:val="0"/>
                <w:sz w:val="20"/>
              </w:rPr>
              <w:t>AHI, ODI, ESS, FOSQ</w:t>
            </w:r>
          </w:p>
        </w:tc>
        <w:tc>
          <w:tcPr>
            <w:tcW w:w="792" w:type="pct"/>
          </w:tcPr>
          <w:p w14:paraId="2F329E34" w14:textId="77777777" w:rsidR="007B10A2" w:rsidRPr="007129BF" w:rsidRDefault="007B10A2" w:rsidP="007B10A2">
            <w:pPr>
              <w:spacing w:before="40" w:after="40"/>
              <w:jc w:val="center"/>
              <w:rPr>
                <w:rFonts w:ascii="Arial Narrow" w:hAnsi="Arial Narrow"/>
                <w:snapToGrid w:val="0"/>
                <w:sz w:val="20"/>
              </w:rPr>
            </w:pPr>
            <w:r w:rsidRPr="007129BF">
              <w:rPr>
                <w:rFonts w:ascii="Arial Narrow" w:hAnsi="Arial Narrow"/>
                <w:snapToGrid w:val="0"/>
                <w:sz w:val="20"/>
              </w:rPr>
              <w:t>Not used</w:t>
            </w:r>
          </w:p>
        </w:tc>
      </w:tr>
    </w:tbl>
    <w:p w14:paraId="4EC9979C" w14:textId="77777777" w:rsidR="007B10A2" w:rsidRDefault="007B10A2" w:rsidP="007B10A2">
      <w:pPr>
        <w:widowControl w:val="0"/>
        <w:rPr>
          <w:rStyle w:val="TablenotesChar"/>
        </w:rPr>
      </w:pPr>
      <w:r>
        <w:rPr>
          <w:rStyle w:val="TablenotesChar"/>
        </w:rPr>
        <w:t>Source: Table 22, p56 of the ADAR</w:t>
      </w:r>
    </w:p>
    <w:p w14:paraId="26CA1211" w14:textId="77777777" w:rsidR="007B10A2" w:rsidRDefault="007B10A2" w:rsidP="007B10A2">
      <w:pPr>
        <w:widowControl w:val="0"/>
        <w:spacing w:after="240"/>
        <w:rPr>
          <w:color w:val="3366FF"/>
          <w:szCs w:val="24"/>
        </w:rPr>
      </w:pPr>
      <w:r>
        <w:rPr>
          <w:rFonts w:ascii="Arial Narrow" w:hAnsi="Arial Narrow"/>
          <w:sz w:val="18"/>
          <w:szCs w:val="18"/>
        </w:rPr>
        <w:t xml:space="preserve">Abbreviations: </w:t>
      </w:r>
      <w:r w:rsidRPr="00231F41">
        <w:rPr>
          <w:rFonts w:ascii="Arial Narrow" w:hAnsi="Arial Narrow"/>
          <w:sz w:val="18"/>
          <w:szCs w:val="18"/>
        </w:rPr>
        <w:t>AHI=apnoea hypopnoea index;</w:t>
      </w:r>
      <w:r>
        <w:rPr>
          <w:rFonts w:ascii="Arial Narrow" w:hAnsi="Arial Narrow"/>
          <w:sz w:val="18"/>
          <w:szCs w:val="18"/>
        </w:rPr>
        <w:t xml:space="preserve"> CPAP=continuous positive airway pressure; </w:t>
      </w:r>
      <w:proofErr w:type="spellStart"/>
      <w:r w:rsidRPr="003F2A1B">
        <w:rPr>
          <w:rStyle w:val="TablenotesChar"/>
        </w:rPr>
        <w:t>Coh</w:t>
      </w:r>
      <w:proofErr w:type="spellEnd"/>
      <w:r w:rsidRPr="003F2A1B">
        <w:rPr>
          <w:rStyle w:val="TablenotesChar"/>
        </w:rPr>
        <w:t xml:space="preserve">=cohort; ESS=Epworth Sleepiness Scale; FOSQ=Functional Outcomes of Sleep Questionnaire; MC=multi-centre; </w:t>
      </w:r>
      <w:r w:rsidRPr="003F2A1B">
        <w:rPr>
          <w:rFonts w:ascii="Arial Narrow" w:hAnsi="Arial Narrow"/>
          <w:sz w:val="18"/>
          <w:szCs w:val="18"/>
        </w:rPr>
        <w:t xml:space="preserve">ODI=oxygen desaturation index; OSA=obstructive sleep apnoea; </w:t>
      </w:r>
      <w:r w:rsidRPr="003F2A1B">
        <w:rPr>
          <w:rStyle w:val="TablenotesChar"/>
        </w:rPr>
        <w:lastRenderedPageBreak/>
        <w:t>R=randomised; SB=single blind.</w:t>
      </w:r>
    </w:p>
    <w:p w14:paraId="3123DA36" w14:textId="77777777" w:rsidR="007B10A2" w:rsidRPr="000A1222" w:rsidRDefault="007B10A2" w:rsidP="00360443">
      <w:pPr>
        <w:tabs>
          <w:tab w:val="left" w:pos="720"/>
          <w:tab w:val="left" w:pos="1140"/>
        </w:tabs>
        <w:rPr>
          <w:szCs w:val="24"/>
        </w:rPr>
      </w:pPr>
      <w:r w:rsidRPr="000A1222">
        <w:rPr>
          <w:szCs w:val="24"/>
        </w:rPr>
        <w:t>The commentary considered the quality of evidence to be low for the following reasons:</w:t>
      </w:r>
    </w:p>
    <w:p w14:paraId="477720C2" w14:textId="77777777" w:rsidR="00417876" w:rsidRDefault="007B10A2" w:rsidP="00B05427">
      <w:pPr>
        <w:pStyle w:val="ListParagraph"/>
        <w:numPr>
          <w:ilvl w:val="0"/>
          <w:numId w:val="32"/>
        </w:numPr>
        <w:ind w:left="284" w:hanging="284"/>
        <w:contextualSpacing w:val="0"/>
        <w:rPr>
          <w:iCs/>
        </w:rPr>
      </w:pPr>
      <w:r w:rsidRPr="000A1222">
        <w:rPr>
          <w:iCs/>
        </w:rPr>
        <w:t xml:space="preserve">The main study (Woodson 2018; </w:t>
      </w:r>
      <w:proofErr w:type="spellStart"/>
      <w:r w:rsidRPr="000A1222">
        <w:rPr>
          <w:iCs/>
        </w:rPr>
        <w:t>Strollo</w:t>
      </w:r>
      <w:proofErr w:type="spellEnd"/>
      <w:r w:rsidRPr="000A1222">
        <w:rPr>
          <w:iCs/>
        </w:rPr>
        <w:t xml:space="preserve"> 2014) had a high risk of bias, and even though the </w:t>
      </w:r>
      <w:r w:rsidRPr="00123EA8">
        <w:rPr>
          <w:i/>
          <w:iCs/>
        </w:rPr>
        <w:t>post hoc</w:t>
      </w:r>
      <w:r w:rsidRPr="000A1222">
        <w:rPr>
          <w:iCs/>
        </w:rPr>
        <w:t xml:space="preserve"> withdrawal sub-study among UAS ‘responders’ was randomised, patients were aware that therapy was withdrawn for one week, and these patients then re-commenced treatment</w:t>
      </w:r>
      <w:r>
        <w:rPr>
          <w:iCs/>
        </w:rPr>
        <w:t>.</w:t>
      </w:r>
    </w:p>
    <w:p w14:paraId="403095D5" w14:textId="77777777" w:rsidR="007B10A2" w:rsidRPr="00417876" w:rsidRDefault="007B10A2" w:rsidP="00B05427">
      <w:pPr>
        <w:pStyle w:val="ListParagraph"/>
        <w:numPr>
          <w:ilvl w:val="0"/>
          <w:numId w:val="32"/>
        </w:numPr>
        <w:ind w:left="284" w:hanging="284"/>
        <w:contextualSpacing w:val="0"/>
        <w:rPr>
          <w:iCs/>
        </w:rPr>
      </w:pPr>
      <w:r w:rsidRPr="00417876">
        <w:rPr>
          <w:iCs/>
        </w:rPr>
        <w:t>The ADAR did not present comparative results from the STAR study assessing change from baseline to 12 months in AHI,</w:t>
      </w:r>
      <w:r w:rsidR="00417876" w:rsidRPr="00417876">
        <w:t xml:space="preserve"> </w:t>
      </w:r>
      <w:r w:rsidR="00417876" w:rsidRPr="00417876">
        <w:rPr>
          <w:iCs/>
        </w:rPr>
        <w:t>oxygen desaturation index</w:t>
      </w:r>
      <w:r w:rsidRPr="0055299F">
        <w:t xml:space="preserve"> </w:t>
      </w:r>
      <w:r w:rsidR="00417876">
        <w:t>(</w:t>
      </w:r>
      <w:r w:rsidRPr="00417876">
        <w:rPr>
          <w:iCs/>
        </w:rPr>
        <w:t>ODI</w:t>
      </w:r>
      <w:r w:rsidR="00417876" w:rsidRPr="00417876">
        <w:rPr>
          <w:iCs/>
        </w:rPr>
        <w:t>)</w:t>
      </w:r>
      <w:r w:rsidRPr="00417876">
        <w:rPr>
          <w:iCs/>
        </w:rPr>
        <w:t>,</w:t>
      </w:r>
      <w:r w:rsidRPr="0055299F">
        <w:t xml:space="preserve"> </w:t>
      </w:r>
      <w:r w:rsidR="00417876">
        <w:t>Functional Outcomes of Sleep Questionnaire (</w:t>
      </w:r>
      <w:r w:rsidRPr="00417876">
        <w:rPr>
          <w:iCs/>
        </w:rPr>
        <w:t>FOSQ</w:t>
      </w:r>
      <w:r w:rsidR="00417876" w:rsidRPr="00417876">
        <w:rPr>
          <w:iCs/>
        </w:rPr>
        <w:t>)</w:t>
      </w:r>
      <w:r w:rsidRPr="00417876">
        <w:rPr>
          <w:iCs/>
        </w:rPr>
        <w:t xml:space="preserve"> and</w:t>
      </w:r>
      <w:r w:rsidR="00417876">
        <w:rPr>
          <w:iCs/>
        </w:rPr>
        <w:t xml:space="preserve"> </w:t>
      </w:r>
      <w:r w:rsidR="00417876">
        <w:t>Epworth Sleepiness Scale (</w:t>
      </w:r>
      <w:r w:rsidRPr="00417876">
        <w:rPr>
          <w:iCs/>
        </w:rPr>
        <w:t>ESS</w:t>
      </w:r>
      <w:r w:rsidR="00417876">
        <w:rPr>
          <w:iCs/>
        </w:rPr>
        <w:t>)</w:t>
      </w:r>
      <w:r w:rsidRPr="00417876">
        <w:rPr>
          <w:iCs/>
        </w:rPr>
        <w:t>.</w:t>
      </w:r>
    </w:p>
    <w:p w14:paraId="22F0E0AD" w14:textId="77777777" w:rsidR="007B10A2" w:rsidRPr="000A1222" w:rsidRDefault="007B10A2" w:rsidP="00B05427">
      <w:pPr>
        <w:pStyle w:val="ListParagraph"/>
        <w:numPr>
          <w:ilvl w:val="0"/>
          <w:numId w:val="32"/>
        </w:numPr>
        <w:ind w:left="284" w:hanging="284"/>
        <w:contextualSpacing w:val="0"/>
      </w:pPr>
      <w:r w:rsidRPr="000A1222">
        <w:rPr>
          <w:iCs/>
        </w:rPr>
        <w:t>While there was considerable follow-up in the main study (5 years), there were no statistical comparisons provided of change from baseline values in AHI, ODI, FOSQ and ESS</w:t>
      </w:r>
      <w:r>
        <w:rPr>
          <w:iCs/>
        </w:rPr>
        <w:t>.</w:t>
      </w:r>
    </w:p>
    <w:p w14:paraId="0DE80D97" w14:textId="77777777" w:rsidR="007B10A2" w:rsidRPr="007B10A2" w:rsidRDefault="007B10A2" w:rsidP="00B05427">
      <w:pPr>
        <w:pStyle w:val="ListParagraph"/>
        <w:numPr>
          <w:ilvl w:val="0"/>
          <w:numId w:val="32"/>
        </w:numPr>
        <w:tabs>
          <w:tab w:val="left" w:pos="720"/>
          <w:tab w:val="left" w:pos="1140"/>
        </w:tabs>
        <w:spacing w:after="240"/>
        <w:ind w:left="284" w:hanging="284"/>
        <w:contextualSpacing w:val="0"/>
        <w:rPr>
          <w:color w:val="3366FF"/>
          <w:szCs w:val="24"/>
        </w:rPr>
      </w:pPr>
      <w:r w:rsidRPr="000A1222">
        <w:t xml:space="preserve">While there were 126 patients enrolled in the STAR study, and 97 completed 5 years of follow-up (77%), only 71 had a PSG at the </w:t>
      </w:r>
      <w:proofErr w:type="gramStart"/>
      <w:r w:rsidRPr="000A1222">
        <w:t>5 year</w:t>
      </w:r>
      <w:proofErr w:type="gramEnd"/>
      <w:r w:rsidRPr="000A1222">
        <w:t xml:space="preserve"> time point (56%).  </w:t>
      </w:r>
      <w:r w:rsidRPr="007B10A2">
        <w:rPr>
          <w:iCs/>
        </w:rPr>
        <w:t xml:space="preserve">With close to half of the patients not being assessed by PSG at the </w:t>
      </w:r>
      <w:proofErr w:type="gramStart"/>
      <w:r w:rsidRPr="007B10A2">
        <w:rPr>
          <w:iCs/>
        </w:rPr>
        <w:t>5 year</w:t>
      </w:r>
      <w:proofErr w:type="gramEnd"/>
      <w:r w:rsidRPr="007B10A2">
        <w:rPr>
          <w:iCs/>
        </w:rPr>
        <w:t xml:space="preserve"> time point, this raises questions about the assessment of the longer-term safety and effectiveness of the device.</w:t>
      </w:r>
    </w:p>
    <w:p w14:paraId="1A5E0AF0" w14:textId="1F73B5B8" w:rsidR="007B10A2" w:rsidRDefault="007B10A2" w:rsidP="007B10A2">
      <w:pPr>
        <w:tabs>
          <w:tab w:val="left" w:pos="720"/>
          <w:tab w:val="left" w:pos="1140"/>
        </w:tabs>
        <w:spacing w:after="240"/>
        <w:rPr>
          <w:color w:val="3366FF"/>
          <w:szCs w:val="24"/>
        </w:rPr>
      </w:pPr>
      <w:r w:rsidRPr="00817746">
        <w:rPr>
          <w:szCs w:val="24"/>
        </w:rPr>
        <w:t xml:space="preserve">Furthermore, the commentary considered that the ADAR literature searches were not satisfactory. While the searches identified the key safety and effectiveness studies, the commentary noted that </w:t>
      </w:r>
      <w:proofErr w:type="gramStart"/>
      <w:r w:rsidRPr="00817746">
        <w:rPr>
          <w:szCs w:val="24"/>
        </w:rPr>
        <w:t>10 relevant papers were not identified by the ADAR</w:t>
      </w:r>
      <w:proofErr w:type="gramEnd"/>
      <w:r w:rsidRPr="00817746">
        <w:rPr>
          <w:szCs w:val="24"/>
        </w:rPr>
        <w:t xml:space="preserve"> and 2 papers were excluded that should not have been excluded.</w:t>
      </w:r>
      <w:r>
        <w:rPr>
          <w:szCs w:val="24"/>
        </w:rPr>
        <w:t xml:space="preserve"> However, in the pre-ESC response, the applicant considered that none of these studies </w:t>
      </w:r>
      <w:proofErr w:type="gramStart"/>
      <w:r>
        <w:rPr>
          <w:szCs w:val="24"/>
        </w:rPr>
        <w:t>were</w:t>
      </w:r>
      <w:proofErr w:type="gramEnd"/>
      <w:r>
        <w:rPr>
          <w:szCs w:val="24"/>
        </w:rPr>
        <w:t xml:space="preserve"> suitable for inclusion.</w:t>
      </w:r>
    </w:p>
    <w:p w14:paraId="24D64BB1" w14:textId="77777777" w:rsidR="007B10A2" w:rsidRDefault="007B10A2" w:rsidP="007B10A2">
      <w:pPr>
        <w:pStyle w:val="Heading2"/>
      </w:pPr>
      <w:r>
        <w:t>Closed loop UAS vs. Medical management strategies</w:t>
      </w:r>
    </w:p>
    <w:p w14:paraId="7D4C7BEB" w14:textId="6899277B" w:rsidR="00B05427" w:rsidRPr="00B05427" w:rsidRDefault="007B10A2" w:rsidP="00B05427">
      <w:pPr>
        <w:spacing w:after="240"/>
      </w:pPr>
      <w:r>
        <w:t xml:space="preserve">There were no comparative safety results available, as the STAR study was a single arm interventional study in which all patients </w:t>
      </w:r>
      <w:proofErr w:type="gramStart"/>
      <w:r>
        <w:t>were treated</w:t>
      </w:r>
      <w:proofErr w:type="gramEnd"/>
      <w:r>
        <w:t xml:space="preserve"> with closed loop UAS therapy. The ADAR stated that </w:t>
      </w:r>
      <w:r w:rsidRPr="00CA4A73">
        <w:t xml:space="preserve">all adverse events </w:t>
      </w:r>
      <w:r w:rsidRPr="00F26F77">
        <w:t>(</w:t>
      </w:r>
      <w:r w:rsidRPr="00F26F77">
        <w:rPr>
          <w:iCs/>
        </w:rPr>
        <w:t xml:space="preserve">AEs) </w:t>
      </w:r>
      <w:r w:rsidRPr="00CA4A73">
        <w:t xml:space="preserve">occurred following the intervention. </w:t>
      </w:r>
      <w:r>
        <w:t xml:space="preserve">The number of events and number and proportion of patients with </w:t>
      </w:r>
      <w:r w:rsidRPr="00F26F77">
        <w:rPr>
          <w:iCs/>
        </w:rPr>
        <w:t xml:space="preserve">AEs </w:t>
      </w:r>
      <w:r>
        <w:t xml:space="preserve">sourced from the </w:t>
      </w:r>
      <w:proofErr w:type="spellStart"/>
      <w:r>
        <w:t>Strollo</w:t>
      </w:r>
      <w:proofErr w:type="spellEnd"/>
      <w:r>
        <w:t xml:space="preserve"> (2014) publication, summarising AEs at the </w:t>
      </w:r>
      <w:proofErr w:type="gramStart"/>
      <w:r>
        <w:t>12 month</w:t>
      </w:r>
      <w:proofErr w:type="gramEnd"/>
      <w:r>
        <w:t xml:space="preserve"> time point of the STAR study are provided </w:t>
      </w:r>
      <w:r>
        <w:fldChar w:fldCharType="begin"/>
      </w:r>
      <w:r>
        <w:instrText xml:space="preserve"> REF _Ref51587356 \h </w:instrText>
      </w:r>
      <w:r>
        <w:fldChar w:fldCharType="separate"/>
      </w:r>
      <w:r w:rsidR="00D007E1">
        <w:t xml:space="preserve">Table </w:t>
      </w:r>
      <w:r w:rsidR="00D007E1">
        <w:rPr>
          <w:noProof/>
        </w:rPr>
        <w:t>7</w:t>
      </w:r>
      <w:r>
        <w:fldChar w:fldCharType="end"/>
      </w:r>
      <w:r>
        <w:t xml:space="preserve">. </w:t>
      </w:r>
      <w:r w:rsidRPr="00F26F77">
        <w:rPr>
          <w:iCs/>
        </w:rPr>
        <w:t xml:space="preserve">The commentary noted that the ADAR did not indicate if an attempt </w:t>
      </w:r>
      <w:proofErr w:type="gramStart"/>
      <w:r w:rsidRPr="00F26F77">
        <w:rPr>
          <w:iCs/>
        </w:rPr>
        <w:t>was made</w:t>
      </w:r>
      <w:proofErr w:type="gramEnd"/>
      <w:r w:rsidRPr="00F26F77">
        <w:rPr>
          <w:iCs/>
        </w:rPr>
        <w:t xml:space="preserve"> to find any published data reporting </w:t>
      </w:r>
      <w:r>
        <w:rPr>
          <w:iCs/>
        </w:rPr>
        <w:t xml:space="preserve">AEs </w:t>
      </w:r>
      <w:r w:rsidRPr="00F26F77">
        <w:rPr>
          <w:iCs/>
        </w:rPr>
        <w:t>in MMS patients.</w:t>
      </w:r>
      <w:bookmarkStart w:id="12" w:name="_Ref51587356"/>
      <w:r w:rsidR="00B05427">
        <w:br w:type="page"/>
      </w:r>
    </w:p>
    <w:p w14:paraId="63F2DFC5" w14:textId="4D136D14" w:rsidR="007B10A2" w:rsidRPr="00875ED2" w:rsidRDefault="007B10A2" w:rsidP="00875ED2">
      <w:pPr>
        <w:rPr>
          <w:rFonts w:ascii="Arial Narrow" w:hAnsi="Arial Narrow"/>
          <w:b/>
          <w:sz w:val="20"/>
        </w:rPr>
      </w:pPr>
      <w:r w:rsidRPr="00875ED2">
        <w:rPr>
          <w:rFonts w:ascii="Arial Narrow" w:hAnsi="Arial Narrow"/>
          <w:b/>
          <w:sz w:val="20"/>
        </w:rPr>
        <w:lastRenderedPageBreak/>
        <w:t xml:space="preserve">Table </w:t>
      </w:r>
      <w:r w:rsidRPr="00875ED2">
        <w:rPr>
          <w:rFonts w:ascii="Arial Narrow" w:hAnsi="Arial Narrow"/>
          <w:b/>
          <w:sz w:val="20"/>
        </w:rPr>
        <w:fldChar w:fldCharType="begin"/>
      </w:r>
      <w:r w:rsidRPr="00875ED2">
        <w:rPr>
          <w:rFonts w:ascii="Arial Narrow" w:hAnsi="Arial Narrow"/>
          <w:b/>
          <w:sz w:val="20"/>
        </w:rPr>
        <w:instrText xml:space="preserve"> SEQ Table \* ARABIC </w:instrText>
      </w:r>
      <w:r w:rsidRPr="00875ED2">
        <w:rPr>
          <w:rFonts w:ascii="Arial Narrow" w:hAnsi="Arial Narrow"/>
          <w:b/>
          <w:sz w:val="20"/>
        </w:rPr>
        <w:fldChar w:fldCharType="separate"/>
      </w:r>
      <w:r w:rsidR="00D007E1" w:rsidRPr="00875ED2">
        <w:rPr>
          <w:rFonts w:ascii="Arial Narrow" w:hAnsi="Arial Narrow"/>
          <w:b/>
          <w:sz w:val="20"/>
        </w:rPr>
        <w:t>7</w:t>
      </w:r>
      <w:r w:rsidRPr="00875ED2">
        <w:rPr>
          <w:rFonts w:ascii="Arial Narrow" w:hAnsi="Arial Narrow"/>
          <w:b/>
          <w:sz w:val="20"/>
        </w:rPr>
        <w:fldChar w:fldCharType="end"/>
      </w:r>
      <w:bookmarkEnd w:id="12"/>
      <w:r w:rsidRPr="00875ED2">
        <w:rPr>
          <w:rFonts w:ascii="Arial Narrow" w:hAnsi="Arial Narrow"/>
          <w:b/>
          <w:sz w:val="20"/>
        </w:rPr>
        <w:tab/>
        <w:t>Summary of adverse events at 12 months in the STAR study (patients treated with UAS)</w:t>
      </w:r>
    </w:p>
    <w:tbl>
      <w:tblPr>
        <w:tblStyle w:val="TableGrid"/>
        <w:tblW w:w="9072" w:type="dxa"/>
        <w:tblInd w:w="-5" w:type="dxa"/>
        <w:tblLook w:val="04A0" w:firstRow="1" w:lastRow="0" w:firstColumn="1" w:lastColumn="0" w:noHBand="0" w:noVBand="1"/>
        <w:tblCaption w:val="Table 7  Summary of adverse events at 12 months in the STAR study (patients treated with UAS)"/>
        <w:tblDescription w:val="This table provides a summary of the adverse events observed in the STAR trial."/>
      </w:tblPr>
      <w:tblGrid>
        <w:gridCol w:w="4111"/>
        <w:gridCol w:w="1843"/>
        <w:gridCol w:w="637"/>
        <w:gridCol w:w="2481"/>
      </w:tblGrid>
      <w:tr w:rsidR="007B10A2" w14:paraId="6F54A2A7" w14:textId="77777777" w:rsidTr="007B10A2">
        <w:trPr>
          <w:tblHeader/>
        </w:trPr>
        <w:tc>
          <w:tcPr>
            <w:tcW w:w="4111" w:type="dxa"/>
            <w:vMerge w:val="restart"/>
            <w:vAlign w:val="center"/>
          </w:tcPr>
          <w:p w14:paraId="777F7848" w14:textId="77777777" w:rsidR="007B10A2" w:rsidRDefault="007B10A2" w:rsidP="007B10A2">
            <w:pPr>
              <w:pStyle w:val="Tabletextboldleft"/>
              <w:spacing w:before="40" w:after="40"/>
            </w:pPr>
            <w:r>
              <w:t>Adverse event</w:t>
            </w:r>
          </w:p>
        </w:tc>
        <w:tc>
          <w:tcPr>
            <w:tcW w:w="2480" w:type="dxa"/>
            <w:gridSpan w:val="2"/>
            <w:tcBorders>
              <w:right w:val="nil"/>
            </w:tcBorders>
            <w:vAlign w:val="center"/>
          </w:tcPr>
          <w:p w14:paraId="70365BB0" w14:textId="77777777" w:rsidR="007B10A2" w:rsidRDefault="007B10A2" w:rsidP="007B10A2">
            <w:pPr>
              <w:pStyle w:val="Tabletextboldleft"/>
              <w:spacing w:before="40" w:after="40"/>
              <w:jc w:val="center"/>
            </w:pPr>
            <w:r>
              <w:t xml:space="preserve">Closed loop UAS </w:t>
            </w:r>
          </w:p>
        </w:tc>
        <w:tc>
          <w:tcPr>
            <w:tcW w:w="2481" w:type="dxa"/>
            <w:tcBorders>
              <w:left w:val="nil"/>
            </w:tcBorders>
            <w:vAlign w:val="center"/>
          </w:tcPr>
          <w:p w14:paraId="706860C0" w14:textId="77777777" w:rsidR="007B10A2" w:rsidRDefault="007B10A2" w:rsidP="007B10A2">
            <w:pPr>
              <w:pStyle w:val="Tabletextboldleft"/>
              <w:spacing w:before="40" w:after="40"/>
            </w:pPr>
            <w:r>
              <w:t>(N=126)</w:t>
            </w:r>
          </w:p>
        </w:tc>
      </w:tr>
      <w:tr w:rsidR="007B10A2" w14:paraId="79A2ACC1" w14:textId="77777777" w:rsidTr="007B10A2">
        <w:trPr>
          <w:tblHeader/>
        </w:trPr>
        <w:tc>
          <w:tcPr>
            <w:tcW w:w="4111" w:type="dxa"/>
            <w:vMerge/>
            <w:vAlign w:val="center"/>
          </w:tcPr>
          <w:p w14:paraId="1CF0D915" w14:textId="77777777" w:rsidR="007B10A2" w:rsidRDefault="007B10A2" w:rsidP="007B10A2">
            <w:pPr>
              <w:pStyle w:val="Tabletextboldleft"/>
              <w:spacing w:before="40" w:after="40"/>
            </w:pPr>
          </w:p>
        </w:tc>
        <w:tc>
          <w:tcPr>
            <w:tcW w:w="1843" w:type="dxa"/>
            <w:vAlign w:val="center"/>
          </w:tcPr>
          <w:p w14:paraId="5EC4AA35" w14:textId="77777777" w:rsidR="007B10A2" w:rsidRDefault="007B10A2" w:rsidP="007B10A2">
            <w:pPr>
              <w:pStyle w:val="Tabletextboldleft"/>
              <w:spacing w:before="40" w:after="40"/>
              <w:jc w:val="center"/>
            </w:pPr>
            <w:r>
              <w:t>Number of events</w:t>
            </w:r>
          </w:p>
        </w:tc>
        <w:tc>
          <w:tcPr>
            <w:tcW w:w="3118" w:type="dxa"/>
            <w:gridSpan w:val="2"/>
            <w:vAlign w:val="center"/>
          </w:tcPr>
          <w:p w14:paraId="39C29A35" w14:textId="77777777" w:rsidR="007B10A2" w:rsidRDefault="007B10A2" w:rsidP="007B10A2">
            <w:pPr>
              <w:pStyle w:val="Tabletextboldleft"/>
              <w:spacing w:before="40" w:after="40"/>
              <w:jc w:val="center"/>
            </w:pPr>
            <w:r>
              <w:t>Number of patients with event</w:t>
            </w:r>
          </w:p>
        </w:tc>
      </w:tr>
      <w:tr w:rsidR="007B10A2" w:rsidRPr="00082FA3" w14:paraId="3250D0B9" w14:textId="77777777" w:rsidTr="007B10A2">
        <w:tc>
          <w:tcPr>
            <w:tcW w:w="4111" w:type="dxa"/>
          </w:tcPr>
          <w:p w14:paraId="70CA6F95" w14:textId="77777777" w:rsidR="007B10A2" w:rsidRDefault="007B10A2" w:rsidP="007B10A2">
            <w:pPr>
              <w:spacing w:before="40" w:after="40"/>
              <w:rPr>
                <w:rFonts w:ascii="Arial Narrow" w:hAnsi="Arial Narrow"/>
                <w:sz w:val="20"/>
              </w:rPr>
            </w:pPr>
            <w:r w:rsidRPr="007564C1">
              <w:rPr>
                <w:rFonts w:ascii="Arial Narrow" w:hAnsi="Arial Narrow"/>
                <w:b/>
                <w:bCs/>
                <w:sz w:val="20"/>
              </w:rPr>
              <w:t>Serious AE</w:t>
            </w:r>
          </w:p>
        </w:tc>
        <w:tc>
          <w:tcPr>
            <w:tcW w:w="1843" w:type="dxa"/>
          </w:tcPr>
          <w:p w14:paraId="2127908E"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35</w:t>
            </w:r>
          </w:p>
        </w:tc>
        <w:tc>
          <w:tcPr>
            <w:tcW w:w="3118" w:type="dxa"/>
            <w:gridSpan w:val="2"/>
          </w:tcPr>
          <w:p w14:paraId="05E160F2"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27 (21%)</w:t>
            </w:r>
          </w:p>
        </w:tc>
      </w:tr>
      <w:tr w:rsidR="007B10A2" w:rsidRPr="00082FA3" w14:paraId="6B92837F" w14:textId="77777777" w:rsidTr="007B10A2">
        <w:tc>
          <w:tcPr>
            <w:tcW w:w="4111" w:type="dxa"/>
          </w:tcPr>
          <w:p w14:paraId="61641482" w14:textId="77777777" w:rsidR="007B10A2" w:rsidRPr="00082FA3" w:rsidRDefault="007B10A2" w:rsidP="007B10A2">
            <w:pPr>
              <w:spacing w:before="40" w:after="40"/>
              <w:rPr>
                <w:rFonts w:ascii="Arial Narrow" w:hAnsi="Arial Narrow"/>
                <w:sz w:val="20"/>
              </w:rPr>
            </w:pPr>
            <w:r>
              <w:rPr>
                <w:rFonts w:ascii="Arial Narrow" w:hAnsi="Arial Narrow"/>
                <w:sz w:val="20"/>
              </w:rPr>
              <w:t>Device – revision</w:t>
            </w:r>
          </w:p>
        </w:tc>
        <w:tc>
          <w:tcPr>
            <w:tcW w:w="1843" w:type="dxa"/>
          </w:tcPr>
          <w:p w14:paraId="5773AE1F"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2</w:t>
            </w:r>
          </w:p>
        </w:tc>
        <w:tc>
          <w:tcPr>
            <w:tcW w:w="3118" w:type="dxa"/>
            <w:gridSpan w:val="2"/>
          </w:tcPr>
          <w:p w14:paraId="0BEBAE83"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2 (2%)</w:t>
            </w:r>
          </w:p>
        </w:tc>
      </w:tr>
      <w:tr w:rsidR="007B10A2" w:rsidRPr="00082FA3" w14:paraId="3C600012" w14:textId="77777777" w:rsidTr="007B10A2">
        <w:tc>
          <w:tcPr>
            <w:tcW w:w="4111" w:type="dxa"/>
          </w:tcPr>
          <w:p w14:paraId="6ECB89E8" w14:textId="77777777" w:rsidR="007B10A2" w:rsidRPr="00082FA3" w:rsidRDefault="007B10A2" w:rsidP="007B10A2">
            <w:pPr>
              <w:spacing w:before="40" w:after="40"/>
              <w:rPr>
                <w:rFonts w:ascii="Arial Narrow" w:hAnsi="Arial Narrow"/>
                <w:sz w:val="20"/>
              </w:rPr>
            </w:pPr>
            <w:r>
              <w:rPr>
                <w:rFonts w:ascii="Arial Narrow" w:hAnsi="Arial Narrow"/>
                <w:sz w:val="20"/>
              </w:rPr>
              <w:t>Death, unrelated</w:t>
            </w:r>
          </w:p>
        </w:tc>
        <w:tc>
          <w:tcPr>
            <w:tcW w:w="1843" w:type="dxa"/>
          </w:tcPr>
          <w:p w14:paraId="11768358"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2</w:t>
            </w:r>
          </w:p>
        </w:tc>
        <w:tc>
          <w:tcPr>
            <w:tcW w:w="3118" w:type="dxa"/>
            <w:gridSpan w:val="2"/>
          </w:tcPr>
          <w:p w14:paraId="0A997667"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2 (2%)</w:t>
            </w:r>
          </w:p>
        </w:tc>
      </w:tr>
      <w:tr w:rsidR="007B10A2" w:rsidRPr="00082FA3" w14:paraId="4947EB98" w14:textId="77777777" w:rsidTr="007B10A2">
        <w:tc>
          <w:tcPr>
            <w:tcW w:w="4111" w:type="dxa"/>
          </w:tcPr>
          <w:p w14:paraId="49EF8449" w14:textId="77777777" w:rsidR="007B10A2" w:rsidRPr="00082FA3" w:rsidRDefault="007B10A2" w:rsidP="007B10A2">
            <w:pPr>
              <w:spacing w:before="40" w:after="40"/>
              <w:rPr>
                <w:rFonts w:ascii="Arial Narrow" w:hAnsi="Arial Narrow"/>
                <w:sz w:val="20"/>
              </w:rPr>
            </w:pPr>
            <w:r>
              <w:rPr>
                <w:rFonts w:ascii="Arial Narrow" w:hAnsi="Arial Narrow"/>
                <w:sz w:val="20"/>
              </w:rPr>
              <w:t xml:space="preserve">Other </w:t>
            </w:r>
            <w:proofErr w:type="spellStart"/>
            <w:r>
              <w:rPr>
                <w:rFonts w:ascii="Arial Narrow" w:hAnsi="Arial Narrow"/>
                <w:sz w:val="20"/>
              </w:rPr>
              <w:t>unrelated</w:t>
            </w:r>
            <w:r w:rsidRPr="0029208D">
              <w:rPr>
                <w:rFonts w:ascii="Arial Narrow" w:hAnsi="Arial Narrow"/>
                <w:sz w:val="20"/>
                <w:vertAlign w:val="superscript"/>
              </w:rPr>
              <w:t>a</w:t>
            </w:r>
            <w:proofErr w:type="spellEnd"/>
          </w:p>
        </w:tc>
        <w:tc>
          <w:tcPr>
            <w:tcW w:w="1843" w:type="dxa"/>
          </w:tcPr>
          <w:p w14:paraId="04B2C4E2"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31</w:t>
            </w:r>
          </w:p>
        </w:tc>
        <w:tc>
          <w:tcPr>
            <w:tcW w:w="3118" w:type="dxa"/>
            <w:gridSpan w:val="2"/>
          </w:tcPr>
          <w:p w14:paraId="5937B5D7"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23 (18%)</w:t>
            </w:r>
          </w:p>
        </w:tc>
      </w:tr>
      <w:tr w:rsidR="007B10A2" w:rsidRPr="00082FA3" w14:paraId="65CBACAA" w14:textId="77777777" w:rsidTr="007B10A2">
        <w:tc>
          <w:tcPr>
            <w:tcW w:w="4111" w:type="dxa"/>
          </w:tcPr>
          <w:p w14:paraId="67261509" w14:textId="77777777" w:rsidR="007B10A2" w:rsidRDefault="007B10A2" w:rsidP="007B10A2">
            <w:pPr>
              <w:spacing w:before="40" w:after="40"/>
              <w:rPr>
                <w:rFonts w:ascii="Arial Narrow" w:hAnsi="Arial Narrow"/>
                <w:sz w:val="20"/>
              </w:rPr>
            </w:pPr>
            <w:r w:rsidRPr="007564C1">
              <w:rPr>
                <w:rFonts w:ascii="Arial Narrow" w:hAnsi="Arial Narrow"/>
                <w:b/>
                <w:bCs/>
                <w:sz w:val="20"/>
              </w:rPr>
              <w:t>Procedure-related non-serious AE</w:t>
            </w:r>
          </w:p>
        </w:tc>
        <w:tc>
          <w:tcPr>
            <w:tcW w:w="1843" w:type="dxa"/>
          </w:tcPr>
          <w:p w14:paraId="3B01ECE9"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165</w:t>
            </w:r>
          </w:p>
        </w:tc>
        <w:tc>
          <w:tcPr>
            <w:tcW w:w="3118" w:type="dxa"/>
            <w:gridSpan w:val="2"/>
          </w:tcPr>
          <w:p w14:paraId="53EA7D09"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72 (57%)</w:t>
            </w:r>
          </w:p>
        </w:tc>
      </w:tr>
      <w:tr w:rsidR="007B10A2" w:rsidRPr="00082FA3" w14:paraId="11B7F21C" w14:textId="77777777" w:rsidTr="007B10A2">
        <w:tc>
          <w:tcPr>
            <w:tcW w:w="4111" w:type="dxa"/>
          </w:tcPr>
          <w:p w14:paraId="51ABF343" w14:textId="77777777" w:rsidR="007B10A2" w:rsidRPr="00082FA3" w:rsidRDefault="007B10A2" w:rsidP="007B10A2">
            <w:pPr>
              <w:spacing w:before="40" w:after="40"/>
              <w:rPr>
                <w:rFonts w:ascii="Arial Narrow" w:hAnsi="Arial Narrow"/>
                <w:sz w:val="20"/>
              </w:rPr>
            </w:pPr>
            <w:r>
              <w:rPr>
                <w:rFonts w:ascii="Arial Narrow" w:hAnsi="Arial Narrow"/>
                <w:sz w:val="20"/>
              </w:rPr>
              <w:t>Post-op discomfort related to incisions</w:t>
            </w:r>
          </w:p>
        </w:tc>
        <w:tc>
          <w:tcPr>
            <w:tcW w:w="1843" w:type="dxa"/>
          </w:tcPr>
          <w:p w14:paraId="4CA034B2"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46</w:t>
            </w:r>
          </w:p>
        </w:tc>
        <w:tc>
          <w:tcPr>
            <w:tcW w:w="3118" w:type="dxa"/>
            <w:gridSpan w:val="2"/>
          </w:tcPr>
          <w:p w14:paraId="391264F6"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33 (26%)</w:t>
            </w:r>
          </w:p>
        </w:tc>
      </w:tr>
      <w:tr w:rsidR="007B10A2" w:rsidRPr="00082FA3" w14:paraId="70BDF35A" w14:textId="77777777" w:rsidTr="007B10A2">
        <w:tc>
          <w:tcPr>
            <w:tcW w:w="4111" w:type="dxa"/>
          </w:tcPr>
          <w:p w14:paraId="58CFCD40" w14:textId="77777777" w:rsidR="007B10A2" w:rsidRPr="00082FA3" w:rsidRDefault="007B10A2" w:rsidP="007B10A2">
            <w:pPr>
              <w:spacing w:before="40" w:after="40"/>
              <w:rPr>
                <w:rFonts w:ascii="Arial Narrow" w:hAnsi="Arial Narrow"/>
                <w:sz w:val="20"/>
              </w:rPr>
            </w:pPr>
            <w:r>
              <w:rPr>
                <w:rFonts w:ascii="Arial Narrow" w:hAnsi="Arial Narrow"/>
                <w:sz w:val="20"/>
              </w:rPr>
              <w:t>Post-op discomfort not related to incisions</w:t>
            </w:r>
          </w:p>
        </w:tc>
        <w:tc>
          <w:tcPr>
            <w:tcW w:w="1843" w:type="dxa"/>
          </w:tcPr>
          <w:p w14:paraId="3701E91E"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39</w:t>
            </w:r>
          </w:p>
        </w:tc>
        <w:tc>
          <w:tcPr>
            <w:tcW w:w="3118" w:type="dxa"/>
            <w:gridSpan w:val="2"/>
          </w:tcPr>
          <w:p w14:paraId="5F58E7B5"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31 (25%)</w:t>
            </w:r>
          </w:p>
        </w:tc>
      </w:tr>
      <w:tr w:rsidR="007B10A2" w:rsidRPr="00082FA3" w14:paraId="39613C86" w14:textId="77777777" w:rsidTr="007B10A2">
        <w:tc>
          <w:tcPr>
            <w:tcW w:w="4111" w:type="dxa"/>
          </w:tcPr>
          <w:p w14:paraId="422DB36A" w14:textId="77777777" w:rsidR="007B10A2" w:rsidRPr="00082FA3" w:rsidRDefault="007B10A2" w:rsidP="007B10A2">
            <w:pPr>
              <w:spacing w:before="40" w:after="40"/>
              <w:rPr>
                <w:rFonts w:ascii="Arial Narrow" w:hAnsi="Arial Narrow"/>
                <w:sz w:val="20"/>
              </w:rPr>
            </w:pPr>
            <w:r>
              <w:rPr>
                <w:rFonts w:ascii="Arial Narrow" w:hAnsi="Arial Narrow"/>
                <w:sz w:val="20"/>
              </w:rPr>
              <w:t>Temporary tongue weakness</w:t>
            </w:r>
          </w:p>
        </w:tc>
        <w:tc>
          <w:tcPr>
            <w:tcW w:w="1843" w:type="dxa"/>
          </w:tcPr>
          <w:p w14:paraId="6E48BCC0"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35</w:t>
            </w:r>
          </w:p>
        </w:tc>
        <w:tc>
          <w:tcPr>
            <w:tcW w:w="3118" w:type="dxa"/>
            <w:gridSpan w:val="2"/>
          </w:tcPr>
          <w:p w14:paraId="777E0A62"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23 (18%)</w:t>
            </w:r>
          </w:p>
        </w:tc>
      </w:tr>
      <w:tr w:rsidR="007B10A2" w:rsidRPr="00082FA3" w14:paraId="3A4F5D5C" w14:textId="77777777" w:rsidTr="007B10A2">
        <w:tc>
          <w:tcPr>
            <w:tcW w:w="4111" w:type="dxa"/>
          </w:tcPr>
          <w:p w14:paraId="625BC24F" w14:textId="77777777" w:rsidR="007B10A2" w:rsidRPr="00082FA3" w:rsidRDefault="007B10A2" w:rsidP="007B10A2">
            <w:pPr>
              <w:spacing w:before="40" w:after="40"/>
              <w:rPr>
                <w:rFonts w:ascii="Arial Narrow" w:hAnsi="Arial Narrow"/>
                <w:sz w:val="20"/>
              </w:rPr>
            </w:pPr>
            <w:r>
              <w:rPr>
                <w:rFonts w:ascii="Arial Narrow" w:hAnsi="Arial Narrow"/>
                <w:sz w:val="20"/>
              </w:rPr>
              <w:t>Intubation effects</w:t>
            </w:r>
          </w:p>
        </w:tc>
        <w:tc>
          <w:tcPr>
            <w:tcW w:w="1843" w:type="dxa"/>
          </w:tcPr>
          <w:p w14:paraId="753A4489"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18</w:t>
            </w:r>
          </w:p>
        </w:tc>
        <w:tc>
          <w:tcPr>
            <w:tcW w:w="3118" w:type="dxa"/>
            <w:gridSpan w:val="2"/>
          </w:tcPr>
          <w:p w14:paraId="576434ED"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15 (12%)</w:t>
            </w:r>
          </w:p>
        </w:tc>
      </w:tr>
      <w:tr w:rsidR="007B10A2" w:rsidRPr="00082FA3" w14:paraId="4E849CB0" w14:textId="77777777" w:rsidTr="007B10A2">
        <w:tc>
          <w:tcPr>
            <w:tcW w:w="4111" w:type="dxa"/>
          </w:tcPr>
          <w:p w14:paraId="11BD7687" w14:textId="77777777" w:rsidR="007B10A2" w:rsidRPr="00082FA3" w:rsidRDefault="007B10A2" w:rsidP="007B10A2">
            <w:pPr>
              <w:spacing w:before="40" w:after="40"/>
              <w:rPr>
                <w:rFonts w:ascii="Arial Narrow" w:hAnsi="Arial Narrow"/>
                <w:sz w:val="20"/>
              </w:rPr>
            </w:pPr>
            <w:r>
              <w:rPr>
                <w:rFonts w:ascii="Arial Narrow" w:hAnsi="Arial Narrow"/>
                <w:sz w:val="20"/>
              </w:rPr>
              <w:t>Headache</w:t>
            </w:r>
          </w:p>
        </w:tc>
        <w:tc>
          <w:tcPr>
            <w:tcW w:w="1843" w:type="dxa"/>
          </w:tcPr>
          <w:p w14:paraId="2C78E64C"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8</w:t>
            </w:r>
          </w:p>
        </w:tc>
        <w:tc>
          <w:tcPr>
            <w:tcW w:w="3118" w:type="dxa"/>
            <w:gridSpan w:val="2"/>
          </w:tcPr>
          <w:p w14:paraId="3527AF80"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8 (6%)</w:t>
            </w:r>
          </w:p>
        </w:tc>
      </w:tr>
      <w:tr w:rsidR="007B10A2" w:rsidRPr="00082FA3" w14:paraId="4AC6465E" w14:textId="77777777" w:rsidTr="007B10A2">
        <w:tc>
          <w:tcPr>
            <w:tcW w:w="4111" w:type="dxa"/>
          </w:tcPr>
          <w:p w14:paraId="507BE7F3" w14:textId="77777777" w:rsidR="007B10A2" w:rsidRPr="00082FA3" w:rsidRDefault="007B10A2" w:rsidP="007B10A2">
            <w:pPr>
              <w:spacing w:before="40" w:after="40"/>
              <w:rPr>
                <w:rFonts w:ascii="Arial Narrow" w:hAnsi="Arial Narrow"/>
                <w:sz w:val="20"/>
              </w:rPr>
            </w:pPr>
            <w:r>
              <w:rPr>
                <w:rFonts w:ascii="Arial Narrow" w:hAnsi="Arial Narrow"/>
                <w:sz w:val="20"/>
              </w:rPr>
              <w:t>Other post-op symptoms</w:t>
            </w:r>
          </w:p>
        </w:tc>
        <w:tc>
          <w:tcPr>
            <w:tcW w:w="1843" w:type="dxa"/>
          </w:tcPr>
          <w:p w14:paraId="3C7E3137"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22</w:t>
            </w:r>
          </w:p>
        </w:tc>
        <w:tc>
          <w:tcPr>
            <w:tcW w:w="3118" w:type="dxa"/>
            <w:gridSpan w:val="2"/>
          </w:tcPr>
          <w:p w14:paraId="5032DFF3"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14 (11%)</w:t>
            </w:r>
          </w:p>
        </w:tc>
      </w:tr>
      <w:tr w:rsidR="007B10A2" w:rsidRPr="00082FA3" w14:paraId="7349067F" w14:textId="77777777" w:rsidTr="007B10A2">
        <w:tc>
          <w:tcPr>
            <w:tcW w:w="4111" w:type="dxa"/>
          </w:tcPr>
          <w:p w14:paraId="33865CDD" w14:textId="77777777" w:rsidR="007B10A2" w:rsidRPr="00082FA3" w:rsidRDefault="007B10A2" w:rsidP="007B10A2">
            <w:pPr>
              <w:spacing w:before="40" w:after="40"/>
              <w:rPr>
                <w:rFonts w:ascii="Arial Narrow" w:hAnsi="Arial Narrow"/>
                <w:sz w:val="20"/>
              </w:rPr>
            </w:pPr>
            <w:r>
              <w:rPr>
                <w:rFonts w:ascii="Arial Narrow" w:hAnsi="Arial Narrow"/>
                <w:sz w:val="20"/>
              </w:rPr>
              <w:t>Mild infection</w:t>
            </w:r>
          </w:p>
        </w:tc>
        <w:tc>
          <w:tcPr>
            <w:tcW w:w="1843" w:type="dxa"/>
          </w:tcPr>
          <w:p w14:paraId="44A56686"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1</w:t>
            </w:r>
          </w:p>
        </w:tc>
        <w:tc>
          <w:tcPr>
            <w:tcW w:w="3118" w:type="dxa"/>
            <w:gridSpan w:val="2"/>
          </w:tcPr>
          <w:p w14:paraId="185AED29"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1 (1%)</w:t>
            </w:r>
          </w:p>
        </w:tc>
      </w:tr>
      <w:tr w:rsidR="007B10A2" w:rsidRPr="00082FA3" w14:paraId="288BD451" w14:textId="77777777" w:rsidTr="007B10A2">
        <w:tc>
          <w:tcPr>
            <w:tcW w:w="4111" w:type="dxa"/>
          </w:tcPr>
          <w:p w14:paraId="538B36B6" w14:textId="77777777" w:rsidR="007B10A2" w:rsidRDefault="007B10A2" w:rsidP="007B10A2">
            <w:pPr>
              <w:spacing w:before="40" w:after="40"/>
              <w:rPr>
                <w:rFonts w:ascii="Arial Narrow" w:hAnsi="Arial Narrow"/>
                <w:sz w:val="20"/>
              </w:rPr>
            </w:pPr>
            <w:r w:rsidRPr="007564C1">
              <w:rPr>
                <w:rFonts w:ascii="Arial Narrow" w:hAnsi="Arial Narrow"/>
                <w:b/>
                <w:bCs/>
                <w:sz w:val="20"/>
              </w:rPr>
              <w:t>Device-related non-serious AE</w:t>
            </w:r>
          </w:p>
        </w:tc>
        <w:tc>
          <w:tcPr>
            <w:tcW w:w="1843" w:type="dxa"/>
          </w:tcPr>
          <w:p w14:paraId="1EBED8A2"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190</w:t>
            </w:r>
          </w:p>
        </w:tc>
        <w:tc>
          <w:tcPr>
            <w:tcW w:w="3118" w:type="dxa"/>
            <w:gridSpan w:val="2"/>
          </w:tcPr>
          <w:p w14:paraId="1A8983A3"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85 (67%)</w:t>
            </w:r>
          </w:p>
        </w:tc>
      </w:tr>
      <w:tr w:rsidR="007B10A2" w:rsidRPr="00082FA3" w14:paraId="3BEEDC29" w14:textId="77777777" w:rsidTr="007B10A2">
        <w:tc>
          <w:tcPr>
            <w:tcW w:w="4111" w:type="dxa"/>
          </w:tcPr>
          <w:p w14:paraId="175CE193" w14:textId="77777777" w:rsidR="007B10A2" w:rsidRPr="00082FA3" w:rsidRDefault="007B10A2" w:rsidP="007B10A2">
            <w:pPr>
              <w:spacing w:before="40" w:after="40"/>
              <w:rPr>
                <w:rFonts w:ascii="Arial Narrow" w:hAnsi="Arial Narrow"/>
                <w:sz w:val="20"/>
              </w:rPr>
            </w:pPr>
            <w:r>
              <w:rPr>
                <w:rFonts w:ascii="Arial Narrow" w:hAnsi="Arial Narrow"/>
                <w:sz w:val="20"/>
              </w:rPr>
              <w:t>Discomfort due to electrical stimulation</w:t>
            </w:r>
          </w:p>
        </w:tc>
        <w:tc>
          <w:tcPr>
            <w:tcW w:w="1843" w:type="dxa"/>
          </w:tcPr>
          <w:p w14:paraId="61467614"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80</w:t>
            </w:r>
          </w:p>
        </w:tc>
        <w:tc>
          <w:tcPr>
            <w:tcW w:w="3118" w:type="dxa"/>
            <w:gridSpan w:val="2"/>
          </w:tcPr>
          <w:p w14:paraId="672CC783"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50 (40%)</w:t>
            </w:r>
          </w:p>
        </w:tc>
      </w:tr>
      <w:tr w:rsidR="007B10A2" w:rsidRPr="00082FA3" w14:paraId="770E8982" w14:textId="77777777" w:rsidTr="007B10A2">
        <w:tc>
          <w:tcPr>
            <w:tcW w:w="4111" w:type="dxa"/>
          </w:tcPr>
          <w:p w14:paraId="5580D621" w14:textId="77777777" w:rsidR="007B10A2" w:rsidRPr="00082FA3" w:rsidRDefault="007B10A2" w:rsidP="007B10A2">
            <w:pPr>
              <w:spacing w:before="40" w:after="40"/>
              <w:rPr>
                <w:rFonts w:ascii="Arial Narrow" w:hAnsi="Arial Narrow"/>
                <w:sz w:val="20"/>
              </w:rPr>
            </w:pPr>
            <w:r>
              <w:rPr>
                <w:rFonts w:ascii="Arial Narrow" w:hAnsi="Arial Narrow"/>
                <w:sz w:val="20"/>
              </w:rPr>
              <w:t>Tongue abrasion</w:t>
            </w:r>
          </w:p>
        </w:tc>
        <w:tc>
          <w:tcPr>
            <w:tcW w:w="1843" w:type="dxa"/>
          </w:tcPr>
          <w:p w14:paraId="4AA38388"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33</w:t>
            </w:r>
          </w:p>
        </w:tc>
        <w:tc>
          <w:tcPr>
            <w:tcW w:w="3118" w:type="dxa"/>
            <w:gridSpan w:val="2"/>
          </w:tcPr>
          <w:p w14:paraId="7DF9E68C"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26 (21%)</w:t>
            </w:r>
          </w:p>
        </w:tc>
      </w:tr>
      <w:tr w:rsidR="007B10A2" w:rsidRPr="00082FA3" w14:paraId="6FAF6B11" w14:textId="77777777" w:rsidTr="007B10A2">
        <w:tc>
          <w:tcPr>
            <w:tcW w:w="4111" w:type="dxa"/>
          </w:tcPr>
          <w:p w14:paraId="03BE3BCA" w14:textId="77777777" w:rsidR="007B10A2" w:rsidRPr="00082FA3" w:rsidRDefault="007B10A2" w:rsidP="007B10A2">
            <w:pPr>
              <w:spacing w:before="40" w:after="40"/>
              <w:rPr>
                <w:rFonts w:ascii="Arial Narrow" w:hAnsi="Arial Narrow"/>
                <w:sz w:val="20"/>
              </w:rPr>
            </w:pPr>
            <w:r>
              <w:rPr>
                <w:rFonts w:ascii="Arial Narrow" w:hAnsi="Arial Narrow"/>
                <w:sz w:val="20"/>
              </w:rPr>
              <w:t>Dry mouth</w:t>
            </w:r>
          </w:p>
        </w:tc>
        <w:tc>
          <w:tcPr>
            <w:tcW w:w="1843" w:type="dxa"/>
          </w:tcPr>
          <w:p w14:paraId="340855BA"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13</w:t>
            </w:r>
          </w:p>
        </w:tc>
        <w:tc>
          <w:tcPr>
            <w:tcW w:w="3118" w:type="dxa"/>
            <w:gridSpan w:val="2"/>
          </w:tcPr>
          <w:p w14:paraId="3ECD93E4"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13 (10%)</w:t>
            </w:r>
          </w:p>
        </w:tc>
      </w:tr>
      <w:tr w:rsidR="007B10A2" w:rsidRPr="00082FA3" w14:paraId="5D431B22" w14:textId="77777777" w:rsidTr="007B10A2">
        <w:tc>
          <w:tcPr>
            <w:tcW w:w="4111" w:type="dxa"/>
          </w:tcPr>
          <w:p w14:paraId="37AB51D4" w14:textId="77777777" w:rsidR="007B10A2" w:rsidRDefault="007B10A2" w:rsidP="007B10A2">
            <w:pPr>
              <w:spacing w:before="40" w:after="40"/>
              <w:rPr>
                <w:rFonts w:ascii="Arial Narrow" w:hAnsi="Arial Narrow"/>
                <w:sz w:val="20"/>
              </w:rPr>
            </w:pPr>
            <w:r>
              <w:rPr>
                <w:rFonts w:ascii="Arial Narrow" w:hAnsi="Arial Narrow"/>
                <w:sz w:val="20"/>
              </w:rPr>
              <w:t>Mechanical pain associated with device presence</w:t>
            </w:r>
          </w:p>
        </w:tc>
        <w:tc>
          <w:tcPr>
            <w:tcW w:w="1843" w:type="dxa"/>
          </w:tcPr>
          <w:p w14:paraId="426F0629"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8</w:t>
            </w:r>
          </w:p>
        </w:tc>
        <w:tc>
          <w:tcPr>
            <w:tcW w:w="3118" w:type="dxa"/>
            <w:gridSpan w:val="2"/>
          </w:tcPr>
          <w:p w14:paraId="384C2C0F"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8 (6%)</w:t>
            </w:r>
          </w:p>
        </w:tc>
      </w:tr>
      <w:tr w:rsidR="007B10A2" w:rsidRPr="00082FA3" w14:paraId="04EDF4C5" w14:textId="77777777" w:rsidTr="007B10A2">
        <w:tc>
          <w:tcPr>
            <w:tcW w:w="4111" w:type="dxa"/>
          </w:tcPr>
          <w:p w14:paraId="7274BF77" w14:textId="77777777" w:rsidR="007B10A2" w:rsidRDefault="007B10A2" w:rsidP="007B10A2">
            <w:pPr>
              <w:spacing w:before="40" w:after="40"/>
              <w:rPr>
                <w:rFonts w:ascii="Arial Narrow" w:hAnsi="Arial Narrow"/>
                <w:sz w:val="20"/>
              </w:rPr>
            </w:pPr>
            <w:r>
              <w:rPr>
                <w:rFonts w:ascii="Arial Narrow" w:hAnsi="Arial Narrow"/>
                <w:sz w:val="20"/>
              </w:rPr>
              <w:t>Temporary internal device functionality complaint</w:t>
            </w:r>
          </w:p>
        </w:tc>
        <w:tc>
          <w:tcPr>
            <w:tcW w:w="1843" w:type="dxa"/>
          </w:tcPr>
          <w:p w14:paraId="03E22973"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14</w:t>
            </w:r>
          </w:p>
        </w:tc>
        <w:tc>
          <w:tcPr>
            <w:tcW w:w="3118" w:type="dxa"/>
            <w:gridSpan w:val="2"/>
          </w:tcPr>
          <w:p w14:paraId="165CE5F0"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12 (10%)</w:t>
            </w:r>
          </w:p>
        </w:tc>
      </w:tr>
      <w:tr w:rsidR="007B10A2" w:rsidRPr="00082FA3" w14:paraId="409FDF1A" w14:textId="77777777" w:rsidTr="007B10A2">
        <w:tc>
          <w:tcPr>
            <w:tcW w:w="4111" w:type="dxa"/>
          </w:tcPr>
          <w:p w14:paraId="37D3CF1B" w14:textId="77777777" w:rsidR="007B10A2" w:rsidRDefault="007B10A2" w:rsidP="007B10A2">
            <w:pPr>
              <w:spacing w:before="40" w:after="40"/>
              <w:rPr>
                <w:rFonts w:ascii="Arial Narrow" w:hAnsi="Arial Narrow"/>
                <w:sz w:val="20"/>
              </w:rPr>
            </w:pPr>
            <w:r>
              <w:rPr>
                <w:rFonts w:ascii="Arial Narrow" w:hAnsi="Arial Narrow"/>
                <w:sz w:val="20"/>
              </w:rPr>
              <w:t>Temporary internal device usability or functionality complaint</w:t>
            </w:r>
          </w:p>
        </w:tc>
        <w:tc>
          <w:tcPr>
            <w:tcW w:w="1843" w:type="dxa"/>
          </w:tcPr>
          <w:p w14:paraId="53BD18B9"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8</w:t>
            </w:r>
          </w:p>
        </w:tc>
        <w:tc>
          <w:tcPr>
            <w:tcW w:w="3118" w:type="dxa"/>
            <w:gridSpan w:val="2"/>
          </w:tcPr>
          <w:p w14:paraId="186A49DA"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7 (6%)</w:t>
            </w:r>
          </w:p>
        </w:tc>
      </w:tr>
      <w:tr w:rsidR="007B10A2" w:rsidRPr="00082FA3" w14:paraId="0EA4109D" w14:textId="77777777" w:rsidTr="007B10A2">
        <w:tc>
          <w:tcPr>
            <w:tcW w:w="4111" w:type="dxa"/>
          </w:tcPr>
          <w:p w14:paraId="503EB70B" w14:textId="77777777" w:rsidR="007B10A2" w:rsidRDefault="007B10A2" w:rsidP="007B10A2">
            <w:pPr>
              <w:spacing w:before="40" w:after="40"/>
              <w:rPr>
                <w:rFonts w:ascii="Arial Narrow" w:hAnsi="Arial Narrow"/>
                <w:sz w:val="20"/>
              </w:rPr>
            </w:pPr>
            <w:r>
              <w:rPr>
                <w:rFonts w:ascii="Arial Narrow" w:hAnsi="Arial Narrow"/>
                <w:sz w:val="20"/>
              </w:rPr>
              <w:t>Other acute symptoms</w:t>
            </w:r>
          </w:p>
        </w:tc>
        <w:tc>
          <w:tcPr>
            <w:tcW w:w="1843" w:type="dxa"/>
          </w:tcPr>
          <w:p w14:paraId="11010F98"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25</w:t>
            </w:r>
          </w:p>
        </w:tc>
        <w:tc>
          <w:tcPr>
            <w:tcW w:w="3118" w:type="dxa"/>
            <w:gridSpan w:val="2"/>
          </w:tcPr>
          <w:p w14:paraId="70BFF197"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19 (15%)</w:t>
            </w:r>
          </w:p>
        </w:tc>
      </w:tr>
      <w:tr w:rsidR="007B10A2" w:rsidRPr="00082FA3" w14:paraId="2DF3F256" w14:textId="77777777" w:rsidTr="007B10A2">
        <w:tc>
          <w:tcPr>
            <w:tcW w:w="4111" w:type="dxa"/>
          </w:tcPr>
          <w:p w14:paraId="471E1A19" w14:textId="77777777" w:rsidR="007B10A2" w:rsidRDefault="007B10A2" w:rsidP="007B10A2">
            <w:pPr>
              <w:spacing w:before="40" w:after="40"/>
              <w:rPr>
                <w:rFonts w:ascii="Arial Narrow" w:hAnsi="Arial Narrow"/>
                <w:sz w:val="20"/>
              </w:rPr>
            </w:pPr>
            <w:r>
              <w:rPr>
                <w:rFonts w:ascii="Arial Narrow" w:hAnsi="Arial Narrow"/>
                <w:sz w:val="20"/>
              </w:rPr>
              <w:t>Mild or moderate infection (skin cellulitis)</w:t>
            </w:r>
          </w:p>
        </w:tc>
        <w:tc>
          <w:tcPr>
            <w:tcW w:w="1843" w:type="dxa"/>
          </w:tcPr>
          <w:p w14:paraId="68DBFA5C"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1</w:t>
            </w:r>
          </w:p>
        </w:tc>
        <w:tc>
          <w:tcPr>
            <w:tcW w:w="3118" w:type="dxa"/>
            <w:gridSpan w:val="2"/>
          </w:tcPr>
          <w:p w14:paraId="5A208DFC" w14:textId="77777777" w:rsidR="007B10A2" w:rsidRPr="00082FA3" w:rsidRDefault="007B10A2" w:rsidP="007B10A2">
            <w:pPr>
              <w:spacing w:before="40" w:after="40"/>
              <w:jc w:val="center"/>
              <w:rPr>
                <w:rFonts w:ascii="Arial Narrow" w:hAnsi="Arial Narrow"/>
                <w:sz w:val="20"/>
              </w:rPr>
            </w:pPr>
            <w:r>
              <w:rPr>
                <w:rFonts w:ascii="Arial Narrow" w:hAnsi="Arial Narrow"/>
                <w:sz w:val="20"/>
              </w:rPr>
              <w:t>1 (1%)</w:t>
            </w:r>
          </w:p>
        </w:tc>
      </w:tr>
    </w:tbl>
    <w:p w14:paraId="02A49567" w14:textId="77777777" w:rsidR="007B10A2" w:rsidRDefault="007B10A2" w:rsidP="00417876">
      <w:pPr>
        <w:pStyle w:val="Tablenotes"/>
      </w:pPr>
      <w:r w:rsidRPr="00802C09">
        <w:t xml:space="preserve">Source: </w:t>
      </w:r>
      <w:r>
        <w:t>Table 23, p59 of the ADAR.</w:t>
      </w:r>
    </w:p>
    <w:p w14:paraId="7F0440D1" w14:textId="77777777" w:rsidR="007B10A2" w:rsidRPr="007B10A2" w:rsidRDefault="007B10A2" w:rsidP="00417876">
      <w:pPr>
        <w:pStyle w:val="Tablenotes"/>
      </w:pPr>
      <w:r w:rsidRPr="007B10A2">
        <w:t>Abbreviations: AE=adverse event; UAS=upper airway stimulation</w:t>
      </w:r>
    </w:p>
    <w:p w14:paraId="61379F2B" w14:textId="77777777" w:rsidR="007B10A2" w:rsidRPr="007B10A2" w:rsidRDefault="007B10A2" w:rsidP="00417876">
      <w:pPr>
        <w:pStyle w:val="Tablenotes"/>
      </w:pPr>
      <w:proofErr w:type="spellStart"/>
      <w:proofErr w:type="gramStart"/>
      <w:r w:rsidRPr="007B10A2">
        <w:rPr>
          <w:vertAlign w:val="superscript"/>
        </w:rPr>
        <w:t>a</w:t>
      </w:r>
      <w:proofErr w:type="spellEnd"/>
      <w:proofErr w:type="gramEnd"/>
      <w:r w:rsidRPr="007B10A2">
        <w:t xml:space="preserve"> Included cardiac conditions or coronary artery disease or arrhythmias or chest pain (N=8), accidents or injuries (N=11), other surgeries (N=12)</w:t>
      </w:r>
    </w:p>
    <w:p w14:paraId="2DE20E29" w14:textId="17D28080" w:rsidR="007B10A2" w:rsidRDefault="007B10A2" w:rsidP="007B10A2">
      <w:pPr>
        <w:spacing w:after="240"/>
      </w:pPr>
      <w:r>
        <w:t xml:space="preserve">The ADAR stated that two patients experienced serious device-related AEs requiring re-positioning of the device. The remaining 33 serious AEs </w:t>
      </w:r>
      <w:proofErr w:type="gramStart"/>
      <w:r>
        <w:t>were not considered to be related</w:t>
      </w:r>
      <w:proofErr w:type="gramEnd"/>
      <w:r>
        <w:t xml:space="preserve"> to the implant procedure, and the majority occurred within 30 days of the surgery and were expected post-surgical events. The ADAR noted that by the </w:t>
      </w:r>
      <w:proofErr w:type="gramStart"/>
      <w:r>
        <w:t>5 year</w:t>
      </w:r>
      <w:proofErr w:type="gramEnd"/>
      <w:r>
        <w:t xml:space="preserve"> time point, </w:t>
      </w:r>
      <w:r w:rsidR="00B46D22">
        <w:t>three</w:t>
      </w:r>
      <w:r>
        <w:t xml:space="preserve"> patients had their devices explanted; two non-responding patients had elective device removal and </w:t>
      </w:r>
      <w:r w:rsidR="00B46D22">
        <w:t>one</w:t>
      </w:r>
      <w:r>
        <w:t xml:space="preserve"> patient had a non-elective removal due to an unrelated medical condition.  </w:t>
      </w:r>
    </w:p>
    <w:p w14:paraId="5446170E" w14:textId="19F09C6C" w:rsidR="007B10A2" w:rsidRPr="00817746" w:rsidRDefault="007B10A2" w:rsidP="007B10A2">
      <w:pPr>
        <w:spacing w:after="240"/>
        <w:rPr>
          <w:iCs/>
        </w:rPr>
      </w:pPr>
      <w:r w:rsidRPr="00817746">
        <w:t xml:space="preserve">The commentary noted that </w:t>
      </w:r>
      <w:r>
        <w:t>a</w:t>
      </w:r>
      <w:r w:rsidRPr="00817746">
        <w:t xml:space="preserve"> </w:t>
      </w:r>
      <w:r w:rsidRPr="00817746">
        <w:rPr>
          <w:iCs/>
        </w:rPr>
        <w:t xml:space="preserve">systematic review </w:t>
      </w:r>
      <w:r>
        <w:rPr>
          <w:iCs/>
        </w:rPr>
        <w:t xml:space="preserve">by </w:t>
      </w:r>
      <w:proofErr w:type="spellStart"/>
      <w:r w:rsidRPr="00817746">
        <w:t>C</w:t>
      </w:r>
      <w:r w:rsidRPr="00817746">
        <w:rPr>
          <w:iCs/>
        </w:rPr>
        <w:t>ertal</w:t>
      </w:r>
      <w:proofErr w:type="spellEnd"/>
      <w:r w:rsidRPr="00817746">
        <w:rPr>
          <w:iCs/>
        </w:rPr>
        <w:t xml:space="preserve"> (2015)</w:t>
      </w:r>
      <w:r>
        <w:rPr>
          <w:rStyle w:val="FootnoteReference"/>
          <w:iCs/>
        </w:rPr>
        <w:footnoteReference w:id="10"/>
      </w:r>
      <w:r>
        <w:rPr>
          <w:iCs/>
        </w:rPr>
        <w:t>, which was not included in the ADAR,</w:t>
      </w:r>
      <w:r w:rsidRPr="00817746">
        <w:rPr>
          <w:iCs/>
        </w:rPr>
        <w:t xml:space="preserve"> reported that of the 200 patients included in the review, nine (4.5%) had serious device-related AEs that led to removal of the device. Although not mentioned by the ADAR, in the STAR study 40% of patients (N=50) reported discomfort due to electrical stimulation, which increased to 60.3% of patients at the 5-year </w:t>
      </w:r>
      <w:proofErr w:type="spellStart"/>
      <w:r w:rsidRPr="00817746">
        <w:rPr>
          <w:iCs/>
        </w:rPr>
        <w:t>timepoint</w:t>
      </w:r>
      <w:proofErr w:type="spellEnd"/>
      <w:r w:rsidRPr="00817746">
        <w:rPr>
          <w:iCs/>
        </w:rPr>
        <w:t xml:space="preserve">. This would suggest discomfort </w:t>
      </w:r>
      <w:proofErr w:type="gramStart"/>
      <w:r w:rsidRPr="00817746">
        <w:rPr>
          <w:iCs/>
        </w:rPr>
        <w:t>impacted</w:t>
      </w:r>
      <w:proofErr w:type="gramEnd"/>
      <w:r w:rsidRPr="00817746">
        <w:rPr>
          <w:iCs/>
        </w:rPr>
        <w:t xml:space="preserve"> an increasing number of patients over time, and also indicates there is potential for discomfort in a considerable proportion of patients. </w:t>
      </w:r>
      <w:r>
        <w:rPr>
          <w:iCs/>
        </w:rPr>
        <w:t xml:space="preserve">In the pre-ESC response, the applicant considered </w:t>
      </w:r>
      <w:proofErr w:type="spellStart"/>
      <w:r>
        <w:rPr>
          <w:iCs/>
        </w:rPr>
        <w:t>Certal</w:t>
      </w:r>
      <w:proofErr w:type="spellEnd"/>
      <w:r>
        <w:rPr>
          <w:iCs/>
        </w:rPr>
        <w:t xml:space="preserve"> (2015) was not suitable for inclusion as it included non-closed loop UAS.</w:t>
      </w:r>
    </w:p>
    <w:p w14:paraId="1FEF5DF6" w14:textId="3EAD9E25" w:rsidR="007B10A2" w:rsidRPr="00817746" w:rsidRDefault="007B10A2" w:rsidP="007B10A2">
      <w:pPr>
        <w:spacing w:after="240"/>
      </w:pPr>
      <w:r w:rsidRPr="00817746">
        <w:rPr>
          <w:iCs/>
        </w:rPr>
        <w:lastRenderedPageBreak/>
        <w:t xml:space="preserve">Overall, </w:t>
      </w:r>
      <w:r>
        <w:rPr>
          <w:iCs/>
        </w:rPr>
        <w:t xml:space="preserve">the commentary considered that </w:t>
      </w:r>
      <w:r w:rsidRPr="00817746">
        <w:rPr>
          <w:iCs/>
        </w:rPr>
        <w:t>there was very limited AE data presented by the ADAR and the information provided did not allow for a comparison of closed loop UAS and the main comparator MMS. The safety claim made by the ADAR (inferior safety compared to MMS), while not supported by the evidence presented, may be reasonable given that it would be expected that surgical implantation of a device that creates discomfort in patients would have inferior safety to medical management strategies.</w:t>
      </w:r>
    </w:p>
    <w:p w14:paraId="3CF47318" w14:textId="77777777" w:rsidR="00BC1364" w:rsidRPr="00F715D1" w:rsidRDefault="00BC1364" w:rsidP="00F715D1">
      <w:pPr>
        <w:pStyle w:val="Heading1"/>
      </w:pPr>
      <w:r w:rsidRPr="00F715D1">
        <w:t>Comparative effectiveness</w:t>
      </w:r>
    </w:p>
    <w:p w14:paraId="08F03990" w14:textId="77777777" w:rsidR="007B10A2" w:rsidRDefault="007B10A2" w:rsidP="00B36E72">
      <w:pPr>
        <w:spacing w:after="240"/>
        <w:rPr>
          <w:iCs/>
        </w:rPr>
      </w:pPr>
      <w:r>
        <w:rPr>
          <w:iCs/>
        </w:rPr>
        <w:t>The ADAR reported that t</w:t>
      </w:r>
      <w:r w:rsidRPr="00AC415E">
        <w:rPr>
          <w:iCs/>
        </w:rPr>
        <w:t xml:space="preserve">he pre-specified definition of response </w:t>
      </w:r>
      <w:r>
        <w:rPr>
          <w:iCs/>
        </w:rPr>
        <w:t xml:space="preserve">in </w:t>
      </w:r>
      <w:r w:rsidRPr="00AC415E">
        <w:rPr>
          <w:iCs/>
        </w:rPr>
        <w:t xml:space="preserve">the STAR </w:t>
      </w:r>
      <w:r>
        <w:rPr>
          <w:iCs/>
        </w:rPr>
        <w:t xml:space="preserve">study </w:t>
      </w:r>
      <w:r w:rsidRPr="00AC415E">
        <w:rPr>
          <w:iCs/>
        </w:rPr>
        <w:t xml:space="preserve">was a reduction in AHI of at least 50% from baseline and an AHI score of less than 20. At 5 </w:t>
      </w:r>
      <w:proofErr w:type="gramStart"/>
      <w:r w:rsidRPr="00AC415E">
        <w:rPr>
          <w:iCs/>
        </w:rPr>
        <w:t>years</w:t>
      </w:r>
      <w:proofErr w:type="gramEnd"/>
      <w:r w:rsidRPr="00AC415E">
        <w:rPr>
          <w:iCs/>
        </w:rPr>
        <w:t xml:space="preserve"> the response rate was estimated to be 65% at 1 year (Woodson 2018). This </w:t>
      </w:r>
      <w:proofErr w:type="gramStart"/>
      <w:r w:rsidRPr="00AC415E">
        <w:rPr>
          <w:iCs/>
        </w:rPr>
        <w:t>was maintained</w:t>
      </w:r>
      <w:proofErr w:type="gramEnd"/>
      <w:r w:rsidRPr="00AC415E">
        <w:rPr>
          <w:iCs/>
        </w:rPr>
        <w:t xml:space="preserve"> with a response rate of 63% at 5 years. Similarly, ESS and FOSQ scores </w:t>
      </w:r>
      <w:proofErr w:type="gramStart"/>
      <w:r>
        <w:rPr>
          <w:iCs/>
        </w:rPr>
        <w:t xml:space="preserve">were claimed to have </w:t>
      </w:r>
      <w:r w:rsidRPr="00AC415E">
        <w:rPr>
          <w:iCs/>
        </w:rPr>
        <w:t>improved significantly from baseline and maintained at 5 years</w:t>
      </w:r>
      <w:proofErr w:type="gramEnd"/>
      <w:r w:rsidRPr="00AC415E">
        <w:rPr>
          <w:iCs/>
        </w:rPr>
        <w:t xml:space="preserve">. During the RCT withdrawal study, AHI, ODI ESS and FOSQ returned to baseline levels following withdrawal of therapy. </w:t>
      </w:r>
    </w:p>
    <w:p w14:paraId="5C6D71A8" w14:textId="6B345E0D" w:rsidR="00B05427" w:rsidRPr="00B05427" w:rsidRDefault="007B10A2" w:rsidP="00B05427">
      <w:pPr>
        <w:spacing w:after="240"/>
        <w:rPr>
          <w:iCs/>
        </w:rPr>
      </w:pPr>
      <w:r>
        <w:rPr>
          <w:iCs/>
        </w:rPr>
        <w:t xml:space="preserve">The balance of clinical benefits and harms of closed loop UAS vs. MMS, as presented by the ADAR, </w:t>
      </w:r>
      <w:proofErr w:type="gramStart"/>
      <w:r>
        <w:rPr>
          <w:iCs/>
        </w:rPr>
        <w:t>are shown</w:t>
      </w:r>
      <w:proofErr w:type="gramEnd"/>
      <w:r>
        <w:rPr>
          <w:iCs/>
        </w:rPr>
        <w:t xml:space="preserve"> in </w:t>
      </w:r>
      <w:r>
        <w:rPr>
          <w:iCs/>
        </w:rPr>
        <w:fldChar w:fldCharType="begin"/>
      </w:r>
      <w:r>
        <w:rPr>
          <w:iCs/>
        </w:rPr>
        <w:instrText xml:space="preserve"> REF _Ref452809983 \h </w:instrText>
      </w:r>
      <w:r>
        <w:rPr>
          <w:iCs/>
        </w:rPr>
      </w:r>
      <w:r>
        <w:rPr>
          <w:iCs/>
        </w:rPr>
        <w:fldChar w:fldCharType="separate"/>
      </w:r>
      <w:r w:rsidR="00D007E1" w:rsidRPr="002B30E2">
        <w:t xml:space="preserve">Table </w:t>
      </w:r>
      <w:r w:rsidR="00D007E1">
        <w:rPr>
          <w:noProof/>
        </w:rPr>
        <w:t>8</w:t>
      </w:r>
      <w:r>
        <w:rPr>
          <w:iCs/>
        </w:rPr>
        <w:fldChar w:fldCharType="end"/>
      </w:r>
      <w:r>
        <w:rPr>
          <w:iCs/>
        </w:rPr>
        <w:t>.</w:t>
      </w:r>
      <w:bookmarkStart w:id="13" w:name="_Ref452809983"/>
      <w:bookmarkStart w:id="14" w:name="_Toc453164947"/>
      <w:r w:rsidR="00B05427">
        <w:br w:type="page"/>
      </w:r>
    </w:p>
    <w:p w14:paraId="71A15126" w14:textId="43A9995E" w:rsidR="007B10A2" w:rsidRPr="00875ED2" w:rsidRDefault="007B10A2" w:rsidP="00875ED2">
      <w:pPr>
        <w:rPr>
          <w:rFonts w:ascii="Arial Narrow" w:hAnsi="Arial Narrow"/>
          <w:b/>
          <w:sz w:val="20"/>
        </w:rPr>
      </w:pPr>
      <w:r w:rsidRPr="00875ED2">
        <w:rPr>
          <w:rFonts w:ascii="Arial Narrow" w:hAnsi="Arial Narrow"/>
          <w:b/>
          <w:sz w:val="20"/>
        </w:rPr>
        <w:lastRenderedPageBreak/>
        <w:t xml:space="preserve">Table </w:t>
      </w:r>
      <w:r w:rsidR="00086098" w:rsidRPr="00875ED2">
        <w:rPr>
          <w:rFonts w:ascii="Arial Narrow" w:hAnsi="Arial Narrow"/>
          <w:b/>
          <w:sz w:val="20"/>
        </w:rPr>
        <w:fldChar w:fldCharType="begin"/>
      </w:r>
      <w:r w:rsidR="00086098" w:rsidRPr="00875ED2">
        <w:rPr>
          <w:rFonts w:ascii="Arial Narrow" w:hAnsi="Arial Narrow"/>
          <w:b/>
          <w:sz w:val="20"/>
        </w:rPr>
        <w:instrText xml:space="preserve"> SEQ Table \* ARABIC </w:instrText>
      </w:r>
      <w:r w:rsidR="00086098" w:rsidRPr="00875ED2">
        <w:rPr>
          <w:rFonts w:ascii="Arial Narrow" w:hAnsi="Arial Narrow"/>
          <w:b/>
          <w:sz w:val="20"/>
        </w:rPr>
        <w:fldChar w:fldCharType="separate"/>
      </w:r>
      <w:r w:rsidR="00D007E1" w:rsidRPr="00875ED2">
        <w:rPr>
          <w:rFonts w:ascii="Arial Narrow" w:hAnsi="Arial Narrow"/>
          <w:b/>
          <w:sz w:val="20"/>
        </w:rPr>
        <w:t>8</w:t>
      </w:r>
      <w:r w:rsidR="00086098" w:rsidRPr="00875ED2">
        <w:rPr>
          <w:rFonts w:ascii="Arial Narrow" w:hAnsi="Arial Narrow"/>
          <w:b/>
          <w:sz w:val="20"/>
        </w:rPr>
        <w:fldChar w:fldCharType="end"/>
      </w:r>
      <w:bookmarkEnd w:id="13"/>
      <w:r w:rsidRPr="00875ED2">
        <w:rPr>
          <w:rFonts w:ascii="Arial Narrow" w:hAnsi="Arial Narrow"/>
          <w:b/>
          <w:sz w:val="20"/>
        </w:rPr>
        <w:t xml:space="preserve">  Balance of clinical benefits and harms of closed loop UAS relative to medical management, and as measured by the critical patient-relevant outcomes in the key studies</w:t>
      </w:r>
      <w:bookmarkEnd w:id="14"/>
    </w:p>
    <w:tbl>
      <w:tblPr>
        <w:tblStyle w:val="TableGrid"/>
        <w:tblW w:w="0" w:type="auto"/>
        <w:tblLook w:val="04A0" w:firstRow="1" w:lastRow="0" w:firstColumn="1" w:lastColumn="0" w:noHBand="0" w:noVBand="1"/>
        <w:tblDescription w:val="Summary of findings table"/>
      </w:tblPr>
      <w:tblGrid>
        <w:gridCol w:w="1851"/>
        <w:gridCol w:w="2134"/>
        <w:gridCol w:w="1904"/>
        <w:gridCol w:w="1664"/>
        <w:gridCol w:w="1463"/>
      </w:tblGrid>
      <w:tr w:rsidR="007B10A2" w14:paraId="44D317E9" w14:textId="77777777" w:rsidTr="00D4500F">
        <w:trPr>
          <w:trHeight w:val="1049"/>
          <w:tblHeader/>
        </w:trPr>
        <w:tc>
          <w:tcPr>
            <w:tcW w:w="1686" w:type="dxa"/>
          </w:tcPr>
          <w:p w14:paraId="54B31365" w14:textId="77777777" w:rsidR="007B10A2" w:rsidRDefault="007B10A2" w:rsidP="007B10A2">
            <w:pPr>
              <w:pStyle w:val="TableHeading"/>
              <w:jc w:val="center"/>
            </w:pPr>
            <w:r w:rsidRPr="000A1599">
              <w:t>Outcomes</w:t>
            </w:r>
            <w:r>
              <w:t xml:space="preserve"> (units)</w:t>
            </w:r>
          </w:p>
          <w:p w14:paraId="74FBEC85" w14:textId="77777777" w:rsidR="007B10A2" w:rsidRPr="000A1599" w:rsidRDefault="007B10A2" w:rsidP="007B10A2">
            <w:pPr>
              <w:pStyle w:val="TableHeading"/>
              <w:jc w:val="center"/>
            </w:pPr>
            <w:r>
              <w:t>Follow-up</w:t>
            </w:r>
          </w:p>
        </w:tc>
        <w:tc>
          <w:tcPr>
            <w:tcW w:w="2145" w:type="dxa"/>
          </w:tcPr>
          <w:p w14:paraId="7FAD9A8E" w14:textId="77777777" w:rsidR="007B10A2" w:rsidRDefault="007B10A2" w:rsidP="007B10A2">
            <w:pPr>
              <w:pStyle w:val="TableHeading"/>
              <w:jc w:val="center"/>
            </w:pPr>
            <w:r>
              <w:t>Participants (studies)</w:t>
            </w:r>
          </w:p>
          <w:p w14:paraId="420F3DAF" w14:textId="77777777" w:rsidR="007B10A2" w:rsidRPr="000A1599" w:rsidRDefault="007B10A2" w:rsidP="007B10A2">
            <w:pPr>
              <w:pStyle w:val="TableHeading"/>
              <w:jc w:val="center"/>
            </w:pPr>
          </w:p>
        </w:tc>
        <w:tc>
          <w:tcPr>
            <w:tcW w:w="1979" w:type="dxa"/>
          </w:tcPr>
          <w:p w14:paraId="5DBE4567" w14:textId="77777777" w:rsidR="007B10A2" w:rsidRPr="000A1599" w:rsidRDefault="007B10A2" w:rsidP="007B10A2">
            <w:pPr>
              <w:pStyle w:val="TableHeading"/>
              <w:ind w:left="0" w:firstLine="0"/>
              <w:jc w:val="center"/>
            </w:pPr>
            <w:r>
              <w:t>Quality of evidence (GRADE)</w:t>
            </w:r>
            <w:r w:rsidRPr="00E10B76">
              <w:rPr>
                <w:rFonts w:cs="Arial"/>
                <w:sz w:val="18"/>
                <w:szCs w:val="18"/>
                <w:vertAlign w:val="superscript"/>
              </w:rPr>
              <w:t xml:space="preserve"> a</w:t>
            </w:r>
          </w:p>
        </w:tc>
        <w:tc>
          <w:tcPr>
            <w:tcW w:w="1675" w:type="dxa"/>
          </w:tcPr>
          <w:p w14:paraId="677970A9" w14:textId="77777777" w:rsidR="007B10A2" w:rsidRDefault="007B10A2" w:rsidP="007B10A2">
            <w:pPr>
              <w:pStyle w:val="TableHeading"/>
              <w:ind w:left="0" w:firstLine="0"/>
              <w:jc w:val="center"/>
            </w:pPr>
            <w:r>
              <w:t>Mean+/-SD</w:t>
            </w:r>
          </w:p>
          <w:p w14:paraId="38E3E0FB" w14:textId="77777777" w:rsidR="007B10A2" w:rsidRDefault="007B10A2" w:rsidP="007B10A2">
            <w:pPr>
              <w:pStyle w:val="TableHeading"/>
              <w:jc w:val="center"/>
            </w:pPr>
            <w:r>
              <w:t>(95% CI)</w:t>
            </w:r>
          </w:p>
          <w:p w14:paraId="193AD201" w14:textId="77777777" w:rsidR="007B10A2" w:rsidRPr="000A1599" w:rsidRDefault="007B10A2" w:rsidP="007B10A2">
            <w:pPr>
              <w:pStyle w:val="TableHeading"/>
              <w:ind w:left="0" w:firstLine="0"/>
              <w:jc w:val="center"/>
            </w:pPr>
            <w:r>
              <w:t>P value (where available</w:t>
            </w:r>
          </w:p>
        </w:tc>
        <w:tc>
          <w:tcPr>
            <w:tcW w:w="1508" w:type="dxa"/>
          </w:tcPr>
          <w:p w14:paraId="00973B85" w14:textId="77777777" w:rsidR="007B10A2" w:rsidRPr="000A1599" w:rsidRDefault="007B10A2" w:rsidP="007B10A2">
            <w:pPr>
              <w:pStyle w:val="TableHeading"/>
              <w:jc w:val="center"/>
            </w:pPr>
            <w:r>
              <w:t>Comments</w:t>
            </w:r>
          </w:p>
        </w:tc>
      </w:tr>
      <w:tr w:rsidR="007B10A2" w14:paraId="45230A5A" w14:textId="77777777" w:rsidTr="00D4500F">
        <w:tc>
          <w:tcPr>
            <w:tcW w:w="1686" w:type="dxa"/>
          </w:tcPr>
          <w:p w14:paraId="71492121" w14:textId="77777777" w:rsidR="007B10A2" w:rsidRPr="00CC2819" w:rsidRDefault="007B10A2" w:rsidP="007B10A2">
            <w:pPr>
              <w:spacing w:before="40" w:after="40"/>
              <w:rPr>
                <w:rFonts w:ascii="Arial Narrow" w:hAnsi="Arial Narrow" w:cs="Arial"/>
                <w:sz w:val="20"/>
                <w:vertAlign w:val="superscript"/>
              </w:rPr>
            </w:pPr>
            <w:r w:rsidRPr="00CC2819">
              <w:rPr>
                <w:rFonts w:ascii="Arial Narrow" w:hAnsi="Arial Narrow"/>
                <w:sz w:val="20"/>
              </w:rPr>
              <w:t>Change AHI at 5 years</w:t>
            </w:r>
          </w:p>
        </w:tc>
        <w:tc>
          <w:tcPr>
            <w:tcW w:w="2145" w:type="dxa"/>
          </w:tcPr>
          <w:p w14:paraId="1D88F257" w14:textId="77777777" w:rsidR="007B10A2" w:rsidRPr="00CC2819" w:rsidRDefault="007B10A2" w:rsidP="007B10A2">
            <w:pPr>
              <w:spacing w:before="40" w:after="40"/>
              <w:rPr>
                <w:rFonts w:ascii="Arial Narrow" w:hAnsi="Arial Narrow" w:cs="Arial"/>
                <w:sz w:val="20"/>
              </w:rPr>
            </w:pPr>
            <w:r w:rsidRPr="00CC2819">
              <w:rPr>
                <w:rFonts w:ascii="Arial Narrow" w:hAnsi="Arial Narrow" w:cs="Arial"/>
                <w:sz w:val="20"/>
              </w:rPr>
              <w:t>1 Single arm interventional trial.  Subjects serve as own control</w:t>
            </w:r>
          </w:p>
          <w:p w14:paraId="29C5B71E" w14:textId="77777777" w:rsidR="007B10A2" w:rsidRPr="00CC2819" w:rsidRDefault="007B10A2" w:rsidP="007B10A2">
            <w:pPr>
              <w:spacing w:before="40" w:after="40"/>
              <w:rPr>
                <w:rFonts w:ascii="Arial Narrow" w:hAnsi="Arial Narrow" w:cs="Arial"/>
                <w:sz w:val="20"/>
              </w:rPr>
            </w:pPr>
            <w:r w:rsidRPr="00CC2819">
              <w:rPr>
                <w:rFonts w:ascii="Arial Narrow" w:hAnsi="Arial Narrow" w:cs="Arial"/>
                <w:sz w:val="20"/>
              </w:rPr>
              <w:t>N=126</w:t>
            </w:r>
          </w:p>
        </w:tc>
        <w:tc>
          <w:tcPr>
            <w:tcW w:w="1979" w:type="dxa"/>
          </w:tcPr>
          <w:p w14:paraId="210EC6A1" w14:textId="77777777" w:rsidR="007B10A2" w:rsidRPr="003C05D1" w:rsidRDefault="007B10A2" w:rsidP="007B10A2">
            <w:pPr>
              <w:spacing w:before="40" w:after="40"/>
              <w:rPr>
                <w:rFonts w:ascii="Arial Narrow" w:hAnsi="Arial Narrow"/>
                <w:sz w:val="20"/>
              </w:rPr>
            </w:pPr>
            <w:r w:rsidRPr="003C05D1">
              <w:rPr>
                <w:rFonts w:ascii="Arial Narrow" w:hAnsi="Arial Narrow"/>
                <w:sz w:val="20"/>
              </w:rPr>
              <w:t>Downgraded for pre-post trial design.</w:t>
            </w:r>
          </w:p>
          <w:p w14:paraId="4EE6C1F7" w14:textId="77777777" w:rsidR="007B10A2" w:rsidRPr="005F3360" w:rsidRDefault="007B10A2" w:rsidP="007B10A2">
            <w:pPr>
              <w:spacing w:before="40" w:after="40"/>
              <w:rPr>
                <w:rFonts w:ascii="Arial Narrow" w:hAnsi="Arial Narrow" w:cs="Arial"/>
                <w:sz w:val="20"/>
                <w:vertAlign w:val="superscript"/>
              </w:rPr>
            </w:pPr>
            <w:r w:rsidRPr="005F3360">
              <w:rPr>
                <w:rFonts w:ascii="Arial Narrow" w:hAnsi="Arial Narrow"/>
                <w:sz w:val="20"/>
              </w:rPr>
              <w:t xml:space="preserve"> </w:t>
            </w:r>
            <w:r w:rsidRPr="005F3360">
              <w:rPr>
                <w:rFonts w:ascii="Cambria Math" w:hAnsi="Cambria Math" w:cs="Cambria Math"/>
                <w:color w:val="00B050"/>
                <w:sz w:val="20"/>
              </w:rPr>
              <w:t>⨁⨁⨁</w:t>
            </w:r>
            <w:r w:rsidRPr="005F3360">
              <w:rPr>
                <w:rFonts w:ascii="Cambria Math" w:hAnsi="Cambria Math" w:cs="Cambria Math"/>
                <w:color w:val="C00000"/>
                <w:sz w:val="20"/>
              </w:rPr>
              <w:t>⨀</w:t>
            </w:r>
            <w:r w:rsidRPr="005F3360">
              <w:rPr>
                <w:rFonts w:ascii="Arial Narrow" w:hAnsi="Arial Narrow" w:cs="Cambria Math"/>
                <w:color w:val="C00000"/>
                <w:sz w:val="20"/>
              </w:rPr>
              <w:t xml:space="preserve"> </w:t>
            </w:r>
            <w:r w:rsidRPr="005F3360">
              <w:rPr>
                <w:rFonts w:ascii="Arial Narrow" w:hAnsi="Arial Narrow"/>
                <w:sz w:val="20"/>
              </w:rPr>
              <w:t xml:space="preserve"> </w:t>
            </w:r>
          </w:p>
        </w:tc>
        <w:tc>
          <w:tcPr>
            <w:tcW w:w="1675" w:type="dxa"/>
          </w:tcPr>
          <w:p w14:paraId="05ABF268" w14:textId="77777777" w:rsidR="007B10A2" w:rsidRPr="00CC2819" w:rsidRDefault="007B10A2" w:rsidP="007B10A2">
            <w:pPr>
              <w:spacing w:before="40" w:after="40"/>
              <w:rPr>
                <w:rFonts w:ascii="Arial Narrow" w:hAnsi="Arial Narrow" w:cs="Arial"/>
                <w:sz w:val="20"/>
              </w:rPr>
            </w:pPr>
            <w:r w:rsidRPr="00CC2819">
              <w:rPr>
                <w:rFonts w:ascii="Arial Narrow" w:hAnsi="Arial Narrow" w:cs="Arial"/>
                <w:sz w:val="20"/>
              </w:rPr>
              <w:t>-17.1+/-1.7</w:t>
            </w:r>
          </w:p>
          <w:p w14:paraId="307F32CF" w14:textId="77777777" w:rsidR="007B10A2" w:rsidRPr="00CC2819" w:rsidRDefault="007B10A2" w:rsidP="007B10A2">
            <w:pPr>
              <w:spacing w:before="40" w:after="40"/>
              <w:rPr>
                <w:rFonts w:ascii="Arial Narrow" w:hAnsi="Arial Narrow" w:cs="Arial"/>
                <w:sz w:val="20"/>
              </w:rPr>
            </w:pPr>
            <w:r w:rsidRPr="00CC2819">
              <w:rPr>
                <w:rFonts w:ascii="Arial Narrow" w:hAnsi="Arial Narrow" w:cs="Arial"/>
                <w:sz w:val="20"/>
              </w:rPr>
              <w:t>(-2</w:t>
            </w:r>
            <w:r>
              <w:rPr>
                <w:rFonts w:ascii="Arial Narrow" w:hAnsi="Arial Narrow" w:cs="Arial"/>
                <w:sz w:val="20"/>
              </w:rPr>
              <w:t>0.5</w:t>
            </w:r>
            <w:r w:rsidRPr="00CC2819">
              <w:rPr>
                <w:rFonts w:ascii="Arial Narrow" w:hAnsi="Arial Narrow" w:cs="Arial"/>
                <w:sz w:val="20"/>
              </w:rPr>
              <w:t xml:space="preserve"> to -1</w:t>
            </w:r>
            <w:r>
              <w:rPr>
                <w:rFonts w:ascii="Arial Narrow" w:hAnsi="Arial Narrow" w:cs="Arial"/>
                <w:sz w:val="20"/>
              </w:rPr>
              <w:t>3.6</w:t>
            </w:r>
            <w:r w:rsidRPr="00CC2819">
              <w:rPr>
                <w:rFonts w:ascii="Arial Narrow" w:hAnsi="Arial Narrow" w:cs="Arial"/>
                <w:sz w:val="20"/>
              </w:rPr>
              <w:t>)</w:t>
            </w:r>
          </w:p>
        </w:tc>
        <w:tc>
          <w:tcPr>
            <w:tcW w:w="1508" w:type="dxa"/>
          </w:tcPr>
          <w:p w14:paraId="1ACCFD6D" w14:textId="77777777" w:rsidR="007B10A2" w:rsidRPr="00CC2819" w:rsidRDefault="007B10A2" w:rsidP="007B10A2">
            <w:pPr>
              <w:spacing w:before="40" w:after="40"/>
              <w:rPr>
                <w:rFonts w:ascii="Arial Narrow" w:hAnsi="Arial Narrow" w:cs="Arial"/>
                <w:sz w:val="20"/>
                <w:vertAlign w:val="superscript"/>
              </w:rPr>
            </w:pPr>
          </w:p>
        </w:tc>
      </w:tr>
      <w:tr w:rsidR="007B10A2" w14:paraId="6CC5E8B2" w14:textId="77777777" w:rsidTr="00D4500F">
        <w:tc>
          <w:tcPr>
            <w:tcW w:w="1686" w:type="dxa"/>
          </w:tcPr>
          <w:p w14:paraId="6C50EAAC" w14:textId="77777777" w:rsidR="007B10A2" w:rsidRPr="00CC2819" w:rsidRDefault="007B10A2" w:rsidP="007B10A2">
            <w:pPr>
              <w:spacing w:before="40" w:after="40"/>
              <w:rPr>
                <w:rFonts w:ascii="Arial Narrow" w:hAnsi="Arial Narrow" w:cs="Arial"/>
                <w:sz w:val="20"/>
                <w:vertAlign w:val="superscript"/>
              </w:rPr>
            </w:pPr>
            <w:r w:rsidRPr="00CC2819">
              <w:rPr>
                <w:rFonts w:ascii="Arial Narrow" w:hAnsi="Arial Narrow"/>
                <w:sz w:val="20"/>
              </w:rPr>
              <w:t xml:space="preserve">Change FOSQ </w:t>
            </w:r>
          </w:p>
        </w:tc>
        <w:tc>
          <w:tcPr>
            <w:tcW w:w="2145" w:type="dxa"/>
          </w:tcPr>
          <w:p w14:paraId="7747A95D" w14:textId="77777777" w:rsidR="007B10A2" w:rsidRPr="00CC2819" w:rsidRDefault="007B10A2" w:rsidP="007B10A2">
            <w:pPr>
              <w:spacing w:before="40" w:after="40"/>
              <w:rPr>
                <w:rFonts w:ascii="Arial Narrow" w:hAnsi="Arial Narrow" w:cs="Arial"/>
                <w:sz w:val="20"/>
                <w:vertAlign w:val="superscript"/>
              </w:rPr>
            </w:pPr>
            <w:r w:rsidRPr="00CC2819">
              <w:rPr>
                <w:rFonts w:ascii="Arial Narrow" w:hAnsi="Arial Narrow"/>
                <w:sz w:val="20"/>
              </w:rPr>
              <w:t>1 Single arm interventional trial.  Subjects serve as own control</w:t>
            </w:r>
          </w:p>
        </w:tc>
        <w:tc>
          <w:tcPr>
            <w:tcW w:w="1979" w:type="dxa"/>
          </w:tcPr>
          <w:p w14:paraId="13394FBF" w14:textId="77777777" w:rsidR="007B10A2" w:rsidRPr="003C05D1" w:rsidRDefault="007B10A2" w:rsidP="007B10A2">
            <w:pPr>
              <w:spacing w:before="40" w:after="40"/>
              <w:rPr>
                <w:rFonts w:ascii="Arial Narrow" w:hAnsi="Arial Narrow" w:cs="Arial"/>
                <w:sz w:val="20"/>
              </w:rPr>
            </w:pPr>
            <w:r w:rsidRPr="003C05D1">
              <w:rPr>
                <w:rFonts w:ascii="Arial Narrow" w:hAnsi="Arial Narrow" w:cs="Arial"/>
                <w:sz w:val="20"/>
              </w:rPr>
              <w:t>Downgraded for pre-post trial design.</w:t>
            </w:r>
          </w:p>
          <w:p w14:paraId="18B508B6" w14:textId="77777777" w:rsidR="007B10A2" w:rsidRPr="005F3360" w:rsidRDefault="007B10A2" w:rsidP="007B10A2">
            <w:pPr>
              <w:spacing w:before="40" w:after="40"/>
              <w:rPr>
                <w:rFonts w:ascii="Arial Narrow" w:hAnsi="Arial Narrow" w:cs="Arial"/>
                <w:sz w:val="20"/>
                <w:vertAlign w:val="superscript"/>
              </w:rPr>
            </w:pPr>
            <w:r w:rsidRPr="005F3360">
              <w:rPr>
                <w:rFonts w:ascii="Arial Narrow" w:hAnsi="Arial Narrow" w:cs="Arial"/>
                <w:sz w:val="20"/>
              </w:rPr>
              <w:t xml:space="preserve"> </w:t>
            </w:r>
            <w:r w:rsidRPr="005F3360">
              <w:rPr>
                <w:rFonts w:ascii="Cambria Math" w:hAnsi="Cambria Math" w:cs="Cambria Math"/>
                <w:color w:val="00B050"/>
                <w:sz w:val="20"/>
              </w:rPr>
              <w:t>⨁⨁⨁</w:t>
            </w:r>
            <w:r w:rsidRPr="005F3360">
              <w:rPr>
                <w:rFonts w:ascii="Cambria Math" w:hAnsi="Cambria Math" w:cs="Cambria Math"/>
                <w:color w:val="C00000"/>
                <w:sz w:val="20"/>
              </w:rPr>
              <w:t>⨀</w:t>
            </w:r>
            <w:r w:rsidRPr="005F3360">
              <w:rPr>
                <w:rFonts w:ascii="Arial Narrow" w:hAnsi="Arial Narrow" w:cs="Cambria Math"/>
                <w:color w:val="C00000"/>
                <w:sz w:val="20"/>
              </w:rPr>
              <w:t xml:space="preserve"> </w:t>
            </w:r>
            <w:r w:rsidRPr="005F3360">
              <w:rPr>
                <w:rFonts w:ascii="Arial Narrow" w:hAnsi="Arial Narrow"/>
                <w:sz w:val="20"/>
              </w:rPr>
              <w:t xml:space="preserve"> </w:t>
            </w:r>
          </w:p>
        </w:tc>
        <w:tc>
          <w:tcPr>
            <w:tcW w:w="1675" w:type="dxa"/>
          </w:tcPr>
          <w:p w14:paraId="741BFC0A" w14:textId="77777777" w:rsidR="007B10A2" w:rsidRPr="00CC2819" w:rsidRDefault="007B10A2" w:rsidP="007B10A2">
            <w:pPr>
              <w:spacing w:before="40" w:after="40"/>
              <w:rPr>
                <w:rFonts w:ascii="Arial Narrow" w:hAnsi="Arial Narrow" w:cs="Arial"/>
                <w:sz w:val="20"/>
                <w:vertAlign w:val="superscript"/>
              </w:rPr>
            </w:pPr>
            <w:r>
              <w:rPr>
                <w:rFonts w:ascii="Arial Narrow" w:hAnsi="Arial Narrow"/>
                <w:sz w:val="20"/>
              </w:rPr>
              <w:t>3.2+/-0.3</w:t>
            </w:r>
            <w:r w:rsidRPr="00CC2819">
              <w:rPr>
                <w:rFonts w:ascii="Arial Narrow" w:hAnsi="Arial Narrow"/>
                <w:sz w:val="20"/>
              </w:rPr>
              <w:t xml:space="preserve"> (CI 2.</w:t>
            </w:r>
            <w:r>
              <w:rPr>
                <w:rFonts w:ascii="Arial Narrow" w:hAnsi="Arial Narrow"/>
                <w:sz w:val="20"/>
              </w:rPr>
              <w:t>6</w:t>
            </w:r>
            <w:r w:rsidRPr="00CC2819">
              <w:rPr>
                <w:rFonts w:ascii="Arial Narrow" w:hAnsi="Arial Narrow"/>
                <w:sz w:val="20"/>
              </w:rPr>
              <w:t xml:space="preserve"> to 3.</w:t>
            </w:r>
            <w:r>
              <w:rPr>
                <w:rFonts w:ascii="Arial Narrow" w:hAnsi="Arial Narrow"/>
                <w:sz w:val="20"/>
              </w:rPr>
              <w:t>8</w:t>
            </w:r>
            <w:r w:rsidRPr="00CC2819">
              <w:rPr>
                <w:rFonts w:ascii="Arial Narrow" w:hAnsi="Arial Narrow"/>
                <w:sz w:val="20"/>
              </w:rPr>
              <w:t>)</w:t>
            </w:r>
          </w:p>
        </w:tc>
        <w:tc>
          <w:tcPr>
            <w:tcW w:w="1508" w:type="dxa"/>
          </w:tcPr>
          <w:p w14:paraId="70A1083C" w14:textId="77777777" w:rsidR="007B10A2" w:rsidRPr="00CC2819" w:rsidRDefault="007B10A2" w:rsidP="007B10A2">
            <w:pPr>
              <w:spacing w:before="40" w:after="40"/>
              <w:rPr>
                <w:rFonts w:ascii="Arial Narrow" w:hAnsi="Arial Narrow" w:cs="Arial"/>
                <w:sz w:val="20"/>
              </w:rPr>
            </w:pPr>
            <w:r w:rsidRPr="00CC2819">
              <w:rPr>
                <w:rFonts w:ascii="Arial Narrow" w:hAnsi="Arial Narrow" w:cs="Arial"/>
                <w:sz w:val="20"/>
              </w:rPr>
              <w:t>Participants unable to be blinded to intervention</w:t>
            </w:r>
          </w:p>
        </w:tc>
      </w:tr>
      <w:tr w:rsidR="007B10A2" w14:paraId="5F1FF992" w14:textId="77777777" w:rsidTr="00D4500F">
        <w:tc>
          <w:tcPr>
            <w:tcW w:w="1686" w:type="dxa"/>
          </w:tcPr>
          <w:p w14:paraId="7F7CDB16" w14:textId="77777777" w:rsidR="007B10A2" w:rsidRPr="00CC2819" w:rsidRDefault="007B10A2" w:rsidP="007B10A2">
            <w:pPr>
              <w:spacing w:before="40" w:after="40"/>
              <w:rPr>
                <w:rFonts w:ascii="Arial Narrow" w:hAnsi="Arial Narrow" w:cs="Arial"/>
                <w:sz w:val="20"/>
              </w:rPr>
            </w:pPr>
            <w:r w:rsidRPr="00CC2819">
              <w:rPr>
                <w:rFonts w:ascii="Arial Narrow" w:hAnsi="Arial Narrow" w:cs="Arial"/>
                <w:sz w:val="20"/>
              </w:rPr>
              <w:t>Change ESS</w:t>
            </w:r>
          </w:p>
        </w:tc>
        <w:tc>
          <w:tcPr>
            <w:tcW w:w="2145" w:type="dxa"/>
          </w:tcPr>
          <w:p w14:paraId="73EDE6E1" w14:textId="77777777" w:rsidR="007B10A2" w:rsidRPr="00CC2819" w:rsidRDefault="007B10A2" w:rsidP="007B10A2">
            <w:pPr>
              <w:spacing w:before="40" w:after="40"/>
              <w:rPr>
                <w:rFonts w:ascii="Arial Narrow" w:hAnsi="Arial Narrow" w:cs="Arial"/>
                <w:sz w:val="20"/>
              </w:rPr>
            </w:pPr>
            <w:r w:rsidRPr="00CC2819">
              <w:rPr>
                <w:rFonts w:ascii="Arial Narrow" w:hAnsi="Arial Narrow" w:cs="Arial"/>
                <w:sz w:val="20"/>
              </w:rPr>
              <w:t>1 Single arm interventional trial.  Subjects serve as own control</w:t>
            </w:r>
          </w:p>
          <w:p w14:paraId="08BF4ABD" w14:textId="77777777" w:rsidR="007B10A2" w:rsidRPr="00CC2819" w:rsidRDefault="007B10A2" w:rsidP="007B10A2">
            <w:pPr>
              <w:spacing w:before="40" w:after="40"/>
              <w:rPr>
                <w:rFonts w:ascii="Arial Narrow" w:hAnsi="Arial Narrow" w:cs="Arial"/>
                <w:sz w:val="20"/>
              </w:rPr>
            </w:pPr>
            <w:r w:rsidRPr="00CC2819">
              <w:rPr>
                <w:rFonts w:ascii="Arial Narrow" w:hAnsi="Arial Narrow" w:cs="Arial"/>
                <w:sz w:val="20"/>
              </w:rPr>
              <w:t>N=126</w:t>
            </w:r>
          </w:p>
        </w:tc>
        <w:tc>
          <w:tcPr>
            <w:tcW w:w="1979" w:type="dxa"/>
          </w:tcPr>
          <w:p w14:paraId="2DA2F806" w14:textId="77777777" w:rsidR="007B10A2" w:rsidRPr="003C05D1" w:rsidRDefault="007B10A2" w:rsidP="007B10A2">
            <w:pPr>
              <w:pStyle w:val="Tabletext0"/>
              <w:rPr>
                <w:szCs w:val="20"/>
              </w:rPr>
            </w:pPr>
            <w:r w:rsidRPr="003C05D1">
              <w:rPr>
                <w:szCs w:val="20"/>
              </w:rPr>
              <w:t>Downgraded for pre-post trial design.</w:t>
            </w:r>
          </w:p>
          <w:p w14:paraId="6011BCF8" w14:textId="77777777" w:rsidR="007B10A2" w:rsidRPr="003C05D1" w:rsidRDefault="007B10A2" w:rsidP="007B10A2">
            <w:pPr>
              <w:spacing w:before="40" w:after="40"/>
              <w:rPr>
                <w:rFonts w:ascii="Arial Narrow" w:hAnsi="Arial Narrow" w:cs="Arial"/>
                <w:sz w:val="20"/>
                <w:vertAlign w:val="superscript"/>
              </w:rPr>
            </w:pPr>
            <w:r w:rsidRPr="00CD6E33">
              <w:rPr>
                <w:rFonts w:ascii="Arial Narrow" w:hAnsi="Arial Narrow"/>
                <w:sz w:val="20"/>
              </w:rPr>
              <w:t xml:space="preserve"> </w:t>
            </w:r>
            <w:r w:rsidRPr="00CD6E33">
              <w:rPr>
                <w:rFonts w:ascii="Cambria Math" w:hAnsi="Cambria Math" w:cs="Cambria Math"/>
                <w:color w:val="00B050"/>
                <w:sz w:val="20"/>
              </w:rPr>
              <w:t>⨁⨁⨁</w:t>
            </w:r>
            <w:r w:rsidRPr="00CD6E33">
              <w:rPr>
                <w:rFonts w:ascii="Cambria Math" w:hAnsi="Cambria Math" w:cs="Cambria Math"/>
                <w:color w:val="C00000"/>
                <w:sz w:val="20"/>
              </w:rPr>
              <w:t>⨀</w:t>
            </w:r>
            <w:r w:rsidRPr="00CD6E33">
              <w:rPr>
                <w:rFonts w:ascii="Arial Narrow" w:hAnsi="Arial Narrow" w:cs="Cambria Math"/>
                <w:color w:val="C00000"/>
                <w:sz w:val="20"/>
              </w:rPr>
              <w:t xml:space="preserve"> </w:t>
            </w:r>
            <w:r w:rsidRPr="00CD6E33">
              <w:rPr>
                <w:rFonts w:ascii="Arial Narrow" w:hAnsi="Arial Narrow"/>
                <w:sz w:val="20"/>
              </w:rPr>
              <w:t xml:space="preserve"> </w:t>
            </w:r>
          </w:p>
        </w:tc>
        <w:tc>
          <w:tcPr>
            <w:tcW w:w="1675" w:type="dxa"/>
          </w:tcPr>
          <w:p w14:paraId="238B582D" w14:textId="77777777" w:rsidR="007B10A2" w:rsidRPr="00CC2819" w:rsidRDefault="007B10A2" w:rsidP="007B10A2">
            <w:pPr>
              <w:spacing w:before="40" w:after="40"/>
              <w:rPr>
                <w:rFonts w:ascii="Arial Narrow" w:hAnsi="Arial Narrow" w:cs="Arial"/>
                <w:sz w:val="20"/>
              </w:rPr>
            </w:pPr>
            <w:r w:rsidRPr="00CC2819">
              <w:rPr>
                <w:rFonts w:ascii="Arial Narrow" w:hAnsi="Arial Narrow" w:cs="Arial"/>
                <w:sz w:val="20"/>
                <w:vertAlign w:val="superscript"/>
              </w:rPr>
              <w:t>-</w:t>
            </w:r>
            <w:r>
              <w:rPr>
                <w:rFonts w:ascii="Arial Narrow" w:hAnsi="Arial Narrow" w:cs="Arial"/>
                <w:sz w:val="20"/>
              </w:rPr>
              <w:t>4</w:t>
            </w:r>
            <w:r w:rsidRPr="00CC2819">
              <w:rPr>
                <w:rFonts w:ascii="Arial Narrow" w:hAnsi="Arial Narrow" w:cs="Arial"/>
                <w:sz w:val="20"/>
              </w:rPr>
              <w:t>.3 +/- 0.6</w:t>
            </w:r>
          </w:p>
          <w:p w14:paraId="33C28745" w14:textId="77777777" w:rsidR="007B10A2" w:rsidRPr="00CC2819" w:rsidRDefault="007B10A2" w:rsidP="007B10A2">
            <w:pPr>
              <w:spacing w:before="40" w:after="40"/>
              <w:rPr>
                <w:rFonts w:ascii="Arial Narrow" w:hAnsi="Arial Narrow" w:cs="Arial"/>
                <w:sz w:val="20"/>
                <w:vertAlign w:val="superscript"/>
              </w:rPr>
            </w:pPr>
            <w:r w:rsidRPr="00CC2819">
              <w:rPr>
                <w:rFonts w:ascii="Arial Narrow" w:hAnsi="Arial Narrow" w:cs="Arial"/>
                <w:sz w:val="20"/>
              </w:rPr>
              <w:t>(CI – 5.4 to -3.2)</w:t>
            </w:r>
          </w:p>
        </w:tc>
        <w:tc>
          <w:tcPr>
            <w:tcW w:w="1508" w:type="dxa"/>
          </w:tcPr>
          <w:p w14:paraId="48CC4280" w14:textId="77777777" w:rsidR="007B10A2" w:rsidRPr="00CC2819" w:rsidRDefault="007B10A2" w:rsidP="007B10A2">
            <w:pPr>
              <w:spacing w:before="40" w:after="40"/>
              <w:rPr>
                <w:rFonts w:ascii="Arial Narrow" w:hAnsi="Arial Narrow" w:cs="Arial"/>
                <w:sz w:val="20"/>
              </w:rPr>
            </w:pPr>
            <w:r w:rsidRPr="00CC2819">
              <w:rPr>
                <w:rFonts w:ascii="Arial Narrow" w:hAnsi="Arial Narrow" w:cs="Arial"/>
                <w:sz w:val="20"/>
              </w:rPr>
              <w:t>Participants unable to be blinded to intervention</w:t>
            </w:r>
          </w:p>
        </w:tc>
      </w:tr>
      <w:tr w:rsidR="007B10A2" w14:paraId="79EF9ECA" w14:textId="77777777" w:rsidTr="00D4500F">
        <w:tc>
          <w:tcPr>
            <w:tcW w:w="1686" w:type="dxa"/>
          </w:tcPr>
          <w:p w14:paraId="68B64468" w14:textId="77777777" w:rsidR="007B10A2" w:rsidRPr="00CC2819" w:rsidRDefault="007B10A2" w:rsidP="007B10A2">
            <w:pPr>
              <w:spacing w:before="40" w:after="40"/>
              <w:rPr>
                <w:rFonts w:ascii="Arial Narrow" w:hAnsi="Arial Narrow" w:cs="Arial"/>
                <w:sz w:val="20"/>
              </w:rPr>
            </w:pPr>
            <w:r>
              <w:rPr>
                <w:rFonts w:ascii="Arial Narrow" w:hAnsi="Arial Narrow" w:cs="Arial"/>
                <w:sz w:val="20"/>
              </w:rPr>
              <w:t>AHI Difference</w:t>
            </w:r>
          </w:p>
        </w:tc>
        <w:tc>
          <w:tcPr>
            <w:tcW w:w="2145" w:type="dxa"/>
          </w:tcPr>
          <w:p w14:paraId="336B38FA" w14:textId="77777777" w:rsidR="007B10A2" w:rsidRPr="00CC2819" w:rsidRDefault="007B10A2" w:rsidP="007B10A2">
            <w:pPr>
              <w:spacing w:before="40" w:after="40"/>
              <w:rPr>
                <w:rFonts w:ascii="Arial Narrow" w:hAnsi="Arial Narrow" w:cs="Arial"/>
                <w:sz w:val="20"/>
              </w:rPr>
            </w:pPr>
            <w:r w:rsidRPr="00CC2819">
              <w:rPr>
                <w:rFonts w:ascii="Arial Narrow" w:hAnsi="Arial Narrow" w:cs="Arial"/>
                <w:sz w:val="20"/>
              </w:rPr>
              <w:t>I study RCT therapy withdrawal trial N=</w:t>
            </w:r>
            <w:r>
              <w:rPr>
                <w:rFonts w:ascii="Arial Narrow" w:hAnsi="Arial Narrow" w:cs="Arial"/>
                <w:sz w:val="20"/>
              </w:rPr>
              <w:t>46</w:t>
            </w:r>
          </w:p>
        </w:tc>
        <w:tc>
          <w:tcPr>
            <w:tcW w:w="1979" w:type="dxa"/>
          </w:tcPr>
          <w:p w14:paraId="33759794" w14:textId="77777777" w:rsidR="007B10A2" w:rsidRPr="003C05D1" w:rsidRDefault="007B10A2" w:rsidP="007B10A2">
            <w:pPr>
              <w:pStyle w:val="Tabletext0"/>
              <w:rPr>
                <w:szCs w:val="20"/>
              </w:rPr>
            </w:pPr>
            <w:r w:rsidRPr="003C05D1">
              <w:rPr>
                <w:rFonts w:cs="Cambria Math"/>
                <w:szCs w:val="20"/>
              </w:rPr>
              <w:t>Downgraded lack of reporting of method of randomisation (PSG assessment blinded)</w:t>
            </w:r>
            <w:r w:rsidRPr="00CD6E33">
              <w:rPr>
                <w:rFonts w:cs="Cambria Math"/>
                <w:color w:val="C00000"/>
                <w:szCs w:val="20"/>
              </w:rPr>
              <w:t xml:space="preserve"> </w:t>
            </w:r>
            <w:r w:rsidRPr="003C05D1">
              <w:rPr>
                <w:szCs w:val="20"/>
              </w:rPr>
              <w:t xml:space="preserve"> </w:t>
            </w:r>
          </w:p>
          <w:p w14:paraId="4144CA8E" w14:textId="77777777" w:rsidR="007B10A2" w:rsidRPr="00123EA8" w:rsidRDefault="007B10A2" w:rsidP="007B10A2">
            <w:pPr>
              <w:spacing w:before="40" w:after="40"/>
            </w:pPr>
            <w:r w:rsidRPr="003C05D1">
              <w:rPr>
                <w:rFonts w:ascii="Cambria Math" w:hAnsi="Cambria Math" w:cs="Cambria Math"/>
                <w:color w:val="00B050"/>
                <w:sz w:val="20"/>
              </w:rPr>
              <w:t>⨁⨁⨁</w:t>
            </w:r>
            <w:r w:rsidRPr="005F3360">
              <w:rPr>
                <w:rFonts w:ascii="Cambria Math" w:hAnsi="Cambria Math" w:cs="Cambria Math"/>
                <w:color w:val="C00000"/>
                <w:sz w:val="20"/>
              </w:rPr>
              <w:t>⨀</w:t>
            </w:r>
          </w:p>
        </w:tc>
        <w:tc>
          <w:tcPr>
            <w:tcW w:w="1675" w:type="dxa"/>
          </w:tcPr>
          <w:p w14:paraId="071B6F7F" w14:textId="77777777" w:rsidR="007B10A2" w:rsidRPr="00CC2819" w:rsidRDefault="007B10A2" w:rsidP="007B10A2">
            <w:pPr>
              <w:spacing w:before="40" w:after="40"/>
              <w:rPr>
                <w:rFonts w:ascii="Arial Narrow" w:hAnsi="Arial Narrow" w:cs="Arial"/>
                <w:sz w:val="20"/>
              </w:rPr>
            </w:pPr>
            <w:r>
              <w:rPr>
                <w:rFonts w:ascii="Arial Narrow" w:hAnsi="Arial Narrow" w:cs="Arial"/>
                <w:sz w:val="20"/>
              </w:rPr>
              <w:t>-16.9 (-24.7,-9.0) &lt;0.001</w:t>
            </w:r>
          </w:p>
          <w:p w14:paraId="429120AC" w14:textId="77777777" w:rsidR="007B10A2" w:rsidRPr="00CC2819" w:rsidRDefault="007B10A2" w:rsidP="007B10A2">
            <w:pPr>
              <w:spacing w:before="40" w:after="40"/>
              <w:rPr>
                <w:rFonts w:ascii="Arial Narrow" w:hAnsi="Arial Narrow" w:cs="Arial"/>
                <w:sz w:val="20"/>
              </w:rPr>
            </w:pPr>
          </w:p>
        </w:tc>
        <w:tc>
          <w:tcPr>
            <w:tcW w:w="1508" w:type="dxa"/>
          </w:tcPr>
          <w:p w14:paraId="549F2F8A" w14:textId="77777777" w:rsidR="007B10A2" w:rsidRPr="00CC2819" w:rsidRDefault="007B10A2" w:rsidP="007B10A2">
            <w:pPr>
              <w:spacing w:before="40" w:after="40"/>
              <w:rPr>
                <w:rFonts w:ascii="Arial Narrow" w:hAnsi="Arial Narrow" w:cs="Arial"/>
                <w:sz w:val="20"/>
              </w:rPr>
            </w:pPr>
          </w:p>
        </w:tc>
      </w:tr>
      <w:tr w:rsidR="007B10A2" w14:paraId="5DA40247" w14:textId="77777777" w:rsidTr="00D4500F">
        <w:tc>
          <w:tcPr>
            <w:tcW w:w="1686" w:type="dxa"/>
          </w:tcPr>
          <w:p w14:paraId="78ABAD88" w14:textId="77777777" w:rsidR="007B10A2" w:rsidRPr="00CC2819" w:rsidRDefault="007B10A2" w:rsidP="007B10A2">
            <w:pPr>
              <w:spacing w:before="40" w:after="40"/>
              <w:rPr>
                <w:rFonts w:ascii="Arial Narrow" w:hAnsi="Arial Narrow" w:cs="Arial"/>
                <w:sz w:val="20"/>
              </w:rPr>
            </w:pPr>
            <w:r w:rsidRPr="00CC2819">
              <w:rPr>
                <w:rFonts w:ascii="Arial Narrow" w:hAnsi="Arial Narrow" w:cs="Arial"/>
                <w:sz w:val="20"/>
              </w:rPr>
              <w:t>ODI</w:t>
            </w:r>
            <w:r>
              <w:rPr>
                <w:rFonts w:ascii="Arial Narrow" w:hAnsi="Arial Narrow" w:cs="Arial"/>
                <w:sz w:val="20"/>
              </w:rPr>
              <w:t xml:space="preserve"> Difference </w:t>
            </w:r>
          </w:p>
        </w:tc>
        <w:tc>
          <w:tcPr>
            <w:tcW w:w="2145" w:type="dxa"/>
          </w:tcPr>
          <w:p w14:paraId="6D2D27E0" w14:textId="77777777" w:rsidR="007B10A2" w:rsidRPr="00CC2819" w:rsidRDefault="007B10A2" w:rsidP="007B10A2">
            <w:pPr>
              <w:spacing w:before="40" w:after="40"/>
              <w:rPr>
                <w:rFonts w:ascii="Arial Narrow" w:hAnsi="Arial Narrow" w:cs="Arial"/>
                <w:sz w:val="20"/>
              </w:rPr>
            </w:pPr>
            <w:r w:rsidRPr="00CC2819">
              <w:rPr>
                <w:rFonts w:ascii="Arial Narrow" w:hAnsi="Arial Narrow" w:cs="Arial"/>
                <w:sz w:val="20"/>
              </w:rPr>
              <w:t>I study RCT therapy withdrawal trial N=</w:t>
            </w:r>
            <w:r>
              <w:rPr>
                <w:rFonts w:ascii="Arial Narrow" w:hAnsi="Arial Narrow" w:cs="Arial"/>
                <w:sz w:val="20"/>
              </w:rPr>
              <w:t>46</w:t>
            </w:r>
          </w:p>
        </w:tc>
        <w:tc>
          <w:tcPr>
            <w:tcW w:w="1979" w:type="dxa"/>
          </w:tcPr>
          <w:p w14:paraId="785FA4BF" w14:textId="77777777" w:rsidR="007B10A2" w:rsidRPr="003C05D1" w:rsidRDefault="007B10A2" w:rsidP="007B10A2">
            <w:pPr>
              <w:pStyle w:val="Tabletext0"/>
              <w:rPr>
                <w:szCs w:val="20"/>
              </w:rPr>
            </w:pPr>
            <w:r w:rsidRPr="003C05D1">
              <w:rPr>
                <w:rFonts w:cs="Cambria Math"/>
                <w:szCs w:val="20"/>
              </w:rPr>
              <w:t>Downgraded lack of reporting of method of randomisation (PSG assessment blinded)</w:t>
            </w:r>
            <w:r w:rsidRPr="00CD6E33">
              <w:rPr>
                <w:rFonts w:cs="Cambria Math"/>
                <w:color w:val="C00000"/>
                <w:szCs w:val="20"/>
              </w:rPr>
              <w:t xml:space="preserve"> </w:t>
            </w:r>
            <w:r w:rsidRPr="003C05D1">
              <w:rPr>
                <w:szCs w:val="20"/>
              </w:rPr>
              <w:t xml:space="preserve"> </w:t>
            </w:r>
          </w:p>
          <w:p w14:paraId="084034A4" w14:textId="77777777" w:rsidR="007B10A2" w:rsidRPr="00123EA8" w:rsidRDefault="007B10A2" w:rsidP="007B10A2">
            <w:pPr>
              <w:spacing w:before="40" w:after="40"/>
            </w:pPr>
            <w:r w:rsidRPr="003C05D1">
              <w:rPr>
                <w:rFonts w:ascii="Cambria Math" w:hAnsi="Cambria Math" w:cs="Cambria Math"/>
                <w:color w:val="00B050"/>
                <w:sz w:val="20"/>
              </w:rPr>
              <w:t>⨁⨁⨁</w:t>
            </w:r>
            <w:r w:rsidRPr="005F3360">
              <w:rPr>
                <w:rFonts w:ascii="Cambria Math" w:hAnsi="Cambria Math" w:cs="Cambria Math"/>
                <w:color w:val="C00000"/>
                <w:sz w:val="20"/>
              </w:rPr>
              <w:t>⨀</w:t>
            </w:r>
          </w:p>
        </w:tc>
        <w:tc>
          <w:tcPr>
            <w:tcW w:w="1675" w:type="dxa"/>
          </w:tcPr>
          <w:p w14:paraId="223037CB" w14:textId="77777777" w:rsidR="007B10A2" w:rsidRPr="00F61F30" w:rsidRDefault="007B10A2" w:rsidP="007B10A2">
            <w:pPr>
              <w:spacing w:before="40" w:after="40"/>
              <w:rPr>
                <w:rFonts w:ascii="Arial Narrow" w:hAnsi="Arial Narrow" w:cs="Arial"/>
                <w:sz w:val="20"/>
              </w:rPr>
            </w:pPr>
            <w:r>
              <w:rPr>
                <w:rFonts w:ascii="Arial Narrow" w:hAnsi="Arial Narrow" w:cs="Arial"/>
                <w:sz w:val="20"/>
              </w:rPr>
              <w:t>-15.1 (-22.7,-7.5)  p&lt;0.001</w:t>
            </w:r>
          </w:p>
        </w:tc>
        <w:tc>
          <w:tcPr>
            <w:tcW w:w="1508" w:type="dxa"/>
          </w:tcPr>
          <w:p w14:paraId="2ED933C6" w14:textId="77777777" w:rsidR="007B10A2" w:rsidRPr="00CC2819" w:rsidRDefault="007B10A2" w:rsidP="007B10A2">
            <w:pPr>
              <w:spacing w:before="40" w:after="40"/>
              <w:rPr>
                <w:rFonts w:ascii="Arial Narrow" w:hAnsi="Arial Narrow" w:cs="Arial"/>
                <w:sz w:val="20"/>
              </w:rPr>
            </w:pPr>
          </w:p>
        </w:tc>
      </w:tr>
      <w:tr w:rsidR="007B10A2" w14:paraId="2AE85656" w14:textId="77777777" w:rsidTr="00D4500F">
        <w:tc>
          <w:tcPr>
            <w:tcW w:w="1686" w:type="dxa"/>
          </w:tcPr>
          <w:p w14:paraId="77F84557" w14:textId="77777777" w:rsidR="007B10A2" w:rsidRPr="00CC2819" w:rsidRDefault="007B10A2" w:rsidP="007B10A2">
            <w:pPr>
              <w:spacing w:before="40" w:after="40"/>
              <w:rPr>
                <w:rFonts w:ascii="Arial Narrow" w:hAnsi="Arial Narrow" w:cs="Arial"/>
                <w:sz w:val="20"/>
              </w:rPr>
            </w:pPr>
            <w:r>
              <w:rPr>
                <w:rFonts w:ascii="Arial Narrow" w:hAnsi="Arial Narrow" w:cs="Arial"/>
                <w:sz w:val="20"/>
              </w:rPr>
              <w:t>Difference FOSQ</w:t>
            </w:r>
          </w:p>
        </w:tc>
        <w:tc>
          <w:tcPr>
            <w:tcW w:w="2145" w:type="dxa"/>
          </w:tcPr>
          <w:p w14:paraId="0A891BDC" w14:textId="77777777" w:rsidR="007B10A2" w:rsidRPr="00CC2819" w:rsidRDefault="007B10A2" w:rsidP="007B10A2">
            <w:pPr>
              <w:spacing w:before="40" w:after="40"/>
              <w:rPr>
                <w:rFonts w:ascii="Arial Narrow" w:hAnsi="Arial Narrow" w:cs="Arial"/>
                <w:sz w:val="20"/>
              </w:rPr>
            </w:pPr>
            <w:r w:rsidRPr="00F61F30">
              <w:rPr>
                <w:rFonts w:ascii="Arial Narrow" w:hAnsi="Arial Narrow" w:cs="Arial"/>
                <w:sz w:val="20"/>
              </w:rPr>
              <w:t>I study RCT therapy withdrawal trial N=46</w:t>
            </w:r>
          </w:p>
        </w:tc>
        <w:tc>
          <w:tcPr>
            <w:tcW w:w="1979" w:type="dxa"/>
          </w:tcPr>
          <w:p w14:paraId="48FE8723" w14:textId="77777777" w:rsidR="007B10A2" w:rsidRPr="003C05D1" w:rsidRDefault="007B10A2" w:rsidP="007B10A2">
            <w:pPr>
              <w:pStyle w:val="Tabletext0"/>
              <w:rPr>
                <w:rFonts w:cs="Cambria Math"/>
                <w:szCs w:val="20"/>
              </w:rPr>
            </w:pPr>
            <w:r w:rsidRPr="003C05D1">
              <w:rPr>
                <w:rFonts w:cs="Cambria Math"/>
                <w:szCs w:val="20"/>
              </w:rPr>
              <w:t>Downgraded not possible to blind subjects</w:t>
            </w:r>
          </w:p>
          <w:p w14:paraId="679316BD" w14:textId="77777777" w:rsidR="007B10A2" w:rsidRPr="00123EA8" w:rsidRDefault="007B10A2" w:rsidP="007B10A2">
            <w:pPr>
              <w:spacing w:before="40" w:after="40"/>
            </w:pPr>
            <w:r w:rsidRPr="005F3360">
              <w:rPr>
                <w:rFonts w:ascii="Cambria Math" w:hAnsi="Cambria Math" w:cs="Cambria Math"/>
                <w:color w:val="00B050"/>
                <w:sz w:val="20"/>
              </w:rPr>
              <w:t>⨁⨁</w:t>
            </w:r>
            <w:r w:rsidRPr="005F3360">
              <w:rPr>
                <w:rFonts w:ascii="Cambria Math" w:hAnsi="Cambria Math" w:cs="Cambria Math"/>
                <w:color w:val="C00000"/>
                <w:sz w:val="20"/>
              </w:rPr>
              <w:t>⨀⨀</w:t>
            </w:r>
          </w:p>
        </w:tc>
        <w:tc>
          <w:tcPr>
            <w:tcW w:w="1675" w:type="dxa"/>
          </w:tcPr>
          <w:p w14:paraId="10DC4660" w14:textId="77777777" w:rsidR="007B10A2" w:rsidRPr="00F61F30" w:rsidRDefault="007B10A2" w:rsidP="007B10A2">
            <w:pPr>
              <w:spacing w:before="40" w:after="40"/>
              <w:rPr>
                <w:rFonts w:ascii="Arial Narrow" w:hAnsi="Arial Narrow" w:cs="Arial"/>
                <w:sz w:val="20"/>
              </w:rPr>
            </w:pPr>
            <w:r>
              <w:rPr>
                <w:rFonts w:ascii="Arial Narrow" w:hAnsi="Arial Narrow" w:cs="Arial"/>
                <w:sz w:val="20"/>
              </w:rPr>
              <w:t>2.9 (0.8, 5.0)</w:t>
            </w:r>
          </w:p>
          <w:p w14:paraId="6D84920F" w14:textId="77777777" w:rsidR="007B10A2" w:rsidRPr="00F61F30" w:rsidRDefault="007B10A2" w:rsidP="007B10A2">
            <w:pPr>
              <w:spacing w:before="40" w:after="40"/>
              <w:rPr>
                <w:rFonts w:ascii="Arial Narrow" w:hAnsi="Arial Narrow" w:cs="Arial"/>
                <w:sz w:val="20"/>
              </w:rPr>
            </w:pPr>
            <w:r w:rsidRPr="00F61F30">
              <w:rPr>
                <w:rFonts w:ascii="Arial Narrow" w:hAnsi="Arial Narrow" w:cs="Arial"/>
                <w:sz w:val="20"/>
              </w:rPr>
              <w:t>(</w:t>
            </w:r>
            <w:r>
              <w:rPr>
                <w:rFonts w:ascii="Arial Narrow" w:hAnsi="Arial Narrow" w:cs="Arial"/>
                <w:sz w:val="20"/>
              </w:rPr>
              <w:t>0.8,5.0</w:t>
            </w:r>
            <w:r w:rsidRPr="00F61F30">
              <w:rPr>
                <w:rFonts w:ascii="Arial Narrow" w:hAnsi="Arial Narrow" w:cs="Arial"/>
                <w:sz w:val="20"/>
              </w:rPr>
              <w:t>)</w:t>
            </w:r>
          </w:p>
          <w:p w14:paraId="11E44AB4" w14:textId="77777777" w:rsidR="007B10A2" w:rsidRPr="00F61F30" w:rsidRDefault="007B10A2" w:rsidP="007B10A2">
            <w:pPr>
              <w:spacing w:before="40" w:after="40"/>
              <w:rPr>
                <w:rFonts w:ascii="Arial Narrow" w:hAnsi="Arial Narrow" w:cs="Arial"/>
                <w:sz w:val="20"/>
              </w:rPr>
            </w:pPr>
            <w:r w:rsidRPr="00F61F30">
              <w:rPr>
                <w:rFonts w:ascii="Arial Narrow" w:hAnsi="Arial Narrow" w:cs="Arial"/>
                <w:sz w:val="20"/>
              </w:rPr>
              <w:t>P=0</w:t>
            </w:r>
            <w:r>
              <w:rPr>
                <w:rFonts w:ascii="Arial Narrow" w:hAnsi="Arial Narrow" w:cs="Arial"/>
                <w:sz w:val="20"/>
              </w:rPr>
              <w:t>.008</w:t>
            </w:r>
          </w:p>
        </w:tc>
        <w:tc>
          <w:tcPr>
            <w:tcW w:w="1508" w:type="dxa"/>
          </w:tcPr>
          <w:p w14:paraId="7E129B9A" w14:textId="77777777" w:rsidR="007B10A2" w:rsidRPr="00CC2819" w:rsidRDefault="007B10A2" w:rsidP="007B10A2">
            <w:pPr>
              <w:spacing w:before="40" w:after="40"/>
              <w:rPr>
                <w:rFonts w:ascii="Arial Narrow" w:hAnsi="Arial Narrow" w:cs="Arial"/>
                <w:sz w:val="20"/>
              </w:rPr>
            </w:pPr>
            <w:r w:rsidRPr="00F61F30">
              <w:rPr>
                <w:rFonts w:ascii="Arial Narrow" w:hAnsi="Arial Narrow" w:cs="Arial"/>
                <w:sz w:val="20"/>
              </w:rPr>
              <w:t>Participants unable to be blinded to intervention</w:t>
            </w:r>
          </w:p>
        </w:tc>
      </w:tr>
      <w:tr w:rsidR="007B10A2" w14:paraId="4A076FA3" w14:textId="77777777" w:rsidTr="00D4500F">
        <w:tc>
          <w:tcPr>
            <w:tcW w:w="1686" w:type="dxa"/>
          </w:tcPr>
          <w:p w14:paraId="2E44F098" w14:textId="77777777" w:rsidR="007B10A2" w:rsidRDefault="007B10A2" w:rsidP="007B10A2">
            <w:pPr>
              <w:spacing w:before="40" w:after="40"/>
              <w:rPr>
                <w:rFonts w:ascii="Arial Narrow" w:hAnsi="Arial Narrow" w:cs="Arial"/>
                <w:sz w:val="20"/>
              </w:rPr>
            </w:pPr>
            <w:r>
              <w:rPr>
                <w:rFonts w:ascii="Arial Narrow" w:hAnsi="Arial Narrow" w:cs="Arial"/>
                <w:sz w:val="20"/>
              </w:rPr>
              <w:t>Difference ESS</w:t>
            </w:r>
          </w:p>
        </w:tc>
        <w:tc>
          <w:tcPr>
            <w:tcW w:w="2145" w:type="dxa"/>
          </w:tcPr>
          <w:p w14:paraId="25CEB869" w14:textId="77777777" w:rsidR="007B10A2" w:rsidRPr="00F61F30" w:rsidRDefault="007B10A2" w:rsidP="007B10A2">
            <w:pPr>
              <w:spacing w:before="40" w:after="40"/>
              <w:rPr>
                <w:rFonts w:ascii="Arial Narrow" w:hAnsi="Arial Narrow" w:cs="Arial"/>
                <w:sz w:val="20"/>
              </w:rPr>
            </w:pPr>
            <w:r w:rsidRPr="00F61F30">
              <w:rPr>
                <w:rFonts w:ascii="Arial Narrow" w:hAnsi="Arial Narrow" w:cs="Arial"/>
                <w:sz w:val="20"/>
              </w:rPr>
              <w:t>I study RCT therapy withdrawal trial N=46</w:t>
            </w:r>
          </w:p>
        </w:tc>
        <w:tc>
          <w:tcPr>
            <w:tcW w:w="1979" w:type="dxa"/>
          </w:tcPr>
          <w:p w14:paraId="068548AC" w14:textId="77777777" w:rsidR="007B10A2" w:rsidRPr="003C05D1" w:rsidRDefault="007B10A2" w:rsidP="007B10A2">
            <w:pPr>
              <w:spacing w:before="40" w:after="40"/>
              <w:rPr>
                <w:rFonts w:ascii="Arial Narrow" w:hAnsi="Arial Narrow" w:cs="Cambria Math"/>
                <w:sz w:val="20"/>
              </w:rPr>
            </w:pPr>
            <w:r w:rsidRPr="003C05D1">
              <w:rPr>
                <w:rFonts w:ascii="Arial Narrow" w:hAnsi="Arial Narrow" w:cs="Cambria Math"/>
                <w:sz w:val="20"/>
              </w:rPr>
              <w:t>Downgraded not possible to blind subjects</w:t>
            </w:r>
          </w:p>
          <w:p w14:paraId="4241AEA0" w14:textId="77777777" w:rsidR="007B10A2" w:rsidRPr="00123EA8" w:rsidRDefault="007B10A2" w:rsidP="007B10A2">
            <w:pPr>
              <w:spacing w:before="40" w:after="40"/>
            </w:pPr>
            <w:r w:rsidRPr="005F3360">
              <w:rPr>
                <w:rFonts w:ascii="Cambria Math" w:hAnsi="Cambria Math" w:cs="Cambria Math"/>
                <w:color w:val="00B050"/>
                <w:sz w:val="20"/>
              </w:rPr>
              <w:t>⨁⨁</w:t>
            </w:r>
            <w:r w:rsidRPr="005F3360">
              <w:rPr>
                <w:rFonts w:ascii="Cambria Math" w:hAnsi="Cambria Math" w:cs="Cambria Math"/>
                <w:color w:val="C00000"/>
                <w:sz w:val="20"/>
              </w:rPr>
              <w:t>⨀⨀</w:t>
            </w:r>
          </w:p>
        </w:tc>
        <w:tc>
          <w:tcPr>
            <w:tcW w:w="1675" w:type="dxa"/>
          </w:tcPr>
          <w:p w14:paraId="6CD4F62E" w14:textId="77777777" w:rsidR="007B10A2" w:rsidRPr="00F61F30" w:rsidRDefault="007B10A2" w:rsidP="007B10A2">
            <w:pPr>
              <w:spacing w:before="40" w:after="40"/>
              <w:rPr>
                <w:rFonts w:ascii="Arial Narrow" w:hAnsi="Arial Narrow" w:cs="Arial"/>
                <w:sz w:val="20"/>
              </w:rPr>
            </w:pPr>
            <w:r>
              <w:rPr>
                <w:rFonts w:ascii="Arial Narrow" w:hAnsi="Arial Narrow" w:cs="Arial"/>
                <w:sz w:val="20"/>
              </w:rPr>
              <w:t>-4.5 (-7.5, -1.4) P =0.5</w:t>
            </w:r>
          </w:p>
          <w:p w14:paraId="40F53C8B" w14:textId="77777777" w:rsidR="007B10A2" w:rsidRPr="00F61F30" w:rsidRDefault="007B10A2" w:rsidP="007B10A2">
            <w:pPr>
              <w:spacing w:before="40" w:after="40"/>
              <w:rPr>
                <w:rFonts w:ascii="Arial Narrow" w:hAnsi="Arial Narrow" w:cs="Arial"/>
                <w:sz w:val="20"/>
              </w:rPr>
            </w:pPr>
          </w:p>
        </w:tc>
        <w:tc>
          <w:tcPr>
            <w:tcW w:w="1508" w:type="dxa"/>
          </w:tcPr>
          <w:p w14:paraId="1B2087D3" w14:textId="77777777" w:rsidR="007B10A2" w:rsidRPr="00CC2819" w:rsidRDefault="007B10A2" w:rsidP="007B10A2">
            <w:pPr>
              <w:spacing w:before="40" w:after="40"/>
              <w:rPr>
                <w:rFonts w:ascii="Arial Narrow" w:hAnsi="Arial Narrow" w:cs="Arial"/>
                <w:sz w:val="20"/>
              </w:rPr>
            </w:pPr>
            <w:r w:rsidRPr="00CC2819">
              <w:rPr>
                <w:rFonts w:ascii="Arial Narrow" w:hAnsi="Arial Narrow" w:cs="Arial"/>
                <w:sz w:val="20"/>
              </w:rPr>
              <w:t>Participants unable to be blinded to intervention</w:t>
            </w:r>
          </w:p>
        </w:tc>
      </w:tr>
    </w:tbl>
    <w:p w14:paraId="1A528CB8" w14:textId="77777777" w:rsidR="007B10A2" w:rsidRDefault="007B10A2" w:rsidP="007B10A2">
      <w:pPr>
        <w:rPr>
          <w:rFonts w:ascii="Arial Narrow" w:hAnsi="Arial Narrow" w:cs="Arial"/>
          <w:snapToGrid w:val="0"/>
          <w:sz w:val="18"/>
          <w:lang w:eastAsia="en-US"/>
        </w:rPr>
      </w:pPr>
      <w:proofErr w:type="gramStart"/>
      <w:r w:rsidRPr="00E10B76">
        <w:rPr>
          <w:rFonts w:ascii="Arial Narrow" w:hAnsi="Arial Narrow" w:cs="Arial"/>
          <w:sz w:val="18"/>
          <w:szCs w:val="18"/>
          <w:vertAlign w:val="superscript"/>
        </w:rPr>
        <w:t>a</w:t>
      </w:r>
      <w:proofErr w:type="gramEnd"/>
      <w:r w:rsidRPr="00E10B76">
        <w:rPr>
          <w:rFonts w:ascii="Arial Narrow" w:hAnsi="Arial Narrow" w:cs="Arial"/>
          <w:sz w:val="18"/>
          <w:szCs w:val="18"/>
          <w:vertAlign w:val="superscript"/>
        </w:rPr>
        <w:t xml:space="preserve"> </w:t>
      </w:r>
      <w:r w:rsidRPr="00E10B76">
        <w:rPr>
          <w:rFonts w:ascii="Arial Narrow" w:hAnsi="Arial Narrow" w:cs="Arial"/>
          <w:sz w:val="18"/>
          <w:szCs w:val="18"/>
        </w:rPr>
        <w:t>GRADE Working Group grades of evidence</w:t>
      </w:r>
      <w:r>
        <w:rPr>
          <w:rFonts w:ascii="Arial Narrow" w:hAnsi="Arial Narrow" w:cs="Arial"/>
          <w:sz w:val="18"/>
          <w:szCs w:val="18"/>
        </w:rPr>
        <w:t xml:space="preserve"> (</w:t>
      </w:r>
      <w:proofErr w:type="spellStart"/>
      <w:r>
        <w:rPr>
          <w:rFonts w:ascii="Arial Narrow" w:hAnsi="Arial Narrow" w:cs="Arial"/>
          <w:sz w:val="18"/>
          <w:szCs w:val="18"/>
        </w:rPr>
        <w:t>Guyatt</w:t>
      </w:r>
      <w:proofErr w:type="spellEnd"/>
      <w:r>
        <w:rPr>
          <w:rFonts w:ascii="Arial Narrow" w:hAnsi="Arial Narrow" w:cs="Arial"/>
          <w:sz w:val="18"/>
          <w:szCs w:val="18"/>
        </w:rPr>
        <w:t xml:space="preserve"> et al., 2013)</w:t>
      </w:r>
      <w:r w:rsidRPr="00E10B76">
        <w:rPr>
          <w:rFonts w:ascii="Arial Narrow" w:hAnsi="Arial Narrow" w:cs="Arial"/>
          <w:sz w:val="18"/>
          <w:szCs w:val="18"/>
        </w:rPr>
        <w:br/>
      </w:r>
      <w:r w:rsidRPr="00CD6E33">
        <w:rPr>
          <w:rFonts w:ascii="Cambria Math" w:hAnsi="Cambria Math"/>
          <w:color w:val="00B050"/>
          <w:sz w:val="18"/>
          <w:szCs w:val="18"/>
        </w:rPr>
        <w:t xml:space="preserve">⨁⨁⨁⨁ </w:t>
      </w:r>
      <w:r w:rsidRPr="003C05D1">
        <w:rPr>
          <w:rFonts w:ascii="Arial Narrow" w:hAnsi="Arial Narrow" w:cs="Arial"/>
          <w:b/>
          <w:bCs/>
          <w:sz w:val="18"/>
          <w:szCs w:val="18"/>
        </w:rPr>
        <w:t>High quality:</w:t>
      </w:r>
      <w:r w:rsidRPr="003C05D1">
        <w:rPr>
          <w:rFonts w:ascii="Arial Narrow" w:hAnsi="Arial Narrow" w:cs="Arial"/>
          <w:sz w:val="18"/>
          <w:szCs w:val="18"/>
        </w:rPr>
        <w:t xml:space="preserve"> </w:t>
      </w:r>
      <w:r w:rsidRPr="005F3360">
        <w:rPr>
          <w:rFonts w:ascii="Arial Narrow" w:hAnsi="Arial Narrow" w:cs="Arial"/>
          <w:sz w:val="18"/>
          <w:szCs w:val="18"/>
        </w:rPr>
        <w:t xml:space="preserve">We are very confident that the true effect lies close to that of the estimate of effect. </w:t>
      </w:r>
      <w:r w:rsidRPr="005F3360">
        <w:rPr>
          <w:rFonts w:ascii="Arial Narrow" w:hAnsi="Arial Narrow" w:cs="Arial"/>
          <w:sz w:val="18"/>
          <w:szCs w:val="18"/>
        </w:rPr>
        <w:br/>
      </w:r>
      <w:r w:rsidRPr="00CD6E33">
        <w:rPr>
          <w:rFonts w:ascii="Cambria Math" w:hAnsi="Cambria Math"/>
          <w:color w:val="00B050"/>
          <w:sz w:val="18"/>
          <w:szCs w:val="18"/>
        </w:rPr>
        <w:t>⨁⨁⨁</w:t>
      </w:r>
      <w:r w:rsidRPr="00CD6E33">
        <w:rPr>
          <w:rFonts w:ascii="Cambria Math" w:hAnsi="Cambria Math" w:cs="Cambria Math"/>
          <w:color w:val="C00000"/>
          <w:sz w:val="18"/>
          <w:szCs w:val="18"/>
        </w:rPr>
        <w:t xml:space="preserve">⨀ </w:t>
      </w:r>
      <w:r w:rsidRPr="003C05D1">
        <w:rPr>
          <w:rFonts w:ascii="Arial Narrow" w:hAnsi="Arial Narrow" w:cs="Arial"/>
          <w:b/>
          <w:bCs/>
          <w:sz w:val="18"/>
          <w:szCs w:val="18"/>
        </w:rPr>
        <w:t>Moderate quality:</w:t>
      </w:r>
      <w:r w:rsidRPr="003C05D1">
        <w:rPr>
          <w:rFonts w:ascii="Arial Narrow" w:hAnsi="Arial Narrow" w:cs="Arial"/>
          <w:sz w:val="18"/>
          <w:szCs w:val="18"/>
        </w:rPr>
        <w:t xml:space="preserve"> </w:t>
      </w:r>
      <w:r w:rsidRPr="005F3360">
        <w:rPr>
          <w:rFonts w:ascii="Arial Narrow" w:hAnsi="Arial Narrow" w:cs="Arial"/>
          <w:sz w:val="18"/>
          <w:szCs w:val="18"/>
        </w:rPr>
        <w:t xml:space="preserve">We are moderately confident in the effect estimate: The true effect is likely to be close to the estimate of the effect, but there is a possibility that it is substantially different. </w:t>
      </w:r>
      <w:r w:rsidRPr="005F3360">
        <w:rPr>
          <w:rFonts w:ascii="Arial Narrow" w:hAnsi="Arial Narrow" w:cs="Arial"/>
          <w:sz w:val="18"/>
          <w:szCs w:val="18"/>
        </w:rPr>
        <w:br/>
      </w:r>
      <w:r w:rsidRPr="00CD6E33">
        <w:rPr>
          <w:rFonts w:ascii="Cambria Math" w:hAnsi="Cambria Math"/>
          <w:color w:val="00B050"/>
          <w:sz w:val="18"/>
          <w:szCs w:val="18"/>
        </w:rPr>
        <w:t>⨁⨁</w:t>
      </w:r>
      <w:r w:rsidRPr="00CD6E33">
        <w:rPr>
          <w:rFonts w:ascii="Cambria Math" w:hAnsi="Cambria Math" w:cs="Cambria Math"/>
          <w:color w:val="C00000"/>
          <w:sz w:val="18"/>
          <w:szCs w:val="18"/>
        </w:rPr>
        <w:t xml:space="preserve">⨀⨀ </w:t>
      </w:r>
      <w:r w:rsidRPr="003C05D1">
        <w:rPr>
          <w:rFonts w:ascii="Arial Narrow" w:hAnsi="Arial Narrow" w:cs="Arial"/>
          <w:b/>
          <w:bCs/>
          <w:sz w:val="18"/>
          <w:szCs w:val="18"/>
        </w:rPr>
        <w:t>Low quality:</w:t>
      </w:r>
      <w:r w:rsidRPr="003C05D1">
        <w:rPr>
          <w:rFonts w:ascii="Arial Narrow" w:hAnsi="Arial Narrow" w:cs="Arial"/>
          <w:sz w:val="18"/>
          <w:szCs w:val="18"/>
        </w:rPr>
        <w:t xml:space="preserve"> </w:t>
      </w:r>
      <w:r w:rsidRPr="005F3360">
        <w:rPr>
          <w:rFonts w:ascii="Arial Narrow" w:hAnsi="Arial Narrow" w:cs="Arial"/>
          <w:sz w:val="18"/>
          <w:szCs w:val="18"/>
        </w:rPr>
        <w:t>Our confidence in the effect estimate is limited: The true effect may be substantially different from the estimate of the effect.</w:t>
      </w:r>
      <w:r w:rsidRPr="00E10B76">
        <w:rPr>
          <w:rFonts w:ascii="Arial Narrow" w:hAnsi="Arial Narrow" w:cs="Arial"/>
          <w:sz w:val="18"/>
          <w:szCs w:val="18"/>
        </w:rPr>
        <w:br/>
      </w:r>
      <w:r w:rsidRPr="00CD6E33">
        <w:rPr>
          <w:rFonts w:ascii="Cambria Math" w:hAnsi="Cambria Math"/>
          <w:color w:val="00B050"/>
          <w:sz w:val="18"/>
          <w:szCs w:val="18"/>
        </w:rPr>
        <w:t>⨁</w:t>
      </w:r>
      <w:r w:rsidRPr="00CD6E33">
        <w:rPr>
          <w:rFonts w:ascii="Cambria Math" w:hAnsi="Cambria Math" w:cs="Cambria Math"/>
          <w:color w:val="C00000"/>
          <w:sz w:val="18"/>
          <w:szCs w:val="18"/>
        </w:rPr>
        <w:t xml:space="preserve">⨀⨀⨀ </w:t>
      </w:r>
      <w:r w:rsidRPr="003C05D1">
        <w:rPr>
          <w:rFonts w:ascii="Arial Narrow" w:hAnsi="Arial Narrow" w:cs="Arial"/>
          <w:b/>
          <w:bCs/>
          <w:sz w:val="18"/>
          <w:szCs w:val="18"/>
        </w:rPr>
        <w:t>Very low quality:</w:t>
      </w:r>
      <w:r w:rsidRPr="003C05D1">
        <w:rPr>
          <w:rFonts w:ascii="Arial Narrow" w:hAnsi="Arial Narrow" w:cs="Arial"/>
          <w:sz w:val="18"/>
          <w:szCs w:val="18"/>
        </w:rPr>
        <w:t xml:space="preserve"> </w:t>
      </w:r>
      <w:r w:rsidRPr="005F3360">
        <w:rPr>
          <w:rFonts w:ascii="Arial Narrow" w:hAnsi="Arial Narrow" w:cs="Arial"/>
          <w:sz w:val="18"/>
          <w:szCs w:val="18"/>
        </w:rPr>
        <w:t xml:space="preserve">We have very little confidence in the effect estimate: The true effect is likely to be substantially different from the estimate of effect. </w:t>
      </w:r>
      <w:r w:rsidRPr="00123EA8">
        <w:rPr>
          <w:rFonts w:ascii="Arial Narrow" w:hAnsi="Arial Narrow" w:cs="Arial"/>
          <w:snapToGrid w:val="0"/>
          <w:sz w:val="18"/>
          <w:szCs w:val="18"/>
          <w:lang w:eastAsia="en-US"/>
        </w:rPr>
        <w:t>SD=standard deviation; CI= 95% Confidence Interval</w:t>
      </w:r>
    </w:p>
    <w:p w14:paraId="6BED33C7" w14:textId="77777777" w:rsidR="007B10A2" w:rsidRPr="000A77C8" w:rsidRDefault="007B10A2" w:rsidP="00B36E72">
      <w:pPr>
        <w:spacing w:after="240"/>
        <w:rPr>
          <w:rFonts w:ascii="Arial Narrow" w:hAnsi="Arial Narrow" w:cs="Arial"/>
          <w:snapToGrid w:val="0"/>
          <w:sz w:val="18"/>
          <w:lang w:eastAsia="en-US"/>
        </w:rPr>
      </w:pPr>
      <w:bookmarkStart w:id="15" w:name="_Hlk42333658"/>
      <w:r>
        <w:rPr>
          <w:rFonts w:ascii="Arial Narrow" w:hAnsi="Arial Narrow" w:cs="Arial"/>
          <w:snapToGrid w:val="0"/>
          <w:sz w:val="18"/>
          <w:lang w:eastAsia="en-US"/>
        </w:rPr>
        <w:t xml:space="preserve">AHI: Apnoea hypopnoea index, ODI: Oxygen Desaturation Index, FOSQ: Functional Outcomes of Sleep Questionnaire, ESS: Epworth Sleepiness Scale </w:t>
      </w:r>
    </w:p>
    <w:bookmarkEnd w:id="15"/>
    <w:p w14:paraId="05E83755" w14:textId="77777777" w:rsidR="007B10A2" w:rsidRDefault="007B10A2" w:rsidP="00B36E72">
      <w:pPr>
        <w:spacing w:after="240"/>
        <w:rPr>
          <w:iCs/>
        </w:rPr>
      </w:pPr>
      <w:r>
        <w:rPr>
          <w:iCs/>
        </w:rPr>
        <w:t>The commentary raised a number of concerns with the comparative evidence presented by the ADAR:</w:t>
      </w:r>
    </w:p>
    <w:p w14:paraId="389F69DB" w14:textId="77777777" w:rsidR="007B10A2" w:rsidRPr="0097596D" w:rsidRDefault="007B10A2" w:rsidP="00B36E72">
      <w:pPr>
        <w:pStyle w:val="ListParagraph"/>
        <w:numPr>
          <w:ilvl w:val="0"/>
          <w:numId w:val="33"/>
        </w:numPr>
        <w:spacing w:after="240"/>
        <w:rPr>
          <w:i/>
          <w:iCs/>
        </w:rPr>
      </w:pPr>
      <w:r>
        <w:t xml:space="preserve">The baseline values in the STAR study </w:t>
      </w:r>
      <w:proofErr w:type="gramStart"/>
      <w:r>
        <w:t>were assumed</w:t>
      </w:r>
      <w:proofErr w:type="gramEnd"/>
      <w:r>
        <w:t xml:space="preserve"> in the ADAR to be representative of MMS </w:t>
      </w:r>
      <w:r w:rsidRPr="0067260D">
        <w:t>therapy.  However, the</w:t>
      </w:r>
      <w:r w:rsidRPr="0097596D">
        <w:rPr>
          <w:iCs/>
        </w:rPr>
        <w:t xml:space="preserve"> ADAR did not provide any evidence to support this </w:t>
      </w:r>
      <w:proofErr w:type="gramStart"/>
      <w:r w:rsidRPr="0097596D">
        <w:rPr>
          <w:iCs/>
        </w:rPr>
        <w:t>assumption,</w:t>
      </w:r>
      <w:proofErr w:type="gramEnd"/>
      <w:r w:rsidRPr="0097596D">
        <w:rPr>
          <w:iCs/>
        </w:rPr>
        <w:t xml:space="preserve"> as such the evidence presented cannot be considered to provide a comparison with MMS.</w:t>
      </w:r>
    </w:p>
    <w:p w14:paraId="56ACD651" w14:textId="2598D326" w:rsidR="007B10A2" w:rsidRPr="0097596D" w:rsidRDefault="007B10A2" w:rsidP="00B36E72">
      <w:pPr>
        <w:pStyle w:val="ListParagraph"/>
        <w:numPr>
          <w:ilvl w:val="0"/>
          <w:numId w:val="33"/>
        </w:numPr>
        <w:spacing w:after="240"/>
      </w:pPr>
      <w:r>
        <w:lastRenderedPageBreak/>
        <w:t xml:space="preserve">To account for missing values, the ADAR used multiple imputation. It was reported that 97 patients (77%) completed 5 years of follow-up, although only 71 had a PSG at the </w:t>
      </w:r>
      <w:proofErr w:type="gramStart"/>
      <w:r>
        <w:t>5 year</w:t>
      </w:r>
      <w:proofErr w:type="gramEnd"/>
      <w:r>
        <w:t xml:space="preserve"> time point (56%). However, </w:t>
      </w:r>
      <w:r w:rsidRPr="0067260D">
        <w:t>t</w:t>
      </w:r>
      <w:r w:rsidRPr="0097596D">
        <w:rPr>
          <w:iCs/>
        </w:rPr>
        <w:t>here was no information provided regarding missing data for the individual outcomes at each time point.</w:t>
      </w:r>
    </w:p>
    <w:p w14:paraId="3FA6C083" w14:textId="77777777" w:rsidR="007B10A2" w:rsidRPr="0097596D" w:rsidRDefault="007B10A2" w:rsidP="00B36E72">
      <w:pPr>
        <w:pStyle w:val="ListParagraph"/>
        <w:numPr>
          <w:ilvl w:val="0"/>
          <w:numId w:val="33"/>
        </w:numPr>
        <w:spacing w:after="240"/>
      </w:pPr>
      <w:r w:rsidRPr="0097596D">
        <w:rPr>
          <w:iCs/>
        </w:rPr>
        <w:t>The STAR study did not assess statistical significance of the observed changes and the ADAR did not provide any discussion of the clinical significance of these changes.</w:t>
      </w:r>
      <w:r w:rsidRPr="0097596D">
        <w:t xml:space="preserve">  </w:t>
      </w:r>
    </w:p>
    <w:p w14:paraId="7B342852" w14:textId="72E92D3F" w:rsidR="007B10A2" w:rsidRPr="00000947" w:rsidRDefault="007B10A2" w:rsidP="00B36E72">
      <w:pPr>
        <w:pStyle w:val="ListParagraph"/>
        <w:numPr>
          <w:ilvl w:val="0"/>
          <w:numId w:val="33"/>
        </w:numPr>
        <w:spacing w:after="240"/>
        <w:rPr>
          <w:i/>
          <w:iCs/>
        </w:rPr>
      </w:pPr>
      <w:r>
        <w:t>In the STAR study, response was defined as a reduction of at least 50% from baseline and AHI &lt;20, and the response rate at 5yrs was estimated to be 63% following last observation carried forward (LOCF) analysis, which was similar to the response rate at 12 months, which was 65%. The commentary noted that it</w:t>
      </w:r>
      <w:r>
        <w:rPr>
          <w:iCs/>
        </w:rPr>
        <w:t xml:space="preserve"> is possible that carrying forward </w:t>
      </w:r>
      <w:r w:rsidRPr="0097596D">
        <w:rPr>
          <w:iCs/>
        </w:rPr>
        <w:t>the last response will favour UAS. In additio</w:t>
      </w:r>
      <w:r w:rsidR="00417876">
        <w:rPr>
          <w:iCs/>
        </w:rPr>
        <w:t>n, a response rate of 65% at 12 </w:t>
      </w:r>
      <w:r w:rsidRPr="0097596D">
        <w:rPr>
          <w:iCs/>
        </w:rPr>
        <w:t>months and 63% at 5 years means that a considerable proportion of the population did not meet the response criteria.</w:t>
      </w:r>
      <w:r w:rsidRPr="0097596D">
        <w:t xml:space="preserve"> </w:t>
      </w:r>
    </w:p>
    <w:p w14:paraId="1AFBBD9D" w14:textId="77777777" w:rsidR="007B10A2" w:rsidRDefault="007B10A2" w:rsidP="00B36E72">
      <w:pPr>
        <w:spacing w:after="240"/>
        <w:rPr>
          <w:iCs/>
        </w:rPr>
      </w:pPr>
      <w:r>
        <w:rPr>
          <w:iCs/>
        </w:rPr>
        <w:t xml:space="preserve">The commentary also noted that </w:t>
      </w:r>
      <w:proofErr w:type="spellStart"/>
      <w:r w:rsidRPr="0097596D">
        <w:rPr>
          <w:iCs/>
        </w:rPr>
        <w:t>Strollo</w:t>
      </w:r>
      <w:proofErr w:type="spellEnd"/>
      <w:r w:rsidRPr="0097596D">
        <w:rPr>
          <w:iCs/>
        </w:rPr>
        <w:t xml:space="preserve"> (2014)</w:t>
      </w:r>
      <w:r>
        <w:rPr>
          <w:iCs/>
        </w:rPr>
        <w:t xml:space="preserve"> </w:t>
      </w:r>
      <w:r>
        <w:t xml:space="preserve">provided the </w:t>
      </w:r>
      <w:r w:rsidR="00417876">
        <w:t>results of the STAR study at 12 </w:t>
      </w:r>
      <w:r>
        <w:t xml:space="preserve">months, </w:t>
      </w:r>
      <w:r>
        <w:rPr>
          <w:iCs/>
        </w:rPr>
        <w:t>the</w:t>
      </w:r>
      <w:r w:rsidRPr="0097596D">
        <w:t xml:space="preserve"> </w:t>
      </w:r>
      <w:r w:rsidRPr="0097596D">
        <w:rPr>
          <w:iCs/>
        </w:rPr>
        <w:t xml:space="preserve">change from baseline values </w:t>
      </w:r>
      <w:proofErr w:type="gramStart"/>
      <w:r w:rsidRPr="0097596D">
        <w:rPr>
          <w:iCs/>
        </w:rPr>
        <w:t>were presented</w:t>
      </w:r>
      <w:proofErr w:type="gramEnd"/>
      <w:r w:rsidRPr="0097596D">
        <w:rPr>
          <w:iCs/>
        </w:rPr>
        <w:t xml:space="preserve"> as means, standard deviations, medians and interquartile ranges. </w:t>
      </w:r>
      <w:proofErr w:type="spellStart"/>
      <w:r>
        <w:rPr>
          <w:iCs/>
        </w:rPr>
        <w:t>Strollo</w:t>
      </w:r>
      <w:proofErr w:type="spellEnd"/>
      <w:r>
        <w:rPr>
          <w:iCs/>
        </w:rPr>
        <w:t xml:space="preserve"> (2014)</w:t>
      </w:r>
      <w:r w:rsidRPr="0097596D">
        <w:rPr>
          <w:iCs/>
        </w:rPr>
        <w:t xml:space="preserve"> </w:t>
      </w:r>
      <w:r>
        <w:rPr>
          <w:iCs/>
        </w:rPr>
        <w:t>stated</w:t>
      </w:r>
      <w:r w:rsidRPr="0097596D">
        <w:rPr>
          <w:iCs/>
        </w:rPr>
        <w:t xml:space="preserve"> these values were presented because some variables, such as the </w:t>
      </w:r>
      <w:proofErr w:type="gramStart"/>
      <w:r w:rsidRPr="0097596D">
        <w:rPr>
          <w:iCs/>
        </w:rPr>
        <w:t>12 month</w:t>
      </w:r>
      <w:proofErr w:type="gramEnd"/>
      <w:r w:rsidRPr="0097596D">
        <w:rPr>
          <w:iCs/>
        </w:rPr>
        <w:t xml:space="preserve"> scores on the AHI and the ODI showed evidence of non-normality.</w:t>
      </w:r>
    </w:p>
    <w:p w14:paraId="7DE1FE46" w14:textId="23814723" w:rsidR="00875ED2" w:rsidRDefault="007B10A2" w:rsidP="00B36E72">
      <w:pPr>
        <w:spacing w:after="240"/>
        <w:rPr>
          <w:iCs/>
        </w:rPr>
      </w:pPr>
      <w:r w:rsidRPr="00000947">
        <w:rPr>
          <w:iCs/>
        </w:rPr>
        <w:t xml:space="preserve">Further, </w:t>
      </w:r>
      <w:r>
        <w:rPr>
          <w:iCs/>
        </w:rPr>
        <w:t>a</w:t>
      </w:r>
      <w:r w:rsidRPr="00000947">
        <w:rPr>
          <w:iCs/>
        </w:rPr>
        <w:t xml:space="preserve">lthough not mentioned by the ADAR, </w:t>
      </w:r>
      <w:proofErr w:type="spellStart"/>
      <w:r w:rsidRPr="00000947">
        <w:rPr>
          <w:iCs/>
        </w:rPr>
        <w:t>Strollo</w:t>
      </w:r>
      <w:proofErr w:type="spellEnd"/>
      <w:r w:rsidRPr="00000947">
        <w:rPr>
          <w:iCs/>
        </w:rPr>
        <w:t xml:space="preserve"> (2014) noted that in the non-responders, there were </w:t>
      </w:r>
      <w:proofErr w:type="gramStart"/>
      <w:r w:rsidRPr="00000947">
        <w:rPr>
          <w:iCs/>
        </w:rPr>
        <w:t>a total of 19</w:t>
      </w:r>
      <w:proofErr w:type="gramEnd"/>
      <w:r w:rsidRPr="00000947">
        <w:rPr>
          <w:iCs/>
        </w:rPr>
        <w:t xml:space="preserve"> patients (15%) who showed an increase in AHI following device activation. Of these 19 patients, the increase in AHI was &gt;15 in 7 patients, and &lt;15 in the remaining 12 patients. In addition, there were </w:t>
      </w:r>
      <w:proofErr w:type="gramStart"/>
      <w:r w:rsidRPr="00000947">
        <w:rPr>
          <w:iCs/>
        </w:rPr>
        <w:t>4</w:t>
      </w:r>
      <w:proofErr w:type="gramEnd"/>
      <w:r w:rsidRPr="00000947">
        <w:rPr>
          <w:iCs/>
        </w:rPr>
        <w:t xml:space="preserve"> patients with an increase of AHI &gt;60 at 12 months. The </w:t>
      </w:r>
      <w:r>
        <w:rPr>
          <w:iCs/>
        </w:rPr>
        <w:t>commentary concluded that the available data demonstrated</w:t>
      </w:r>
      <w:r w:rsidRPr="00000947">
        <w:rPr>
          <w:iCs/>
        </w:rPr>
        <w:t xml:space="preserve"> </w:t>
      </w:r>
      <w:proofErr w:type="gramStart"/>
      <w:r w:rsidRPr="00000947">
        <w:rPr>
          <w:iCs/>
        </w:rPr>
        <w:t>that while some patients show</w:t>
      </w:r>
      <w:r>
        <w:rPr>
          <w:iCs/>
        </w:rPr>
        <w:t>ed</w:t>
      </w:r>
      <w:r w:rsidRPr="00000947">
        <w:rPr>
          <w:iCs/>
        </w:rPr>
        <w:t xml:space="preserve"> improvement in AHI, there </w:t>
      </w:r>
      <w:r>
        <w:rPr>
          <w:iCs/>
        </w:rPr>
        <w:t>were</w:t>
      </w:r>
      <w:r w:rsidRPr="00000947">
        <w:rPr>
          <w:iCs/>
        </w:rPr>
        <w:t xml:space="preserve"> others that show</w:t>
      </w:r>
      <w:r>
        <w:rPr>
          <w:iCs/>
        </w:rPr>
        <w:t>ed</w:t>
      </w:r>
      <w:r w:rsidRPr="00000947">
        <w:rPr>
          <w:iCs/>
        </w:rPr>
        <w:t xml:space="preserve"> a worsening</w:t>
      </w:r>
      <w:proofErr w:type="gramEnd"/>
      <w:r w:rsidRPr="00000947">
        <w:rPr>
          <w:iCs/>
        </w:rPr>
        <w:t>.</w:t>
      </w:r>
    </w:p>
    <w:p w14:paraId="3192C01D" w14:textId="3EBA2152" w:rsidR="00D4500F" w:rsidRPr="00875ED2" w:rsidRDefault="00D4500F" w:rsidP="00B36E72">
      <w:pPr>
        <w:spacing w:after="240"/>
        <w:rPr>
          <w:iCs/>
        </w:rPr>
      </w:pPr>
      <w:r>
        <w:rPr>
          <w:noProof/>
        </w:rPr>
        <w:drawing>
          <wp:inline distT="0" distB="0" distL="0" distR="0" wp14:anchorId="059D1159" wp14:editId="2E083A7E">
            <wp:extent cx="5731510" cy="2528570"/>
            <wp:effectExtent l="0" t="0" r="2540" b="5080"/>
            <wp:docPr id="4" name="Picture 4" descr="Results of the STAR study at 5 years - change from bas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528570"/>
                    </a:xfrm>
                    <a:prstGeom prst="rect">
                      <a:avLst/>
                    </a:prstGeom>
                  </pic:spPr>
                </pic:pic>
              </a:graphicData>
            </a:graphic>
          </wp:inline>
        </w:drawing>
      </w:r>
    </w:p>
    <w:p w14:paraId="42777AA8" w14:textId="77777777" w:rsidR="007B10A2" w:rsidRDefault="007B10A2" w:rsidP="00D4500F">
      <w:pPr>
        <w:pStyle w:val="Heading2"/>
        <w:spacing w:before="240"/>
      </w:pPr>
      <w:r>
        <w:t>Clinical claim</w:t>
      </w:r>
    </w:p>
    <w:p w14:paraId="7CA961B5" w14:textId="74878E56" w:rsidR="007B10A2" w:rsidRPr="00AD0BF5" w:rsidRDefault="007B10A2" w:rsidP="007B10A2">
      <w:pPr>
        <w:spacing w:after="240"/>
      </w:pPr>
      <w:r>
        <w:t>On the basis of the benefits and harms reported in the evidence base, the ADAR</w:t>
      </w:r>
      <w:r w:rsidRPr="007613A4">
        <w:t xml:space="preserve"> propose</w:t>
      </w:r>
      <w:r>
        <w:t>d</w:t>
      </w:r>
      <w:r w:rsidRPr="007613A4">
        <w:t xml:space="preserve"> that, relative to </w:t>
      </w:r>
      <w:r>
        <w:t>medical management</w:t>
      </w:r>
      <w:r w:rsidRPr="007613A4">
        <w:t xml:space="preserve">, </w:t>
      </w:r>
      <w:r>
        <w:t>closed loop UAS</w:t>
      </w:r>
      <w:r w:rsidRPr="007613A4">
        <w:t xml:space="preserve"> has inferior safety and superior</w:t>
      </w:r>
      <w:r>
        <w:t xml:space="preserve"> </w:t>
      </w:r>
      <w:r w:rsidR="00875ED2">
        <w:t>effectiveness.</w:t>
      </w:r>
    </w:p>
    <w:p w14:paraId="0916656D" w14:textId="77777777" w:rsidR="007B10A2" w:rsidRPr="00AD0BF5" w:rsidRDefault="007B10A2" w:rsidP="007B10A2">
      <w:pPr>
        <w:spacing w:after="240"/>
      </w:pPr>
      <w:r w:rsidRPr="00AD0BF5">
        <w:t xml:space="preserve">However, the commentary considered that </w:t>
      </w:r>
      <w:r w:rsidRPr="00AD0BF5">
        <w:rPr>
          <w:iCs/>
        </w:rPr>
        <w:t>the available evidence, including that not presented by the ADAR, d</w:t>
      </w:r>
      <w:r>
        <w:rPr>
          <w:iCs/>
        </w:rPr>
        <w:t>id</w:t>
      </w:r>
      <w:r w:rsidRPr="00AD0BF5">
        <w:rPr>
          <w:iCs/>
        </w:rPr>
        <w:t xml:space="preserve"> not support t</w:t>
      </w:r>
      <w:r>
        <w:rPr>
          <w:iCs/>
        </w:rPr>
        <w:t xml:space="preserve">he ADAR’s clinical </w:t>
      </w:r>
      <w:r w:rsidRPr="00AD0BF5">
        <w:rPr>
          <w:iCs/>
        </w:rPr>
        <w:t>claim for the following reasons:</w:t>
      </w:r>
    </w:p>
    <w:p w14:paraId="3B3DC610" w14:textId="628A2B7D" w:rsidR="007B10A2" w:rsidRPr="00AD0BF5" w:rsidRDefault="007B10A2" w:rsidP="00B36E72">
      <w:pPr>
        <w:pStyle w:val="ListParagraph"/>
        <w:numPr>
          <w:ilvl w:val="0"/>
          <w:numId w:val="32"/>
        </w:numPr>
        <w:spacing w:after="240"/>
        <w:ind w:left="284" w:hanging="284"/>
        <w:contextualSpacing w:val="0"/>
      </w:pPr>
      <w:r w:rsidRPr="00AD0BF5">
        <w:rPr>
          <w:iCs/>
        </w:rPr>
        <w:lastRenderedPageBreak/>
        <w:t xml:space="preserve">There was no comparative safety evidence presented, hence it cannot be concluded that closed loop UAS has inferior safety to MMS.  However, it may be reasonable to expect </w:t>
      </w:r>
      <w:proofErr w:type="gramStart"/>
      <w:r w:rsidRPr="00AD0BF5">
        <w:rPr>
          <w:iCs/>
        </w:rPr>
        <w:t>that</w:t>
      </w:r>
      <w:r w:rsidRPr="00AD0BF5">
        <w:t xml:space="preserve"> </w:t>
      </w:r>
      <w:r w:rsidRPr="00AD0BF5">
        <w:rPr>
          <w:iCs/>
        </w:rPr>
        <w:t>surgical</w:t>
      </w:r>
      <w:proofErr w:type="gramEnd"/>
      <w:r w:rsidRPr="00AD0BF5">
        <w:rPr>
          <w:iCs/>
        </w:rPr>
        <w:t xml:space="preserve"> implantation of a device would have inferior safety to medical management strategies. In addition, along with potential risk associated with surgery, evidence from the STAR study indicated that between 40% and 60% of patients experienced discomfort with the device.</w:t>
      </w:r>
    </w:p>
    <w:p w14:paraId="4BE427E2" w14:textId="69B33CCA" w:rsidR="007B10A2" w:rsidRPr="00AD0BF5" w:rsidRDefault="007B10A2" w:rsidP="00B36E72">
      <w:pPr>
        <w:pStyle w:val="ListParagraph"/>
        <w:numPr>
          <w:ilvl w:val="0"/>
          <w:numId w:val="32"/>
        </w:numPr>
        <w:spacing w:after="240"/>
        <w:ind w:left="284" w:hanging="284"/>
        <w:contextualSpacing w:val="0"/>
        <w:rPr>
          <w:iCs/>
        </w:rPr>
      </w:pPr>
      <w:r w:rsidRPr="00AD0BF5">
        <w:rPr>
          <w:iCs/>
        </w:rPr>
        <w:t xml:space="preserve">The ADAR did not provide evidence to support its claim that the baseline values in the STAR study represented medical management. As such, the evidence presented does not demonstrate superior effectiveness of closed loop UAS over MMS.  </w:t>
      </w:r>
    </w:p>
    <w:p w14:paraId="0ADADB4D" w14:textId="1C2FFE2E" w:rsidR="007B10A2" w:rsidRDefault="007B10A2" w:rsidP="00B36E72">
      <w:pPr>
        <w:pStyle w:val="ListParagraph"/>
        <w:numPr>
          <w:ilvl w:val="0"/>
          <w:numId w:val="32"/>
        </w:numPr>
        <w:spacing w:after="240"/>
        <w:ind w:left="284" w:hanging="284"/>
        <w:contextualSpacing w:val="0"/>
        <w:rPr>
          <w:iCs/>
        </w:rPr>
      </w:pPr>
      <w:r w:rsidRPr="00AD0BF5">
        <w:rPr>
          <w:iCs/>
        </w:rPr>
        <w:t xml:space="preserve">While the evidence from the STAR study showed there were improvements in the AHI, ODI, FOSQ and ESS outcomes for patients with the closed loop UAS implant, there was </w:t>
      </w:r>
      <w:r>
        <w:rPr>
          <w:iCs/>
        </w:rPr>
        <w:t>limited</w:t>
      </w:r>
      <w:r w:rsidRPr="00AD0BF5">
        <w:rPr>
          <w:iCs/>
        </w:rPr>
        <w:t xml:space="preserve"> evidence presented to demonstrate that these changes represented a clinical benefit, or the potential magnitude of the benefit. While the ADAR identified a MCID value for AHI, the identified value (change of 5 events/hour) </w:t>
      </w:r>
      <w:proofErr w:type="gramStart"/>
      <w:r w:rsidRPr="00AD0BF5">
        <w:rPr>
          <w:iCs/>
        </w:rPr>
        <w:t>could not be validated</w:t>
      </w:r>
      <w:proofErr w:type="gramEnd"/>
      <w:r w:rsidRPr="00AD0BF5">
        <w:rPr>
          <w:iCs/>
        </w:rPr>
        <w:t>, and the ADAR provided no discussion of the potential magnitude of benefit.</w:t>
      </w:r>
      <w:r>
        <w:rPr>
          <w:iCs/>
        </w:rPr>
        <w:t xml:space="preserve"> In the pre-ESC response, the applicant highlighted that the improvement in ESS of 4.6 points is twice the MCID reported in Crook (2018)</w:t>
      </w:r>
      <w:r>
        <w:rPr>
          <w:rStyle w:val="FootnoteReference"/>
          <w:iCs/>
        </w:rPr>
        <w:footnoteReference w:id="11"/>
      </w:r>
      <w:r>
        <w:rPr>
          <w:iCs/>
        </w:rPr>
        <w:t xml:space="preserve">, in patients with mild to severe OSA. </w:t>
      </w:r>
    </w:p>
    <w:p w14:paraId="091BD66B" w14:textId="77777777" w:rsidR="007B10A2" w:rsidRPr="00AD0BF5" w:rsidRDefault="007B10A2" w:rsidP="00B36E72">
      <w:pPr>
        <w:pStyle w:val="ListParagraph"/>
        <w:numPr>
          <w:ilvl w:val="0"/>
          <w:numId w:val="32"/>
        </w:numPr>
        <w:spacing w:after="240"/>
        <w:ind w:left="284" w:hanging="284"/>
        <w:contextualSpacing w:val="0"/>
        <w:rPr>
          <w:iCs/>
        </w:rPr>
      </w:pPr>
      <w:r>
        <w:rPr>
          <w:iCs/>
        </w:rPr>
        <w:t>T</w:t>
      </w:r>
      <w:r w:rsidRPr="00AD0BF5">
        <w:rPr>
          <w:iCs/>
        </w:rPr>
        <w:t xml:space="preserve">he ADAR did not address the non-normality of AHI and ODI data at 12 months, as noted by </w:t>
      </w:r>
      <w:proofErr w:type="spellStart"/>
      <w:r w:rsidRPr="00AD0BF5">
        <w:rPr>
          <w:iCs/>
        </w:rPr>
        <w:t>Strollo</w:t>
      </w:r>
      <w:proofErr w:type="spellEnd"/>
      <w:r w:rsidRPr="00AD0BF5">
        <w:rPr>
          <w:iCs/>
        </w:rPr>
        <w:t xml:space="preserve"> (2014).</w:t>
      </w:r>
      <w:r>
        <w:rPr>
          <w:iCs/>
        </w:rPr>
        <w:t xml:space="preserve"> In the pre-ESC response, the applicant considered since mean ESS </w:t>
      </w:r>
      <w:proofErr w:type="gramStart"/>
      <w:r>
        <w:rPr>
          <w:iCs/>
        </w:rPr>
        <w:t>was used</w:t>
      </w:r>
      <w:proofErr w:type="gramEnd"/>
      <w:r>
        <w:rPr>
          <w:iCs/>
        </w:rPr>
        <w:t xml:space="preserve"> in the model and there is a linear relationship of ESS to utility as per published equation</w:t>
      </w:r>
      <w:r>
        <w:rPr>
          <w:rStyle w:val="FootnoteReference"/>
          <w:iCs/>
        </w:rPr>
        <w:footnoteReference w:id="12"/>
      </w:r>
      <w:r>
        <w:rPr>
          <w:iCs/>
        </w:rPr>
        <w:t>, there would be no impact to model results.</w:t>
      </w:r>
    </w:p>
    <w:p w14:paraId="0BFD7841" w14:textId="77777777" w:rsidR="007B10A2" w:rsidRPr="007B10A2" w:rsidRDefault="007B10A2" w:rsidP="00B36E72">
      <w:pPr>
        <w:pStyle w:val="ListParagraph"/>
        <w:numPr>
          <w:ilvl w:val="0"/>
          <w:numId w:val="32"/>
        </w:numPr>
        <w:spacing w:after="240"/>
        <w:ind w:left="284" w:hanging="284"/>
        <w:contextualSpacing w:val="0"/>
        <w:rPr>
          <w:iCs/>
        </w:rPr>
      </w:pPr>
      <w:r w:rsidRPr="007B10A2">
        <w:rPr>
          <w:iCs/>
        </w:rPr>
        <w:t>While the withdrawal sub-study of the STAR study showed that response decreased when therapy was withdrawn, it may be reasonable to expect such a response with therapy withdrawal and it is not clear how this demonstrates that closed loop UAS is superior to MMS.</w:t>
      </w:r>
    </w:p>
    <w:p w14:paraId="15FAFDA1" w14:textId="77777777" w:rsidR="007B10A2" w:rsidRDefault="007B10A2" w:rsidP="00B36E72">
      <w:pPr>
        <w:spacing w:after="240"/>
        <w:rPr>
          <w:iCs/>
        </w:rPr>
      </w:pPr>
      <w:r w:rsidRPr="00AD0BF5">
        <w:rPr>
          <w:iCs/>
        </w:rPr>
        <w:t>The commentary also raised that patients with moderate to severe OSA are at risk of cardiovascular complications (</w:t>
      </w:r>
      <w:proofErr w:type="spellStart"/>
      <w:r w:rsidRPr="00AD0BF5">
        <w:rPr>
          <w:iCs/>
        </w:rPr>
        <w:t>Strollo</w:t>
      </w:r>
      <w:proofErr w:type="spellEnd"/>
      <w:r w:rsidRPr="00AD0BF5">
        <w:rPr>
          <w:iCs/>
        </w:rPr>
        <w:t xml:space="preserve"> 2014). However, the STAR study did not assess cardiac event outcomes, and as such, the available evidence does not provide any indication of a cardiac or mortality benefit for these patients.</w:t>
      </w:r>
    </w:p>
    <w:p w14:paraId="58E0BCD0" w14:textId="77777777" w:rsidR="00BC1364" w:rsidRPr="00F715D1" w:rsidRDefault="00BC1364" w:rsidP="00F715D1">
      <w:pPr>
        <w:pStyle w:val="Heading1"/>
      </w:pPr>
      <w:r w:rsidRPr="00F715D1">
        <w:t>Economic evaluation</w:t>
      </w:r>
    </w:p>
    <w:p w14:paraId="40B861A9" w14:textId="77777777" w:rsidR="00B36E72" w:rsidRDefault="00B36E72" w:rsidP="00B36E72">
      <w:pPr>
        <w:spacing w:after="240"/>
      </w:pPr>
      <w:r>
        <w:t xml:space="preserve">Based on the ADAR clinical claim that closed loop UAS has inferior safety and superior effectiveness compared to MMS, the ADAR presented a cost-utility analysis comparing closed loop UAS with MMS. </w:t>
      </w:r>
    </w:p>
    <w:p w14:paraId="409E3A2E" w14:textId="05EB4832" w:rsidR="00B46D22" w:rsidRDefault="00B36E72" w:rsidP="00B05427">
      <w:pPr>
        <w:spacing w:after="240"/>
      </w:pPr>
      <w:r>
        <w:t xml:space="preserve">The economic evaluation is summarised in </w:t>
      </w:r>
      <w:r>
        <w:fldChar w:fldCharType="begin"/>
      </w:r>
      <w:r>
        <w:instrText xml:space="preserve"> REF _Ref404370956 \h </w:instrText>
      </w:r>
      <w:r>
        <w:fldChar w:fldCharType="separate"/>
      </w:r>
      <w:r w:rsidR="00D007E1">
        <w:t xml:space="preserve">Table </w:t>
      </w:r>
      <w:r w:rsidR="00D007E1">
        <w:rPr>
          <w:noProof/>
        </w:rPr>
        <w:t>10</w:t>
      </w:r>
      <w:r>
        <w:fldChar w:fldCharType="end"/>
      </w:r>
      <w:r>
        <w:t>.</w:t>
      </w:r>
      <w:r w:rsidR="00B46D22">
        <w:br w:type="page"/>
      </w:r>
    </w:p>
    <w:p w14:paraId="732E4404" w14:textId="2222302F" w:rsidR="00B36E72" w:rsidRPr="00875ED2" w:rsidRDefault="00B36E72" w:rsidP="00875ED2">
      <w:pPr>
        <w:rPr>
          <w:rFonts w:ascii="Arial Narrow" w:hAnsi="Arial Narrow"/>
          <w:b/>
          <w:sz w:val="20"/>
        </w:rPr>
      </w:pPr>
      <w:bookmarkStart w:id="16" w:name="_Ref404370956"/>
      <w:bookmarkStart w:id="17" w:name="_Ref394419656"/>
      <w:bookmarkStart w:id="18" w:name="_Toc399251123"/>
      <w:r w:rsidRPr="00875ED2">
        <w:rPr>
          <w:rFonts w:ascii="Arial Narrow" w:hAnsi="Arial Narrow"/>
          <w:b/>
          <w:sz w:val="20"/>
        </w:rPr>
        <w:lastRenderedPageBreak/>
        <w:t xml:space="preserve">Table </w:t>
      </w:r>
      <w:r w:rsidR="00086098" w:rsidRPr="00875ED2">
        <w:rPr>
          <w:rFonts w:ascii="Arial Narrow" w:hAnsi="Arial Narrow"/>
          <w:b/>
          <w:sz w:val="20"/>
        </w:rPr>
        <w:fldChar w:fldCharType="begin"/>
      </w:r>
      <w:r w:rsidR="00086098" w:rsidRPr="00875ED2">
        <w:rPr>
          <w:rFonts w:ascii="Arial Narrow" w:hAnsi="Arial Narrow"/>
          <w:b/>
          <w:sz w:val="20"/>
        </w:rPr>
        <w:instrText xml:space="preserve"> SEQ Table \* ARABIC </w:instrText>
      </w:r>
      <w:r w:rsidR="00086098" w:rsidRPr="00875ED2">
        <w:rPr>
          <w:rFonts w:ascii="Arial Narrow" w:hAnsi="Arial Narrow"/>
          <w:b/>
          <w:sz w:val="20"/>
        </w:rPr>
        <w:fldChar w:fldCharType="separate"/>
      </w:r>
      <w:r w:rsidR="00D007E1" w:rsidRPr="00875ED2">
        <w:rPr>
          <w:rFonts w:ascii="Arial Narrow" w:hAnsi="Arial Narrow"/>
          <w:b/>
          <w:sz w:val="20"/>
        </w:rPr>
        <w:t>10</w:t>
      </w:r>
      <w:r w:rsidR="00086098" w:rsidRPr="00875ED2">
        <w:rPr>
          <w:rFonts w:ascii="Arial Narrow" w:hAnsi="Arial Narrow"/>
          <w:b/>
          <w:sz w:val="20"/>
        </w:rPr>
        <w:fldChar w:fldCharType="end"/>
      </w:r>
      <w:bookmarkEnd w:id="16"/>
      <w:r w:rsidRPr="00875ED2">
        <w:rPr>
          <w:rFonts w:ascii="Arial Narrow" w:hAnsi="Arial Narrow"/>
          <w:b/>
          <w:sz w:val="20"/>
        </w:rPr>
        <w:tab/>
        <w:t>Summary of the economic evaluation</w:t>
      </w:r>
      <w:bookmarkEnd w:id="17"/>
      <w:bookmarkEnd w:id="18"/>
      <w:r w:rsidRPr="00875ED2">
        <w:rPr>
          <w:rFonts w:ascii="Arial Narrow" w:hAnsi="Arial Narrow"/>
          <w:b/>
          <w:sz w:val="20"/>
        </w:rPr>
        <w:t xml:space="preserve"> </w:t>
      </w:r>
    </w:p>
    <w:tbl>
      <w:tblPr>
        <w:tblStyle w:val="TableGrid"/>
        <w:tblW w:w="0" w:type="auto"/>
        <w:tblLook w:val="01E0" w:firstRow="1" w:lastRow="1" w:firstColumn="1" w:lastColumn="1" w:noHBand="0" w:noVBand="0"/>
        <w:tblCaption w:val="Table 9 Summary of the economic evaluation"/>
        <w:tblDescription w:val="This table describes the key constructs of the economic evaluation that is provided in the assessment report."/>
      </w:tblPr>
      <w:tblGrid>
        <w:gridCol w:w="3079"/>
        <w:gridCol w:w="5829"/>
      </w:tblGrid>
      <w:tr w:rsidR="00B36E72" w:rsidRPr="00183E4D" w14:paraId="5A075FB5" w14:textId="77777777" w:rsidTr="00D4500F">
        <w:trPr>
          <w:trHeight w:val="20"/>
          <w:tblHeader/>
        </w:trPr>
        <w:tc>
          <w:tcPr>
            <w:tcW w:w="3079" w:type="dxa"/>
          </w:tcPr>
          <w:p w14:paraId="50F446C3" w14:textId="77777777" w:rsidR="00B36E72" w:rsidRPr="005B606F" w:rsidRDefault="00B36E72" w:rsidP="00B36E72">
            <w:pPr>
              <w:pStyle w:val="Tabletext0"/>
            </w:pPr>
            <w:r w:rsidRPr="005B606F">
              <w:t>Perspective</w:t>
            </w:r>
          </w:p>
        </w:tc>
        <w:tc>
          <w:tcPr>
            <w:tcW w:w="5829" w:type="dxa"/>
          </w:tcPr>
          <w:p w14:paraId="464B83AD" w14:textId="77777777" w:rsidR="00B36E72" w:rsidRPr="005B606F" w:rsidRDefault="00B36E72" w:rsidP="00B36E72">
            <w:pPr>
              <w:spacing w:before="40" w:after="40"/>
              <w:rPr>
                <w:rFonts w:ascii="Arial Narrow" w:hAnsi="Arial Narrow"/>
                <w:sz w:val="20"/>
              </w:rPr>
            </w:pPr>
            <w:r w:rsidRPr="005B606F">
              <w:rPr>
                <w:rFonts w:ascii="Arial Narrow" w:hAnsi="Arial Narrow"/>
                <w:sz w:val="20"/>
              </w:rPr>
              <w:t>Australian healthcare system</w:t>
            </w:r>
          </w:p>
        </w:tc>
      </w:tr>
      <w:tr w:rsidR="00B36E72" w:rsidRPr="00183E4D" w14:paraId="2AA00584" w14:textId="77777777" w:rsidTr="00D4500F">
        <w:trPr>
          <w:trHeight w:val="20"/>
        </w:trPr>
        <w:tc>
          <w:tcPr>
            <w:tcW w:w="3079" w:type="dxa"/>
          </w:tcPr>
          <w:p w14:paraId="67EF971E" w14:textId="77777777" w:rsidR="00B36E72" w:rsidRPr="005B606F" w:rsidRDefault="00B36E72" w:rsidP="00B36E72">
            <w:pPr>
              <w:pStyle w:val="Tabletext0"/>
            </w:pPr>
            <w:r w:rsidRPr="005B606F">
              <w:t>Comparator</w:t>
            </w:r>
          </w:p>
        </w:tc>
        <w:tc>
          <w:tcPr>
            <w:tcW w:w="5829" w:type="dxa"/>
          </w:tcPr>
          <w:p w14:paraId="6D85371B" w14:textId="77777777" w:rsidR="00B36E72" w:rsidRPr="005B606F" w:rsidRDefault="00B36E72" w:rsidP="00B36E72">
            <w:pPr>
              <w:spacing w:before="40" w:after="40"/>
              <w:rPr>
                <w:rFonts w:ascii="Arial Narrow" w:hAnsi="Arial Narrow"/>
                <w:sz w:val="20"/>
              </w:rPr>
            </w:pPr>
            <w:r w:rsidRPr="005B606F">
              <w:rPr>
                <w:rFonts w:ascii="Arial Narrow" w:hAnsi="Arial Narrow"/>
                <w:sz w:val="20"/>
              </w:rPr>
              <w:t>MMS (medical management strategies)</w:t>
            </w:r>
          </w:p>
        </w:tc>
      </w:tr>
      <w:tr w:rsidR="00B36E72" w:rsidRPr="00183E4D" w14:paraId="4890DC7E" w14:textId="77777777" w:rsidTr="00D4500F">
        <w:trPr>
          <w:trHeight w:val="20"/>
        </w:trPr>
        <w:tc>
          <w:tcPr>
            <w:tcW w:w="3079" w:type="dxa"/>
          </w:tcPr>
          <w:p w14:paraId="5800526C" w14:textId="77777777" w:rsidR="00B36E72" w:rsidRPr="005B606F" w:rsidRDefault="00B36E72" w:rsidP="00B36E72">
            <w:pPr>
              <w:pStyle w:val="Tabletext0"/>
            </w:pPr>
            <w:r w:rsidRPr="005B606F">
              <w:t>Type of economic evaluation</w:t>
            </w:r>
          </w:p>
        </w:tc>
        <w:tc>
          <w:tcPr>
            <w:tcW w:w="5829" w:type="dxa"/>
          </w:tcPr>
          <w:p w14:paraId="1F66DF4A" w14:textId="77777777" w:rsidR="00B36E72" w:rsidRPr="005B606F" w:rsidRDefault="00B36E72" w:rsidP="00B36E72">
            <w:pPr>
              <w:spacing w:before="40" w:after="40"/>
              <w:rPr>
                <w:rFonts w:ascii="Arial Narrow" w:hAnsi="Arial Narrow"/>
                <w:vanish/>
                <w:color w:val="C00000"/>
                <w:sz w:val="20"/>
              </w:rPr>
            </w:pPr>
            <w:r w:rsidRPr="005B606F">
              <w:rPr>
                <w:rFonts w:ascii="Arial Narrow" w:hAnsi="Arial Narrow"/>
                <w:sz w:val="20"/>
              </w:rPr>
              <w:t>Cost-utility analysis</w:t>
            </w:r>
          </w:p>
        </w:tc>
      </w:tr>
      <w:tr w:rsidR="00B36E72" w:rsidRPr="00183E4D" w14:paraId="0E7C676F" w14:textId="77777777" w:rsidTr="00D4500F">
        <w:trPr>
          <w:trHeight w:val="20"/>
        </w:trPr>
        <w:tc>
          <w:tcPr>
            <w:tcW w:w="3079" w:type="dxa"/>
          </w:tcPr>
          <w:p w14:paraId="7867B9F7" w14:textId="77777777" w:rsidR="00B36E72" w:rsidRPr="005B606F" w:rsidRDefault="00B36E72" w:rsidP="00B36E72">
            <w:pPr>
              <w:pStyle w:val="Tabletext0"/>
            </w:pPr>
            <w:r w:rsidRPr="005B606F">
              <w:t>Sources of evidence</w:t>
            </w:r>
          </w:p>
        </w:tc>
        <w:tc>
          <w:tcPr>
            <w:tcW w:w="5829" w:type="dxa"/>
          </w:tcPr>
          <w:p w14:paraId="3E564406" w14:textId="77777777" w:rsidR="00B36E72" w:rsidRPr="005B606F" w:rsidRDefault="00B36E72" w:rsidP="00B36E72">
            <w:pPr>
              <w:spacing w:before="40" w:after="40"/>
              <w:rPr>
                <w:rFonts w:ascii="Arial Narrow" w:hAnsi="Arial Narrow"/>
                <w:vanish/>
                <w:color w:val="C00000"/>
                <w:sz w:val="20"/>
              </w:rPr>
            </w:pPr>
            <w:r w:rsidRPr="005B606F">
              <w:rPr>
                <w:rFonts w:ascii="Arial Narrow" w:hAnsi="Arial Narrow"/>
                <w:sz w:val="20"/>
              </w:rPr>
              <w:t>STAR study; McDaid (2009); Young (2008)</w:t>
            </w:r>
          </w:p>
        </w:tc>
      </w:tr>
      <w:tr w:rsidR="00B36E72" w:rsidRPr="00183E4D" w14:paraId="0B49C5A3" w14:textId="77777777" w:rsidTr="00D4500F">
        <w:trPr>
          <w:trHeight w:val="20"/>
        </w:trPr>
        <w:tc>
          <w:tcPr>
            <w:tcW w:w="3079" w:type="dxa"/>
            <w:hideMark/>
          </w:tcPr>
          <w:p w14:paraId="5598CB37" w14:textId="77777777" w:rsidR="00B36E72" w:rsidRPr="005B606F" w:rsidRDefault="00B36E72" w:rsidP="00B36E72">
            <w:pPr>
              <w:pStyle w:val="Tabletext0"/>
            </w:pPr>
            <w:r w:rsidRPr="005B606F">
              <w:t>Time horizon</w:t>
            </w:r>
          </w:p>
        </w:tc>
        <w:tc>
          <w:tcPr>
            <w:tcW w:w="5829" w:type="dxa"/>
          </w:tcPr>
          <w:p w14:paraId="61B8D82B" w14:textId="77777777" w:rsidR="00B36E72" w:rsidRPr="005B606F" w:rsidRDefault="00B36E72" w:rsidP="00B36E72">
            <w:pPr>
              <w:spacing w:before="40" w:after="40"/>
              <w:rPr>
                <w:rFonts w:ascii="Arial Narrow" w:hAnsi="Arial Narrow"/>
                <w:vanish/>
                <w:color w:val="C00000"/>
                <w:sz w:val="20"/>
              </w:rPr>
            </w:pPr>
            <w:r w:rsidRPr="005B606F">
              <w:rPr>
                <w:rFonts w:ascii="Arial Narrow" w:hAnsi="Arial Narrow"/>
                <w:sz w:val="20"/>
              </w:rPr>
              <w:t>45 years (lifetime)</w:t>
            </w:r>
          </w:p>
        </w:tc>
      </w:tr>
      <w:tr w:rsidR="00B36E72" w:rsidRPr="00183E4D" w14:paraId="313952C9" w14:textId="77777777" w:rsidTr="00D4500F">
        <w:trPr>
          <w:trHeight w:val="20"/>
        </w:trPr>
        <w:tc>
          <w:tcPr>
            <w:tcW w:w="3079" w:type="dxa"/>
            <w:hideMark/>
          </w:tcPr>
          <w:p w14:paraId="282FB3CA" w14:textId="77777777" w:rsidR="00B36E72" w:rsidRPr="005B606F" w:rsidRDefault="00B36E72" w:rsidP="00B36E72">
            <w:pPr>
              <w:pStyle w:val="Tabletext0"/>
            </w:pPr>
            <w:r w:rsidRPr="005B606F">
              <w:t>Outcomes</w:t>
            </w:r>
          </w:p>
        </w:tc>
        <w:tc>
          <w:tcPr>
            <w:tcW w:w="5829" w:type="dxa"/>
          </w:tcPr>
          <w:p w14:paraId="4911215A" w14:textId="77777777" w:rsidR="00B36E72" w:rsidRPr="005B606F" w:rsidRDefault="00B36E72" w:rsidP="00B36E72">
            <w:pPr>
              <w:spacing w:before="40" w:after="40"/>
              <w:rPr>
                <w:rFonts w:ascii="Arial Narrow" w:hAnsi="Arial Narrow"/>
                <w:vanish/>
                <w:color w:val="C00000"/>
                <w:sz w:val="20"/>
              </w:rPr>
            </w:pPr>
            <w:r w:rsidRPr="005B606F">
              <w:rPr>
                <w:rFonts w:ascii="Arial Narrow" w:hAnsi="Arial Narrow"/>
                <w:sz w:val="20"/>
              </w:rPr>
              <w:t>LYG and QALYs</w:t>
            </w:r>
          </w:p>
        </w:tc>
      </w:tr>
      <w:tr w:rsidR="00B36E72" w:rsidRPr="00183E4D" w14:paraId="3A7EC353" w14:textId="77777777" w:rsidTr="00D4500F">
        <w:trPr>
          <w:trHeight w:val="20"/>
        </w:trPr>
        <w:tc>
          <w:tcPr>
            <w:tcW w:w="3079" w:type="dxa"/>
            <w:hideMark/>
          </w:tcPr>
          <w:p w14:paraId="7F29C1BB" w14:textId="77777777" w:rsidR="00B36E72" w:rsidRPr="005B606F" w:rsidRDefault="00B36E72" w:rsidP="00B36E72">
            <w:pPr>
              <w:pStyle w:val="Tabletext0"/>
            </w:pPr>
            <w:r w:rsidRPr="005B606F">
              <w:t>Methods used to generate results</w:t>
            </w:r>
          </w:p>
        </w:tc>
        <w:tc>
          <w:tcPr>
            <w:tcW w:w="5829" w:type="dxa"/>
          </w:tcPr>
          <w:p w14:paraId="7FFA2588" w14:textId="77777777" w:rsidR="00B36E72" w:rsidRPr="005B606F" w:rsidRDefault="00B36E72" w:rsidP="00B36E72">
            <w:pPr>
              <w:spacing w:before="40" w:after="40"/>
              <w:rPr>
                <w:rFonts w:ascii="Arial Narrow" w:hAnsi="Arial Narrow"/>
                <w:vanish/>
                <w:color w:val="C00000"/>
                <w:sz w:val="20"/>
              </w:rPr>
            </w:pPr>
            <w:r w:rsidRPr="005B606F">
              <w:rPr>
                <w:rFonts w:ascii="Arial Narrow" w:hAnsi="Arial Narrow"/>
                <w:sz w:val="20"/>
              </w:rPr>
              <w:t>Markov model</w:t>
            </w:r>
          </w:p>
        </w:tc>
      </w:tr>
      <w:tr w:rsidR="00B36E72" w:rsidRPr="00183E4D" w14:paraId="433BB92C" w14:textId="77777777" w:rsidTr="00D4500F">
        <w:trPr>
          <w:trHeight w:val="20"/>
        </w:trPr>
        <w:tc>
          <w:tcPr>
            <w:tcW w:w="3079" w:type="dxa"/>
          </w:tcPr>
          <w:p w14:paraId="2C1816CD" w14:textId="77777777" w:rsidR="00B36E72" w:rsidRPr="005B606F" w:rsidRDefault="00B36E72" w:rsidP="00B36E72">
            <w:pPr>
              <w:pStyle w:val="Tabletext0"/>
            </w:pPr>
            <w:r w:rsidRPr="005B606F">
              <w:t>Health states</w:t>
            </w:r>
          </w:p>
        </w:tc>
        <w:tc>
          <w:tcPr>
            <w:tcW w:w="5829" w:type="dxa"/>
          </w:tcPr>
          <w:p w14:paraId="332F9389" w14:textId="77777777" w:rsidR="00B36E72" w:rsidRPr="005B606F" w:rsidRDefault="00B36E72" w:rsidP="00B36E72">
            <w:pPr>
              <w:spacing w:before="40" w:after="40"/>
              <w:rPr>
                <w:rFonts w:ascii="Arial Narrow" w:hAnsi="Arial Narrow"/>
                <w:vanish/>
                <w:color w:val="C00000"/>
                <w:sz w:val="20"/>
              </w:rPr>
            </w:pPr>
            <w:r w:rsidRPr="005B606F">
              <w:rPr>
                <w:rFonts w:ascii="Arial Narrow" w:hAnsi="Arial Narrow"/>
                <w:sz w:val="20"/>
              </w:rPr>
              <w:t>On treatment, off treatment and death</w:t>
            </w:r>
          </w:p>
        </w:tc>
      </w:tr>
      <w:tr w:rsidR="00B36E72" w:rsidRPr="00183E4D" w14:paraId="5C3D7CE0" w14:textId="77777777" w:rsidTr="00D4500F">
        <w:trPr>
          <w:trHeight w:val="20"/>
        </w:trPr>
        <w:tc>
          <w:tcPr>
            <w:tcW w:w="3079" w:type="dxa"/>
            <w:hideMark/>
          </w:tcPr>
          <w:p w14:paraId="653BB4FC" w14:textId="77777777" w:rsidR="00B36E72" w:rsidRPr="005B606F" w:rsidRDefault="00B36E72" w:rsidP="00B36E72">
            <w:pPr>
              <w:pStyle w:val="Tabletext0"/>
            </w:pPr>
            <w:r w:rsidRPr="005B606F">
              <w:t>Cycle length</w:t>
            </w:r>
          </w:p>
        </w:tc>
        <w:tc>
          <w:tcPr>
            <w:tcW w:w="5829" w:type="dxa"/>
          </w:tcPr>
          <w:p w14:paraId="3E9B05E2" w14:textId="77777777" w:rsidR="00B36E72" w:rsidRPr="005B606F" w:rsidRDefault="00B36E72" w:rsidP="00B36E72">
            <w:pPr>
              <w:spacing w:before="40" w:after="40"/>
              <w:rPr>
                <w:rFonts w:ascii="Arial Narrow" w:hAnsi="Arial Narrow"/>
                <w:vanish/>
                <w:color w:val="C00000"/>
                <w:sz w:val="20"/>
              </w:rPr>
            </w:pPr>
            <w:r w:rsidRPr="005B606F">
              <w:rPr>
                <w:rFonts w:ascii="Arial Narrow" w:hAnsi="Arial Narrow"/>
                <w:sz w:val="20"/>
              </w:rPr>
              <w:t>12 months</w:t>
            </w:r>
          </w:p>
        </w:tc>
      </w:tr>
      <w:tr w:rsidR="00B36E72" w:rsidRPr="00183E4D" w14:paraId="4E01BFA9" w14:textId="77777777" w:rsidTr="00D4500F">
        <w:trPr>
          <w:trHeight w:val="20"/>
        </w:trPr>
        <w:tc>
          <w:tcPr>
            <w:tcW w:w="3079" w:type="dxa"/>
            <w:hideMark/>
          </w:tcPr>
          <w:p w14:paraId="3DEC8C0B" w14:textId="77777777" w:rsidR="00B36E72" w:rsidRPr="005B606F" w:rsidRDefault="00B36E72" w:rsidP="00B36E72">
            <w:pPr>
              <w:pStyle w:val="Tabletext0"/>
            </w:pPr>
            <w:r w:rsidRPr="005B606F">
              <w:t>Discount rate</w:t>
            </w:r>
          </w:p>
        </w:tc>
        <w:tc>
          <w:tcPr>
            <w:tcW w:w="5829" w:type="dxa"/>
          </w:tcPr>
          <w:p w14:paraId="36C566B3" w14:textId="77777777" w:rsidR="00B36E72" w:rsidRPr="005B606F" w:rsidRDefault="00B36E72" w:rsidP="00B36E72">
            <w:pPr>
              <w:spacing w:before="40" w:after="40"/>
              <w:rPr>
                <w:rFonts w:ascii="Arial Narrow" w:hAnsi="Arial Narrow"/>
                <w:sz w:val="20"/>
              </w:rPr>
            </w:pPr>
            <w:r w:rsidRPr="005B606F">
              <w:rPr>
                <w:rFonts w:ascii="Arial Narrow" w:hAnsi="Arial Narrow"/>
                <w:sz w:val="20"/>
              </w:rPr>
              <w:t>5%</w:t>
            </w:r>
          </w:p>
        </w:tc>
      </w:tr>
      <w:tr w:rsidR="00B36E72" w:rsidRPr="00183E4D" w14:paraId="76415EE9" w14:textId="77777777" w:rsidTr="00D4500F">
        <w:trPr>
          <w:trHeight w:val="20"/>
        </w:trPr>
        <w:tc>
          <w:tcPr>
            <w:tcW w:w="3079" w:type="dxa"/>
            <w:hideMark/>
          </w:tcPr>
          <w:p w14:paraId="3422A00B" w14:textId="77777777" w:rsidR="00B36E72" w:rsidRPr="005B606F" w:rsidRDefault="00B36E72" w:rsidP="00B36E72">
            <w:pPr>
              <w:pStyle w:val="Tabletext0"/>
            </w:pPr>
            <w:r w:rsidRPr="005B606F">
              <w:t>Software packages used</w:t>
            </w:r>
          </w:p>
        </w:tc>
        <w:tc>
          <w:tcPr>
            <w:tcW w:w="5829" w:type="dxa"/>
          </w:tcPr>
          <w:p w14:paraId="2F62A42F" w14:textId="77777777" w:rsidR="00B36E72" w:rsidRPr="005B606F" w:rsidRDefault="00B36E72" w:rsidP="00B36E72">
            <w:pPr>
              <w:spacing w:before="40" w:after="40"/>
              <w:rPr>
                <w:rFonts w:ascii="Arial Narrow" w:hAnsi="Arial Narrow"/>
                <w:sz w:val="20"/>
              </w:rPr>
            </w:pPr>
            <w:r w:rsidRPr="005B606F">
              <w:rPr>
                <w:rFonts w:ascii="Arial Narrow" w:hAnsi="Arial Narrow"/>
                <w:sz w:val="20"/>
              </w:rPr>
              <w:t>Excel 2016</w:t>
            </w:r>
          </w:p>
        </w:tc>
      </w:tr>
    </w:tbl>
    <w:p w14:paraId="44E3078E" w14:textId="77777777" w:rsidR="00B36E72" w:rsidRPr="00B36E72" w:rsidRDefault="00B36E72" w:rsidP="00417876">
      <w:pPr>
        <w:pStyle w:val="Tablenotes"/>
      </w:pPr>
      <w:r w:rsidRPr="00B36E72">
        <w:t>Source: Table 32, p74 of the ADAR.</w:t>
      </w:r>
    </w:p>
    <w:p w14:paraId="54A5B69D" w14:textId="77777777" w:rsidR="00B36E72" w:rsidRPr="00B36E72" w:rsidRDefault="00B36E72" w:rsidP="00417876">
      <w:pPr>
        <w:pStyle w:val="Tablenotes"/>
      </w:pPr>
      <w:r w:rsidRPr="00B36E72">
        <w:t>Abbreviations: LYG= Life Years Gained; QALY=Quality-adjusted life year</w:t>
      </w:r>
    </w:p>
    <w:p w14:paraId="745B91AE" w14:textId="77777777" w:rsidR="00B36E72" w:rsidRDefault="00B36E72" w:rsidP="00B36E72">
      <w:r w:rsidRPr="0004110B">
        <w:t xml:space="preserve">The </w:t>
      </w:r>
      <w:r>
        <w:t>c</w:t>
      </w:r>
      <w:r w:rsidRPr="0004110B">
        <w:t xml:space="preserve">ommentary </w:t>
      </w:r>
      <w:r>
        <w:t xml:space="preserve">considered that the model was </w:t>
      </w:r>
      <w:proofErr w:type="gramStart"/>
      <w:r>
        <w:t>not informative</w:t>
      </w:r>
      <w:proofErr w:type="gramEnd"/>
      <w:r>
        <w:t xml:space="preserve"> due to the following</w:t>
      </w:r>
      <w:r w:rsidRPr="0004110B">
        <w:t xml:space="preserve"> limitations</w:t>
      </w:r>
      <w:r>
        <w:t>/issues identified:</w:t>
      </w:r>
    </w:p>
    <w:p w14:paraId="77F0A895" w14:textId="77777777" w:rsidR="00B36E72" w:rsidRDefault="00B36E72" w:rsidP="00B36E72">
      <w:pPr>
        <w:pStyle w:val="ListParagraph"/>
        <w:numPr>
          <w:ilvl w:val="0"/>
          <w:numId w:val="34"/>
        </w:numPr>
      </w:pPr>
      <w:r>
        <w:t>T</w:t>
      </w:r>
      <w:r w:rsidRPr="0004110B">
        <w:t>here is limited support for the claimed superiority of closed loop UAS, given the lack of justification provided for the use of baseline STAR study values as representative of MMS values, and the lack of evidence that the observed changes in the STAR study represented a clinical benefit, or the magnitude of the benefit.</w:t>
      </w:r>
      <w:r>
        <w:t xml:space="preserve"> </w:t>
      </w:r>
      <w:r w:rsidRPr="00A809C1">
        <w:rPr>
          <w:iCs/>
        </w:rPr>
        <w:t xml:space="preserve">In the pre-ESC response, the applicant acknowledged </w:t>
      </w:r>
      <w:r>
        <w:rPr>
          <w:iCs/>
        </w:rPr>
        <w:t>the limitations of this</w:t>
      </w:r>
      <w:r w:rsidRPr="00A809C1">
        <w:rPr>
          <w:iCs/>
        </w:rPr>
        <w:t xml:space="preserve"> approach</w:t>
      </w:r>
      <w:r>
        <w:rPr>
          <w:iCs/>
        </w:rPr>
        <w:t>, but considered it is the most realistic estimation of treatment outcomes of medical management in this population.</w:t>
      </w:r>
    </w:p>
    <w:p w14:paraId="66805D61" w14:textId="12C3C15D" w:rsidR="00B36E72" w:rsidRPr="00202E8F" w:rsidRDefault="00B36E72" w:rsidP="00B36E72">
      <w:pPr>
        <w:pStyle w:val="ListParagraph"/>
        <w:numPr>
          <w:ilvl w:val="0"/>
          <w:numId w:val="34"/>
        </w:numPr>
      </w:pPr>
      <w:r>
        <w:t xml:space="preserve">The applicability of the STAR study to the proposed MBS patient population is unclear. The commentary noted </w:t>
      </w:r>
      <w:r w:rsidRPr="00863655">
        <w:t xml:space="preserve">that </w:t>
      </w:r>
      <w:r>
        <w:t>the</w:t>
      </w:r>
      <w:r w:rsidRPr="000B7A31">
        <w:rPr>
          <w:iCs/>
        </w:rPr>
        <w:t xml:space="preserve"> AHI values</w:t>
      </w:r>
      <w:r>
        <w:rPr>
          <w:iCs/>
        </w:rPr>
        <w:t xml:space="preserve"> of patients included in the STAR study</w:t>
      </w:r>
      <w:r w:rsidRPr="000B7A31">
        <w:rPr>
          <w:iCs/>
        </w:rPr>
        <w:t xml:space="preserve"> range from just less than 20 to 60</w:t>
      </w:r>
      <w:r>
        <w:rPr>
          <w:iCs/>
        </w:rPr>
        <w:t xml:space="preserve">, and that </w:t>
      </w:r>
      <w:proofErr w:type="spellStart"/>
      <w:r>
        <w:rPr>
          <w:iCs/>
        </w:rPr>
        <w:t>Strollo</w:t>
      </w:r>
      <w:proofErr w:type="spellEnd"/>
      <w:r>
        <w:rPr>
          <w:iCs/>
        </w:rPr>
        <w:t xml:space="preserve"> (2014)</w:t>
      </w:r>
      <w:r w:rsidRPr="000B7A31">
        <w:rPr>
          <w:iCs/>
        </w:rPr>
        <w:t xml:space="preserve"> indicated that patients with AHI &lt;20 and &gt;50 were excluded. Given the above, it is likely that the patient population in the STAR study is only a subset of the proposed population </w:t>
      </w:r>
      <w:proofErr w:type="gramStart"/>
      <w:r w:rsidRPr="000B7A31">
        <w:rPr>
          <w:iCs/>
        </w:rPr>
        <w:t>in regard to</w:t>
      </w:r>
      <w:proofErr w:type="gramEnd"/>
      <w:r w:rsidRPr="000B7A31">
        <w:rPr>
          <w:iCs/>
        </w:rPr>
        <w:t xml:space="preserve"> the AHI criterion. </w:t>
      </w:r>
      <w:r>
        <w:rPr>
          <w:iCs/>
        </w:rPr>
        <w:t>In addition,</w:t>
      </w:r>
      <w:r w:rsidRPr="000B7A31">
        <w:rPr>
          <w:iCs/>
        </w:rPr>
        <w:t xml:space="preserve"> the STAR study included close to 20% of patients who had already had surgery with UPPP, and it is not clear how applicable this patient population is to the proposed MBS population.</w:t>
      </w:r>
    </w:p>
    <w:p w14:paraId="658B38D0" w14:textId="7ADDC50E" w:rsidR="00B36E72" w:rsidRPr="00A1564A" w:rsidRDefault="00B36E72" w:rsidP="00B36E72">
      <w:pPr>
        <w:pStyle w:val="ListParagraph"/>
        <w:numPr>
          <w:ilvl w:val="0"/>
          <w:numId w:val="34"/>
        </w:numPr>
        <w:rPr>
          <w:iCs/>
        </w:rPr>
      </w:pPr>
      <w:r>
        <w:rPr>
          <w:iCs/>
        </w:rPr>
        <w:t>T</w:t>
      </w:r>
      <w:r w:rsidRPr="002958D4">
        <w:rPr>
          <w:iCs/>
        </w:rPr>
        <w:t xml:space="preserve">he ADAR </w:t>
      </w:r>
      <w:r>
        <w:rPr>
          <w:iCs/>
        </w:rPr>
        <w:t>did n</w:t>
      </w:r>
      <w:r w:rsidRPr="002958D4">
        <w:rPr>
          <w:iCs/>
        </w:rPr>
        <w:t>ot adequately justif</w:t>
      </w:r>
      <w:r>
        <w:rPr>
          <w:iCs/>
        </w:rPr>
        <w:t xml:space="preserve">y </w:t>
      </w:r>
      <w:r w:rsidRPr="002958D4">
        <w:rPr>
          <w:iCs/>
        </w:rPr>
        <w:t>the model structure</w:t>
      </w:r>
      <w:r>
        <w:rPr>
          <w:iCs/>
        </w:rPr>
        <w:t xml:space="preserve">. </w:t>
      </w:r>
      <w:proofErr w:type="gramStart"/>
      <w:r>
        <w:rPr>
          <w:iCs/>
        </w:rPr>
        <w:t>The</w:t>
      </w:r>
      <w:r w:rsidRPr="002958D4">
        <w:rPr>
          <w:iCs/>
        </w:rPr>
        <w:t xml:space="preserve"> health states of ‘on’ and ‘off’ treatment, and comparing UAS (treatment) with MMS, appear</w:t>
      </w:r>
      <w:r>
        <w:rPr>
          <w:iCs/>
        </w:rPr>
        <w:t>ed</w:t>
      </w:r>
      <w:r w:rsidRPr="002958D4">
        <w:rPr>
          <w:iCs/>
        </w:rPr>
        <w:t xml:space="preserve"> to conflate health states and treatment.</w:t>
      </w:r>
      <w:proofErr w:type="gramEnd"/>
      <w:r w:rsidRPr="002958D4">
        <w:rPr>
          <w:iCs/>
        </w:rPr>
        <w:t xml:space="preserve"> </w:t>
      </w:r>
      <w:proofErr w:type="gramStart"/>
      <w:r w:rsidRPr="00A1564A">
        <w:rPr>
          <w:iCs/>
        </w:rPr>
        <w:t>Patients in the ‘off treatment’ arm of the model cannot enter the ‘on treatment’ arm, and even though the ADAR stated that patients in the ‘on treatment’ state (</w:t>
      </w:r>
      <w:proofErr w:type="spellStart"/>
      <w:r w:rsidRPr="00A1564A">
        <w:rPr>
          <w:iCs/>
        </w:rPr>
        <w:t>ie</w:t>
      </w:r>
      <w:proofErr w:type="spellEnd"/>
      <w:r w:rsidRPr="00A1564A">
        <w:rPr>
          <w:iCs/>
        </w:rPr>
        <w:t xml:space="preserve"> those treated with UAS) may have the device explanted and move to the ‘off treatment’ health state, the results for these ‘off treatment’ patients are applied only to the UAS arm of the model, </w:t>
      </w:r>
      <w:proofErr w:type="spellStart"/>
      <w:r w:rsidRPr="00A1564A">
        <w:rPr>
          <w:iCs/>
        </w:rPr>
        <w:t>ie</w:t>
      </w:r>
      <w:proofErr w:type="spellEnd"/>
      <w:r w:rsidRPr="00A1564A">
        <w:rPr>
          <w:iCs/>
        </w:rPr>
        <w:t xml:space="preserve"> treated patients.</w:t>
      </w:r>
      <w:proofErr w:type="gramEnd"/>
      <w:r w:rsidRPr="00A1564A">
        <w:rPr>
          <w:iCs/>
        </w:rPr>
        <w:t xml:space="preserve"> The ADAR has not explained why health </w:t>
      </w:r>
      <w:proofErr w:type="gramStart"/>
      <w:r w:rsidRPr="00A1564A">
        <w:rPr>
          <w:iCs/>
        </w:rPr>
        <w:t>states which cannot be entered by both arms of the model</w:t>
      </w:r>
      <w:proofErr w:type="gramEnd"/>
      <w:r w:rsidRPr="00A1564A">
        <w:rPr>
          <w:iCs/>
        </w:rPr>
        <w:t xml:space="preserve"> were used.</w:t>
      </w:r>
    </w:p>
    <w:p w14:paraId="290F76F4" w14:textId="6803991D" w:rsidR="00B36E72" w:rsidRPr="00DE1D69" w:rsidRDefault="00B36E72" w:rsidP="00B36E72">
      <w:pPr>
        <w:pStyle w:val="ListParagraph"/>
        <w:numPr>
          <w:ilvl w:val="0"/>
          <w:numId w:val="34"/>
        </w:numPr>
      </w:pPr>
      <w:r w:rsidRPr="002958D4">
        <w:rPr>
          <w:iCs/>
        </w:rPr>
        <w:t xml:space="preserve">The method used to determine utility values </w:t>
      </w:r>
      <w:r>
        <w:rPr>
          <w:iCs/>
        </w:rPr>
        <w:t>was not</w:t>
      </w:r>
      <w:r w:rsidRPr="002958D4">
        <w:rPr>
          <w:iCs/>
        </w:rPr>
        <w:t xml:space="preserve"> adequately justified by the ADAR, and the model set-up does not allow for assessment of alternate, literature-based utility values. In the published economic models of UAS (</w:t>
      </w:r>
      <w:proofErr w:type="spellStart"/>
      <w:r w:rsidRPr="002958D4">
        <w:rPr>
          <w:iCs/>
        </w:rPr>
        <w:t>Pietzsch</w:t>
      </w:r>
      <w:proofErr w:type="spellEnd"/>
      <w:r w:rsidRPr="002958D4">
        <w:rPr>
          <w:iCs/>
        </w:rPr>
        <w:t xml:space="preserve"> 2015; </w:t>
      </w:r>
      <w:proofErr w:type="spellStart"/>
      <w:r w:rsidRPr="002958D4">
        <w:rPr>
          <w:iCs/>
        </w:rPr>
        <w:t>Pietzsch</w:t>
      </w:r>
      <w:proofErr w:type="spellEnd"/>
      <w:r w:rsidRPr="002958D4">
        <w:rPr>
          <w:iCs/>
        </w:rPr>
        <w:t xml:space="preserve"> 2017), the utility values were literature-based, </w:t>
      </w:r>
      <w:r>
        <w:rPr>
          <w:iCs/>
        </w:rPr>
        <w:t xml:space="preserve">the </w:t>
      </w:r>
      <w:r w:rsidRPr="002958D4">
        <w:rPr>
          <w:iCs/>
        </w:rPr>
        <w:t>baseline utility decreased with age</w:t>
      </w:r>
      <w:r>
        <w:rPr>
          <w:iCs/>
        </w:rPr>
        <w:t xml:space="preserve">, and the model structures </w:t>
      </w:r>
      <w:r w:rsidRPr="002958D4">
        <w:rPr>
          <w:iCs/>
        </w:rPr>
        <w:t>included cardiovascular health states.</w:t>
      </w:r>
      <w:r w:rsidRPr="002958D4">
        <w:t xml:space="preserve"> However</w:t>
      </w:r>
      <w:r>
        <w:t>,</w:t>
      </w:r>
      <w:r w:rsidRPr="002958D4">
        <w:t xml:space="preserve"> the ADAR</w:t>
      </w:r>
      <w:r>
        <w:t xml:space="preserve"> model</w:t>
      </w:r>
      <w:r w:rsidRPr="002958D4">
        <w:t xml:space="preserve"> used</w:t>
      </w:r>
      <w:r w:rsidRPr="002958D4">
        <w:rPr>
          <w:iCs/>
        </w:rPr>
        <w:t xml:space="preserve"> t</w:t>
      </w:r>
      <w:r w:rsidRPr="002958D4">
        <w:rPr>
          <w:snapToGrid w:val="0"/>
          <w:lang w:eastAsia="en-US"/>
        </w:rPr>
        <w:t>he baseline ESS score from the STAR study (11.6) to determine the ‘off-treatment’ utility value, and the 12 month ESS score (7.0) to determine the ‘on treatment’ utility value</w:t>
      </w:r>
      <w:r w:rsidRPr="002958D4">
        <w:rPr>
          <w:iCs/>
        </w:rPr>
        <w:t xml:space="preserve">. The model assumed that ESS results observed at 5 years </w:t>
      </w:r>
      <w:proofErr w:type="gramStart"/>
      <w:r w:rsidRPr="002958D4">
        <w:rPr>
          <w:iCs/>
        </w:rPr>
        <w:t>would be maintained</w:t>
      </w:r>
      <w:proofErr w:type="gramEnd"/>
      <w:r w:rsidRPr="002958D4">
        <w:rPr>
          <w:iCs/>
        </w:rPr>
        <w:t xml:space="preserve"> for 45 years, for which there is no validation.</w:t>
      </w:r>
      <w:r>
        <w:rPr>
          <w:iCs/>
        </w:rPr>
        <w:t xml:space="preserve"> </w:t>
      </w:r>
      <w:r w:rsidRPr="00803F27">
        <w:rPr>
          <w:iCs/>
        </w:rPr>
        <w:t xml:space="preserve">This assumption </w:t>
      </w:r>
      <w:r w:rsidRPr="00803F27">
        <w:rPr>
          <w:iCs/>
        </w:rPr>
        <w:lastRenderedPageBreak/>
        <w:t>was not adequately justified (</w:t>
      </w:r>
      <w:r>
        <w:rPr>
          <w:iCs/>
        </w:rPr>
        <w:fldChar w:fldCharType="begin"/>
      </w:r>
      <w:r>
        <w:rPr>
          <w:iCs/>
        </w:rPr>
        <w:instrText xml:space="preserve"> REF _Ref48047150 \h </w:instrText>
      </w:r>
      <w:r>
        <w:rPr>
          <w:iCs/>
        </w:rPr>
      </w:r>
      <w:r>
        <w:rPr>
          <w:iCs/>
        </w:rPr>
        <w:fldChar w:fldCharType="separate"/>
      </w:r>
      <w:r w:rsidR="00D007E1">
        <w:t xml:space="preserve">Table </w:t>
      </w:r>
      <w:r w:rsidR="00D007E1">
        <w:rPr>
          <w:noProof/>
        </w:rPr>
        <w:t>11</w:t>
      </w:r>
      <w:r>
        <w:rPr>
          <w:iCs/>
        </w:rPr>
        <w:fldChar w:fldCharType="end"/>
      </w:r>
      <w:r w:rsidRPr="00803F27">
        <w:rPr>
          <w:iCs/>
        </w:rPr>
        <w:t xml:space="preserve">). </w:t>
      </w:r>
      <w:r>
        <w:rPr>
          <w:iCs/>
        </w:rPr>
        <w:t>In the pre-ESC response</w:t>
      </w:r>
      <w:r w:rsidR="00B46D22">
        <w:rPr>
          <w:iCs/>
        </w:rPr>
        <w:t>,</w:t>
      </w:r>
      <w:r>
        <w:rPr>
          <w:iCs/>
        </w:rPr>
        <w:t xml:space="preserve"> the applicant considered that it was conservative to exclude a decrement for ESS for MMS as without </w:t>
      </w:r>
      <w:proofErr w:type="gramStart"/>
      <w:r>
        <w:rPr>
          <w:iCs/>
        </w:rPr>
        <w:t>treatment,</w:t>
      </w:r>
      <w:proofErr w:type="gramEnd"/>
      <w:r>
        <w:rPr>
          <w:iCs/>
        </w:rPr>
        <w:t xml:space="preserve"> quality of life will worsen over time. The applicant considered the reduction in ESS in control arm is supported by the recent study (</w:t>
      </w:r>
      <w:proofErr w:type="spellStart"/>
      <w:r>
        <w:rPr>
          <w:iCs/>
        </w:rPr>
        <w:t>Mehra</w:t>
      </w:r>
      <w:proofErr w:type="spellEnd"/>
      <w:r>
        <w:rPr>
          <w:iCs/>
        </w:rPr>
        <w:t xml:space="preserve"> et al 2020</w:t>
      </w:r>
      <w:r>
        <w:rPr>
          <w:rStyle w:val="FootnoteReference"/>
          <w:iCs/>
        </w:rPr>
        <w:footnoteReference w:id="13"/>
      </w:r>
      <w:r>
        <w:rPr>
          <w:iCs/>
        </w:rPr>
        <w:t xml:space="preserve">), </w:t>
      </w:r>
      <w:r w:rsidRPr="00DE1D69">
        <w:rPr>
          <w:iCs/>
        </w:rPr>
        <w:t>and the inclusion thereof would reduce the ICER to $</w:t>
      </w:r>
      <w:r w:rsidR="00BA09B0" w:rsidRPr="00DE1D69">
        <w:rPr>
          <w:b/>
          <w:iCs/>
        </w:rPr>
        <w:t>redacted</w:t>
      </w:r>
      <w:r w:rsidRPr="00DE1D69">
        <w:rPr>
          <w:iCs/>
        </w:rPr>
        <w:t xml:space="preserve"> (from base case of $</w:t>
      </w:r>
      <w:r w:rsidR="00BA09B0" w:rsidRPr="00DE1D69">
        <w:rPr>
          <w:b/>
          <w:iCs/>
        </w:rPr>
        <w:t>redacted</w:t>
      </w:r>
      <w:r w:rsidRPr="00DE1D69">
        <w:rPr>
          <w:iCs/>
        </w:rPr>
        <w:t>).</w:t>
      </w:r>
    </w:p>
    <w:p w14:paraId="51533DFD" w14:textId="7793D0DB" w:rsidR="00B36E72" w:rsidRDefault="00B36E72" w:rsidP="00B36E72">
      <w:pPr>
        <w:pStyle w:val="ListParagraph"/>
        <w:numPr>
          <w:ilvl w:val="0"/>
          <w:numId w:val="34"/>
        </w:numPr>
        <w:tabs>
          <w:tab w:val="left" w:pos="720"/>
        </w:tabs>
        <w:rPr>
          <w:iCs/>
        </w:rPr>
      </w:pPr>
      <w:proofErr w:type="gramStart"/>
      <w:r w:rsidRPr="00A1564A">
        <w:rPr>
          <w:iCs/>
        </w:rPr>
        <w:t>The ADAR model assumed a survival benefit for UAS, however mortality was sourced from a study with limited applicability (Young 2008; with 9.5% of patients with moderate to severe OSA</w:t>
      </w:r>
      <w:r>
        <w:rPr>
          <w:iCs/>
        </w:rPr>
        <w:t xml:space="preserve"> and included </w:t>
      </w:r>
      <w:r w:rsidRPr="001C2303">
        <w:rPr>
          <w:iCs/>
        </w:rPr>
        <w:t>patients</w:t>
      </w:r>
      <w:r>
        <w:rPr>
          <w:iCs/>
        </w:rPr>
        <w:t xml:space="preserve"> with AHI score ≥65</w:t>
      </w:r>
      <w:r w:rsidRPr="001C2303">
        <w:rPr>
          <w:iCs/>
        </w:rPr>
        <w:t xml:space="preserve"> up to 97</w:t>
      </w:r>
      <w:r>
        <w:rPr>
          <w:iCs/>
        </w:rPr>
        <w:t xml:space="preserve"> in severe category </w:t>
      </w:r>
      <w:r w:rsidRPr="001C2303">
        <w:rPr>
          <w:iCs/>
        </w:rPr>
        <w:t>compared with AHI ≥15 and ≤65</w:t>
      </w:r>
      <w:r>
        <w:rPr>
          <w:iCs/>
        </w:rPr>
        <w:t xml:space="preserve"> in proposed population)</w:t>
      </w:r>
      <w:r w:rsidRPr="00A1564A">
        <w:rPr>
          <w:iCs/>
        </w:rPr>
        <w:t>, and there was no demonstration of a relationship between UAS and mortality.</w:t>
      </w:r>
      <w:proofErr w:type="gramEnd"/>
    </w:p>
    <w:p w14:paraId="58FE5BC1" w14:textId="743F80D4" w:rsidR="00B36E72" w:rsidRPr="00D4500F" w:rsidRDefault="00B36E72" w:rsidP="00D4500F">
      <w:pPr>
        <w:pStyle w:val="ListParagraph"/>
        <w:numPr>
          <w:ilvl w:val="0"/>
          <w:numId w:val="34"/>
        </w:numPr>
        <w:tabs>
          <w:tab w:val="left" w:pos="720"/>
        </w:tabs>
        <w:rPr>
          <w:iCs/>
        </w:rPr>
      </w:pPr>
      <w:r w:rsidRPr="00545098">
        <w:rPr>
          <w:iCs/>
        </w:rPr>
        <w:t xml:space="preserve">The ADAR claimed that assuming no difference in cardiovascular events between on treatment and off treatment patients is conservative. However, the ADAR has not appropriately justified why cardiovascular events were not considered as health states (as in published models), or why cardiovascular outcomes were not included as model outcomes. </w:t>
      </w:r>
      <w:r>
        <w:rPr>
          <w:iCs/>
        </w:rPr>
        <w:t>In the pre-</w:t>
      </w:r>
      <w:r w:rsidR="002D2FCA">
        <w:rPr>
          <w:iCs/>
        </w:rPr>
        <w:t>MSAC</w:t>
      </w:r>
      <w:r>
        <w:rPr>
          <w:iCs/>
        </w:rPr>
        <w:t xml:space="preserve"> response, the applicant highlighted cardiovascular outcomes were not </w:t>
      </w:r>
      <w:proofErr w:type="gramStart"/>
      <w:r>
        <w:rPr>
          <w:iCs/>
        </w:rPr>
        <w:t>included</w:t>
      </w:r>
      <w:proofErr w:type="gramEnd"/>
      <w:r>
        <w:rPr>
          <w:iCs/>
        </w:rPr>
        <w:t xml:space="preserve"> as they were not measured in the STAR study; to include cardiovascular outcomes would have required multiple assumptions, considera</w:t>
      </w:r>
      <w:r w:rsidR="00D007E1">
        <w:rPr>
          <w:iCs/>
        </w:rPr>
        <w:t>bly increasing the uncertainty.</w:t>
      </w:r>
    </w:p>
    <w:p w14:paraId="3112E19E" w14:textId="0FF4CCD7" w:rsidR="00B36E72" w:rsidRPr="00875ED2" w:rsidRDefault="00B36E72" w:rsidP="00D4500F">
      <w:pPr>
        <w:spacing w:before="240"/>
        <w:rPr>
          <w:rFonts w:ascii="Arial Narrow" w:hAnsi="Arial Narrow"/>
          <w:b/>
          <w:sz w:val="20"/>
        </w:rPr>
      </w:pPr>
      <w:bookmarkStart w:id="19" w:name="_Ref48047150"/>
      <w:r w:rsidRPr="00875ED2">
        <w:rPr>
          <w:rFonts w:ascii="Arial Narrow" w:hAnsi="Arial Narrow"/>
          <w:b/>
          <w:sz w:val="20"/>
        </w:rPr>
        <w:t xml:space="preserve">Table </w:t>
      </w:r>
      <w:r w:rsidR="00086098" w:rsidRPr="00875ED2">
        <w:rPr>
          <w:rFonts w:ascii="Arial Narrow" w:hAnsi="Arial Narrow"/>
          <w:b/>
          <w:sz w:val="20"/>
        </w:rPr>
        <w:fldChar w:fldCharType="begin"/>
      </w:r>
      <w:r w:rsidR="00086098" w:rsidRPr="00875ED2">
        <w:rPr>
          <w:rFonts w:ascii="Arial Narrow" w:hAnsi="Arial Narrow"/>
          <w:b/>
          <w:sz w:val="20"/>
        </w:rPr>
        <w:instrText xml:space="preserve"> SEQ Table \* ARABIC </w:instrText>
      </w:r>
      <w:r w:rsidR="00086098" w:rsidRPr="00875ED2">
        <w:rPr>
          <w:rFonts w:ascii="Arial Narrow" w:hAnsi="Arial Narrow"/>
          <w:b/>
          <w:sz w:val="20"/>
        </w:rPr>
        <w:fldChar w:fldCharType="separate"/>
      </w:r>
      <w:r w:rsidR="00D007E1" w:rsidRPr="00875ED2">
        <w:rPr>
          <w:rFonts w:ascii="Arial Narrow" w:hAnsi="Arial Narrow"/>
          <w:b/>
          <w:sz w:val="20"/>
        </w:rPr>
        <w:t>11</w:t>
      </w:r>
      <w:r w:rsidR="00086098" w:rsidRPr="00875ED2">
        <w:rPr>
          <w:rFonts w:ascii="Arial Narrow" w:hAnsi="Arial Narrow"/>
          <w:b/>
          <w:sz w:val="20"/>
        </w:rPr>
        <w:fldChar w:fldCharType="end"/>
      </w:r>
      <w:bookmarkEnd w:id="19"/>
      <w:r w:rsidRPr="00875ED2">
        <w:rPr>
          <w:rFonts w:ascii="Arial Narrow" w:hAnsi="Arial Narrow"/>
          <w:b/>
          <w:sz w:val="20"/>
        </w:rPr>
        <w:tab/>
        <w:t>Assumptions applied in the model</w:t>
      </w:r>
    </w:p>
    <w:tbl>
      <w:tblPr>
        <w:tblStyle w:val="TableGrid"/>
        <w:tblW w:w="5000" w:type="pct"/>
        <w:tblLook w:val="04A0" w:firstRow="1" w:lastRow="0" w:firstColumn="1" w:lastColumn="0" w:noHBand="0" w:noVBand="1"/>
        <w:tblCaption w:val="Table 11 Assumptions applied in the model"/>
        <w:tblDescription w:val="This table provides a description of the assumptions applied in the model."/>
      </w:tblPr>
      <w:tblGrid>
        <w:gridCol w:w="2234"/>
        <w:gridCol w:w="3487"/>
        <w:gridCol w:w="3295"/>
      </w:tblGrid>
      <w:tr w:rsidR="00B36E72" w:rsidRPr="00183E4D" w14:paraId="15AC724A" w14:textId="77777777" w:rsidTr="00D4500F">
        <w:trPr>
          <w:tblHeader/>
        </w:trPr>
        <w:tc>
          <w:tcPr>
            <w:tcW w:w="1177" w:type="pct"/>
          </w:tcPr>
          <w:p w14:paraId="3C663BEC" w14:textId="77777777" w:rsidR="00B36E72" w:rsidRPr="00183E4D" w:rsidRDefault="00B36E72" w:rsidP="00D4500F">
            <w:pPr>
              <w:pStyle w:val="TableHeading"/>
              <w:spacing w:before="0" w:after="0"/>
              <w:rPr>
                <w:snapToGrid w:val="0"/>
                <w:lang w:eastAsia="en-US"/>
              </w:rPr>
            </w:pPr>
            <w:r>
              <w:rPr>
                <w:snapToGrid w:val="0"/>
                <w:lang w:eastAsia="en-US"/>
              </w:rPr>
              <w:t>Model component</w:t>
            </w:r>
          </w:p>
        </w:tc>
        <w:tc>
          <w:tcPr>
            <w:tcW w:w="1965" w:type="pct"/>
          </w:tcPr>
          <w:p w14:paraId="39159830" w14:textId="77777777" w:rsidR="00B36E72" w:rsidRPr="00183E4D" w:rsidRDefault="00B36E72" w:rsidP="00D4500F">
            <w:pPr>
              <w:pStyle w:val="TableHeading"/>
              <w:spacing w:before="0" w:after="0"/>
              <w:jc w:val="center"/>
              <w:rPr>
                <w:snapToGrid w:val="0"/>
                <w:lang w:eastAsia="en-US"/>
              </w:rPr>
            </w:pPr>
            <w:r>
              <w:rPr>
                <w:snapToGrid w:val="0"/>
                <w:lang w:eastAsia="en-US"/>
              </w:rPr>
              <w:t>Assumption/data</w:t>
            </w:r>
          </w:p>
        </w:tc>
        <w:tc>
          <w:tcPr>
            <w:tcW w:w="1858" w:type="pct"/>
          </w:tcPr>
          <w:p w14:paraId="0C7C3FE9" w14:textId="77777777" w:rsidR="00B36E72" w:rsidRPr="00183E4D" w:rsidRDefault="00B36E72" w:rsidP="00D4500F">
            <w:pPr>
              <w:pStyle w:val="TableHeading"/>
              <w:spacing w:before="0" w:after="0"/>
              <w:jc w:val="center"/>
              <w:rPr>
                <w:snapToGrid w:val="0"/>
                <w:lang w:eastAsia="en-US"/>
              </w:rPr>
            </w:pPr>
            <w:r>
              <w:rPr>
                <w:snapToGrid w:val="0"/>
                <w:lang w:eastAsia="en-US"/>
              </w:rPr>
              <w:t>Comment</w:t>
            </w:r>
          </w:p>
        </w:tc>
      </w:tr>
      <w:tr w:rsidR="00B36E72" w:rsidRPr="002913B3" w14:paraId="35169EF2" w14:textId="77777777" w:rsidTr="00D4500F">
        <w:tc>
          <w:tcPr>
            <w:tcW w:w="1177" w:type="pct"/>
          </w:tcPr>
          <w:p w14:paraId="13A92D8B" w14:textId="77777777" w:rsidR="00B36E72" w:rsidRPr="007129BF" w:rsidRDefault="00B36E72" w:rsidP="00D4500F">
            <w:pPr>
              <w:rPr>
                <w:rFonts w:ascii="Arial Narrow" w:hAnsi="Arial Narrow"/>
                <w:snapToGrid w:val="0"/>
                <w:sz w:val="20"/>
              </w:rPr>
            </w:pPr>
            <w:r>
              <w:rPr>
                <w:rFonts w:ascii="Arial Narrow" w:hAnsi="Arial Narrow"/>
                <w:snapToGrid w:val="0"/>
                <w:sz w:val="20"/>
              </w:rPr>
              <w:t>ESS data</w:t>
            </w:r>
          </w:p>
        </w:tc>
        <w:tc>
          <w:tcPr>
            <w:tcW w:w="1965" w:type="pct"/>
          </w:tcPr>
          <w:p w14:paraId="5C44EADC" w14:textId="77777777" w:rsidR="00B36E72" w:rsidRPr="007129BF" w:rsidRDefault="00B36E72" w:rsidP="00D4500F">
            <w:pPr>
              <w:rPr>
                <w:rFonts w:ascii="Arial Narrow" w:hAnsi="Arial Narrow"/>
                <w:snapToGrid w:val="0"/>
                <w:sz w:val="20"/>
              </w:rPr>
            </w:pPr>
            <w:r>
              <w:rPr>
                <w:rFonts w:ascii="Arial Narrow" w:hAnsi="Arial Narrow"/>
                <w:snapToGrid w:val="0"/>
                <w:sz w:val="20"/>
              </w:rPr>
              <w:t>ESS scores from baseline of the STAR study were used for ‘off treatment’ patients, and ESS scores at 12 months of the STAR study were used for ‘on treatment’ patients.</w:t>
            </w:r>
          </w:p>
        </w:tc>
        <w:tc>
          <w:tcPr>
            <w:tcW w:w="1858" w:type="pct"/>
          </w:tcPr>
          <w:p w14:paraId="5AF2F10E" w14:textId="77777777" w:rsidR="00B36E72" w:rsidRPr="003F2A1B" w:rsidRDefault="00B36E72" w:rsidP="00D4500F">
            <w:pPr>
              <w:rPr>
                <w:rFonts w:ascii="Arial Narrow" w:hAnsi="Arial Narrow"/>
                <w:iCs/>
                <w:snapToGrid w:val="0"/>
                <w:sz w:val="20"/>
              </w:rPr>
            </w:pPr>
            <w:r w:rsidRPr="003F2A1B">
              <w:rPr>
                <w:rFonts w:ascii="Arial Narrow" w:hAnsi="Arial Narrow"/>
                <w:iCs/>
                <w:snapToGrid w:val="0"/>
                <w:sz w:val="20"/>
              </w:rPr>
              <w:t xml:space="preserve">ESS scores </w:t>
            </w:r>
            <w:proofErr w:type="gramStart"/>
            <w:r w:rsidRPr="003F2A1B">
              <w:rPr>
                <w:rFonts w:ascii="Arial Narrow" w:hAnsi="Arial Narrow"/>
                <w:iCs/>
                <w:snapToGrid w:val="0"/>
                <w:sz w:val="20"/>
              </w:rPr>
              <w:t>were transformed</w:t>
            </w:r>
            <w:proofErr w:type="gramEnd"/>
            <w:r w:rsidRPr="003F2A1B">
              <w:rPr>
                <w:rFonts w:ascii="Arial Narrow" w:hAnsi="Arial Narrow"/>
                <w:iCs/>
                <w:snapToGrid w:val="0"/>
                <w:sz w:val="20"/>
              </w:rPr>
              <w:t xml:space="preserve"> to determine utility values.  This only applies to UAS patients, as there were no QALYs applied for ‘on treatment’ patients in the MMS group.  This illustrates the lack of clarity associated with the use of treatment status as health states. </w:t>
            </w:r>
          </w:p>
        </w:tc>
      </w:tr>
      <w:tr w:rsidR="00B36E72" w:rsidRPr="002913B3" w14:paraId="696764F3" w14:textId="77777777" w:rsidTr="00D4500F">
        <w:tc>
          <w:tcPr>
            <w:tcW w:w="1177" w:type="pct"/>
          </w:tcPr>
          <w:p w14:paraId="3FDC833B" w14:textId="77777777" w:rsidR="00B36E72" w:rsidRPr="007129BF" w:rsidRDefault="00B36E72" w:rsidP="00D4500F">
            <w:pPr>
              <w:rPr>
                <w:rFonts w:ascii="Arial Narrow" w:hAnsi="Arial Narrow"/>
                <w:snapToGrid w:val="0"/>
                <w:sz w:val="20"/>
              </w:rPr>
            </w:pPr>
            <w:proofErr w:type="spellStart"/>
            <w:r>
              <w:rPr>
                <w:rFonts w:ascii="Arial Narrow" w:hAnsi="Arial Narrow"/>
                <w:snapToGrid w:val="0"/>
                <w:sz w:val="20"/>
              </w:rPr>
              <w:t>Explantation</w:t>
            </w:r>
            <w:proofErr w:type="spellEnd"/>
            <w:r>
              <w:rPr>
                <w:rFonts w:ascii="Arial Narrow" w:hAnsi="Arial Narrow"/>
                <w:snapToGrid w:val="0"/>
                <w:sz w:val="20"/>
              </w:rPr>
              <w:t xml:space="preserve"> of UAS device</w:t>
            </w:r>
          </w:p>
        </w:tc>
        <w:tc>
          <w:tcPr>
            <w:tcW w:w="1965" w:type="pct"/>
          </w:tcPr>
          <w:p w14:paraId="09A335B2" w14:textId="77777777" w:rsidR="00B36E72" w:rsidRPr="007129BF" w:rsidRDefault="00B36E72" w:rsidP="00D4500F">
            <w:pPr>
              <w:rPr>
                <w:rFonts w:ascii="Arial Narrow" w:hAnsi="Arial Narrow"/>
                <w:snapToGrid w:val="0"/>
                <w:sz w:val="20"/>
              </w:rPr>
            </w:pPr>
            <w:r>
              <w:rPr>
                <w:rFonts w:ascii="Arial Narrow" w:hAnsi="Arial Narrow"/>
                <w:snapToGrid w:val="0"/>
                <w:sz w:val="20"/>
              </w:rPr>
              <w:t>Movement from ‘on treatment’ to ‘off treatment’ for patients implanted with the closed loop UAS only occurs in the first cycle of the model.  Data from the STAR study showed 3 of 126 patients had the device explanted.</w:t>
            </w:r>
          </w:p>
        </w:tc>
        <w:tc>
          <w:tcPr>
            <w:tcW w:w="1858" w:type="pct"/>
          </w:tcPr>
          <w:p w14:paraId="554F972C" w14:textId="77777777" w:rsidR="00B36E72" w:rsidRPr="003F2A1B" w:rsidRDefault="00B36E72" w:rsidP="00D4500F">
            <w:pPr>
              <w:rPr>
                <w:rFonts w:ascii="Arial Narrow" w:hAnsi="Arial Narrow"/>
                <w:iCs/>
                <w:snapToGrid w:val="0"/>
                <w:sz w:val="20"/>
              </w:rPr>
            </w:pPr>
            <w:r w:rsidRPr="003F2A1B">
              <w:rPr>
                <w:rFonts w:ascii="Arial Narrow" w:hAnsi="Arial Narrow"/>
                <w:iCs/>
                <w:snapToGrid w:val="0"/>
                <w:sz w:val="20"/>
              </w:rPr>
              <w:t>This was reasonable.</w:t>
            </w:r>
          </w:p>
        </w:tc>
      </w:tr>
      <w:tr w:rsidR="00B36E72" w:rsidRPr="002913B3" w14:paraId="5FC1D0C7" w14:textId="77777777" w:rsidTr="00D4500F">
        <w:tc>
          <w:tcPr>
            <w:tcW w:w="1177" w:type="pct"/>
          </w:tcPr>
          <w:p w14:paraId="3E98A2AF" w14:textId="77777777" w:rsidR="00B36E72" w:rsidRPr="0066142E" w:rsidRDefault="00B36E72" w:rsidP="00D4500F">
            <w:pPr>
              <w:rPr>
                <w:rFonts w:ascii="Arial Narrow" w:hAnsi="Arial Narrow" w:cs="Arial"/>
                <w:color w:val="000000"/>
                <w:sz w:val="20"/>
              </w:rPr>
            </w:pPr>
            <w:r>
              <w:rPr>
                <w:rFonts w:ascii="Arial Narrow" w:hAnsi="Arial Narrow" w:cs="Arial"/>
                <w:color w:val="000000"/>
                <w:sz w:val="20"/>
              </w:rPr>
              <w:t>MMS patients</w:t>
            </w:r>
          </w:p>
        </w:tc>
        <w:tc>
          <w:tcPr>
            <w:tcW w:w="1965" w:type="pct"/>
          </w:tcPr>
          <w:p w14:paraId="00A5D657" w14:textId="77777777" w:rsidR="00B36E72" w:rsidRPr="0066142E" w:rsidRDefault="00B36E72" w:rsidP="00D4500F">
            <w:pPr>
              <w:rPr>
                <w:rFonts w:ascii="Arial Narrow" w:hAnsi="Arial Narrow"/>
                <w:snapToGrid w:val="0"/>
                <w:sz w:val="20"/>
              </w:rPr>
            </w:pPr>
            <w:r>
              <w:rPr>
                <w:rFonts w:ascii="Arial Narrow" w:hAnsi="Arial Narrow"/>
                <w:snapToGrid w:val="0"/>
                <w:sz w:val="20"/>
              </w:rPr>
              <w:t>All MMS patients enter the model in the ‘off treatment’ health state and remain in this state until they die.</w:t>
            </w:r>
          </w:p>
        </w:tc>
        <w:tc>
          <w:tcPr>
            <w:tcW w:w="1858" w:type="pct"/>
          </w:tcPr>
          <w:p w14:paraId="751C7502" w14:textId="77777777" w:rsidR="00B36E72" w:rsidRPr="003F2A1B" w:rsidRDefault="00B36E72" w:rsidP="00D4500F">
            <w:pPr>
              <w:rPr>
                <w:rFonts w:ascii="Arial Narrow" w:hAnsi="Arial Narrow"/>
                <w:iCs/>
                <w:snapToGrid w:val="0"/>
                <w:sz w:val="20"/>
              </w:rPr>
            </w:pPr>
            <w:r w:rsidRPr="003F2A1B">
              <w:rPr>
                <w:rFonts w:ascii="Arial Narrow" w:hAnsi="Arial Narrow"/>
                <w:iCs/>
                <w:snapToGrid w:val="0"/>
                <w:sz w:val="20"/>
              </w:rPr>
              <w:t xml:space="preserve">MMS patients are not treated with closed loop UAS so they are by definition ‘off treatment’.  It is not clear why a health state </w:t>
            </w:r>
            <w:proofErr w:type="gramStart"/>
            <w:r w:rsidRPr="003F2A1B">
              <w:rPr>
                <w:rFonts w:ascii="Arial Narrow" w:hAnsi="Arial Narrow"/>
                <w:iCs/>
                <w:snapToGrid w:val="0"/>
                <w:sz w:val="20"/>
              </w:rPr>
              <w:t>was created</w:t>
            </w:r>
            <w:proofErr w:type="gramEnd"/>
            <w:r w:rsidRPr="003F2A1B">
              <w:rPr>
                <w:rFonts w:ascii="Arial Narrow" w:hAnsi="Arial Narrow"/>
                <w:iCs/>
                <w:snapToGrid w:val="0"/>
                <w:sz w:val="20"/>
              </w:rPr>
              <w:t xml:space="preserve"> for this.  </w:t>
            </w:r>
          </w:p>
        </w:tc>
      </w:tr>
      <w:tr w:rsidR="00B36E72" w:rsidRPr="002913B3" w14:paraId="473CB774" w14:textId="77777777" w:rsidTr="00D4500F">
        <w:tc>
          <w:tcPr>
            <w:tcW w:w="1177" w:type="pct"/>
          </w:tcPr>
          <w:p w14:paraId="29733BD5" w14:textId="77777777" w:rsidR="00B36E72" w:rsidRPr="0066142E" w:rsidRDefault="00B36E72" w:rsidP="00D4500F">
            <w:pPr>
              <w:rPr>
                <w:rFonts w:ascii="Arial Narrow" w:hAnsi="Arial Narrow" w:cs="Arial"/>
                <w:color w:val="000000"/>
                <w:sz w:val="20"/>
              </w:rPr>
            </w:pPr>
            <w:r>
              <w:rPr>
                <w:rFonts w:ascii="Arial Narrow" w:hAnsi="Arial Narrow" w:cs="Arial"/>
                <w:color w:val="000000"/>
                <w:sz w:val="20"/>
              </w:rPr>
              <w:t>Change over time</w:t>
            </w:r>
          </w:p>
        </w:tc>
        <w:tc>
          <w:tcPr>
            <w:tcW w:w="1965" w:type="pct"/>
          </w:tcPr>
          <w:p w14:paraId="44CB368A" w14:textId="77777777" w:rsidR="00B36E72" w:rsidRPr="0066142E" w:rsidRDefault="00B36E72" w:rsidP="00D4500F">
            <w:pPr>
              <w:rPr>
                <w:rFonts w:ascii="Arial Narrow" w:hAnsi="Arial Narrow"/>
                <w:snapToGrid w:val="0"/>
                <w:sz w:val="20"/>
              </w:rPr>
            </w:pPr>
            <w:r>
              <w:rPr>
                <w:rFonts w:ascii="Arial Narrow" w:hAnsi="Arial Narrow"/>
                <w:snapToGrid w:val="0"/>
                <w:sz w:val="20"/>
              </w:rPr>
              <w:t xml:space="preserve">The model assumed no disease progression or deterioration in quality of life </w:t>
            </w:r>
            <w:proofErr w:type="gramStart"/>
            <w:r>
              <w:rPr>
                <w:rFonts w:ascii="Arial Narrow" w:hAnsi="Arial Narrow"/>
                <w:snapToGrid w:val="0"/>
                <w:sz w:val="20"/>
              </w:rPr>
              <w:t>for  ‘on</w:t>
            </w:r>
            <w:proofErr w:type="gramEnd"/>
            <w:r>
              <w:rPr>
                <w:rFonts w:ascii="Arial Narrow" w:hAnsi="Arial Narrow"/>
                <w:snapToGrid w:val="0"/>
                <w:sz w:val="20"/>
              </w:rPr>
              <w:t xml:space="preserve"> treatment’ and‘ off treatment’ patients.</w:t>
            </w:r>
          </w:p>
        </w:tc>
        <w:tc>
          <w:tcPr>
            <w:tcW w:w="1858" w:type="pct"/>
          </w:tcPr>
          <w:p w14:paraId="42F83602" w14:textId="77777777" w:rsidR="00B36E72" w:rsidRPr="003F2A1B" w:rsidRDefault="00B36E72" w:rsidP="00D4500F">
            <w:pPr>
              <w:rPr>
                <w:rFonts w:ascii="Arial Narrow" w:hAnsi="Arial Narrow"/>
                <w:iCs/>
                <w:snapToGrid w:val="0"/>
                <w:sz w:val="20"/>
              </w:rPr>
            </w:pPr>
            <w:r w:rsidRPr="003F2A1B">
              <w:rPr>
                <w:rFonts w:ascii="Arial Narrow" w:hAnsi="Arial Narrow"/>
                <w:iCs/>
                <w:snapToGrid w:val="0"/>
                <w:sz w:val="20"/>
              </w:rPr>
              <w:t xml:space="preserve">This was an assumption not supported by evidence, as the STAR study provided data to only 5 years, and there was no evidence provided to assume the same results will apply for a further 40 years. </w:t>
            </w:r>
          </w:p>
        </w:tc>
      </w:tr>
      <w:tr w:rsidR="00B36E72" w:rsidRPr="002913B3" w14:paraId="26B9A63F" w14:textId="77777777" w:rsidTr="00D4500F">
        <w:tc>
          <w:tcPr>
            <w:tcW w:w="1177" w:type="pct"/>
          </w:tcPr>
          <w:p w14:paraId="7F56B6FA" w14:textId="77777777" w:rsidR="00B36E72" w:rsidRPr="0066142E" w:rsidRDefault="00B36E72" w:rsidP="00D4500F">
            <w:pPr>
              <w:rPr>
                <w:rFonts w:ascii="Arial Narrow" w:hAnsi="Arial Narrow" w:cs="Arial"/>
                <w:color w:val="000000"/>
                <w:sz w:val="20"/>
              </w:rPr>
            </w:pPr>
            <w:r>
              <w:rPr>
                <w:rFonts w:ascii="Arial Narrow" w:hAnsi="Arial Narrow" w:cs="Arial"/>
                <w:color w:val="000000"/>
                <w:sz w:val="20"/>
              </w:rPr>
              <w:t>Cardiovascular events</w:t>
            </w:r>
          </w:p>
        </w:tc>
        <w:tc>
          <w:tcPr>
            <w:tcW w:w="1965" w:type="pct"/>
          </w:tcPr>
          <w:p w14:paraId="3CB68CDB" w14:textId="77777777" w:rsidR="00B36E72" w:rsidRPr="0066142E" w:rsidRDefault="00B36E72" w:rsidP="00D4500F">
            <w:pPr>
              <w:rPr>
                <w:rFonts w:ascii="Arial Narrow" w:hAnsi="Arial Narrow"/>
                <w:snapToGrid w:val="0"/>
                <w:sz w:val="20"/>
              </w:rPr>
            </w:pPr>
            <w:r>
              <w:rPr>
                <w:rFonts w:ascii="Arial Narrow" w:hAnsi="Arial Narrow"/>
                <w:snapToGrid w:val="0"/>
                <w:sz w:val="20"/>
              </w:rPr>
              <w:t>The model assumed there is no difference in cardiovascular events between the ‘on treatment’ and ‘off treatment’ health states.</w:t>
            </w:r>
          </w:p>
        </w:tc>
        <w:tc>
          <w:tcPr>
            <w:tcW w:w="1858" w:type="pct"/>
          </w:tcPr>
          <w:p w14:paraId="42468719" w14:textId="77777777" w:rsidR="00B36E72" w:rsidRPr="003F2A1B" w:rsidRDefault="00B36E72" w:rsidP="00D4500F">
            <w:pPr>
              <w:rPr>
                <w:rFonts w:ascii="Arial Narrow" w:hAnsi="Arial Narrow"/>
                <w:iCs/>
                <w:snapToGrid w:val="0"/>
                <w:sz w:val="20"/>
              </w:rPr>
            </w:pPr>
            <w:r w:rsidRPr="003F2A1B">
              <w:rPr>
                <w:rFonts w:ascii="Arial Narrow" w:hAnsi="Arial Narrow"/>
                <w:iCs/>
                <w:snapToGrid w:val="0"/>
                <w:sz w:val="20"/>
              </w:rPr>
              <w:t xml:space="preserve">This is not likely to reflect treatment with UAS as compared to MMS, as a key characteristic for OSA is the occurrence of cardiovascular events, as stated by the ADAR (p80). </w:t>
            </w:r>
          </w:p>
        </w:tc>
      </w:tr>
    </w:tbl>
    <w:p w14:paraId="3B2B8266" w14:textId="77777777" w:rsidR="00B36E72" w:rsidRDefault="00B36E72" w:rsidP="00B36E72">
      <w:pPr>
        <w:widowControl w:val="0"/>
        <w:rPr>
          <w:rStyle w:val="TablenotesChar"/>
        </w:rPr>
      </w:pPr>
      <w:r>
        <w:rPr>
          <w:rStyle w:val="TablenotesChar"/>
        </w:rPr>
        <w:t xml:space="preserve">Source: Table 11, </w:t>
      </w:r>
      <w:proofErr w:type="spellStart"/>
      <w:r>
        <w:rPr>
          <w:rStyle w:val="TablenotesChar"/>
        </w:rPr>
        <w:t>pxxiv</w:t>
      </w:r>
      <w:proofErr w:type="spellEnd"/>
      <w:r>
        <w:rPr>
          <w:rStyle w:val="TablenotesChar"/>
        </w:rPr>
        <w:t xml:space="preserve"> of the commentary</w:t>
      </w:r>
    </w:p>
    <w:p w14:paraId="0F364FC9" w14:textId="77777777" w:rsidR="00B36E72" w:rsidRPr="006568B5" w:rsidRDefault="00B36E72" w:rsidP="00B36E72">
      <w:pPr>
        <w:pStyle w:val="Tablenotes1"/>
        <w:rPr>
          <w:highlight w:val="cyan"/>
        </w:rPr>
      </w:pPr>
      <w:r>
        <w:t>Abbreviations: ESS=Epworth Sleepiness Scale; MMS=medical management strategies; OSA=obstructive sleep apnoea; UAS=upper airway stimulation</w:t>
      </w:r>
    </w:p>
    <w:p w14:paraId="319F857F" w14:textId="3E9A2CFD" w:rsidR="00B36E72" w:rsidRDefault="00B36E72" w:rsidP="00B36E72">
      <w:pPr>
        <w:spacing w:after="240"/>
      </w:pPr>
      <w:r w:rsidRPr="00183E4D">
        <w:lastRenderedPageBreak/>
        <w:t xml:space="preserve">The overall costs and outcomes, and incremental costs and outcomes as calculated for the intervention and comparator in </w:t>
      </w:r>
      <w:r>
        <w:t>the model, and using</w:t>
      </w:r>
      <w:r w:rsidRPr="00183E4D">
        <w:t xml:space="preserve"> the base case assumptions, </w:t>
      </w:r>
      <w:proofErr w:type="gramStart"/>
      <w:r w:rsidRPr="00183E4D">
        <w:t xml:space="preserve">are </w:t>
      </w:r>
      <w:r>
        <w:t>presented</w:t>
      </w:r>
      <w:proofErr w:type="gramEnd"/>
      <w:r w:rsidRPr="00183E4D">
        <w:t xml:space="preserve"> in </w:t>
      </w:r>
      <w:r>
        <w:fldChar w:fldCharType="begin"/>
      </w:r>
      <w:r>
        <w:instrText xml:space="preserve"> REF _Ref51870341 \h </w:instrText>
      </w:r>
      <w:r>
        <w:fldChar w:fldCharType="separate"/>
      </w:r>
      <w:r w:rsidR="00D007E1">
        <w:t xml:space="preserve">Table </w:t>
      </w:r>
      <w:r w:rsidR="00D007E1">
        <w:rPr>
          <w:noProof/>
        </w:rPr>
        <w:t>12</w:t>
      </w:r>
      <w:r>
        <w:fldChar w:fldCharType="end"/>
      </w:r>
      <w:r w:rsidRPr="00183E4D">
        <w:t>.</w:t>
      </w:r>
      <w:r>
        <w:t xml:space="preserve"> However, the </w:t>
      </w:r>
      <w:r w:rsidRPr="00545098">
        <w:t>comment</w:t>
      </w:r>
      <w:r>
        <w:t>ary</w:t>
      </w:r>
      <w:r w:rsidRPr="00545098">
        <w:t xml:space="preserve"> considered that t</w:t>
      </w:r>
      <w:r w:rsidRPr="00545098">
        <w:rPr>
          <w:iCs/>
        </w:rPr>
        <w:t>he model results are not likely to accurately reflect the cost-effectiveness of closed loop UAS</w:t>
      </w:r>
      <w:r>
        <w:rPr>
          <w:iCs/>
        </w:rPr>
        <w:t>.</w:t>
      </w:r>
      <w:r w:rsidRPr="00545098">
        <w:rPr>
          <w:iCs/>
        </w:rPr>
        <w:t xml:space="preserve"> </w:t>
      </w:r>
    </w:p>
    <w:p w14:paraId="4FD12ACF" w14:textId="55B2B199" w:rsidR="00B36E72" w:rsidRPr="00875ED2" w:rsidRDefault="00B36E72" w:rsidP="00875ED2">
      <w:pPr>
        <w:rPr>
          <w:rFonts w:ascii="Arial Narrow" w:hAnsi="Arial Narrow"/>
          <w:b/>
          <w:sz w:val="20"/>
        </w:rPr>
      </w:pPr>
      <w:bookmarkStart w:id="20" w:name="_Ref51870341"/>
      <w:bookmarkStart w:id="21" w:name="_Ref452970527"/>
      <w:bookmarkStart w:id="22" w:name="_Toc453164951"/>
      <w:r w:rsidRPr="00875ED2">
        <w:rPr>
          <w:rFonts w:ascii="Arial Narrow" w:hAnsi="Arial Narrow"/>
          <w:b/>
          <w:sz w:val="20"/>
        </w:rPr>
        <w:t xml:space="preserve">Table </w:t>
      </w:r>
      <w:r w:rsidR="00086098" w:rsidRPr="00875ED2">
        <w:rPr>
          <w:rFonts w:ascii="Arial Narrow" w:hAnsi="Arial Narrow"/>
          <w:b/>
          <w:sz w:val="20"/>
        </w:rPr>
        <w:fldChar w:fldCharType="begin"/>
      </w:r>
      <w:r w:rsidR="00086098" w:rsidRPr="00875ED2">
        <w:rPr>
          <w:rFonts w:ascii="Arial Narrow" w:hAnsi="Arial Narrow"/>
          <w:b/>
          <w:sz w:val="20"/>
        </w:rPr>
        <w:instrText xml:space="preserve"> SEQ Table \* ARABIC </w:instrText>
      </w:r>
      <w:r w:rsidR="00086098" w:rsidRPr="00875ED2">
        <w:rPr>
          <w:rFonts w:ascii="Arial Narrow" w:hAnsi="Arial Narrow"/>
          <w:b/>
          <w:sz w:val="20"/>
        </w:rPr>
        <w:fldChar w:fldCharType="separate"/>
      </w:r>
      <w:r w:rsidR="00D007E1" w:rsidRPr="00875ED2">
        <w:rPr>
          <w:rFonts w:ascii="Arial Narrow" w:hAnsi="Arial Narrow"/>
          <w:b/>
          <w:sz w:val="20"/>
        </w:rPr>
        <w:t>12</w:t>
      </w:r>
      <w:r w:rsidR="00086098" w:rsidRPr="00875ED2">
        <w:rPr>
          <w:rFonts w:ascii="Arial Narrow" w:hAnsi="Arial Narrow"/>
          <w:b/>
          <w:sz w:val="20"/>
        </w:rPr>
        <w:fldChar w:fldCharType="end"/>
      </w:r>
      <w:bookmarkEnd w:id="20"/>
      <w:r w:rsidRPr="00875ED2">
        <w:rPr>
          <w:rFonts w:ascii="Arial Narrow" w:hAnsi="Arial Narrow"/>
          <w:b/>
          <w:sz w:val="20"/>
        </w:rPr>
        <w:t xml:space="preserve"> Results of the modelled evaluation </w:t>
      </w:r>
    </w:p>
    <w:tbl>
      <w:tblPr>
        <w:tblW w:w="90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2 Results of the modelled evaluation "/>
        <w:tblDescription w:val="This table provides the results of the economic model."/>
      </w:tblPr>
      <w:tblGrid>
        <w:gridCol w:w="3040"/>
        <w:gridCol w:w="2000"/>
        <w:gridCol w:w="1985"/>
        <w:gridCol w:w="1985"/>
      </w:tblGrid>
      <w:tr w:rsidR="00B36E72" w:rsidRPr="00DE1D69" w14:paraId="2FD941A6" w14:textId="77777777" w:rsidTr="00B36E72">
        <w:trPr>
          <w:trHeight w:val="20"/>
          <w:tblHeader/>
        </w:trPr>
        <w:tc>
          <w:tcPr>
            <w:tcW w:w="3040" w:type="dxa"/>
            <w:tcBorders>
              <w:top w:val="single" w:sz="4" w:space="0" w:color="auto"/>
              <w:left w:val="single" w:sz="4" w:space="0" w:color="auto"/>
              <w:bottom w:val="single" w:sz="4" w:space="0" w:color="auto"/>
              <w:right w:val="single" w:sz="4" w:space="0" w:color="auto"/>
            </w:tcBorders>
          </w:tcPr>
          <w:p w14:paraId="26642097" w14:textId="77777777" w:rsidR="00B36E72" w:rsidRPr="001E4D73" w:rsidRDefault="00B36E72" w:rsidP="00B36E72">
            <w:pPr>
              <w:pStyle w:val="Tabletext0"/>
              <w:ind w:left="64"/>
              <w:rPr>
                <w:b/>
                <w:bCs/>
              </w:rPr>
            </w:pPr>
          </w:p>
        </w:tc>
        <w:tc>
          <w:tcPr>
            <w:tcW w:w="2000" w:type="dxa"/>
            <w:tcBorders>
              <w:top w:val="single" w:sz="4" w:space="0" w:color="auto"/>
              <w:left w:val="single" w:sz="4" w:space="0" w:color="auto"/>
              <w:bottom w:val="single" w:sz="4" w:space="0" w:color="auto"/>
              <w:right w:val="single" w:sz="4" w:space="0" w:color="auto"/>
            </w:tcBorders>
          </w:tcPr>
          <w:p w14:paraId="6A430F14" w14:textId="77777777" w:rsidR="00B36E72" w:rsidRPr="00DE1D69" w:rsidRDefault="00B36E72" w:rsidP="00B36E72">
            <w:pPr>
              <w:pStyle w:val="Tabletext0"/>
              <w:ind w:left="64"/>
              <w:jc w:val="center"/>
              <w:rPr>
                <w:b/>
                <w:bCs/>
              </w:rPr>
            </w:pPr>
            <w:r w:rsidRPr="00DE1D69">
              <w:rPr>
                <w:b/>
                <w:bCs/>
              </w:rPr>
              <w:t>Closed loop UAS</w:t>
            </w:r>
          </w:p>
        </w:tc>
        <w:tc>
          <w:tcPr>
            <w:tcW w:w="1985" w:type="dxa"/>
            <w:tcBorders>
              <w:top w:val="single" w:sz="4" w:space="0" w:color="auto"/>
              <w:left w:val="single" w:sz="4" w:space="0" w:color="auto"/>
              <w:bottom w:val="single" w:sz="4" w:space="0" w:color="auto"/>
              <w:right w:val="single" w:sz="4" w:space="0" w:color="auto"/>
            </w:tcBorders>
          </w:tcPr>
          <w:p w14:paraId="29A66462" w14:textId="77777777" w:rsidR="00B36E72" w:rsidRPr="00DE1D69" w:rsidRDefault="00B36E72" w:rsidP="00B36E72">
            <w:pPr>
              <w:pStyle w:val="Tabletext0"/>
              <w:ind w:left="64"/>
              <w:jc w:val="center"/>
              <w:rPr>
                <w:b/>
                <w:bCs/>
              </w:rPr>
            </w:pPr>
            <w:r w:rsidRPr="00DE1D69">
              <w:rPr>
                <w:b/>
                <w:bCs/>
              </w:rPr>
              <w:t>MMS</w:t>
            </w:r>
          </w:p>
        </w:tc>
        <w:tc>
          <w:tcPr>
            <w:tcW w:w="1985" w:type="dxa"/>
            <w:tcBorders>
              <w:top w:val="single" w:sz="4" w:space="0" w:color="auto"/>
              <w:left w:val="single" w:sz="4" w:space="0" w:color="auto"/>
              <w:bottom w:val="single" w:sz="4" w:space="0" w:color="auto"/>
              <w:right w:val="single" w:sz="4" w:space="0" w:color="auto"/>
            </w:tcBorders>
          </w:tcPr>
          <w:p w14:paraId="6F65CF94" w14:textId="77777777" w:rsidR="00B36E72" w:rsidRPr="00DE1D69" w:rsidRDefault="00B36E72" w:rsidP="00B36E72">
            <w:pPr>
              <w:pStyle w:val="Tabletext0"/>
              <w:ind w:left="64"/>
              <w:jc w:val="center"/>
              <w:rPr>
                <w:b/>
                <w:bCs/>
              </w:rPr>
            </w:pPr>
            <w:r w:rsidRPr="00DE1D69">
              <w:rPr>
                <w:b/>
                <w:bCs/>
              </w:rPr>
              <w:t>Increment</w:t>
            </w:r>
          </w:p>
        </w:tc>
      </w:tr>
      <w:tr w:rsidR="00B36E72" w:rsidRPr="00DE1D69" w14:paraId="7D087312" w14:textId="77777777" w:rsidTr="00B36E72">
        <w:trPr>
          <w:trHeight w:val="20"/>
        </w:trPr>
        <w:tc>
          <w:tcPr>
            <w:tcW w:w="3040" w:type="dxa"/>
            <w:tcBorders>
              <w:top w:val="single" w:sz="4" w:space="0" w:color="auto"/>
              <w:left w:val="single" w:sz="4" w:space="0" w:color="auto"/>
              <w:bottom w:val="single" w:sz="4" w:space="0" w:color="auto"/>
              <w:right w:val="single" w:sz="4" w:space="0" w:color="auto"/>
            </w:tcBorders>
          </w:tcPr>
          <w:p w14:paraId="3CB851E6" w14:textId="77777777" w:rsidR="00B36E72" w:rsidRPr="00DE1D69" w:rsidRDefault="00B36E72" w:rsidP="00B36E72">
            <w:pPr>
              <w:pStyle w:val="Tabletext0"/>
              <w:ind w:left="64"/>
            </w:pPr>
            <w:r w:rsidRPr="00DE1D69">
              <w:t>Cost</w:t>
            </w:r>
          </w:p>
        </w:tc>
        <w:tc>
          <w:tcPr>
            <w:tcW w:w="2000" w:type="dxa"/>
            <w:tcBorders>
              <w:top w:val="single" w:sz="4" w:space="0" w:color="auto"/>
              <w:left w:val="single" w:sz="4" w:space="0" w:color="auto"/>
              <w:bottom w:val="single" w:sz="4" w:space="0" w:color="auto"/>
              <w:right w:val="single" w:sz="4" w:space="0" w:color="auto"/>
            </w:tcBorders>
          </w:tcPr>
          <w:p w14:paraId="062AC12B" w14:textId="2F3631AE" w:rsidR="00B36E72" w:rsidRPr="00DE1D69" w:rsidRDefault="00B36E72" w:rsidP="00BA09B0">
            <w:pPr>
              <w:pStyle w:val="Tabletext0"/>
              <w:ind w:left="64"/>
              <w:jc w:val="center"/>
            </w:pPr>
            <w:r w:rsidRPr="00DE1D69">
              <w:t>$</w:t>
            </w:r>
            <w:r w:rsidR="00BA09B0" w:rsidRPr="00DE1D69">
              <w:t>redacted</w:t>
            </w:r>
          </w:p>
        </w:tc>
        <w:tc>
          <w:tcPr>
            <w:tcW w:w="1985" w:type="dxa"/>
            <w:tcBorders>
              <w:top w:val="single" w:sz="4" w:space="0" w:color="auto"/>
              <w:left w:val="single" w:sz="4" w:space="0" w:color="auto"/>
              <w:bottom w:val="single" w:sz="4" w:space="0" w:color="auto"/>
              <w:right w:val="single" w:sz="4" w:space="0" w:color="auto"/>
            </w:tcBorders>
          </w:tcPr>
          <w:p w14:paraId="31415594" w14:textId="63DB5C26" w:rsidR="00B36E72" w:rsidRPr="00DE1D69" w:rsidRDefault="00B36E72" w:rsidP="00BA09B0">
            <w:pPr>
              <w:pStyle w:val="Tabletext0"/>
              <w:ind w:left="64"/>
              <w:jc w:val="center"/>
            </w:pPr>
            <w:r w:rsidRPr="00DE1D69">
              <w:t>$</w:t>
            </w:r>
            <w:r w:rsidR="00BA09B0" w:rsidRPr="00DE1D69">
              <w:t>redacted</w:t>
            </w:r>
          </w:p>
        </w:tc>
        <w:tc>
          <w:tcPr>
            <w:tcW w:w="1985" w:type="dxa"/>
            <w:tcBorders>
              <w:top w:val="single" w:sz="4" w:space="0" w:color="auto"/>
              <w:left w:val="single" w:sz="4" w:space="0" w:color="auto"/>
              <w:bottom w:val="single" w:sz="4" w:space="0" w:color="auto"/>
              <w:right w:val="single" w:sz="4" w:space="0" w:color="auto"/>
            </w:tcBorders>
          </w:tcPr>
          <w:p w14:paraId="327CE921" w14:textId="29C68EB8" w:rsidR="00B36E72" w:rsidRPr="00DE1D69" w:rsidRDefault="00B36E72" w:rsidP="00BA09B0">
            <w:pPr>
              <w:pStyle w:val="Tabletext0"/>
              <w:ind w:left="64"/>
              <w:jc w:val="center"/>
            </w:pPr>
            <w:r w:rsidRPr="00DE1D69">
              <w:t>$</w:t>
            </w:r>
            <w:r w:rsidR="00BA09B0" w:rsidRPr="00DE1D69">
              <w:t>redacted</w:t>
            </w:r>
          </w:p>
        </w:tc>
      </w:tr>
      <w:tr w:rsidR="00B36E72" w:rsidRPr="00DE1D69" w14:paraId="5121B034" w14:textId="77777777" w:rsidTr="00B36E72">
        <w:trPr>
          <w:trHeight w:val="20"/>
        </w:trPr>
        <w:tc>
          <w:tcPr>
            <w:tcW w:w="3040" w:type="dxa"/>
            <w:tcBorders>
              <w:top w:val="single" w:sz="4" w:space="0" w:color="auto"/>
              <w:left w:val="single" w:sz="4" w:space="0" w:color="auto"/>
              <w:bottom w:val="single" w:sz="4" w:space="0" w:color="auto"/>
              <w:right w:val="single" w:sz="4" w:space="0" w:color="auto"/>
            </w:tcBorders>
          </w:tcPr>
          <w:p w14:paraId="483382CF" w14:textId="77777777" w:rsidR="00B36E72" w:rsidRPr="00DE1D69" w:rsidRDefault="00B36E72" w:rsidP="00B36E72">
            <w:pPr>
              <w:pStyle w:val="Tabletext0"/>
              <w:ind w:left="64"/>
            </w:pPr>
            <w:r w:rsidRPr="00DE1D69">
              <w:t>LYs</w:t>
            </w:r>
          </w:p>
        </w:tc>
        <w:tc>
          <w:tcPr>
            <w:tcW w:w="2000" w:type="dxa"/>
            <w:tcBorders>
              <w:top w:val="single" w:sz="4" w:space="0" w:color="auto"/>
              <w:left w:val="single" w:sz="4" w:space="0" w:color="auto"/>
              <w:bottom w:val="single" w:sz="4" w:space="0" w:color="auto"/>
              <w:right w:val="single" w:sz="4" w:space="0" w:color="auto"/>
            </w:tcBorders>
          </w:tcPr>
          <w:p w14:paraId="7B2E100B" w14:textId="77777777" w:rsidR="00B36E72" w:rsidRPr="00DE1D69" w:rsidRDefault="00B36E72" w:rsidP="00B36E72">
            <w:pPr>
              <w:pStyle w:val="Tabletext0"/>
              <w:ind w:left="64"/>
              <w:jc w:val="center"/>
            </w:pPr>
            <w:r w:rsidRPr="00DE1D69">
              <w:t>14.37</w:t>
            </w:r>
          </w:p>
        </w:tc>
        <w:tc>
          <w:tcPr>
            <w:tcW w:w="1985" w:type="dxa"/>
            <w:tcBorders>
              <w:top w:val="single" w:sz="4" w:space="0" w:color="auto"/>
              <w:left w:val="single" w:sz="4" w:space="0" w:color="auto"/>
              <w:bottom w:val="single" w:sz="4" w:space="0" w:color="auto"/>
              <w:right w:val="single" w:sz="4" w:space="0" w:color="auto"/>
            </w:tcBorders>
          </w:tcPr>
          <w:p w14:paraId="312A75D3" w14:textId="77777777" w:rsidR="00B36E72" w:rsidRPr="00DE1D69" w:rsidRDefault="00B36E72" w:rsidP="00B36E72">
            <w:pPr>
              <w:pStyle w:val="Tabletext0"/>
              <w:ind w:left="64"/>
              <w:jc w:val="center"/>
            </w:pPr>
            <w:r w:rsidRPr="00DE1D69">
              <w:t>12.52</w:t>
            </w:r>
          </w:p>
        </w:tc>
        <w:tc>
          <w:tcPr>
            <w:tcW w:w="1985" w:type="dxa"/>
            <w:tcBorders>
              <w:top w:val="single" w:sz="4" w:space="0" w:color="auto"/>
              <w:left w:val="single" w:sz="4" w:space="0" w:color="auto"/>
              <w:bottom w:val="single" w:sz="4" w:space="0" w:color="auto"/>
              <w:right w:val="single" w:sz="4" w:space="0" w:color="auto"/>
            </w:tcBorders>
          </w:tcPr>
          <w:p w14:paraId="44F6F4FF" w14:textId="77777777" w:rsidR="00B36E72" w:rsidRPr="00DE1D69" w:rsidRDefault="00B36E72" w:rsidP="00B36E72">
            <w:pPr>
              <w:pStyle w:val="Tabletext0"/>
              <w:ind w:left="64"/>
              <w:jc w:val="center"/>
            </w:pPr>
            <w:r w:rsidRPr="00DE1D69">
              <w:t>1.84</w:t>
            </w:r>
          </w:p>
        </w:tc>
      </w:tr>
      <w:tr w:rsidR="00B36E72" w:rsidRPr="00DE1D69" w14:paraId="4040BC6F" w14:textId="77777777" w:rsidTr="00B36E72">
        <w:trPr>
          <w:trHeight w:val="20"/>
        </w:trPr>
        <w:tc>
          <w:tcPr>
            <w:tcW w:w="3040" w:type="dxa"/>
            <w:tcBorders>
              <w:top w:val="single" w:sz="4" w:space="0" w:color="auto"/>
              <w:left w:val="single" w:sz="4" w:space="0" w:color="auto"/>
              <w:bottom w:val="single" w:sz="4" w:space="0" w:color="auto"/>
              <w:right w:val="single" w:sz="4" w:space="0" w:color="auto"/>
            </w:tcBorders>
          </w:tcPr>
          <w:p w14:paraId="1471A55E" w14:textId="77777777" w:rsidR="00B36E72" w:rsidRPr="00DE1D69" w:rsidRDefault="00B36E72" w:rsidP="00B36E72">
            <w:pPr>
              <w:pStyle w:val="Tabletext0"/>
              <w:ind w:left="64"/>
            </w:pPr>
            <w:r w:rsidRPr="00DE1D69">
              <w:t>QALYs</w:t>
            </w:r>
          </w:p>
        </w:tc>
        <w:tc>
          <w:tcPr>
            <w:tcW w:w="2000" w:type="dxa"/>
            <w:tcBorders>
              <w:top w:val="single" w:sz="4" w:space="0" w:color="auto"/>
              <w:left w:val="single" w:sz="4" w:space="0" w:color="auto"/>
              <w:bottom w:val="single" w:sz="4" w:space="0" w:color="auto"/>
              <w:right w:val="single" w:sz="4" w:space="0" w:color="auto"/>
            </w:tcBorders>
          </w:tcPr>
          <w:p w14:paraId="66E1BEE5" w14:textId="77777777" w:rsidR="00B36E72" w:rsidRPr="00DE1D69" w:rsidRDefault="00B36E72" w:rsidP="00B36E72">
            <w:pPr>
              <w:pStyle w:val="Tabletext0"/>
              <w:ind w:left="64"/>
              <w:jc w:val="center"/>
            </w:pPr>
            <w:r w:rsidRPr="00DE1D69">
              <w:t>11.83</w:t>
            </w:r>
          </w:p>
        </w:tc>
        <w:tc>
          <w:tcPr>
            <w:tcW w:w="1985" w:type="dxa"/>
            <w:tcBorders>
              <w:top w:val="single" w:sz="4" w:space="0" w:color="auto"/>
              <w:left w:val="single" w:sz="4" w:space="0" w:color="auto"/>
              <w:bottom w:val="single" w:sz="4" w:space="0" w:color="auto"/>
              <w:right w:val="single" w:sz="4" w:space="0" w:color="auto"/>
            </w:tcBorders>
          </w:tcPr>
          <w:p w14:paraId="7D65366C" w14:textId="77777777" w:rsidR="00B36E72" w:rsidRPr="00DE1D69" w:rsidRDefault="00B36E72" w:rsidP="00B36E72">
            <w:pPr>
              <w:pStyle w:val="Tabletext0"/>
              <w:ind w:left="64"/>
              <w:jc w:val="center"/>
            </w:pPr>
            <w:r w:rsidRPr="00DE1D69">
              <w:t>9.77</w:t>
            </w:r>
          </w:p>
        </w:tc>
        <w:tc>
          <w:tcPr>
            <w:tcW w:w="1985" w:type="dxa"/>
            <w:tcBorders>
              <w:top w:val="single" w:sz="4" w:space="0" w:color="auto"/>
              <w:left w:val="single" w:sz="4" w:space="0" w:color="auto"/>
              <w:bottom w:val="single" w:sz="4" w:space="0" w:color="auto"/>
              <w:right w:val="single" w:sz="4" w:space="0" w:color="auto"/>
            </w:tcBorders>
          </w:tcPr>
          <w:p w14:paraId="2EE5C845" w14:textId="77777777" w:rsidR="00B36E72" w:rsidRPr="00DE1D69" w:rsidRDefault="00B36E72" w:rsidP="00B36E72">
            <w:pPr>
              <w:pStyle w:val="Tabletext0"/>
              <w:ind w:left="64"/>
              <w:jc w:val="center"/>
            </w:pPr>
            <w:r w:rsidRPr="00DE1D69">
              <w:t>2.07</w:t>
            </w:r>
          </w:p>
        </w:tc>
      </w:tr>
      <w:tr w:rsidR="00B36E72" w:rsidRPr="00DE1D69" w14:paraId="5693D357" w14:textId="77777777" w:rsidTr="00B36E72">
        <w:trPr>
          <w:trHeight w:val="20"/>
        </w:trPr>
        <w:tc>
          <w:tcPr>
            <w:tcW w:w="3040" w:type="dxa"/>
            <w:tcBorders>
              <w:top w:val="single" w:sz="4" w:space="0" w:color="auto"/>
              <w:left w:val="single" w:sz="4" w:space="0" w:color="auto"/>
              <w:bottom w:val="single" w:sz="4" w:space="0" w:color="auto"/>
              <w:right w:val="nil"/>
            </w:tcBorders>
          </w:tcPr>
          <w:p w14:paraId="0E89BF1A" w14:textId="77777777" w:rsidR="00B36E72" w:rsidRPr="00DE1D69" w:rsidRDefault="00B36E72" w:rsidP="00B36E72">
            <w:pPr>
              <w:pStyle w:val="Tabletext0"/>
              <w:ind w:left="64"/>
              <w:rPr>
                <w:bCs/>
              </w:rPr>
            </w:pPr>
            <w:r w:rsidRPr="00DE1D69">
              <w:rPr>
                <w:bCs/>
              </w:rPr>
              <w:t>Incremental cost/LY gained</w:t>
            </w:r>
          </w:p>
        </w:tc>
        <w:tc>
          <w:tcPr>
            <w:tcW w:w="2000" w:type="dxa"/>
            <w:tcBorders>
              <w:top w:val="single" w:sz="4" w:space="0" w:color="auto"/>
              <w:left w:val="nil"/>
              <w:bottom w:val="single" w:sz="4" w:space="0" w:color="auto"/>
              <w:right w:val="nil"/>
            </w:tcBorders>
          </w:tcPr>
          <w:p w14:paraId="5574F494" w14:textId="77777777" w:rsidR="00B36E72" w:rsidRPr="00DE1D69" w:rsidRDefault="00B36E72" w:rsidP="00B36E72">
            <w:pPr>
              <w:pStyle w:val="Tabletext0"/>
              <w:ind w:left="64"/>
              <w:jc w:val="center"/>
              <w:rPr>
                <w:bCs/>
              </w:rPr>
            </w:pPr>
          </w:p>
        </w:tc>
        <w:tc>
          <w:tcPr>
            <w:tcW w:w="1985" w:type="dxa"/>
            <w:tcBorders>
              <w:top w:val="single" w:sz="4" w:space="0" w:color="auto"/>
              <w:left w:val="nil"/>
              <w:bottom w:val="single" w:sz="4" w:space="0" w:color="auto"/>
              <w:right w:val="single" w:sz="4" w:space="0" w:color="auto"/>
            </w:tcBorders>
          </w:tcPr>
          <w:p w14:paraId="02D7AB16" w14:textId="77777777" w:rsidR="00B36E72" w:rsidRPr="00DE1D69" w:rsidRDefault="00B36E72" w:rsidP="00B36E72">
            <w:pPr>
              <w:pStyle w:val="Tabletext0"/>
              <w:ind w:left="64"/>
              <w:jc w:val="center"/>
              <w:rPr>
                <w:bCs/>
              </w:rPr>
            </w:pPr>
          </w:p>
        </w:tc>
        <w:tc>
          <w:tcPr>
            <w:tcW w:w="1985" w:type="dxa"/>
            <w:tcBorders>
              <w:top w:val="single" w:sz="4" w:space="0" w:color="auto"/>
              <w:left w:val="single" w:sz="4" w:space="0" w:color="auto"/>
              <w:bottom w:val="single" w:sz="4" w:space="0" w:color="auto"/>
              <w:right w:val="single" w:sz="4" w:space="0" w:color="auto"/>
            </w:tcBorders>
          </w:tcPr>
          <w:p w14:paraId="26CB0BE3" w14:textId="32268A19" w:rsidR="00B36E72" w:rsidRPr="00DE1D69" w:rsidRDefault="00B36E72" w:rsidP="00BA09B0">
            <w:pPr>
              <w:pStyle w:val="Tabletext0"/>
              <w:ind w:left="64"/>
              <w:jc w:val="center"/>
              <w:rPr>
                <w:bCs/>
              </w:rPr>
            </w:pPr>
            <w:r w:rsidRPr="00DE1D69">
              <w:rPr>
                <w:bCs/>
              </w:rPr>
              <w:t>$</w:t>
            </w:r>
            <w:r w:rsidR="00BA09B0" w:rsidRPr="00DE1D69">
              <w:rPr>
                <w:bCs/>
              </w:rPr>
              <w:t>redacted</w:t>
            </w:r>
          </w:p>
        </w:tc>
      </w:tr>
      <w:tr w:rsidR="00B36E72" w:rsidRPr="00183E4D" w14:paraId="2BB2891D" w14:textId="77777777" w:rsidTr="00B36E72">
        <w:trPr>
          <w:trHeight w:val="20"/>
        </w:trPr>
        <w:tc>
          <w:tcPr>
            <w:tcW w:w="3040" w:type="dxa"/>
            <w:tcBorders>
              <w:top w:val="single" w:sz="4" w:space="0" w:color="auto"/>
              <w:left w:val="single" w:sz="4" w:space="0" w:color="auto"/>
              <w:bottom w:val="single" w:sz="4" w:space="0" w:color="auto"/>
              <w:right w:val="nil"/>
            </w:tcBorders>
          </w:tcPr>
          <w:p w14:paraId="001F9337" w14:textId="77777777" w:rsidR="00B36E72" w:rsidRPr="00DE1D69" w:rsidRDefault="00B36E72" w:rsidP="00B36E72">
            <w:pPr>
              <w:pStyle w:val="Tabletext0"/>
              <w:ind w:left="64"/>
            </w:pPr>
            <w:r w:rsidRPr="00DE1D69">
              <w:rPr>
                <w:b/>
              </w:rPr>
              <w:t xml:space="preserve">Incremental cost/QALY gained </w:t>
            </w:r>
          </w:p>
        </w:tc>
        <w:tc>
          <w:tcPr>
            <w:tcW w:w="2000" w:type="dxa"/>
            <w:tcBorders>
              <w:top w:val="single" w:sz="4" w:space="0" w:color="auto"/>
              <w:left w:val="nil"/>
              <w:bottom w:val="single" w:sz="4" w:space="0" w:color="auto"/>
              <w:right w:val="nil"/>
            </w:tcBorders>
          </w:tcPr>
          <w:p w14:paraId="565F59F4" w14:textId="77777777" w:rsidR="00B36E72" w:rsidRPr="00DE1D69" w:rsidRDefault="00B36E72" w:rsidP="00B36E72">
            <w:pPr>
              <w:pStyle w:val="Tabletext0"/>
              <w:ind w:left="64"/>
              <w:jc w:val="center"/>
            </w:pPr>
          </w:p>
        </w:tc>
        <w:tc>
          <w:tcPr>
            <w:tcW w:w="1985" w:type="dxa"/>
            <w:tcBorders>
              <w:top w:val="single" w:sz="4" w:space="0" w:color="auto"/>
              <w:left w:val="nil"/>
              <w:bottom w:val="single" w:sz="4" w:space="0" w:color="auto"/>
              <w:right w:val="single" w:sz="4" w:space="0" w:color="auto"/>
            </w:tcBorders>
          </w:tcPr>
          <w:p w14:paraId="230ACF98" w14:textId="77777777" w:rsidR="00B36E72" w:rsidRPr="00DE1D69" w:rsidRDefault="00B36E72" w:rsidP="00B36E72">
            <w:pPr>
              <w:pStyle w:val="Tabletext0"/>
              <w:ind w:left="64"/>
              <w:jc w:val="center"/>
            </w:pPr>
          </w:p>
        </w:tc>
        <w:tc>
          <w:tcPr>
            <w:tcW w:w="1985" w:type="dxa"/>
            <w:tcBorders>
              <w:top w:val="single" w:sz="4" w:space="0" w:color="auto"/>
              <w:left w:val="single" w:sz="4" w:space="0" w:color="auto"/>
              <w:bottom w:val="single" w:sz="4" w:space="0" w:color="auto"/>
              <w:right w:val="single" w:sz="4" w:space="0" w:color="auto"/>
            </w:tcBorders>
          </w:tcPr>
          <w:p w14:paraId="70CAB5EF" w14:textId="600338C4" w:rsidR="00B36E72" w:rsidRPr="00DE1D69" w:rsidRDefault="00B36E72" w:rsidP="00BA09B0">
            <w:pPr>
              <w:pStyle w:val="Tabletext0"/>
              <w:ind w:left="64"/>
              <w:jc w:val="center"/>
              <w:rPr>
                <w:b/>
                <w:bCs/>
              </w:rPr>
            </w:pPr>
            <w:r w:rsidRPr="00DE1D69">
              <w:rPr>
                <w:b/>
                <w:bCs/>
              </w:rPr>
              <w:t>$</w:t>
            </w:r>
            <w:r w:rsidR="00BA09B0" w:rsidRPr="00DE1D69">
              <w:rPr>
                <w:b/>
                <w:bCs/>
              </w:rPr>
              <w:t>redacted</w:t>
            </w:r>
          </w:p>
        </w:tc>
      </w:tr>
    </w:tbl>
    <w:p w14:paraId="7B42D79A" w14:textId="77777777" w:rsidR="00B36E72" w:rsidRDefault="00B36E72" w:rsidP="00B36E72">
      <w:pPr>
        <w:rPr>
          <w:rFonts w:ascii="Arial Narrow" w:hAnsi="Arial Narrow"/>
          <w:sz w:val="18"/>
          <w:szCs w:val="18"/>
        </w:rPr>
      </w:pPr>
      <w:r w:rsidRPr="001E4D73">
        <w:rPr>
          <w:rFonts w:ascii="Arial Narrow" w:hAnsi="Arial Narrow"/>
          <w:sz w:val="18"/>
          <w:szCs w:val="18"/>
        </w:rPr>
        <w:t xml:space="preserve">Source:  Table </w:t>
      </w:r>
      <w:r>
        <w:rPr>
          <w:rFonts w:ascii="Arial Narrow" w:hAnsi="Arial Narrow"/>
          <w:sz w:val="18"/>
          <w:szCs w:val="18"/>
        </w:rPr>
        <w:t>43 and Table 44,</w:t>
      </w:r>
      <w:r w:rsidRPr="001E4D73">
        <w:rPr>
          <w:rFonts w:ascii="Arial Narrow" w:hAnsi="Arial Narrow"/>
          <w:sz w:val="18"/>
          <w:szCs w:val="18"/>
        </w:rPr>
        <w:t xml:space="preserve"> p</w:t>
      </w:r>
      <w:r>
        <w:rPr>
          <w:rFonts w:ascii="Arial Narrow" w:hAnsi="Arial Narrow"/>
          <w:sz w:val="18"/>
          <w:szCs w:val="18"/>
        </w:rPr>
        <w:t>87</w:t>
      </w:r>
      <w:r w:rsidRPr="001E4D73">
        <w:rPr>
          <w:rFonts w:ascii="Arial Narrow" w:hAnsi="Arial Narrow"/>
          <w:sz w:val="18"/>
          <w:szCs w:val="18"/>
        </w:rPr>
        <w:t xml:space="preserve"> of </w:t>
      </w:r>
      <w:r>
        <w:rPr>
          <w:rFonts w:ascii="Arial Narrow" w:hAnsi="Arial Narrow"/>
          <w:sz w:val="18"/>
          <w:szCs w:val="18"/>
        </w:rPr>
        <w:t>the ADAR.</w:t>
      </w:r>
    </w:p>
    <w:p w14:paraId="4E562661" w14:textId="77777777" w:rsidR="00B36E72" w:rsidRPr="001E4D73" w:rsidRDefault="00B36E72" w:rsidP="00B36E72">
      <w:pPr>
        <w:pStyle w:val="Tablenotes1"/>
      </w:pPr>
      <w:r>
        <w:t>LYs=life years; MMS=medical management strategies; QALYs=quality adjusted life years; UAS=upper airway stimulation</w:t>
      </w:r>
    </w:p>
    <w:bookmarkEnd w:id="21"/>
    <w:bookmarkEnd w:id="22"/>
    <w:p w14:paraId="5A0B45C2" w14:textId="515D7401" w:rsidR="00B36E72" w:rsidRDefault="00B36E72" w:rsidP="00B36E72">
      <w:pPr>
        <w:spacing w:after="240"/>
      </w:pPr>
      <w:r>
        <w:t>T</w:t>
      </w:r>
      <w:r w:rsidRPr="00183E4D">
        <w:t xml:space="preserve">he </w:t>
      </w:r>
      <w:r>
        <w:t xml:space="preserve">ADAR claimed the </w:t>
      </w:r>
      <w:r w:rsidRPr="00183E4D">
        <w:t xml:space="preserve">modelled results were most sensitive to </w:t>
      </w:r>
      <w:r>
        <w:t>mortality ratios for ‘on treatment’ and ‘off treatment’ patients, the regression equation to transform ESS to EQ-5D utilities and the battery life of the closed loop UAS System (</w:t>
      </w:r>
      <w:r>
        <w:fldChar w:fldCharType="begin"/>
      </w:r>
      <w:r>
        <w:instrText xml:space="preserve"> REF _Ref452810347 \h </w:instrText>
      </w:r>
      <w:r>
        <w:fldChar w:fldCharType="separate"/>
      </w:r>
      <w:r w:rsidR="00D007E1">
        <w:t xml:space="preserve">Figure </w:t>
      </w:r>
      <w:r w:rsidR="00D007E1">
        <w:rPr>
          <w:noProof/>
        </w:rPr>
        <w:t>3</w:t>
      </w:r>
      <w:r>
        <w:fldChar w:fldCharType="end"/>
      </w:r>
      <w:r>
        <w:t>).</w:t>
      </w:r>
    </w:p>
    <w:p w14:paraId="31B00367" w14:textId="43B9E176" w:rsidR="00B36E72" w:rsidRPr="00875ED2" w:rsidRDefault="00B36E72" w:rsidP="00DE1D69">
      <w:pPr>
        <w:spacing w:after="240"/>
        <w:rPr>
          <w:rFonts w:ascii="Arial Narrow" w:hAnsi="Arial Narrow"/>
          <w:b/>
          <w:sz w:val="20"/>
        </w:rPr>
      </w:pPr>
      <w:bookmarkStart w:id="23" w:name="_Ref452810347"/>
      <w:bookmarkStart w:id="24" w:name="_Toc453165008"/>
      <w:bookmarkStart w:id="25" w:name="_Ref51608078"/>
      <w:r w:rsidRPr="00875ED2">
        <w:rPr>
          <w:rFonts w:ascii="Arial Narrow" w:hAnsi="Arial Narrow"/>
          <w:b/>
          <w:sz w:val="20"/>
        </w:rPr>
        <w:t xml:space="preserve">Figure </w:t>
      </w:r>
      <w:r w:rsidR="00086098" w:rsidRPr="00875ED2">
        <w:rPr>
          <w:rFonts w:ascii="Arial Narrow" w:hAnsi="Arial Narrow"/>
          <w:b/>
          <w:sz w:val="20"/>
        </w:rPr>
        <w:fldChar w:fldCharType="begin"/>
      </w:r>
      <w:r w:rsidR="00086098" w:rsidRPr="00875ED2">
        <w:rPr>
          <w:rFonts w:ascii="Arial Narrow" w:hAnsi="Arial Narrow"/>
          <w:b/>
          <w:sz w:val="20"/>
        </w:rPr>
        <w:instrText xml:space="preserve"> SEQ Figure \* ARABIC </w:instrText>
      </w:r>
      <w:r w:rsidR="00086098" w:rsidRPr="00875ED2">
        <w:rPr>
          <w:rFonts w:ascii="Arial Narrow" w:hAnsi="Arial Narrow"/>
          <w:b/>
          <w:sz w:val="20"/>
        </w:rPr>
        <w:fldChar w:fldCharType="separate"/>
      </w:r>
      <w:proofErr w:type="gramStart"/>
      <w:r w:rsidR="00D007E1" w:rsidRPr="00875ED2">
        <w:rPr>
          <w:rFonts w:ascii="Arial Narrow" w:hAnsi="Arial Narrow"/>
          <w:b/>
          <w:sz w:val="20"/>
        </w:rPr>
        <w:t>3</w:t>
      </w:r>
      <w:proofErr w:type="gramEnd"/>
      <w:r w:rsidR="00086098" w:rsidRPr="00875ED2">
        <w:rPr>
          <w:rFonts w:ascii="Arial Narrow" w:hAnsi="Arial Narrow"/>
          <w:b/>
          <w:sz w:val="20"/>
        </w:rPr>
        <w:fldChar w:fldCharType="end"/>
      </w:r>
      <w:bookmarkEnd w:id="23"/>
      <w:r w:rsidRPr="00875ED2">
        <w:rPr>
          <w:rFonts w:ascii="Arial Narrow" w:hAnsi="Arial Narrow"/>
          <w:b/>
          <w:sz w:val="20"/>
        </w:rPr>
        <w:t xml:space="preserve"> Key drivers of economic model</w:t>
      </w:r>
      <w:bookmarkEnd w:id="24"/>
      <w:bookmarkEnd w:id="25"/>
      <w:r w:rsidR="00DE1D69">
        <w:rPr>
          <w:rFonts w:ascii="Arial Narrow" w:hAnsi="Arial Narrow"/>
          <w:b/>
          <w:sz w:val="20"/>
        </w:rPr>
        <w:t xml:space="preserve"> - redacted</w:t>
      </w:r>
    </w:p>
    <w:p w14:paraId="56217DBD" w14:textId="40060DD5" w:rsidR="00B36E72" w:rsidRDefault="00B36E72" w:rsidP="00B36E72">
      <w:pPr>
        <w:spacing w:after="240"/>
      </w:pPr>
      <w:r>
        <w:t xml:space="preserve">However, the commentary considered </w:t>
      </w:r>
      <w:r w:rsidRPr="00545098">
        <w:t xml:space="preserve">that </w:t>
      </w:r>
      <w:r>
        <w:t xml:space="preserve">the </w:t>
      </w:r>
      <w:r w:rsidRPr="00545098">
        <w:rPr>
          <w:rFonts w:eastAsia="Calibri"/>
          <w:iCs/>
        </w:rPr>
        <w:t>sensitivity analysis results</w:t>
      </w:r>
      <w:r>
        <w:rPr>
          <w:rFonts w:eastAsia="Calibri"/>
          <w:iCs/>
        </w:rPr>
        <w:t xml:space="preserve"> presented by the ADAR</w:t>
      </w:r>
      <w:r w:rsidRPr="00545098">
        <w:rPr>
          <w:rFonts w:eastAsia="Calibri"/>
          <w:iCs/>
        </w:rPr>
        <w:t xml:space="preserve"> </w:t>
      </w:r>
      <w:proofErr w:type="gramStart"/>
      <w:r w:rsidRPr="00545098">
        <w:rPr>
          <w:rFonts w:eastAsia="Calibri"/>
          <w:iCs/>
        </w:rPr>
        <w:t>should be interpreted</w:t>
      </w:r>
      <w:proofErr w:type="gramEnd"/>
      <w:r w:rsidRPr="00545098">
        <w:rPr>
          <w:rFonts w:eastAsia="Calibri"/>
          <w:iCs/>
        </w:rPr>
        <w:t xml:space="preserve"> with caution, given the concerns with the overly simplified model structure (health states comprised of treatment) and parameter values (utility values, mortality). </w:t>
      </w:r>
      <w:r>
        <w:rPr>
          <w:rFonts w:eastAsia="Calibri"/>
          <w:iCs/>
        </w:rPr>
        <w:t>T</w:t>
      </w:r>
      <w:r w:rsidRPr="00545098">
        <w:rPr>
          <w:rFonts w:eastAsia="Calibri"/>
          <w:iCs/>
        </w:rPr>
        <w:t xml:space="preserve">he commentary </w:t>
      </w:r>
      <w:r>
        <w:rPr>
          <w:rFonts w:eastAsia="Calibri"/>
          <w:iCs/>
        </w:rPr>
        <w:t xml:space="preserve">also </w:t>
      </w:r>
      <w:r w:rsidRPr="00545098">
        <w:rPr>
          <w:rFonts w:eastAsia="Calibri"/>
          <w:iCs/>
        </w:rPr>
        <w:t xml:space="preserve">noted that the results of the sensitivity analyses showed the model was sensitive to the time horizon and the hazard ratio applied to mortality. Shortening the time horizon to 15 years (which would allow one replacement UAS to be implanted), increased the </w:t>
      </w:r>
      <w:r>
        <w:rPr>
          <w:rFonts w:eastAsia="Calibri"/>
          <w:iCs/>
        </w:rPr>
        <w:t>incremental cost-effectiveness ratio (</w:t>
      </w:r>
      <w:r w:rsidRPr="00545098">
        <w:rPr>
          <w:rFonts w:eastAsia="Calibri"/>
          <w:iCs/>
        </w:rPr>
        <w:t>ICER</w:t>
      </w:r>
      <w:r>
        <w:rPr>
          <w:rFonts w:eastAsia="Calibri"/>
          <w:iCs/>
        </w:rPr>
        <w:t>)</w:t>
      </w:r>
      <w:r w:rsidRPr="00545098">
        <w:rPr>
          <w:rFonts w:eastAsia="Calibri"/>
          <w:iCs/>
        </w:rPr>
        <w:t>/</w:t>
      </w:r>
      <w:r>
        <w:rPr>
          <w:rFonts w:eastAsia="Calibri"/>
          <w:iCs/>
        </w:rPr>
        <w:t>quality-adjusted life year (</w:t>
      </w:r>
      <w:r w:rsidRPr="00545098">
        <w:rPr>
          <w:rFonts w:eastAsia="Calibri"/>
          <w:iCs/>
        </w:rPr>
        <w:t>QALY</w:t>
      </w:r>
      <w:r>
        <w:rPr>
          <w:rFonts w:eastAsia="Calibri"/>
          <w:iCs/>
        </w:rPr>
        <w:t>)</w:t>
      </w:r>
      <w:r w:rsidRPr="00545098">
        <w:rPr>
          <w:rFonts w:eastAsia="Calibri"/>
          <w:iCs/>
        </w:rPr>
        <w:t xml:space="preserve"> </w:t>
      </w:r>
      <w:r w:rsidRPr="00DE1D69">
        <w:rPr>
          <w:rFonts w:eastAsia="Calibri"/>
          <w:iCs/>
        </w:rPr>
        <w:t>by 111%, to $</w:t>
      </w:r>
      <w:r w:rsidR="00BA09B0" w:rsidRPr="00DE1D69">
        <w:rPr>
          <w:rFonts w:eastAsia="Calibri"/>
          <w:b/>
          <w:iCs/>
        </w:rPr>
        <w:t>redacted</w:t>
      </w:r>
      <w:r w:rsidRPr="00DE1D69">
        <w:rPr>
          <w:rFonts w:eastAsia="Calibri"/>
          <w:iCs/>
        </w:rPr>
        <w:t xml:space="preserve">. Altering both model duration (to 15 years) and mortality </w:t>
      </w:r>
      <w:r w:rsidRPr="00DE1D69">
        <w:rPr>
          <w:rFonts w:eastAsia="Calibri"/>
          <w:iCs/>
        </w:rPr>
        <w:lastRenderedPageBreak/>
        <w:t>hazard ratios for both ‘on treatment’ and ‘off treatment’ (20% decrease) increased the ICER/QALY by 130% to $</w:t>
      </w:r>
      <w:r w:rsidR="00BA09B0" w:rsidRPr="00DE1D69">
        <w:rPr>
          <w:rFonts w:eastAsia="Calibri"/>
          <w:b/>
          <w:iCs/>
        </w:rPr>
        <w:t>redacted</w:t>
      </w:r>
      <w:r w:rsidRPr="00DE1D69">
        <w:rPr>
          <w:rFonts w:eastAsia="Calibri"/>
          <w:iCs/>
        </w:rPr>
        <w:t>.</w:t>
      </w:r>
    </w:p>
    <w:p w14:paraId="5DE1A096" w14:textId="2C30E4E7" w:rsidR="00B36E72" w:rsidRPr="00183E4D" w:rsidRDefault="00B36E72" w:rsidP="00B36E72">
      <w:pPr>
        <w:spacing w:after="240"/>
      </w:pPr>
      <w:r>
        <w:t xml:space="preserve">The key drivers of the model are summarised in </w:t>
      </w:r>
      <w:r>
        <w:fldChar w:fldCharType="begin"/>
      </w:r>
      <w:r>
        <w:instrText xml:space="preserve"> REF _Ref51870390 \h </w:instrText>
      </w:r>
      <w:r>
        <w:fldChar w:fldCharType="separate"/>
      </w:r>
      <w:r w:rsidR="00D007E1">
        <w:t xml:space="preserve">Table </w:t>
      </w:r>
      <w:r w:rsidR="00D007E1">
        <w:rPr>
          <w:noProof/>
        </w:rPr>
        <w:t>13</w:t>
      </w:r>
      <w:r>
        <w:fldChar w:fldCharType="end"/>
      </w:r>
      <w:r>
        <w:t>.</w:t>
      </w:r>
    </w:p>
    <w:p w14:paraId="33DA8E08" w14:textId="12D53ED5" w:rsidR="00B36E72" w:rsidRPr="00875ED2" w:rsidRDefault="00B36E72" w:rsidP="00875ED2">
      <w:pPr>
        <w:rPr>
          <w:rFonts w:ascii="Arial Narrow" w:hAnsi="Arial Narrow"/>
          <w:b/>
          <w:sz w:val="20"/>
        </w:rPr>
      </w:pPr>
      <w:bookmarkStart w:id="26" w:name="_Ref51870390"/>
      <w:r w:rsidRPr="00875ED2">
        <w:rPr>
          <w:rFonts w:ascii="Arial Narrow" w:hAnsi="Arial Narrow"/>
          <w:b/>
          <w:sz w:val="20"/>
        </w:rPr>
        <w:t xml:space="preserve">Table </w:t>
      </w:r>
      <w:r w:rsidR="00086098" w:rsidRPr="00875ED2">
        <w:rPr>
          <w:rFonts w:ascii="Arial Narrow" w:hAnsi="Arial Narrow"/>
          <w:b/>
          <w:sz w:val="20"/>
        </w:rPr>
        <w:fldChar w:fldCharType="begin"/>
      </w:r>
      <w:r w:rsidR="00086098" w:rsidRPr="00875ED2">
        <w:rPr>
          <w:rFonts w:ascii="Arial Narrow" w:hAnsi="Arial Narrow"/>
          <w:b/>
          <w:sz w:val="20"/>
        </w:rPr>
        <w:instrText xml:space="preserve"> SEQ Table \* ARABIC </w:instrText>
      </w:r>
      <w:r w:rsidR="00086098" w:rsidRPr="00875ED2">
        <w:rPr>
          <w:rFonts w:ascii="Arial Narrow" w:hAnsi="Arial Narrow"/>
          <w:b/>
          <w:sz w:val="20"/>
        </w:rPr>
        <w:fldChar w:fldCharType="separate"/>
      </w:r>
      <w:r w:rsidR="00D007E1" w:rsidRPr="00875ED2">
        <w:rPr>
          <w:rFonts w:ascii="Arial Narrow" w:hAnsi="Arial Narrow"/>
          <w:b/>
          <w:sz w:val="20"/>
        </w:rPr>
        <w:t>13</w:t>
      </w:r>
      <w:r w:rsidR="00086098" w:rsidRPr="00875ED2">
        <w:rPr>
          <w:rFonts w:ascii="Arial Narrow" w:hAnsi="Arial Narrow"/>
          <w:b/>
          <w:sz w:val="20"/>
        </w:rPr>
        <w:fldChar w:fldCharType="end"/>
      </w:r>
      <w:bookmarkEnd w:id="26"/>
      <w:r w:rsidRPr="00875ED2">
        <w:rPr>
          <w:rFonts w:ascii="Arial Narrow" w:hAnsi="Arial Narrow"/>
          <w:b/>
          <w:sz w:val="20"/>
        </w:rPr>
        <w:t xml:space="preserve"> Key drivers of the economic model</w:t>
      </w:r>
    </w:p>
    <w:tbl>
      <w:tblPr>
        <w:tblStyle w:val="TableGrid"/>
        <w:tblW w:w="5107" w:type="pct"/>
        <w:tblLook w:val="04A0" w:firstRow="1" w:lastRow="0" w:firstColumn="1" w:lastColumn="0" w:noHBand="0" w:noVBand="1"/>
        <w:tblCaption w:val="Table 13 Key drivers of the economic model"/>
        <w:tblDescription w:val="This table describes what factors and assumptions in the economic model affect the incremental cost-effectiveness to the greatest extent."/>
      </w:tblPr>
      <w:tblGrid>
        <w:gridCol w:w="1989"/>
        <w:gridCol w:w="5032"/>
        <w:gridCol w:w="2188"/>
      </w:tblGrid>
      <w:tr w:rsidR="00B36E72" w:rsidRPr="00183E4D" w14:paraId="691C0AA8" w14:textId="77777777" w:rsidTr="00D4500F">
        <w:trPr>
          <w:tblHeader/>
        </w:trPr>
        <w:tc>
          <w:tcPr>
            <w:tcW w:w="1080" w:type="pct"/>
          </w:tcPr>
          <w:p w14:paraId="6287A631" w14:textId="77777777" w:rsidR="00B36E72" w:rsidRPr="00183E4D" w:rsidRDefault="00B36E72" w:rsidP="00B36E72">
            <w:pPr>
              <w:pStyle w:val="TableHeading"/>
              <w:keepLines/>
              <w:rPr>
                <w:snapToGrid w:val="0"/>
                <w:lang w:eastAsia="en-US"/>
              </w:rPr>
            </w:pPr>
            <w:r w:rsidRPr="00183E4D">
              <w:rPr>
                <w:snapToGrid w:val="0"/>
                <w:lang w:eastAsia="en-US"/>
              </w:rPr>
              <w:t>Description</w:t>
            </w:r>
          </w:p>
        </w:tc>
        <w:tc>
          <w:tcPr>
            <w:tcW w:w="2732" w:type="pct"/>
          </w:tcPr>
          <w:p w14:paraId="08FF851D" w14:textId="77777777" w:rsidR="00B36E72" w:rsidRPr="00183E4D" w:rsidRDefault="00B36E72" w:rsidP="00B36E72">
            <w:pPr>
              <w:pStyle w:val="TableHeading"/>
              <w:keepLines/>
              <w:jc w:val="center"/>
              <w:rPr>
                <w:snapToGrid w:val="0"/>
                <w:lang w:eastAsia="en-US"/>
              </w:rPr>
            </w:pPr>
            <w:r w:rsidRPr="00183E4D">
              <w:rPr>
                <w:snapToGrid w:val="0"/>
                <w:lang w:eastAsia="en-US"/>
              </w:rPr>
              <w:t>Method/Value</w:t>
            </w:r>
          </w:p>
        </w:tc>
        <w:tc>
          <w:tcPr>
            <w:tcW w:w="1188" w:type="pct"/>
          </w:tcPr>
          <w:p w14:paraId="4DA25ECF" w14:textId="77777777" w:rsidR="00B36E72" w:rsidRPr="00183E4D" w:rsidRDefault="00B36E72" w:rsidP="00B36E72">
            <w:pPr>
              <w:pStyle w:val="TableHeading"/>
              <w:keepLines/>
              <w:jc w:val="center"/>
              <w:rPr>
                <w:snapToGrid w:val="0"/>
                <w:lang w:eastAsia="en-US"/>
              </w:rPr>
            </w:pPr>
            <w:r w:rsidRPr="00183E4D">
              <w:rPr>
                <w:snapToGrid w:val="0"/>
                <w:lang w:eastAsia="en-US"/>
              </w:rPr>
              <w:t>Impact</w:t>
            </w:r>
          </w:p>
        </w:tc>
      </w:tr>
      <w:tr w:rsidR="00B36E72" w:rsidRPr="00183E4D" w14:paraId="3D9A8A89" w14:textId="77777777" w:rsidTr="00D4500F">
        <w:tc>
          <w:tcPr>
            <w:tcW w:w="1080" w:type="pct"/>
          </w:tcPr>
          <w:p w14:paraId="73D1B89A" w14:textId="77777777" w:rsidR="00B36E72" w:rsidRPr="003F2A1B" w:rsidRDefault="00B36E72" w:rsidP="00B36E72">
            <w:pPr>
              <w:pStyle w:val="TableHeading"/>
              <w:keepLines/>
              <w:rPr>
                <w:b w:val="0"/>
                <w:bCs/>
                <w:snapToGrid w:val="0"/>
                <w:lang w:eastAsia="en-US"/>
              </w:rPr>
            </w:pPr>
            <w:r w:rsidRPr="003F2A1B">
              <w:rPr>
                <w:b w:val="0"/>
                <w:bCs/>
                <w:snapToGrid w:val="0"/>
                <w:lang w:eastAsia="en-US"/>
              </w:rPr>
              <w:t>Model structure</w:t>
            </w:r>
          </w:p>
        </w:tc>
        <w:tc>
          <w:tcPr>
            <w:tcW w:w="2732" w:type="pct"/>
          </w:tcPr>
          <w:p w14:paraId="4FA3E986" w14:textId="77777777" w:rsidR="00B36E72" w:rsidRPr="003F2A1B" w:rsidRDefault="00B36E72" w:rsidP="00B36E72">
            <w:pPr>
              <w:pStyle w:val="TableHeading"/>
              <w:keepLines/>
              <w:ind w:left="0" w:firstLine="0"/>
              <w:jc w:val="left"/>
              <w:rPr>
                <w:snapToGrid w:val="0"/>
                <w:lang w:eastAsia="en-US"/>
              </w:rPr>
            </w:pPr>
            <w:r w:rsidRPr="003F2A1B">
              <w:rPr>
                <w:b w:val="0"/>
                <w:snapToGrid w:val="0"/>
                <w:lang w:eastAsia="en-US"/>
              </w:rPr>
              <w:t xml:space="preserve"> ‘On’ and ‘off’ treatment health states comparing UAS (treatment) with medical management (MMS), appears to conflate health states and treatment.  </w:t>
            </w:r>
          </w:p>
        </w:tc>
        <w:tc>
          <w:tcPr>
            <w:tcW w:w="1188" w:type="pct"/>
          </w:tcPr>
          <w:p w14:paraId="5E42A400" w14:textId="77777777" w:rsidR="00B36E72" w:rsidRPr="003F2A1B" w:rsidRDefault="00B36E72" w:rsidP="00D4500F">
            <w:pPr>
              <w:pStyle w:val="TableHeading"/>
              <w:keepLines/>
              <w:jc w:val="left"/>
              <w:rPr>
                <w:snapToGrid w:val="0"/>
                <w:lang w:eastAsia="en-US"/>
              </w:rPr>
            </w:pPr>
            <w:r w:rsidRPr="003F2A1B">
              <w:rPr>
                <w:b w:val="0"/>
                <w:snapToGrid w:val="0"/>
                <w:lang w:eastAsia="en-US"/>
              </w:rPr>
              <w:t>High, unable to test impact</w:t>
            </w:r>
          </w:p>
        </w:tc>
      </w:tr>
      <w:tr w:rsidR="00B36E72" w:rsidRPr="00183E4D" w14:paraId="469BB28D" w14:textId="77777777" w:rsidTr="00D4500F">
        <w:tc>
          <w:tcPr>
            <w:tcW w:w="1080" w:type="pct"/>
          </w:tcPr>
          <w:p w14:paraId="6CC1913E" w14:textId="77777777" w:rsidR="00B36E72" w:rsidRPr="003F2A1B" w:rsidRDefault="00B36E72" w:rsidP="00B36E72">
            <w:pPr>
              <w:pStyle w:val="Tabletext0"/>
              <w:keepNext/>
              <w:keepLines/>
              <w:rPr>
                <w:snapToGrid w:val="0"/>
              </w:rPr>
            </w:pPr>
            <w:r w:rsidRPr="003F2A1B">
              <w:rPr>
                <w:snapToGrid w:val="0"/>
              </w:rPr>
              <w:t>Time horizon</w:t>
            </w:r>
          </w:p>
        </w:tc>
        <w:tc>
          <w:tcPr>
            <w:tcW w:w="2732" w:type="pct"/>
          </w:tcPr>
          <w:p w14:paraId="58EDF1CE" w14:textId="77777777" w:rsidR="00B36E72" w:rsidRPr="003F2A1B" w:rsidRDefault="00B36E72" w:rsidP="00B36E72">
            <w:pPr>
              <w:pStyle w:val="Tabletext0"/>
              <w:keepNext/>
              <w:keepLines/>
              <w:rPr>
                <w:snapToGrid w:val="0"/>
              </w:rPr>
            </w:pPr>
            <w:r w:rsidRPr="003F2A1B">
              <w:rPr>
                <w:snapToGrid w:val="0"/>
              </w:rPr>
              <w:t xml:space="preserve">Lifetime (45 years).  </w:t>
            </w:r>
            <w:r w:rsidRPr="003F2A1B">
              <w:rPr>
                <w:iCs/>
                <w:snapToGrid w:val="0"/>
              </w:rPr>
              <w:t>With a starting age of 54.5 years, model duration seems excessively long.</w:t>
            </w:r>
          </w:p>
        </w:tc>
        <w:tc>
          <w:tcPr>
            <w:tcW w:w="1188" w:type="pct"/>
          </w:tcPr>
          <w:p w14:paraId="3B625676" w14:textId="77777777" w:rsidR="00B36E72" w:rsidRPr="003F2A1B" w:rsidRDefault="00B36E72" w:rsidP="00B36E72">
            <w:pPr>
              <w:pStyle w:val="Tabletext0"/>
              <w:keepNext/>
              <w:keepLines/>
              <w:rPr>
                <w:snapToGrid w:val="0"/>
              </w:rPr>
            </w:pPr>
            <w:r w:rsidRPr="003F2A1B">
              <w:rPr>
                <w:snapToGrid w:val="0"/>
              </w:rPr>
              <w:t>High, favours UAS</w:t>
            </w:r>
          </w:p>
        </w:tc>
      </w:tr>
      <w:tr w:rsidR="00B36E72" w:rsidRPr="00183E4D" w14:paraId="24920D36" w14:textId="77777777" w:rsidTr="00D4500F">
        <w:tc>
          <w:tcPr>
            <w:tcW w:w="1080" w:type="pct"/>
          </w:tcPr>
          <w:p w14:paraId="5E1DA237" w14:textId="77777777" w:rsidR="00B36E72" w:rsidRPr="003F2A1B" w:rsidRDefault="00B36E72" w:rsidP="00B36E72">
            <w:pPr>
              <w:pStyle w:val="Tabletext0"/>
              <w:keepNext/>
              <w:keepLines/>
              <w:rPr>
                <w:snapToGrid w:val="0"/>
              </w:rPr>
            </w:pPr>
            <w:r w:rsidRPr="003F2A1B">
              <w:rPr>
                <w:snapToGrid w:val="0"/>
              </w:rPr>
              <w:t>Mortality hazard ratio</w:t>
            </w:r>
          </w:p>
        </w:tc>
        <w:tc>
          <w:tcPr>
            <w:tcW w:w="2732" w:type="pct"/>
          </w:tcPr>
          <w:p w14:paraId="31E4ED66" w14:textId="77777777" w:rsidR="00B36E72" w:rsidRPr="003F2A1B" w:rsidRDefault="00B36E72" w:rsidP="00B36E72">
            <w:pPr>
              <w:pStyle w:val="Tabletext0"/>
              <w:keepNext/>
              <w:keepLines/>
              <w:rPr>
                <w:snapToGrid w:val="0"/>
              </w:rPr>
            </w:pPr>
            <w:r w:rsidRPr="003F2A1B">
              <w:rPr>
                <w:snapToGrid w:val="0"/>
              </w:rPr>
              <w:t xml:space="preserve">Derived from Young (2008) and applied to general population mortality.  </w:t>
            </w:r>
            <w:r w:rsidRPr="003F2A1B">
              <w:rPr>
                <w:iCs/>
                <w:snapToGrid w:val="0"/>
              </w:rPr>
              <w:t>Derivation of hazard ratios was based on categorisation of patients that did not match the requested item descriptor</w:t>
            </w:r>
          </w:p>
        </w:tc>
        <w:tc>
          <w:tcPr>
            <w:tcW w:w="1188" w:type="pct"/>
          </w:tcPr>
          <w:p w14:paraId="36743E98" w14:textId="77777777" w:rsidR="00B36E72" w:rsidRPr="003F2A1B" w:rsidRDefault="00B36E72" w:rsidP="00B36E72">
            <w:pPr>
              <w:pStyle w:val="Tabletext0"/>
              <w:keepNext/>
              <w:keepLines/>
              <w:rPr>
                <w:snapToGrid w:val="0"/>
              </w:rPr>
            </w:pPr>
            <w:r w:rsidRPr="003F2A1B">
              <w:rPr>
                <w:snapToGrid w:val="0"/>
              </w:rPr>
              <w:t>High, favours UAS</w:t>
            </w:r>
          </w:p>
        </w:tc>
      </w:tr>
      <w:tr w:rsidR="00B36E72" w:rsidRPr="00183E4D" w14:paraId="2BFAFCA4" w14:textId="77777777" w:rsidTr="00D4500F">
        <w:tc>
          <w:tcPr>
            <w:tcW w:w="1080" w:type="pct"/>
          </w:tcPr>
          <w:p w14:paraId="121188BE" w14:textId="77777777" w:rsidR="00B36E72" w:rsidRPr="003F2A1B" w:rsidRDefault="00B36E72" w:rsidP="00B36E72">
            <w:pPr>
              <w:pStyle w:val="Tabletext0"/>
              <w:keepNext/>
              <w:keepLines/>
              <w:rPr>
                <w:snapToGrid w:val="0"/>
              </w:rPr>
            </w:pPr>
            <w:r w:rsidRPr="003F2A1B">
              <w:rPr>
                <w:snapToGrid w:val="0"/>
              </w:rPr>
              <w:t>ESS scores</w:t>
            </w:r>
          </w:p>
        </w:tc>
        <w:tc>
          <w:tcPr>
            <w:tcW w:w="2732" w:type="pct"/>
          </w:tcPr>
          <w:p w14:paraId="45B7965F" w14:textId="77777777" w:rsidR="00B36E72" w:rsidRPr="003F2A1B" w:rsidRDefault="00B36E72" w:rsidP="00B36E72">
            <w:pPr>
              <w:pStyle w:val="Tabletext0"/>
              <w:keepNext/>
              <w:keepLines/>
              <w:rPr>
                <w:snapToGrid w:val="0"/>
              </w:rPr>
            </w:pPr>
            <w:r w:rsidRPr="003F2A1B">
              <w:rPr>
                <w:snapToGrid w:val="0"/>
              </w:rPr>
              <w:t xml:space="preserve">ESS scores determine utility value and are assumed to remain the same over the </w:t>
            </w:r>
            <w:proofErr w:type="gramStart"/>
            <w:r w:rsidRPr="003F2A1B">
              <w:rPr>
                <w:snapToGrid w:val="0"/>
              </w:rPr>
              <w:t>45 year</w:t>
            </w:r>
            <w:proofErr w:type="gramEnd"/>
            <w:r w:rsidRPr="003F2A1B">
              <w:rPr>
                <w:snapToGrid w:val="0"/>
              </w:rPr>
              <w:t xml:space="preserve"> model time horizon.  </w:t>
            </w:r>
            <w:r w:rsidRPr="003F2A1B">
              <w:rPr>
                <w:iCs/>
                <w:snapToGrid w:val="0"/>
              </w:rPr>
              <w:t xml:space="preserve">The equation used to derive utility values </w:t>
            </w:r>
            <w:proofErr w:type="gramStart"/>
            <w:r w:rsidRPr="003F2A1B">
              <w:rPr>
                <w:iCs/>
                <w:snapToGrid w:val="0"/>
              </w:rPr>
              <w:t>is based</w:t>
            </w:r>
            <w:proofErr w:type="gramEnd"/>
            <w:r w:rsidRPr="003F2A1B">
              <w:rPr>
                <w:iCs/>
                <w:snapToGrid w:val="0"/>
              </w:rPr>
              <w:t xml:space="preserve"> on an unavailable 1992 abstract and has not been validated.  In. addition, no justification that ESS scores would remain the same over 45 years </w:t>
            </w:r>
            <w:proofErr w:type="gramStart"/>
            <w:r w:rsidRPr="003F2A1B">
              <w:rPr>
                <w:iCs/>
                <w:snapToGrid w:val="0"/>
              </w:rPr>
              <w:t>was provided</w:t>
            </w:r>
            <w:proofErr w:type="gramEnd"/>
            <w:r w:rsidRPr="003F2A1B">
              <w:rPr>
                <w:iCs/>
                <w:snapToGrid w:val="0"/>
              </w:rPr>
              <w:t>.</w:t>
            </w:r>
          </w:p>
        </w:tc>
        <w:tc>
          <w:tcPr>
            <w:tcW w:w="1188" w:type="pct"/>
          </w:tcPr>
          <w:p w14:paraId="2F10A0F1" w14:textId="77777777" w:rsidR="00B36E72" w:rsidRPr="003F2A1B" w:rsidRDefault="00B36E72" w:rsidP="00B36E72">
            <w:pPr>
              <w:pStyle w:val="Tabletext0"/>
              <w:keepNext/>
              <w:keepLines/>
              <w:rPr>
                <w:snapToGrid w:val="0"/>
              </w:rPr>
            </w:pPr>
            <w:r w:rsidRPr="003F2A1B">
              <w:rPr>
                <w:snapToGrid w:val="0"/>
              </w:rPr>
              <w:t>Moderate, favours UAS</w:t>
            </w:r>
          </w:p>
        </w:tc>
      </w:tr>
    </w:tbl>
    <w:p w14:paraId="56BAF72B" w14:textId="77777777" w:rsidR="00B36E72" w:rsidRPr="00AE4737" w:rsidRDefault="00B36E72" w:rsidP="00B36E72">
      <w:pPr>
        <w:keepNext/>
        <w:keepLines/>
        <w:rPr>
          <w:rFonts w:ascii="Arial Narrow" w:hAnsi="Arial Narrow"/>
          <w:sz w:val="18"/>
          <w:szCs w:val="18"/>
        </w:rPr>
      </w:pPr>
      <w:r w:rsidRPr="00AE4737">
        <w:rPr>
          <w:rFonts w:ascii="Arial Narrow" w:hAnsi="Arial Narrow"/>
          <w:sz w:val="18"/>
          <w:szCs w:val="18"/>
        </w:rPr>
        <w:t xml:space="preserve">Source:  </w:t>
      </w:r>
      <w:r>
        <w:rPr>
          <w:rFonts w:ascii="Arial Narrow" w:hAnsi="Arial Narrow"/>
          <w:sz w:val="18"/>
          <w:szCs w:val="18"/>
        </w:rPr>
        <w:t xml:space="preserve">Table 13, </w:t>
      </w:r>
      <w:proofErr w:type="spellStart"/>
      <w:r>
        <w:rPr>
          <w:rFonts w:ascii="Arial Narrow" w:hAnsi="Arial Narrow"/>
          <w:sz w:val="18"/>
          <w:szCs w:val="18"/>
        </w:rPr>
        <w:t>pxxvi</w:t>
      </w:r>
      <w:proofErr w:type="spellEnd"/>
      <w:r>
        <w:rPr>
          <w:rFonts w:ascii="Arial Narrow" w:hAnsi="Arial Narrow"/>
          <w:sz w:val="18"/>
          <w:szCs w:val="18"/>
        </w:rPr>
        <w:t xml:space="preserve"> of the commentary</w:t>
      </w:r>
    </w:p>
    <w:p w14:paraId="5DA9136C" w14:textId="4270FE3C" w:rsidR="00B36E72" w:rsidRDefault="00B36E72" w:rsidP="00921914">
      <w:pPr>
        <w:spacing w:after="240"/>
        <w:rPr>
          <w:rFonts w:ascii="Arial Narrow" w:hAnsi="Arial Narrow"/>
          <w:sz w:val="18"/>
          <w:szCs w:val="18"/>
        </w:rPr>
      </w:pPr>
      <w:r>
        <w:rPr>
          <w:rFonts w:ascii="Arial Narrow" w:hAnsi="Arial Narrow"/>
          <w:sz w:val="18"/>
          <w:szCs w:val="18"/>
        </w:rPr>
        <w:t xml:space="preserve">Abbreviations: </w:t>
      </w:r>
      <w:r w:rsidRPr="00AE4737">
        <w:rPr>
          <w:rFonts w:ascii="Arial Narrow" w:hAnsi="Arial Narrow"/>
          <w:sz w:val="18"/>
          <w:szCs w:val="18"/>
        </w:rPr>
        <w:t>ESS=Epworth Sleepiness Scale; UAS=upper airway stimulation</w:t>
      </w:r>
    </w:p>
    <w:p w14:paraId="2F82E3E3" w14:textId="29E61AC3" w:rsidR="00B05427" w:rsidRPr="00D4500F" w:rsidRDefault="002D2FCA" w:rsidP="00DE1D69">
      <w:pPr>
        <w:tabs>
          <w:tab w:val="left" w:pos="720"/>
        </w:tabs>
        <w:spacing w:after="240"/>
        <w:rPr>
          <w:iCs/>
        </w:rPr>
      </w:pPr>
      <w:r>
        <w:t xml:space="preserve">The pre-MSAC response presented additional </w:t>
      </w:r>
      <w:r w:rsidR="00B818E6">
        <w:t xml:space="preserve">multivariate </w:t>
      </w:r>
      <w:r w:rsidR="00D007E1">
        <w:t>sensitivity analyse</w:t>
      </w:r>
      <w:r>
        <w:t>s (</w:t>
      </w:r>
      <w:r w:rsidRPr="00AD1C4B">
        <w:fldChar w:fldCharType="begin"/>
      </w:r>
      <w:r w:rsidRPr="00AD1C4B">
        <w:instrText xml:space="preserve"> REF _Ref55584014 \h </w:instrText>
      </w:r>
      <w:r>
        <w:instrText xml:space="preserve"> \* MERGEFORMAT </w:instrText>
      </w:r>
      <w:r w:rsidRPr="00AD1C4B">
        <w:fldChar w:fldCharType="separate"/>
      </w:r>
      <w:r w:rsidR="00D007E1" w:rsidRPr="00D007E1">
        <w:t>Table 14</w:t>
      </w:r>
      <w:r w:rsidRPr="00AD1C4B">
        <w:fldChar w:fldCharType="end"/>
      </w:r>
      <w:r>
        <w:t>)</w:t>
      </w:r>
      <w:r w:rsidR="00D007E1">
        <w:t xml:space="preserve"> which varied the mortality HRs taken from Young 2008 and Marshall 2008, and also including analyses where</w:t>
      </w:r>
      <w:r>
        <w:t xml:space="preserve"> mortality HRs were </w:t>
      </w:r>
      <w:r w:rsidRPr="002D2FCA">
        <w:rPr>
          <w:iCs/>
        </w:rPr>
        <w:t>r</w:t>
      </w:r>
      <w:r w:rsidR="00B818E6">
        <w:rPr>
          <w:iCs/>
        </w:rPr>
        <w:t>everse calculated</w:t>
      </w:r>
      <w:r w:rsidR="00F47FC3">
        <w:rPr>
          <w:iCs/>
        </w:rPr>
        <w:t xml:space="preserve"> </w:t>
      </w:r>
      <w:r>
        <w:rPr>
          <w:iCs/>
        </w:rPr>
        <w:t>so that</w:t>
      </w:r>
      <w:r w:rsidRPr="002D2FCA">
        <w:rPr>
          <w:iCs/>
        </w:rPr>
        <w:t xml:space="preserve"> incremental QALYs in the model are equal to those in </w:t>
      </w:r>
      <w:proofErr w:type="spellStart"/>
      <w:r w:rsidRPr="002D2FCA">
        <w:rPr>
          <w:iCs/>
        </w:rPr>
        <w:t>Pietzsch</w:t>
      </w:r>
      <w:proofErr w:type="spellEnd"/>
      <w:r w:rsidRPr="002D2FCA">
        <w:rPr>
          <w:iCs/>
        </w:rPr>
        <w:t xml:space="preserve"> 2015</w:t>
      </w:r>
      <w:r>
        <w:rPr>
          <w:iCs/>
        </w:rPr>
        <w:t xml:space="preserve"> (which included cardiovascular outcomes)</w:t>
      </w:r>
      <w:r w:rsidR="00B818E6">
        <w:rPr>
          <w:iCs/>
        </w:rPr>
        <w:t xml:space="preserve">, and </w:t>
      </w:r>
      <w:r w:rsidR="00B818E6" w:rsidRPr="00B818E6">
        <w:rPr>
          <w:iCs/>
        </w:rPr>
        <w:t xml:space="preserve">with an alternative time </w:t>
      </w:r>
      <w:r w:rsidR="00B818E6">
        <w:rPr>
          <w:iCs/>
        </w:rPr>
        <w:t>horizon of 20 years</w:t>
      </w:r>
      <w:bookmarkStart w:id="27" w:name="_Ref55584014"/>
      <w:bookmarkStart w:id="28" w:name="_Ref58748527"/>
      <w:r w:rsidR="00DE1D69">
        <w:rPr>
          <w:iCs/>
        </w:rPr>
        <w:t>.</w:t>
      </w:r>
    </w:p>
    <w:p w14:paraId="653DC20F" w14:textId="2233925E" w:rsidR="00AE53E7" w:rsidRPr="00875ED2" w:rsidRDefault="00AE53E7" w:rsidP="00875ED2">
      <w:pPr>
        <w:rPr>
          <w:rFonts w:ascii="Arial Narrow" w:hAnsi="Arial Narrow"/>
          <w:b/>
          <w:sz w:val="20"/>
        </w:rPr>
      </w:pPr>
      <w:r w:rsidRPr="00875ED2">
        <w:rPr>
          <w:rFonts w:ascii="Arial Narrow" w:hAnsi="Arial Narrow"/>
          <w:b/>
          <w:sz w:val="20"/>
        </w:rPr>
        <w:lastRenderedPageBreak/>
        <w:t xml:space="preserve">Table </w:t>
      </w:r>
      <w:r w:rsidRPr="00875ED2">
        <w:rPr>
          <w:rFonts w:ascii="Arial Narrow" w:hAnsi="Arial Narrow"/>
          <w:b/>
          <w:sz w:val="20"/>
        </w:rPr>
        <w:fldChar w:fldCharType="begin"/>
      </w:r>
      <w:r w:rsidRPr="00875ED2">
        <w:rPr>
          <w:rFonts w:ascii="Arial Narrow" w:hAnsi="Arial Narrow"/>
          <w:b/>
          <w:sz w:val="20"/>
        </w:rPr>
        <w:instrText xml:space="preserve"> SEQ Table \* ARABIC </w:instrText>
      </w:r>
      <w:r w:rsidRPr="00875ED2">
        <w:rPr>
          <w:rFonts w:ascii="Arial Narrow" w:hAnsi="Arial Narrow"/>
          <w:b/>
          <w:sz w:val="20"/>
        </w:rPr>
        <w:fldChar w:fldCharType="separate"/>
      </w:r>
      <w:r w:rsidR="00D007E1" w:rsidRPr="00875ED2">
        <w:rPr>
          <w:rFonts w:ascii="Arial Narrow" w:hAnsi="Arial Narrow"/>
          <w:b/>
          <w:sz w:val="20"/>
        </w:rPr>
        <w:t>14</w:t>
      </w:r>
      <w:r w:rsidRPr="00875ED2">
        <w:rPr>
          <w:rFonts w:ascii="Arial Narrow" w:hAnsi="Arial Narrow"/>
          <w:b/>
          <w:sz w:val="20"/>
        </w:rPr>
        <w:fldChar w:fldCharType="end"/>
      </w:r>
      <w:bookmarkEnd w:id="27"/>
      <w:r w:rsidRPr="00875ED2">
        <w:rPr>
          <w:rFonts w:ascii="Arial Narrow" w:hAnsi="Arial Narrow"/>
          <w:b/>
          <w:sz w:val="20"/>
        </w:rPr>
        <w:t xml:space="preserve"> Additional sensitivity analysis provided in the pre-MSAC response</w:t>
      </w:r>
      <w:bookmarkEnd w:id="28"/>
    </w:p>
    <w:tbl>
      <w:tblPr>
        <w:tblW w:w="5000" w:type="pct"/>
        <w:tblCellMar>
          <w:left w:w="28" w:type="dxa"/>
          <w:right w:w="28" w:type="dxa"/>
        </w:tblCellMar>
        <w:tblLook w:val="04A0" w:firstRow="1" w:lastRow="0" w:firstColumn="1" w:lastColumn="0" w:noHBand="0" w:noVBand="1"/>
      </w:tblPr>
      <w:tblGrid>
        <w:gridCol w:w="4105"/>
        <w:gridCol w:w="1619"/>
        <w:gridCol w:w="1646"/>
        <w:gridCol w:w="1646"/>
      </w:tblGrid>
      <w:tr w:rsidR="00AE53E7" w:rsidRPr="00DE1D69" w14:paraId="3642943C" w14:textId="77777777" w:rsidTr="00FA02DE">
        <w:trPr>
          <w:cantSplit/>
          <w:tblHeader/>
        </w:trPr>
        <w:tc>
          <w:tcPr>
            <w:tcW w:w="273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0D4A9CA8" w14:textId="77777777" w:rsidR="00AE53E7" w:rsidRPr="00DE1D69" w:rsidRDefault="00AE53E7" w:rsidP="00921914">
            <w:pPr>
              <w:pStyle w:val="TableHeading"/>
            </w:pPr>
            <w:r w:rsidRPr="00DE1D69">
              <w:t>Sensitivity analyses</w:t>
            </w:r>
          </w:p>
        </w:tc>
        <w:tc>
          <w:tcPr>
            <w:tcW w:w="789" w:type="pct"/>
            <w:tcBorders>
              <w:top w:val="single" w:sz="4" w:space="0" w:color="auto"/>
              <w:left w:val="nil"/>
              <w:bottom w:val="single" w:sz="4" w:space="0" w:color="auto"/>
              <w:right w:val="single" w:sz="4" w:space="0" w:color="auto"/>
            </w:tcBorders>
            <w:shd w:val="clear" w:color="auto" w:fill="CCCCCC"/>
            <w:vAlign w:val="center"/>
            <w:hideMark/>
          </w:tcPr>
          <w:p w14:paraId="02689F65" w14:textId="77777777" w:rsidR="00AE53E7" w:rsidRPr="00DE1D69" w:rsidRDefault="00AE53E7" w:rsidP="00921914">
            <w:pPr>
              <w:pStyle w:val="TableHeading"/>
            </w:pPr>
            <w:r w:rsidRPr="00DE1D69">
              <w:t>Incremental costs</w:t>
            </w:r>
          </w:p>
        </w:tc>
        <w:tc>
          <w:tcPr>
            <w:tcW w:w="805" w:type="pct"/>
            <w:tcBorders>
              <w:top w:val="single" w:sz="4" w:space="0" w:color="auto"/>
              <w:left w:val="nil"/>
              <w:bottom w:val="single" w:sz="4" w:space="0" w:color="auto"/>
              <w:right w:val="single" w:sz="4" w:space="0" w:color="auto"/>
            </w:tcBorders>
            <w:shd w:val="clear" w:color="auto" w:fill="CCCCCC"/>
            <w:vAlign w:val="center"/>
            <w:hideMark/>
          </w:tcPr>
          <w:p w14:paraId="02B78850" w14:textId="77777777" w:rsidR="00AE53E7" w:rsidRPr="00DE1D69" w:rsidRDefault="00AE53E7" w:rsidP="00921914">
            <w:pPr>
              <w:pStyle w:val="TableHeading"/>
            </w:pPr>
            <w:r w:rsidRPr="00DE1D69">
              <w:t>Incremental QALY</w:t>
            </w:r>
          </w:p>
        </w:tc>
        <w:tc>
          <w:tcPr>
            <w:tcW w:w="674" w:type="pct"/>
            <w:tcBorders>
              <w:top w:val="single" w:sz="4" w:space="0" w:color="auto"/>
              <w:left w:val="nil"/>
              <w:bottom w:val="single" w:sz="4" w:space="0" w:color="auto"/>
              <w:right w:val="single" w:sz="4" w:space="0" w:color="auto"/>
            </w:tcBorders>
            <w:shd w:val="clear" w:color="auto" w:fill="CCCCCC"/>
            <w:vAlign w:val="center"/>
            <w:hideMark/>
          </w:tcPr>
          <w:p w14:paraId="55F51565" w14:textId="7626CA80" w:rsidR="00AE53E7" w:rsidRPr="00DE1D69" w:rsidRDefault="00AE53E7" w:rsidP="00921914">
            <w:pPr>
              <w:pStyle w:val="TableHeading"/>
              <w:jc w:val="left"/>
            </w:pPr>
            <w:r w:rsidRPr="00DE1D69">
              <w:t xml:space="preserve">ICER per QALY </w:t>
            </w:r>
          </w:p>
        </w:tc>
      </w:tr>
      <w:tr w:rsidR="00AE53E7" w:rsidRPr="00DE1D69" w14:paraId="27DAB6F3" w14:textId="77777777" w:rsidTr="00FA02DE">
        <w:trPr>
          <w:cantSplit/>
          <w:trHeight w:val="70"/>
        </w:trPr>
        <w:tc>
          <w:tcPr>
            <w:tcW w:w="2733" w:type="pct"/>
            <w:tcBorders>
              <w:top w:val="single" w:sz="4" w:space="0" w:color="auto"/>
              <w:left w:val="single" w:sz="4" w:space="0" w:color="auto"/>
              <w:right w:val="single" w:sz="4" w:space="0" w:color="auto"/>
            </w:tcBorders>
            <w:shd w:val="clear" w:color="auto" w:fill="auto"/>
            <w:vAlign w:val="center"/>
          </w:tcPr>
          <w:p w14:paraId="333D9E1C" w14:textId="77777777" w:rsidR="00AE53E7" w:rsidRPr="00DE1D69" w:rsidRDefault="00AE53E7" w:rsidP="00921914">
            <w:pPr>
              <w:pStyle w:val="Tabletext0"/>
              <w:rPr>
                <w:iCs/>
              </w:rPr>
            </w:pPr>
            <w:r w:rsidRPr="00DE1D69">
              <w:t>Base case</w:t>
            </w:r>
          </w:p>
        </w:tc>
        <w:tc>
          <w:tcPr>
            <w:tcW w:w="789" w:type="pct"/>
            <w:tcBorders>
              <w:top w:val="single" w:sz="4" w:space="0" w:color="auto"/>
              <w:left w:val="nil"/>
              <w:right w:val="single" w:sz="4" w:space="0" w:color="auto"/>
            </w:tcBorders>
            <w:shd w:val="clear" w:color="auto" w:fill="auto"/>
            <w:vAlign w:val="center"/>
          </w:tcPr>
          <w:p w14:paraId="5DE7699E" w14:textId="45D3E355" w:rsidR="00AE53E7" w:rsidRPr="00DE1D69" w:rsidRDefault="00AE53E7" w:rsidP="00BA09B0">
            <w:pPr>
              <w:pStyle w:val="Tabletext0"/>
              <w:rPr>
                <w:iCs/>
              </w:rPr>
            </w:pPr>
            <w:r w:rsidRPr="00DE1D69">
              <w:t>$</w:t>
            </w:r>
            <w:r w:rsidR="00BA09B0" w:rsidRPr="00DE1D69">
              <w:t>redacted</w:t>
            </w:r>
          </w:p>
        </w:tc>
        <w:tc>
          <w:tcPr>
            <w:tcW w:w="805" w:type="pct"/>
            <w:tcBorders>
              <w:top w:val="single" w:sz="4" w:space="0" w:color="auto"/>
              <w:left w:val="nil"/>
              <w:right w:val="single" w:sz="4" w:space="0" w:color="auto"/>
            </w:tcBorders>
            <w:shd w:val="clear" w:color="auto" w:fill="auto"/>
            <w:vAlign w:val="center"/>
          </w:tcPr>
          <w:p w14:paraId="11CBBD40" w14:textId="77777777" w:rsidR="00AE53E7" w:rsidRPr="00DE1D69" w:rsidRDefault="00AE53E7" w:rsidP="00921914">
            <w:pPr>
              <w:pStyle w:val="Tabletext0"/>
              <w:rPr>
                <w:iCs/>
              </w:rPr>
            </w:pPr>
            <w:r w:rsidRPr="00DE1D69">
              <w:rPr>
                <w:iCs/>
              </w:rPr>
              <w:t>2.07</w:t>
            </w:r>
          </w:p>
        </w:tc>
        <w:tc>
          <w:tcPr>
            <w:tcW w:w="674" w:type="pct"/>
            <w:tcBorders>
              <w:top w:val="single" w:sz="4" w:space="0" w:color="auto"/>
              <w:left w:val="nil"/>
              <w:right w:val="single" w:sz="4" w:space="0" w:color="auto"/>
            </w:tcBorders>
            <w:shd w:val="clear" w:color="auto" w:fill="auto"/>
            <w:vAlign w:val="center"/>
          </w:tcPr>
          <w:p w14:paraId="5027F479" w14:textId="6F6A12CB" w:rsidR="00AE53E7" w:rsidRPr="00DE1D69" w:rsidRDefault="00AE53E7" w:rsidP="00921914">
            <w:pPr>
              <w:pStyle w:val="Tabletext0"/>
              <w:rPr>
                <w:iCs/>
              </w:rPr>
            </w:pPr>
            <w:r w:rsidRPr="00DE1D69">
              <w:t>$</w:t>
            </w:r>
            <w:r w:rsidR="00BA09B0" w:rsidRPr="00DE1D69">
              <w:t>redacted</w:t>
            </w:r>
          </w:p>
        </w:tc>
      </w:tr>
      <w:tr w:rsidR="00AE53E7" w:rsidRPr="00DE1D69" w14:paraId="58A77042" w14:textId="77777777" w:rsidTr="00FA02DE">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A95ED3" w14:textId="77777777" w:rsidR="00AE53E7" w:rsidRPr="00DE1D69" w:rsidRDefault="00AE53E7" w:rsidP="00921914">
            <w:pPr>
              <w:pStyle w:val="Tabletext0"/>
            </w:pPr>
            <w:r w:rsidRPr="00DE1D69">
              <w:t>Univariate Analysis</w:t>
            </w:r>
          </w:p>
        </w:tc>
      </w:tr>
      <w:tr w:rsidR="00AE53E7" w:rsidRPr="00DE1D69" w14:paraId="421AF661" w14:textId="77777777" w:rsidTr="00FA02DE">
        <w:trPr>
          <w:cantSplit/>
          <w:trHeight w:val="70"/>
        </w:trPr>
        <w:tc>
          <w:tcPr>
            <w:tcW w:w="2733" w:type="pct"/>
            <w:tcBorders>
              <w:top w:val="single" w:sz="4" w:space="0" w:color="auto"/>
              <w:left w:val="single" w:sz="4" w:space="0" w:color="auto"/>
              <w:bottom w:val="single" w:sz="4" w:space="0" w:color="auto"/>
              <w:right w:val="single" w:sz="4" w:space="0" w:color="auto"/>
            </w:tcBorders>
            <w:shd w:val="clear" w:color="auto" w:fill="auto"/>
            <w:vAlign w:val="center"/>
          </w:tcPr>
          <w:p w14:paraId="2A8A893E" w14:textId="77777777" w:rsidR="00AE53E7" w:rsidRPr="00DE1D69" w:rsidRDefault="00AE53E7" w:rsidP="00921914">
            <w:pPr>
              <w:pStyle w:val="Tabletext0"/>
              <w:rPr>
                <w:iCs/>
              </w:rPr>
            </w:pPr>
            <w:r w:rsidRPr="00DE1D69">
              <w:rPr>
                <w:iCs/>
              </w:rPr>
              <w:t>Time horizon: 20 years (base case:45 years)</w:t>
            </w:r>
          </w:p>
        </w:tc>
        <w:tc>
          <w:tcPr>
            <w:tcW w:w="789" w:type="pct"/>
            <w:tcBorders>
              <w:top w:val="single" w:sz="4" w:space="0" w:color="auto"/>
              <w:left w:val="single" w:sz="4" w:space="0" w:color="auto"/>
              <w:bottom w:val="single" w:sz="4" w:space="0" w:color="auto"/>
              <w:right w:val="single" w:sz="4" w:space="0" w:color="auto"/>
            </w:tcBorders>
            <w:shd w:val="clear" w:color="auto" w:fill="auto"/>
            <w:vAlign w:val="bottom"/>
          </w:tcPr>
          <w:p w14:paraId="1FBFCD44" w14:textId="26CFE75D" w:rsidR="00AE53E7" w:rsidRPr="00DE1D69" w:rsidRDefault="00AE53E7" w:rsidP="00921914">
            <w:pPr>
              <w:pStyle w:val="Tabletext0"/>
              <w:rPr>
                <w:iCs/>
              </w:rPr>
            </w:pPr>
            <w:r w:rsidRPr="00DE1D69">
              <w:rPr>
                <w:iCs/>
              </w:rPr>
              <w:t>$</w:t>
            </w:r>
            <w:r w:rsidR="00BA09B0" w:rsidRPr="00DE1D69">
              <w:t>redacted</w:t>
            </w:r>
          </w:p>
        </w:tc>
        <w:tc>
          <w:tcPr>
            <w:tcW w:w="805" w:type="pct"/>
            <w:tcBorders>
              <w:top w:val="single" w:sz="4" w:space="0" w:color="auto"/>
              <w:left w:val="single" w:sz="4" w:space="0" w:color="auto"/>
              <w:bottom w:val="single" w:sz="4" w:space="0" w:color="auto"/>
              <w:right w:val="single" w:sz="4" w:space="0" w:color="auto"/>
            </w:tcBorders>
            <w:shd w:val="clear" w:color="auto" w:fill="auto"/>
            <w:vAlign w:val="bottom"/>
          </w:tcPr>
          <w:p w14:paraId="1C3276F5" w14:textId="77777777" w:rsidR="00AE53E7" w:rsidRPr="00DE1D69" w:rsidRDefault="00AE53E7" w:rsidP="00921914">
            <w:pPr>
              <w:pStyle w:val="Tabletext0"/>
              <w:rPr>
                <w:iCs/>
              </w:rPr>
            </w:pPr>
            <w:r w:rsidRPr="00DE1D69">
              <w:rPr>
                <w:iCs/>
              </w:rPr>
              <w:t>1.19</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14:paraId="570A52E5" w14:textId="40FE1BB5" w:rsidR="00AE53E7" w:rsidRPr="00DE1D69" w:rsidRDefault="00AE53E7" w:rsidP="00921914">
            <w:pPr>
              <w:pStyle w:val="Tabletext0"/>
              <w:rPr>
                <w:iCs/>
              </w:rPr>
            </w:pPr>
            <w:r w:rsidRPr="00DE1D69">
              <w:rPr>
                <w:iCs/>
              </w:rPr>
              <w:t>$</w:t>
            </w:r>
            <w:r w:rsidR="00BA09B0" w:rsidRPr="00DE1D69">
              <w:t>redacted</w:t>
            </w:r>
          </w:p>
        </w:tc>
      </w:tr>
      <w:tr w:rsidR="00AE53E7" w:rsidRPr="00DE1D69" w14:paraId="06E361BB" w14:textId="77777777" w:rsidTr="00FA02DE">
        <w:trPr>
          <w:cantSplit/>
          <w:trHeight w:val="70"/>
        </w:trPr>
        <w:tc>
          <w:tcPr>
            <w:tcW w:w="2733" w:type="pct"/>
            <w:tcBorders>
              <w:top w:val="single" w:sz="4" w:space="0" w:color="auto"/>
              <w:left w:val="single" w:sz="4" w:space="0" w:color="auto"/>
              <w:bottom w:val="single" w:sz="4" w:space="0" w:color="auto"/>
              <w:right w:val="single" w:sz="4" w:space="0" w:color="auto"/>
            </w:tcBorders>
            <w:shd w:val="clear" w:color="auto" w:fill="auto"/>
            <w:vAlign w:val="center"/>
          </w:tcPr>
          <w:p w14:paraId="1F6AC341" w14:textId="77777777" w:rsidR="00AE53E7" w:rsidRPr="00DE1D69" w:rsidRDefault="00AE53E7" w:rsidP="00921914">
            <w:pPr>
              <w:pStyle w:val="Tabletext0"/>
              <w:rPr>
                <w:iCs/>
              </w:rPr>
            </w:pPr>
            <w:r w:rsidRPr="00DE1D69">
              <w:rPr>
                <w:iCs/>
              </w:rPr>
              <w:t>Mortality HR for ‘Patients Off Treatment: 1.67* (base case: 3.0)</w:t>
            </w:r>
          </w:p>
        </w:tc>
        <w:tc>
          <w:tcPr>
            <w:tcW w:w="789" w:type="pct"/>
            <w:tcBorders>
              <w:top w:val="single" w:sz="4" w:space="0" w:color="auto"/>
              <w:left w:val="single" w:sz="4" w:space="0" w:color="auto"/>
              <w:bottom w:val="single" w:sz="4" w:space="0" w:color="auto"/>
              <w:right w:val="single" w:sz="4" w:space="0" w:color="auto"/>
            </w:tcBorders>
            <w:shd w:val="clear" w:color="auto" w:fill="auto"/>
            <w:vAlign w:val="bottom"/>
          </w:tcPr>
          <w:p w14:paraId="5DD14A2F" w14:textId="534080EC" w:rsidR="00AE53E7" w:rsidRPr="00DE1D69" w:rsidRDefault="00AE53E7" w:rsidP="00921914">
            <w:pPr>
              <w:pStyle w:val="Tabletext0"/>
              <w:rPr>
                <w:iCs/>
              </w:rPr>
            </w:pPr>
            <w:r w:rsidRPr="00DE1D69">
              <w:rPr>
                <w:iCs/>
              </w:rPr>
              <w:t>$</w:t>
            </w:r>
            <w:r w:rsidR="00BA09B0" w:rsidRPr="00DE1D69">
              <w:t>redacted</w:t>
            </w:r>
          </w:p>
        </w:tc>
        <w:tc>
          <w:tcPr>
            <w:tcW w:w="805" w:type="pct"/>
            <w:tcBorders>
              <w:top w:val="single" w:sz="4" w:space="0" w:color="auto"/>
              <w:left w:val="single" w:sz="4" w:space="0" w:color="auto"/>
              <w:bottom w:val="single" w:sz="4" w:space="0" w:color="auto"/>
              <w:right w:val="single" w:sz="4" w:space="0" w:color="auto"/>
            </w:tcBorders>
            <w:shd w:val="clear" w:color="auto" w:fill="auto"/>
            <w:vAlign w:val="bottom"/>
          </w:tcPr>
          <w:p w14:paraId="4117E868" w14:textId="77777777" w:rsidR="00AE53E7" w:rsidRPr="00DE1D69" w:rsidRDefault="00AE53E7" w:rsidP="00921914">
            <w:pPr>
              <w:pStyle w:val="Tabletext0"/>
              <w:rPr>
                <w:iCs/>
              </w:rPr>
            </w:pPr>
            <w:r w:rsidRPr="00DE1D69">
              <w:rPr>
                <w:iCs/>
              </w:rPr>
              <w:t>0.83</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14:paraId="4D3BB6DF" w14:textId="1AEA9E7F" w:rsidR="00AE53E7" w:rsidRPr="00DE1D69" w:rsidRDefault="00AE53E7" w:rsidP="00921914">
            <w:pPr>
              <w:pStyle w:val="Tabletext0"/>
              <w:rPr>
                <w:iCs/>
              </w:rPr>
            </w:pPr>
            <w:r w:rsidRPr="00DE1D69">
              <w:rPr>
                <w:iCs/>
              </w:rPr>
              <w:t>$</w:t>
            </w:r>
            <w:r w:rsidR="00BA09B0" w:rsidRPr="00DE1D69">
              <w:t>redacted</w:t>
            </w:r>
          </w:p>
        </w:tc>
      </w:tr>
      <w:tr w:rsidR="00AE53E7" w:rsidRPr="00DE1D69" w14:paraId="06A4A53B" w14:textId="77777777" w:rsidTr="00FA02DE">
        <w:trPr>
          <w:cantSplit/>
          <w:trHeight w:val="70"/>
        </w:trPr>
        <w:tc>
          <w:tcPr>
            <w:tcW w:w="2733" w:type="pct"/>
            <w:tcBorders>
              <w:top w:val="single" w:sz="4" w:space="0" w:color="auto"/>
              <w:left w:val="single" w:sz="4" w:space="0" w:color="auto"/>
              <w:bottom w:val="single" w:sz="4" w:space="0" w:color="auto"/>
              <w:right w:val="single" w:sz="4" w:space="0" w:color="auto"/>
            </w:tcBorders>
            <w:shd w:val="clear" w:color="auto" w:fill="auto"/>
            <w:vAlign w:val="center"/>
          </w:tcPr>
          <w:p w14:paraId="5C28F8CE" w14:textId="77777777" w:rsidR="00AE53E7" w:rsidRPr="00DE1D69" w:rsidRDefault="00AE53E7" w:rsidP="00921914">
            <w:pPr>
              <w:pStyle w:val="Tabletext0"/>
              <w:rPr>
                <w:iCs/>
              </w:rPr>
            </w:pPr>
            <w:r w:rsidRPr="00DE1D69">
              <w:rPr>
                <w:iCs/>
              </w:rPr>
              <w:t>Mortality HR for ‘Patients Off Treatment: 1.9** (base case: 3.0)</w:t>
            </w:r>
          </w:p>
        </w:tc>
        <w:tc>
          <w:tcPr>
            <w:tcW w:w="789" w:type="pct"/>
            <w:tcBorders>
              <w:top w:val="single" w:sz="4" w:space="0" w:color="auto"/>
              <w:left w:val="single" w:sz="4" w:space="0" w:color="auto"/>
              <w:bottom w:val="single" w:sz="4" w:space="0" w:color="auto"/>
              <w:right w:val="single" w:sz="4" w:space="0" w:color="auto"/>
            </w:tcBorders>
            <w:shd w:val="clear" w:color="auto" w:fill="auto"/>
            <w:vAlign w:val="bottom"/>
          </w:tcPr>
          <w:p w14:paraId="2ADDE7AE" w14:textId="36F0B24D" w:rsidR="00AE53E7" w:rsidRPr="00DE1D69" w:rsidRDefault="00AE53E7" w:rsidP="00921914">
            <w:pPr>
              <w:pStyle w:val="Tabletext0"/>
              <w:rPr>
                <w:iCs/>
              </w:rPr>
            </w:pPr>
            <w:r w:rsidRPr="00DE1D69">
              <w:rPr>
                <w:iCs/>
              </w:rPr>
              <w:t>$</w:t>
            </w:r>
            <w:r w:rsidR="00BA09B0" w:rsidRPr="00DE1D69">
              <w:t>redacted</w:t>
            </w:r>
          </w:p>
        </w:tc>
        <w:tc>
          <w:tcPr>
            <w:tcW w:w="805" w:type="pct"/>
            <w:tcBorders>
              <w:top w:val="single" w:sz="4" w:space="0" w:color="auto"/>
              <w:left w:val="single" w:sz="4" w:space="0" w:color="auto"/>
              <w:bottom w:val="single" w:sz="4" w:space="0" w:color="auto"/>
              <w:right w:val="single" w:sz="4" w:space="0" w:color="auto"/>
            </w:tcBorders>
            <w:shd w:val="clear" w:color="auto" w:fill="auto"/>
            <w:vAlign w:val="bottom"/>
          </w:tcPr>
          <w:p w14:paraId="1E0DC6D2" w14:textId="77777777" w:rsidR="00AE53E7" w:rsidRPr="00DE1D69" w:rsidRDefault="00AE53E7" w:rsidP="00921914">
            <w:pPr>
              <w:pStyle w:val="Tabletext0"/>
              <w:rPr>
                <w:iCs/>
              </w:rPr>
            </w:pPr>
            <w:r w:rsidRPr="00DE1D69">
              <w:rPr>
                <w:iCs/>
              </w:rPr>
              <w:t>1.09</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14:paraId="11911A25" w14:textId="0850EB1F" w:rsidR="00AE53E7" w:rsidRPr="00DE1D69" w:rsidRDefault="00AE53E7" w:rsidP="00921914">
            <w:pPr>
              <w:pStyle w:val="Tabletext0"/>
              <w:rPr>
                <w:iCs/>
              </w:rPr>
            </w:pPr>
            <w:r w:rsidRPr="00DE1D69">
              <w:rPr>
                <w:iCs/>
              </w:rPr>
              <w:t>$</w:t>
            </w:r>
            <w:r w:rsidR="00BA09B0" w:rsidRPr="00DE1D69">
              <w:t>redacted</w:t>
            </w:r>
          </w:p>
        </w:tc>
      </w:tr>
      <w:tr w:rsidR="00AE53E7" w:rsidRPr="00DE1D69" w14:paraId="306FF70D" w14:textId="77777777" w:rsidTr="00FA02DE">
        <w:trPr>
          <w:cantSplit/>
          <w:trHeight w:val="70"/>
        </w:trPr>
        <w:tc>
          <w:tcPr>
            <w:tcW w:w="2733" w:type="pct"/>
            <w:tcBorders>
              <w:left w:val="single" w:sz="4" w:space="0" w:color="auto"/>
              <w:bottom w:val="single" w:sz="4" w:space="0" w:color="auto"/>
              <w:right w:val="single" w:sz="4" w:space="0" w:color="auto"/>
            </w:tcBorders>
            <w:shd w:val="clear" w:color="auto" w:fill="auto"/>
            <w:vAlign w:val="center"/>
          </w:tcPr>
          <w:p w14:paraId="75638D37" w14:textId="77777777" w:rsidR="00AE53E7" w:rsidRPr="00DE1D69" w:rsidRDefault="00AE53E7" w:rsidP="00921914">
            <w:pPr>
              <w:pStyle w:val="Tabletext0"/>
              <w:rPr>
                <w:iCs/>
              </w:rPr>
            </w:pPr>
            <w:r w:rsidRPr="00DE1D69">
              <w:rPr>
                <w:iCs/>
              </w:rPr>
              <w:t>Mortality HR for ‘Patients Off Treatment: 2.2*** (base case: 3.0)</w:t>
            </w:r>
          </w:p>
        </w:tc>
        <w:tc>
          <w:tcPr>
            <w:tcW w:w="789" w:type="pct"/>
            <w:tcBorders>
              <w:left w:val="single" w:sz="4" w:space="0" w:color="auto"/>
              <w:bottom w:val="single" w:sz="4" w:space="0" w:color="auto"/>
              <w:right w:val="single" w:sz="4" w:space="0" w:color="auto"/>
            </w:tcBorders>
            <w:shd w:val="clear" w:color="auto" w:fill="auto"/>
            <w:vAlign w:val="bottom"/>
          </w:tcPr>
          <w:p w14:paraId="072D6D72" w14:textId="39A15950" w:rsidR="00AE53E7" w:rsidRPr="00DE1D69" w:rsidRDefault="00AE53E7" w:rsidP="00921914">
            <w:pPr>
              <w:pStyle w:val="Tabletext0"/>
              <w:rPr>
                <w:iCs/>
              </w:rPr>
            </w:pPr>
            <w:r w:rsidRPr="00DE1D69">
              <w:rPr>
                <w:iCs/>
              </w:rPr>
              <w:t>$</w:t>
            </w:r>
            <w:r w:rsidR="00BA09B0" w:rsidRPr="00DE1D69">
              <w:t>redacted</w:t>
            </w:r>
          </w:p>
        </w:tc>
        <w:tc>
          <w:tcPr>
            <w:tcW w:w="805" w:type="pct"/>
            <w:tcBorders>
              <w:left w:val="single" w:sz="4" w:space="0" w:color="auto"/>
              <w:bottom w:val="single" w:sz="4" w:space="0" w:color="auto"/>
              <w:right w:val="single" w:sz="4" w:space="0" w:color="auto"/>
            </w:tcBorders>
            <w:shd w:val="clear" w:color="auto" w:fill="auto"/>
            <w:vAlign w:val="bottom"/>
          </w:tcPr>
          <w:p w14:paraId="74CC68A1" w14:textId="77777777" w:rsidR="00AE53E7" w:rsidRPr="00DE1D69" w:rsidRDefault="00AE53E7" w:rsidP="00921914">
            <w:pPr>
              <w:pStyle w:val="Tabletext0"/>
              <w:rPr>
                <w:iCs/>
              </w:rPr>
            </w:pPr>
            <w:r w:rsidRPr="00DE1D69">
              <w:rPr>
                <w:iCs/>
              </w:rPr>
              <w:t>1.39</w:t>
            </w:r>
          </w:p>
        </w:tc>
        <w:tc>
          <w:tcPr>
            <w:tcW w:w="674" w:type="pct"/>
            <w:tcBorders>
              <w:left w:val="single" w:sz="4" w:space="0" w:color="auto"/>
              <w:bottom w:val="single" w:sz="4" w:space="0" w:color="auto"/>
              <w:right w:val="single" w:sz="4" w:space="0" w:color="auto"/>
            </w:tcBorders>
            <w:shd w:val="clear" w:color="auto" w:fill="auto"/>
            <w:vAlign w:val="bottom"/>
          </w:tcPr>
          <w:p w14:paraId="60D6EDDC" w14:textId="3F36F93E" w:rsidR="00AE53E7" w:rsidRPr="00DE1D69" w:rsidRDefault="00AE53E7" w:rsidP="00921914">
            <w:pPr>
              <w:pStyle w:val="Tabletext0"/>
              <w:rPr>
                <w:iCs/>
              </w:rPr>
            </w:pPr>
            <w:r w:rsidRPr="00DE1D69">
              <w:rPr>
                <w:iCs/>
              </w:rPr>
              <w:t>$</w:t>
            </w:r>
            <w:r w:rsidR="00BA09B0" w:rsidRPr="00DE1D69">
              <w:t>redacted</w:t>
            </w:r>
          </w:p>
        </w:tc>
      </w:tr>
      <w:tr w:rsidR="00AE53E7" w:rsidRPr="00DE1D69" w14:paraId="5A6C5C43" w14:textId="77777777" w:rsidTr="00FA02DE">
        <w:trPr>
          <w:cantSplit/>
          <w:trHeight w:val="70"/>
        </w:trPr>
        <w:tc>
          <w:tcPr>
            <w:tcW w:w="2733" w:type="pct"/>
            <w:tcBorders>
              <w:left w:val="single" w:sz="4" w:space="0" w:color="auto"/>
              <w:bottom w:val="single" w:sz="4" w:space="0" w:color="auto"/>
              <w:right w:val="single" w:sz="4" w:space="0" w:color="auto"/>
            </w:tcBorders>
            <w:shd w:val="clear" w:color="auto" w:fill="auto"/>
            <w:vAlign w:val="center"/>
          </w:tcPr>
          <w:p w14:paraId="5265774D" w14:textId="77777777" w:rsidR="00AE53E7" w:rsidRPr="00DE1D69" w:rsidRDefault="00AE53E7" w:rsidP="00921914">
            <w:pPr>
              <w:pStyle w:val="Tabletext0"/>
              <w:rPr>
                <w:iCs/>
              </w:rPr>
            </w:pPr>
            <w:r w:rsidRPr="00DE1D69">
              <w:rPr>
                <w:iCs/>
              </w:rPr>
              <w:t>Mortality HR for ‘Patients Off Treatment: 4.4**** (base case: 3.0)</w:t>
            </w:r>
          </w:p>
        </w:tc>
        <w:tc>
          <w:tcPr>
            <w:tcW w:w="789" w:type="pct"/>
            <w:tcBorders>
              <w:left w:val="single" w:sz="4" w:space="0" w:color="auto"/>
              <w:bottom w:val="single" w:sz="4" w:space="0" w:color="auto"/>
              <w:right w:val="single" w:sz="4" w:space="0" w:color="auto"/>
            </w:tcBorders>
            <w:shd w:val="clear" w:color="auto" w:fill="auto"/>
            <w:vAlign w:val="bottom"/>
          </w:tcPr>
          <w:p w14:paraId="199EAD0D" w14:textId="110744D9" w:rsidR="00AE53E7" w:rsidRPr="00DE1D69" w:rsidRDefault="00AE53E7" w:rsidP="00921914">
            <w:pPr>
              <w:pStyle w:val="Tabletext0"/>
              <w:rPr>
                <w:iCs/>
              </w:rPr>
            </w:pPr>
            <w:r w:rsidRPr="00DE1D69">
              <w:rPr>
                <w:iCs/>
              </w:rPr>
              <w:t>$</w:t>
            </w:r>
            <w:r w:rsidR="00BA09B0" w:rsidRPr="00DE1D69">
              <w:t>redacted</w:t>
            </w:r>
          </w:p>
        </w:tc>
        <w:tc>
          <w:tcPr>
            <w:tcW w:w="805" w:type="pct"/>
            <w:tcBorders>
              <w:left w:val="single" w:sz="4" w:space="0" w:color="auto"/>
              <w:bottom w:val="single" w:sz="4" w:space="0" w:color="auto"/>
              <w:right w:val="single" w:sz="4" w:space="0" w:color="auto"/>
            </w:tcBorders>
            <w:shd w:val="clear" w:color="auto" w:fill="auto"/>
            <w:vAlign w:val="bottom"/>
          </w:tcPr>
          <w:p w14:paraId="77618AA9" w14:textId="77777777" w:rsidR="00AE53E7" w:rsidRPr="00DE1D69" w:rsidRDefault="00AE53E7" w:rsidP="00921914">
            <w:pPr>
              <w:pStyle w:val="Tabletext0"/>
              <w:rPr>
                <w:iCs/>
              </w:rPr>
            </w:pPr>
            <w:r w:rsidRPr="00DE1D69">
              <w:rPr>
                <w:iCs/>
              </w:rPr>
              <w:t>2.97</w:t>
            </w:r>
          </w:p>
        </w:tc>
        <w:tc>
          <w:tcPr>
            <w:tcW w:w="674" w:type="pct"/>
            <w:tcBorders>
              <w:left w:val="single" w:sz="4" w:space="0" w:color="auto"/>
              <w:bottom w:val="single" w:sz="4" w:space="0" w:color="auto"/>
              <w:right w:val="single" w:sz="4" w:space="0" w:color="auto"/>
            </w:tcBorders>
            <w:shd w:val="clear" w:color="auto" w:fill="auto"/>
            <w:vAlign w:val="bottom"/>
          </w:tcPr>
          <w:p w14:paraId="74116569" w14:textId="09B229B6" w:rsidR="00AE53E7" w:rsidRPr="00DE1D69" w:rsidRDefault="00AE53E7" w:rsidP="00BA09B0">
            <w:pPr>
              <w:pStyle w:val="Tabletext0"/>
              <w:rPr>
                <w:iCs/>
              </w:rPr>
            </w:pPr>
            <w:r w:rsidRPr="00DE1D69">
              <w:rPr>
                <w:iCs/>
              </w:rPr>
              <w:t>$</w:t>
            </w:r>
            <w:r w:rsidR="00BA09B0" w:rsidRPr="00DE1D69">
              <w:t>redacted</w:t>
            </w:r>
          </w:p>
        </w:tc>
      </w:tr>
      <w:tr w:rsidR="00AE53E7" w:rsidRPr="00DE1D69" w14:paraId="2B18ACF9" w14:textId="77777777" w:rsidTr="00FA02DE">
        <w:trPr>
          <w:cantSplit/>
          <w:trHeight w:val="70"/>
        </w:trPr>
        <w:tc>
          <w:tcPr>
            <w:tcW w:w="2733" w:type="pct"/>
            <w:tcBorders>
              <w:left w:val="single" w:sz="4" w:space="0" w:color="auto"/>
              <w:bottom w:val="single" w:sz="4" w:space="0" w:color="auto"/>
              <w:right w:val="single" w:sz="4" w:space="0" w:color="auto"/>
            </w:tcBorders>
            <w:shd w:val="clear" w:color="auto" w:fill="auto"/>
            <w:vAlign w:val="center"/>
          </w:tcPr>
          <w:p w14:paraId="0A1C5E92" w14:textId="77777777" w:rsidR="00AE53E7" w:rsidRPr="00DE1D69" w:rsidRDefault="00AE53E7" w:rsidP="00921914">
            <w:pPr>
              <w:pStyle w:val="Tabletext0"/>
              <w:rPr>
                <w:iCs/>
              </w:rPr>
            </w:pPr>
            <w:r w:rsidRPr="00DE1D69">
              <w:rPr>
                <w:iCs/>
              </w:rPr>
              <w:t xml:space="preserve">Increased the ESS by 1.8 from Year 2 onwards in the MMS arm </w:t>
            </w:r>
          </w:p>
        </w:tc>
        <w:tc>
          <w:tcPr>
            <w:tcW w:w="789" w:type="pct"/>
            <w:tcBorders>
              <w:left w:val="single" w:sz="4" w:space="0" w:color="auto"/>
              <w:bottom w:val="single" w:sz="4" w:space="0" w:color="auto"/>
              <w:right w:val="single" w:sz="4" w:space="0" w:color="auto"/>
            </w:tcBorders>
            <w:shd w:val="clear" w:color="auto" w:fill="auto"/>
            <w:vAlign w:val="bottom"/>
          </w:tcPr>
          <w:p w14:paraId="7D64AD8C" w14:textId="2E1979D9" w:rsidR="00AE53E7" w:rsidRPr="00DE1D69" w:rsidRDefault="00AE53E7" w:rsidP="00921914">
            <w:pPr>
              <w:pStyle w:val="Tabletext0"/>
              <w:rPr>
                <w:iCs/>
              </w:rPr>
            </w:pPr>
            <w:r w:rsidRPr="00DE1D69">
              <w:rPr>
                <w:iCs/>
              </w:rPr>
              <w:t>$</w:t>
            </w:r>
            <w:r w:rsidR="00BA09B0" w:rsidRPr="00DE1D69">
              <w:t>redacted</w:t>
            </w:r>
          </w:p>
        </w:tc>
        <w:tc>
          <w:tcPr>
            <w:tcW w:w="805" w:type="pct"/>
            <w:tcBorders>
              <w:left w:val="single" w:sz="4" w:space="0" w:color="auto"/>
              <w:bottom w:val="single" w:sz="4" w:space="0" w:color="auto"/>
              <w:right w:val="single" w:sz="4" w:space="0" w:color="auto"/>
            </w:tcBorders>
            <w:shd w:val="clear" w:color="auto" w:fill="auto"/>
            <w:vAlign w:val="bottom"/>
          </w:tcPr>
          <w:p w14:paraId="1A62E200" w14:textId="77777777" w:rsidR="00AE53E7" w:rsidRPr="00DE1D69" w:rsidRDefault="00AE53E7" w:rsidP="00921914">
            <w:pPr>
              <w:pStyle w:val="Tabletext0"/>
              <w:rPr>
                <w:iCs/>
              </w:rPr>
            </w:pPr>
            <w:r w:rsidRPr="00DE1D69">
              <w:rPr>
                <w:iCs/>
              </w:rPr>
              <w:t>2.27</w:t>
            </w:r>
          </w:p>
        </w:tc>
        <w:tc>
          <w:tcPr>
            <w:tcW w:w="674" w:type="pct"/>
            <w:tcBorders>
              <w:left w:val="single" w:sz="4" w:space="0" w:color="auto"/>
              <w:bottom w:val="single" w:sz="4" w:space="0" w:color="auto"/>
              <w:right w:val="single" w:sz="4" w:space="0" w:color="auto"/>
            </w:tcBorders>
            <w:shd w:val="clear" w:color="auto" w:fill="auto"/>
            <w:vAlign w:val="bottom"/>
          </w:tcPr>
          <w:p w14:paraId="5E84E381" w14:textId="7B64B636" w:rsidR="00AE53E7" w:rsidRPr="00DE1D69" w:rsidRDefault="00AE53E7" w:rsidP="00921914">
            <w:pPr>
              <w:pStyle w:val="Tabletext0"/>
              <w:rPr>
                <w:iCs/>
              </w:rPr>
            </w:pPr>
            <w:r w:rsidRPr="00DE1D69">
              <w:rPr>
                <w:iCs/>
              </w:rPr>
              <w:t>$</w:t>
            </w:r>
            <w:r w:rsidR="00BA09B0" w:rsidRPr="00DE1D69">
              <w:t>redacted</w:t>
            </w:r>
          </w:p>
        </w:tc>
      </w:tr>
      <w:tr w:rsidR="00AE53E7" w:rsidRPr="00DE1D69" w14:paraId="4C7EAA99" w14:textId="77777777" w:rsidTr="00FA02DE">
        <w:trPr>
          <w:cantSplit/>
          <w:trHeight w:val="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B08F84" w14:textId="77777777" w:rsidR="00AE53E7" w:rsidRPr="00DE1D69" w:rsidRDefault="00AE53E7" w:rsidP="00921914">
            <w:pPr>
              <w:pStyle w:val="Tabletext0"/>
            </w:pPr>
            <w:r w:rsidRPr="00DE1D69">
              <w:rPr>
                <w:iCs/>
              </w:rPr>
              <w:t>Multivariate analyses</w:t>
            </w:r>
          </w:p>
        </w:tc>
      </w:tr>
      <w:tr w:rsidR="00AE53E7" w:rsidRPr="00DE1D69" w14:paraId="07EE72D5" w14:textId="77777777" w:rsidTr="00FA02DE">
        <w:trPr>
          <w:cantSplit/>
          <w:trHeight w:val="70"/>
        </w:trPr>
        <w:tc>
          <w:tcPr>
            <w:tcW w:w="2733" w:type="pct"/>
            <w:tcBorders>
              <w:top w:val="single" w:sz="4" w:space="0" w:color="auto"/>
              <w:left w:val="single" w:sz="4" w:space="0" w:color="auto"/>
              <w:bottom w:val="single" w:sz="4" w:space="0" w:color="auto"/>
              <w:right w:val="single" w:sz="4" w:space="0" w:color="auto"/>
            </w:tcBorders>
            <w:shd w:val="clear" w:color="auto" w:fill="auto"/>
            <w:vAlign w:val="center"/>
          </w:tcPr>
          <w:p w14:paraId="32637BEF" w14:textId="77777777" w:rsidR="00AE53E7" w:rsidRPr="00DE1D69" w:rsidRDefault="00AE53E7" w:rsidP="00921914">
            <w:pPr>
              <w:pStyle w:val="Tabletext0"/>
              <w:rPr>
                <w:iCs/>
              </w:rPr>
            </w:pPr>
            <w:r w:rsidRPr="00DE1D69">
              <w:rPr>
                <w:iCs/>
              </w:rPr>
              <w:t>Time horizon: 20 years,</w:t>
            </w:r>
          </w:p>
          <w:p w14:paraId="2D965D30" w14:textId="77777777" w:rsidR="00AE53E7" w:rsidRPr="00DE1D69" w:rsidRDefault="00AE53E7" w:rsidP="00921914">
            <w:pPr>
              <w:pStyle w:val="Tabletext0"/>
            </w:pPr>
            <w:r w:rsidRPr="00DE1D69">
              <w:rPr>
                <w:iCs/>
              </w:rPr>
              <w:t xml:space="preserve">Mortality HR for ‘Patients Off Treatment: 1.67 </w:t>
            </w:r>
          </w:p>
        </w:tc>
        <w:tc>
          <w:tcPr>
            <w:tcW w:w="789" w:type="pct"/>
            <w:tcBorders>
              <w:top w:val="single" w:sz="4" w:space="0" w:color="auto"/>
              <w:left w:val="nil"/>
              <w:bottom w:val="single" w:sz="4" w:space="0" w:color="auto"/>
              <w:right w:val="single" w:sz="4" w:space="0" w:color="auto"/>
            </w:tcBorders>
            <w:shd w:val="clear" w:color="auto" w:fill="auto"/>
            <w:vAlign w:val="bottom"/>
          </w:tcPr>
          <w:p w14:paraId="7C81BA59" w14:textId="55F2AE76" w:rsidR="00AE53E7" w:rsidRPr="00DE1D69" w:rsidRDefault="00AE53E7" w:rsidP="00921914">
            <w:pPr>
              <w:pStyle w:val="Tabletext0"/>
            </w:pPr>
            <w:r w:rsidRPr="00DE1D69">
              <w:rPr>
                <w:iCs/>
              </w:rPr>
              <w:t>$</w:t>
            </w:r>
            <w:r w:rsidR="00BA09B0" w:rsidRPr="00DE1D69">
              <w:t>redacted</w:t>
            </w:r>
          </w:p>
        </w:tc>
        <w:tc>
          <w:tcPr>
            <w:tcW w:w="805" w:type="pct"/>
            <w:tcBorders>
              <w:top w:val="single" w:sz="4" w:space="0" w:color="auto"/>
              <w:left w:val="nil"/>
              <w:bottom w:val="single" w:sz="4" w:space="0" w:color="auto"/>
              <w:right w:val="single" w:sz="4" w:space="0" w:color="auto"/>
            </w:tcBorders>
            <w:shd w:val="clear" w:color="auto" w:fill="auto"/>
            <w:vAlign w:val="bottom"/>
          </w:tcPr>
          <w:p w14:paraId="17D6E637" w14:textId="77777777" w:rsidR="00AE53E7" w:rsidRPr="00DE1D69" w:rsidRDefault="00AE53E7" w:rsidP="00921914">
            <w:pPr>
              <w:pStyle w:val="Tabletext0"/>
            </w:pPr>
            <w:r w:rsidRPr="00DE1D69">
              <w:rPr>
                <w:iCs/>
              </w:rPr>
              <w:t>0.60</w:t>
            </w:r>
          </w:p>
        </w:tc>
        <w:tc>
          <w:tcPr>
            <w:tcW w:w="674" w:type="pct"/>
            <w:tcBorders>
              <w:top w:val="single" w:sz="4" w:space="0" w:color="auto"/>
              <w:left w:val="nil"/>
              <w:bottom w:val="single" w:sz="4" w:space="0" w:color="auto"/>
              <w:right w:val="single" w:sz="4" w:space="0" w:color="auto"/>
            </w:tcBorders>
            <w:shd w:val="clear" w:color="auto" w:fill="auto"/>
            <w:vAlign w:val="bottom"/>
          </w:tcPr>
          <w:p w14:paraId="2A4A8574" w14:textId="4BB828D2" w:rsidR="00AE53E7" w:rsidRPr="00DE1D69" w:rsidRDefault="00AE53E7" w:rsidP="00921914">
            <w:pPr>
              <w:pStyle w:val="Tabletext0"/>
            </w:pPr>
            <w:r w:rsidRPr="00DE1D69">
              <w:rPr>
                <w:iCs/>
              </w:rPr>
              <w:t>$</w:t>
            </w:r>
            <w:r w:rsidR="00BA09B0" w:rsidRPr="00DE1D69">
              <w:t>redacted</w:t>
            </w:r>
          </w:p>
        </w:tc>
      </w:tr>
      <w:tr w:rsidR="00AE53E7" w:rsidRPr="00DE1D69" w14:paraId="2A0E30BE" w14:textId="77777777" w:rsidTr="00FA02DE">
        <w:trPr>
          <w:cantSplit/>
          <w:trHeight w:val="70"/>
        </w:trPr>
        <w:tc>
          <w:tcPr>
            <w:tcW w:w="2733" w:type="pct"/>
            <w:tcBorders>
              <w:top w:val="single" w:sz="4" w:space="0" w:color="auto"/>
              <w:left w:val="single" w:sz="4" w:space="0" w:color="auto"/>
              <w:bottom w:val="single" w:sz="4" w:space="0" w:color="auto"/>
              <w:right w:val="single" w:sz="4" w:space="0" w:color="auto"/>
            </w:tcBorders>
            <w:shd w:val="clear" w:color="auto" w:fill="auto"/>
            <w:vAlign w:val="center"/>
          </w:tcPr>
          <w:p w14:paraId="61B817FD" w14:textId="77777777" w:rsidR="00AE53E7" w:rsidRPr="00DE1D69" w:rsidRDefault="00AE53E7" w:rsidP="00921914">
            <w:pPr>
              <w:pStyle w:val="Tabletext0"/>
              <w:rPr>
                <w:iCs/>
              </w:rPr>
            </w:pPr>
            <w:r w:rsidRPr="00DE1D69">
              <w:rPr>
                <w:iCs/>
              </w:rPr>
              <w:t>Time horizon: 20 years,</w:t>
            </w:r>
          </w:p>
          <w:p w14:paraId="6E7D311B" w14:textId="77777777" w:rsidR="00AE53E7" w:rsidRPr="00DE1D69" w:rsidRDefault="00AE53E7" w:rsidP="00921914">
            <w:pPr>
              <w:pStyle w:val="Tabletext0"/>
              <w:rPr>
                <w:iCs/>
              </w:rPr>
            </w:pPr>
            <w:r w:rsidRPr="00DE1D69">
              <w:rPr>
                <w:iCs/>
              </w:rPr>
              <w:t>Mortality HR for ‘Patients Off Treatment: 1.9</w:t>
            </w:r>
          </w:p>
        </w:tc>
        <w:tc>
          <w:tcPr>
            <w:tcW w:w="789" w:type="pct"/>
            <w:tcBorders>
              <w:top w:val="single" w:sz="4" w:space="0" w:color="auto"/>
              <w:left w:val="nil"/>
              <w:bottom w:val="single" w:sz="4" w:space="0" w:color="auto"/>
              <w:right w:val="single" w:sz="4" w:space="0" w:color="auto"/>
            </w:tcBorders>
            <w:shd w:val="clear" w:color="auto" w:fill="auto"/>
            <w:vAlign w:val="bottom"/>
          </w:tcPr>
          <w:p w14:paraId="53D1BDBC" w14:textId="50F7012D" w:rsidR="00AE53E7" w:rsidRPr="00DE1D69" w:rsidRDefault="00AE53E7" w:rsidP="00921914">
            <w:pPr>
              <w:pStyle w:val="Tabletext0"/>
              <w:rPr>
                <w:iCs/>
              </w:rPr>
            </w:pPr>
            <w:r w:rsidRPr="00DE1D69">
              <w:rPr>
                <w:iCs/>
              </w:rPr>
              <w:t>$</w:t>
            </w:r>
            <w:r w:rsidR="00BA09B0" w:rsidRPr="00DE1D69">
              <w:t>redacted</w:t>
            </w:r>
          </w:p>
        </w:tc>
        <w:tc>
          <w:tcPr>
            <w:tcW w:w="805" w:type="pct"/>
            <w:tcBorders>
              <w:top w:val="single" w:sz="4" w:space="0" w:color="auto"/>
              <w:left w:val="nil"/>
              <w:bottom w:val="single" w:sz="4" w:space="0" w:color="auto"/>
              <w:right w:val="single" w:sz="4" w:space="0" w:color="auto"/>
            </w:tcBorders>
            <w:shd w:val="clear" w:color="auto" w:fill="auto"/>
            <w:vAlign w:val="bottom"/>
          </w:tcPr>
          <w:p w14:paraId="3068C8EA" w14:textId="77777777" w:rsidR="00AE53E7" w:rsidRPr="00DE1D69" w:rsidRDefault="00AE53E7" w:rsidP="00921914">
            <w:pPr>
              <w:pStyle w:val="Tabletext0"/>
              <w:rPr>
                <w:iCs/>
              </w:rPr>
            </w:pPr>
            <w:r w:rsidRPr="00DE1D69">
              <w:rPr>
                <w:iCs/>
              </w:rPr>
              <w:t>0.71</w:t>
            </w:r>
          </w:p>
        </w:tc>
        <w:tc>
          <w:tcPr>
            <w:tcW w:w="674" w:type="pct"/>
            <w:tcBorders>
              <w:top w:val="single" w:sz="4" w:space="0" w:color="auto"/>
              <w:left w:val="nil"/>
              <w:bottom w:val="single" w:sz="4" w:space="0" w:color="auto"/>
              <w:right w:val="single" w:sz="4" w:space="0" w:color="auto"/>
            </w:tcBorders>
            <w:shd w:val="clear" w:color="auto" w:fill="auto"/>
            <w:vAlign w:val="bottom"/>
          </w:tcPr>
          <w:p w14:paraId="3EF076E6" w14:textId="230C0A89" w:rsidR="00AE53E7" w:rsidRPr="00DE1D69" w:rsidRDefault="00AE53E7" w:rsidP="00921914">
            <w:pPr>
              <w:pStyle w:val="Tabletext0"/>
              <w:rPr>
                <w:iCs/>
              </w:rPr>
            </w:pPr>
            <w:r w:rsidRPr="00DE1D69">
              <w:rPr>
                <w:iCs/>
              </w:rPr>
              <w:t>$</w:t>
            </w:r>
            <w:r w:rsidR="00BA09B0" w:rsidRPr="00DE1D69">
              <w:t>redacted</w:t>
            </w:r>
          </w:p>
        </w:tc>
      </w:tr>
      <w:tr w:rsidR="00AE53E7" w:rsidRPr="00DE1D69" w14:paraId="13F28C18" w14:textId="77777777" w:rsidTr="00FA02DE">
        <w:trPr>
          <w:cantSplit/>
          <w:trHeight w:val="70"/>
        </w:trPr>
        <w:tc>
          <w:tcPr>
            <w:tcW w:w="2733" w:type="pct"/>
            <w:tcBorders>
              <w:top w:val="single" w:sz="4" w:space="0" w:color="auto"/>
              <w:left w:val="single" w:sz="4" w:space="0" w:color="auto"/>
              <w:bottom w:val="single" w:sz="4" w:space="0" w:color="auto"/>
              <w:right w:val="single" w:sz="4" w:space="0" w:color="auto"/>
            </w:tcBorders>
            <w:shd w:val="clear" w:color="auto" w:fill="auto"/>
            <w:vAlign w:val="center"/>
          </w:tcPr>
          <w:p w14:paraId="7D70C508" w14:textId="77777777" w:rsidR="00AE53E7" w:rsidRPr="00DE1D69" w:rsidRDefault="00AE53E7" w:rsidP="00921914">
            <w:pPr>
              <w:pStyle w:val="Tabletext0"/>
              <w:rPr>
                <w:iCs/>
              </w:rPr>
            </w:pPr>
            <w:r w:rsidRPr="00DE1D69">
              <w:rPr>
                <w:iCs/>
              </w:rPr>
              <w:t>Time horizon: 20 years,</w:t>
            </w:r>
          </w:p>
          <w:p w14:paraId="6A43C634" w14:textId="77777777" w:rsidR="00AE53E7" w:rsidRPr="00DE1D69" w:rsidRDefault="00AE53E7" w:rsidP="00921914">
            <w:pPr>
              <w:pStyle w:val="Tabletext0"/>
              <w:rPr>
                <w:iCs/>
              </w:rPr>
            </w:pPr>
            <w:r w:rsidRPr="00DE1D69">
              <w:rPr>
                <w:iCs/>
              </w:rPr>
              <w:t>Mortality HR for ‘Patients Off Treatment: 2.2</w:t>
            </w:r>
          </w:p>
        </w:tc>
        <w:tc>
          <w:tcPr>
            <w:tcW w:w="789" w:type="pct"/>
            <w:tcBorders>
              <w:top w:val="single" w:sz="4" w:space="0" w:color="auto"/>
              <w:left w:val="nil"/>
              <w:bottom w:val="single" w:sz="4" w:space="0" w:color="auto"/>
              <w:right w:val="single" w:sz="4" w:space="0" w:color="auto"/>
            </w:tcBorders>
            <w:shd w:val="clear" w:color="auto" w:fill="auto"/>
            <w:vAlign w:val="bottom"/>
          </w:tcPr>
          <w:p w14:paraId="4517B44C" w14:textId="071EEADE" w:rsidR="00AE53E7" w:rsidRPr="00DE1D69" w:rsidRDefault="00AE53E7" w:rsidP="00921914">
            <w:pPr>
              <w:pStyle w:val="Tabletext0"/>
              <w:rPr>
                <w:iCs/>
              </w:rPr>
            </w:pPr>
            <w:r w:rsidRPr="00DE1D69">
              <w:rPr>
                <w:iCs/>
              </w:rPr>
              <w:t>$</w:t>
            </w:r>
            <w:r w:rsidR="00BA09B0" w:rsidRPr="00DE1D69">
              <w:t>redacted</w:t>
            </w:r>
          </w:p>
        </w:tc>
        <w:tc>
          <w:tcPr>
            <w:tcW w:w="805" w:type="pct"/>
            <w:tcBorders>
              <w:top w:val="single" w:sz="4" w:space="0" w:color="auto"/>
              <w:left w:val="nil"/>
              <w:bottom w:val="single" w:sz="4" w:space="0" w:color="auto"/>
              <w:right w:val="single" w:sz="4" w:space="0" w:color="auto"/>
            </w:tcBorders>
            <w:shd w:val="clear" w:color="auto" w:fill="auto"/>
            <w:vAlign w:val="bottom"/>
          </w:tcPr>
          <w:p w14:paraId="396CA7AB" w14:textId="77777777" w:rsidR="00AE53E7" w:rsidRPr="00DE1D69" w:rsidRDefault="00AE53E7" w:rsidP="00921914">
            <w:pPr>
              <w:pStyle w:val="Tabletext0"/>
              <w:rPr>
                <w:iCs/>
              </w:rPr>
            </w:pPr>
            <w:r w:rsidRPr="00DE1D69">
              <w:rPr>
                <w:iCs/>
              </w:rPr>
              <w:t>0.85</w:t>
            </w:r>
          </w:p>
        </w:tc>
        <w:tc>
          <w:tcPr>
            <w:tcW w:w="674" w:type="pct"/>
            <w:tcBorders>
              <w:top w:val="single" w:sz="4" w:space="0" w:color="auto"/>
              <w:left w:val="nil"/>
              <w:bottom w:val="single" w:sz="4" w:space="0" w:color="auto"/>
              <w:right w:val="single" w:sz="4" w:space="0" w:color="auto"/>
            </w:tcBorders>
            <w:shd w:val="clear" w:color="auto" w:fill="auto"/>
            <w:vAlign w:val="bottom"/>
          </w:tcPr>
          <w:p w14:paraId="18691FB8" w14:textId="689EB369" w:rsidR="00AE53E7" w:rsidRPr="00DE1D69" w:rsidRDefault="00AE53E7" w:rsidP="00921914">
            <w:pPr>
              <w:pStyle w:val="Tabletext0"/>
              <w:rPr>
                <w:iCs/>
              </w:rPr>
            </w:pPr>
            <w:r w:rsidRPr="00DE1D69">
              <w:rPr>
                <w:iCs/>
              </w:rPr>
              <w:t>$</w:t>
            </w:r>
            <w:r w:rsidR="00BA09B0" w:rsidRPr="00DE1D69">
              <w:t>redacted</w:t>
            </w:r>
          </w:p>
        </w:tc>
      </w:tr>
      <w:tr w:rsidR="00AE53E7" w:rsidRPr="00AB30CE" w14:paraId="797C9D28" w14:textId="77777777" w:rsidTr="00FA02DE">
        <w:trPr>
          <w:cantSplit/>
          <w:trHeight w:val="70"/>
        </w:trPr>
        <w:tc>
          <w:tcPr>
            <w:tcW w:w="2733" w:type="pct"/>
            <w:tcBorders>
              <w:left w:val="single" w:sz="4" w:space="0" w:color="auto"/>
              <w:bottom w:val="single" w:sz="4" w:space="0" w:color="auto"/>
              <w:right w:val="single" w:sz="4" w:space="0" w:color="auto"/>
            </w:tcBorders>
            <w:shd w:val="clear" w:color="auto" w:fill="FFFFFF" w:themeFill="background1"/>
            <w:vAlign w:val="center"/>
          </w:tcPr>
          <w:p w14:paraId="5AF53BAD" w14:textId="77777777" w:rsidR="00AE53E7" w:rsidRPr="00DE1D69" w:rsidRDefault="00AE53E7" w:rsidP="00921914">
            <w:pPr>
              <w:pStyle w:val="Tabletext0"/>
              <w:rPr>
                <w:iCs/>
              </w:rPr>
            </w:pPr>
            <w:r w:rsidRPr="00DE1D69">
              <w:rPr>
                <w:iCs/>
              </w:rPr>
              <w:t>Time horizon: 45 years, PLUS</w:t>
            </w:r>
          </w:p>
          <w:p w14:paraId="0CFF3637" w14:textId="77777777" w:rsidR="00AE53E7" w:rsidRPr="00DE1D69" w:rsidRDefault="00AE53E7" w:rsidP="00921914">
            <w:pPr>
              <w:pStyle w:val="Tabletext0"/>
            </w:pPr>
            <w:r w:rsidRPr="00DE1D69">
              <w:rPr>
                <w:iCs/>
              </w:rPr>
              <w:t>Mortality HR for ‘Patients Off Treatment: 4.40</w:t>
            </w:r>
          </w:p>
          <w:p w14:paraId="35CF91B4" w14:textId="77777777" w:rsidR="00AE53E7" w:rsidRPr="00DE1D69" w:rsidRDefault="00AE53E7" w:rsidP="00921914">
            <w:pPr>
              <w:pStyle w:val="Tabletext0"/>
            </w:pPr>
            <w:r w:rsidRPr="00DE1D69">
              <w:rPr>
                <w:iCs/>
              </w:rPr>
              <w:t>Increased the ESS by 1.8 from Year 2 onwards in the MMS arm</w:t>
            </w:r>
          </w:p>
        </w:tc>
        <w:tc>
          <w:tcPr>
            <w:tcW w:w="789" w:type="pct"/>
            <w:tcBorders>
              <w:left w:val="single" w:sz="4" w:space="0" w:color="auto"/>
              <w:bottom w:val="single" w:sz="4" w:space="0" w:color="auto"/>
              <w:right w:val="single" w:sz="4" w:space="0" w:color="auto"/>
            </w:tcBorders>
            <w:shd w:val="clear" w:color="auto" w:fill="FFFFFF" w:themeFill="background1"/>
            <w:vAlign w:val="center"/>
          </w:tcPr>
          <w:p w14:paraId="7715894B" w14:textId="543E0482" w:rsidR="00AE53E7" w:rsidRPr="00DE1D69" w:rsidRDefault="00AE53E7" w:rsidP="00921914">
            <w:pPr>
              <w:pStyle w:val="Tabletext0"/>
            </w:pPr>
            <w:r w:rsidRPr="00DE1D69">
              <w:rPr>
                <w:iCs/>
              </w:rPr>
              <w:t>$</w:t>
            </w:r>
            <w:r w:rsidR="00BA09B0" w:rsidRPr="00DE1D69">
              <w:t>redacted</w:t>
            </w:r>
          </w:p>
        </w:tc>
        <w:tc>
          <w:tcPr>
            <w:tcW w:w="805" w:type="pct"/>
            <w:tcBorders>
              <w:left w:val="single" w:sz="4" w:space="0" w:color="auto"/>
              <w:bottom w:val="single" w:sz="4" w:space="0" w:color="auto"/>
              <w:right w:val="single" w:sz="4" w:space="0" w:color="auto"/>
            </w:tcBorders>
            <w:shd w:val="clear" w:color="auto" w:fill="FFFFFF" w:themeFill="background1"/>
            <w:vAlign w:val="center"/>
          </w:tcPr>
          <w:p w14:paraId="1040F976" w14:textId="77777777" w:rsidR="00AE53E7" w:rsidRPr="00DE1D69" w:rsidRDefault="00AE53E7" w:rsidP="00921914">
            <w:pPr>
              <w:pStyle w:val="Tabletext0"/>
            </w:pPr>
            <w:r w:rsidRPr="00DE1D69">
              <w:rPr>
                <w:iCs/>
              </w:rPr>
              <w:t>3.15</w:t>
            </w:r>
          </w:p>
        </w:tc>
        <w:tc>
          <w:tcPr>
            <w:tcW w:w="674" w:type="pct"/>
            <w:tcBorders>
              <w:left w:val="single" w:sz="4" w:space="0" w:color="auto"/>
              <w:bottom w:val="single" w:sz="4" w:space="0" w:color="auto"/>
              <w:right w:val="single" w:sz="4" w:space="0" w:color="auto"/>
            </w:tcBorders>
            <w:shd w:val="clear" w:color="auto" w:fill="FFFFFF" w:themeFill="background1"/>
            <w:vAlign w:val="center"/>
          </w:tcPr>
          <w:p w14:paraId="27AED70C" w14:textId="7B9CAE51" w:rsidR="00AE53E7" w:rsidRPr="00DE1D69" w:rsidRDefault="00AE53E7" w:rsidP="00921914">
            <w:pPr>
              <w:pStyle w:val="Tabletext0"/>
              <w:rPr>
                <w:iCs/>
              </w:rPr>
            </w:pPr>
            <w:r w:rsidRPr="00DE1D69">
              <w:rPr>
                <w:iCs/>
              </w:rPr>
              <w:t>$</w:t>
            </w:r>
            <w:r w:rsidR="00BA09B0" w:rsidRPr="00DE1D69">
              <w:t>redacted</w:t>
            </w:r>
          </w:p>
        </w:tc>
      </w:tr>
    </w:tbl>
    <w:p w14:paraId="4CEF18BC" w14:textId="54F622A2" w:rsidR="00AE53E7" w:rsidRDefault="00AE53E7" w:rsidP="00921914">
      <w:pPr>
        <w:pStyle w:val="Tablenotes"/>
        <w:rPr>
          <w:rStyle w:val="TablenotesChar"/>
          <w:rFonts w:eastAsiaTheme="minorHAnsi" w:cstheme="minorHAnsi"/>
          <w:sz w:val="20"/>
        </w:rPr>
      </w:pPr>
      <w:r>
        <w:rPr>
          <w:rStyle w:val="TablenotesChar"/>
          <w:rFonts w:eastAsiaTheme="minorHAnsi" w:cstheme="minorHAnsi"/>
          <w:sz w:val="20"/>
        </w:rPr>
        <w:t>Source: Table 1 of the pre-MSAC response</w:t>
      </w:r>
    </w:p>
    <w:p w14:paraId="3CA5F168" w14:textId="11C5467F" w:rsidR="00AE53E7" w:rsidRPr="00A710EB" w:rsidRDefault="00AE53E7" w:rsidP="00921914">
      <w:pPr>
        <w:pStyle w:val="Tablenotes"/>
      </w:pPr>
      <w:r>
        <w:rPr>
          <w:rStyle w:val="TablenotesChar"/>
          <w:rFonts w:eastAsiaTheme="minorHAnsi" w:cstheme="minorHAnsi"/>
          <w:sz w:val="20"/>
        </w:rPr>
        <w:t xml:space="preserve">Abbreviations: </w:t>
      </w:r>
      <w:r w:rsidRPr="00A710EB">
        <w:rPr>
          <w:rStyle w:val="TablenotesChar"/>
          <w:rFonts w:eastAsiaTheme="minorHAnsi" w:cstheme="minorHAnsi"/>
          <w:sz w:val="20"/>
        </w:rPr>
        <w:t xml:space="preserve">ESS=Epworth Sleepiness Scale; </w:t>
      </w:r>
      <w:r w:rsidRPr="00A710EB">
        <w:t>ICER = incremental cost effectiveness ratio; HR= Hazard ratio; MMS= Medical management strategies; QALY = quality adjusted life year</w:t>
      </w:r>
    </w:p>
    <w:p w14:paraId="452AEF95" w14:textId="77777777" w:rsidR="00AE53E7" w:rsidRPr="00A710EB" w:rsidRDefault="00AE53E7" w:rsidP="00921914">
      <w:pPr>
        <w:pStyle w:val="Tablenotes"/>
      </w:pPr>
      <w:r w:rsidRPr="00A710EB">
        <w:t xml:space="preserve">*HR of 1.67 was estimated such that </w:t>
      </w:r>
      <w:proofErr w:type="gramStart"/>
      <w:r w:rsidRPr="00A710EB">
        <w:t>life-time</w:t>
      </w:r>
      <w:proofErr w:type="gramEnd"/>
      <w:r w:rsidRPr="00A710EB">
        <w:t xml:space="preserve"> incremental QALYs become same as reported in </w:t>
      </w:r>
      <w:proofErr w:type="spellStart"/>
      <w:r w:rsidRPr="00A710EB">
        <w:t>Pietzsch</w:t>
      </w:r>
      <w:proofErr w:type="spellEnd"/>
      <w:r w:rsidRPr="00A710EB">
        <w:t xml:space="preserve"> 2015 study at 3% discount rate</w:t>
      </w:r>
    </w:p>
    <w:p w14:paraId="1B3607F0" w14:textId="77777777" w:rsidR="00AE53E7" w:rsidRPr="00A710EB" w:rsidRDefault="00AE53E7" w:rsidP="00921914">
      <w:pPr>
        <w:pStyle w:val="Tablenotes"/>
      </w:pPr>
      <w:r w:rsidRPr="00A710EB">
        <w:t xml:space="preserve">**HR of 1.90 </w:t>
      </w:r>
      <w:proofErr w:type="gramStart"/>
      <w:r w:rsidRPr="00A710EB">
        <w:t>was estimated</w:t>
      </w:r>
      <w:proofErr w:type="gramEnd"/>
      <w:r w:rsidRPr="00A710EB">
        <w:t xml:space="preserve"> such that incremental QALYs at 10-year time horizon become same as reported in </w:t>
      </w:r>
      <w:proofErr w:type="spellStart"/>
      <w:r w:rsidRPr="00A710EB">
        <w:t>Pietzsch</w:t>
      </w:r>
      <w:proofErr w:type="spellEnd"/>
      <w:r w:rsidRPr="00A710EB">
        <w:t xml:space="preserve"> 2015 study at 3% discount rate</w:t>
      </w:r>
    </w:p>
    <w:p w14:paraId="02DB4FBE" w14:textId="77777777" w:rsidR="00AE53E7" w:rsidRPr="00A710EB" w:rsidRDefault="00AE53E7" w:rsidP="00921914">
      <w:pPr>
        <w:pStyle w:val="Tablenotes"/>
      </w:pPr>
      <w:r w:rsidRPr="00A710EB">
        <w:t>***HR of 2.2 was estimated using average HRs of severe (HR=3.0) and moderate (HR=1.4) categories reported in Young 2008 study (Table 3)</w:t>
      </w:r>
    </w:p>
    <w:p w14:paraId="5B050951" w14:textId="328EDF6D" w:rsidR="00AE53E7" w:rsidRPr="002128B1" w:rsidRDefault="00AE53E7" w:rsidP="00921914">
      <w:pPr>
        <w:pStyle w:val="Tablenotes"/>
      </w:pPr>
      <w:r w:rsidRPr="00A710EB">
        <w:t xml:space="preserve">****HR of 4.4 </w:t>
      </w:r>
      <w:proofErr w:type="gramStart"/>
      <w:r w:rsidRPr="00A710EB">
        <w:t>was sourced</w:t>
      </w:r>
      <w:proofErr w:type="gramEnd"/>
      <w:r w:rsidRPr="00A710EB">
        <w:t xml:space="preserve"> from Marshall 2008 study (Table 3-Partially adjusted HR for moderate to severe sleep </w:t>
      </w:r>
      <w:proofErr w:type="spellStart"/>
      <w:r w:rsidRPr="00A710EB">
        <w:t>apnea</w:t>
      </w:r>
      <w:proofErr w:type="spellEnd"/>
      <w:r w:rsidRPr="00A710EB">
        <w:t>)</w:t>
      </w:r>
    </w:p>
    <w:p w14:paraId="3A5AF82B" w14:textId="77777777" w:rsidR="00BC1364" w:rsidRPr="00F715D1" w:rsidRDefault="00BC1364" w:rsidP="00F715D1">
      <w:pPr>
        <w:pStyle w:val="Heading1"/>
      </w:pPr>
      <w:r w:rsidRPr="00F715D1">
        <w:t>Financial/budgetary impacts</w:t>
      </w:r>
    </w:p>
    <w:p w14:paraId="105F49F6" w14:textId="063B7D94" w:rsidR="00B05427" w:rsidRPr="00D4500F" w:rsidRDefault="00B36E72" w:rsidP="00D4500F">
      <w:pPr>
        <w:spacing w:after="240"/>
      </w:pPr>
      <w:r w:rsidRPr="00157A05">
        <w:t xml:space="preserve">An epidemiological approach </w:t>
      </w:r>
      <w:proofErr w:type="gramStart"/>
      <w:r w:rsidRPr="00157A05">
        <w:t>was used</w:t>
      </w:r>
      <w:proofErr w:type="gramEnd"/>
      <w:r w:rsidRPr="00157A05">
        <w:t xml:space="preserve"> to estimate the financial implications of the introduction of closed loop UAS for treatment of patients with moderate to severe OSA who have failed or are intolerant to CPAP</w:t>
      </w:r>
      <w:r>
        <w:t xml:space="preserve"> (</w:t>
      </w:r>
      <w:r>
        <w:fldChar w:fldCharType="begin"/>
      </w:r>
      <w:r>
        <w:instrText xml:space="preserve"> REF _Ref51870407 \h </w:instrText>
      </w:r>
      <w:r>
        <w:fldChar w:fldCharType="separate"/>
      </w:r>
      <w:r w:rsidR="00D007E1">
        <w:t xml:space="preserve">Table </w:t>
      </w:r>
      <w:r w:rsidR="00D007E1">
        <w:rPr>
          <w:noProof/>
        </w:rPr>
        <w:t>15</w:t>
      </w:r>
      <w:r>
        <w:fldChar w:fldCharType="end"/>
      </w:r>
      <w:r>
        <w:t>)</w:t>
      </w:r>
      <w:r w:rsidRPr="00157A05">
        <w:t xml:space="preserve">. </w:t>
      </w:r>
      <w:r>
        <w:rPr>
          <w:iCs/>
        </w:rPr>
        <w:t xml:space="preserve">While the ADAR estimated </w:t>
      </w:r>
      <w:r w:rsidRPr="00157A05">
        <w:rPr>
          <w:iCs/>
        </w:rPr>
        <w:t>20,091 patients would be eligible,</w:t>
      </w:r>
      <w:r>
        <w:rPr>
          <w:iCs/>
        </w:rPr>
        <w:t xml:space="preserve"> it </w:t>
      </w:r>
      <w:proofErr w:type="gramStart"/>
      <w:r>
        <w:rPr>
          <w:iCs/>
        </w:rPr>
        <w:t>was estimated</w:t>
      </w:r>
      <w:proofErr w:type="gramEnd"/>
      <w:r w:rsidRPr="00157A05">
        <w:rPr>
          <w:iCs/>
        </w:rPr>
        <w:t xml:space="preserve"> </w:t>
      </w:r>
      <w:r>
        <w:rPr>
          <w:iCs/>
        </w:rPr>
        <w:t xml:space="preserve">that only </w:t>
      </w:r>
      <w:r w:rsidRPr="00157A05">
        <w:rPr>
          <w:iCs/>
        </w:rPr>
        <w:t>24-150 patients would be treated per year based on availability of qualified surgeons and appropriate surgical centres.</w:t>
      </w:r>
      <w:r w:rsidRPr="00157A05">
        <w:t xml:space="preserve"> </w:t>
      </w:r>
      <w:r>
        <w:t xml:space="preserve">Using expert opinion, the </w:t>
      </w:r>
      <w:r w:rsidRPr="001653F9">
        <w:t>ADAR assume</w:t>
      </w:r>
      <w:r w:rsidR="00B46D22">
        <w:t>d</w:t>
      </w:r>
      <w:r w:rsidRPr="001653F9">
        <w:t xml:space="preserve"> that closed loop </w:t>
      </w:r>
      <w:r>
        <w:t>UAS would substitute for UPPP in 3</w:t>
      </w:r>
      <w:r w:rsidRPr="001653F9">
        <w:t>0%</w:t>
      </w:r>
      <w:bookmarkStart w:id="29" w:name="_Ref51870407"/>
      <w:bookmarkStart w:id="30" w:name="_Toc393197779"/>
      <w:bookmarkStart w:id="31" w:name="_Toc393378192"/>
      <w:bookmarkStart w:id="32" w:name="_Toc399251128"/>
      <w:r w:rsidR="00D4500F">
        <w:t xml:space="preserve"> of cases.</w:t>
      </w:r>
      <w:bookmarkStart w:id="33" w:name="_GoBack"/>
      <w:bookmarkEnd w:id="33"/>
      <w:r w:rsidR="00B05427">
        <w:br w:type="page"/>
      </w:r>
    </w:p>
    <w:p w14:paraId="4D5ABEFC" w14:textId="32B622BC" w:rsidR="00B36E72" w:rsidRPr="00875ED2" w:rsidRDefault="00B36E72" w:rsidP="00875ED2">
      <w:pPr>
        <w:rPr>
          <w:rFonts w:ascii="Arial Narrow" w:hAnsi="Arial Narrow"/>
          <w:b/>
          <w:sz w:val="20"/>
        </w:rPr>
      </w:pPr>
      <w:r w:rsidRPr="00875ED2">
        <w:rPr>
          <w:rFonts w:ascii="Arial Narrow" w:hAnsi="Arial Narrow"/>
          <w:b/>
          <w:sz w:val="20"/>
        </w:rPr>
        <w:lastRenderedPageBreak/>
        <w:t xml:space="preserve">Table </w:t>
      </w:r>
      <w:r w:rsidR="00086098" w:rsidRPr="00875ED2">
        <w:rPr>
          <w:rFonts w:ascii="Arial Narrow" w:hAnsi="Arial Narrow"/>
          <w:b/>
          <w:sz w:val="20"/>
        </w:rPr>
        <w:fldChar w:fldCharType="begin"/>
      </w:r>
      <w:r w:rsidR="00086098" w:rsidRPr="00875ED2">
        <w:rPr>
          <w:rFonts w:ascii="Arial Narrow" w:hAnsi="Arial Narrow"/>
          <w:b/>
          <w:sz w:val="20"/>
        </w:rPr>
        <w:instrText xml:space="preserve"> SEQ Table \* ARABIC </w:instrText>
      </w:r>
      <w:r w:rsidR="00086098" w:rsidRPr="00875ED2">
        <w:rPr>
          <w:rFonts w:ascii="Arial Narrow" w:hAnsi="Arial Narrow"/>
          <w:b/>
          <w:sz w:val="20"/>
        </w:rPr>
        <w:fldChar w:fldCharType="separate"/>
      </w:r>
      <w:r w:rsidR="00D007E1" w:rsidRPr="00875ED2">
        <w:rPr>
          <w:rFonts w:ascii="Arial Narrow" w:hAnsi="Arial Narrow"/>
          <w:b/>
          <w:sz w:val="20"/>
        </w:rPr>
        <w:t>15</w:t>
      </w:r>
      <w:r w:rsidR="00086098" w:rsidRPr="00875ED2">
        <w:rPr>
          <w:rFonts w:ascii="Arial Narrow" w:hAnsi="Arial Narrow"/>
          <w:b/>
          <w:sz w:val="20"/>
        </w:rPr>
        <w:fldChar w:fldCharType="end"/>
      </w:r>
      <w:bookmarkEnd w:id="29"/>
      <w:r w:rsidRPr="00875ED2">
        <w:rPr>
          <w:rFonts w:ascii="Arial Narrow" w:hAnsi="Arial Narrow"/>
          <w:b/>
          <w:sz w:val="20"/>
        </w:rPr>
        <w:tab/>
      </w:r>
      <w:bookmarkEnd w:id="30"/>
      <w:bookmarkEnd w:id="31"/>
      <w:bookmarkEnd w:id="32"/>
      <w:r w:rsidRPr="00875ED2">
        <w:rPr>
          <w:rFonts w:ascii="Arial Narrow" w:hAnsi="Arial Narrow"/>
          <w:b/>
          <w:sz w:val="20"/>
        </w:rPr>
        <w:t xml:space="preserve">Estimated cost to the MBS for the listing of closed loop UAS </w:t>
      </w:r>
    </w:p>
    <w:tbl>
      <w:tblPr>
        <w:tblStyle w:val="TableGrid"/>
        <w:tblW w:w="5008" w:type="pct"/>
        <w:tblLook w:val="00A0" w:firstRow="1" w:lastRow="0" w:firstColumn="1" w:lastColumn="0" w:noHBand="0" w:noVBand="0"/>
        <w:tblCaption w:val="Table 14 Estimated cost to the MBS for the listing of closed loop UAS"/>
        <w:tblDescription w:val="This table provides a summay of the estimated cost to the MBS for listing of closed loop UAS."/>
      </w:tblPr>
      <w:tblGrid>
        <w:gridCol w:w="3274"/>
        <w:gridCol w:w="1156"/>
        <w:gridCol w:w="1152"/>
        <w:gridCol w:w="1149"/>
        <w:gridCol w:w="1150"/>
        <w:gridCol w:w="1149"/>
      </w:tblGrid>
      <w:tr w:rsidR="00B36E72" w14:paraId="6C74B9C7" w14:textId="77777777" w:rsidTr="00D4500F">
        <w:trPr>
          <w:trHeight w:val="70"/>
          <w:tblHeader/>
        </w:trPr>
        <w:tc>
          <w:tcPr>
            <w:tcW w:w="1813" w:type="pct"/>
            <w:noWrap/>
          </w:tcPr>
          <w:p w14:paraId="2D5D99DF" w14:textId="77777777" w:rsidR="00B36E72" w:rsidRPr="002D3D4D" w:rsidRDefault="00B36E72" w:rsidP="00B36E72">
            <w:pPr>
              <w:pStyle w:val="Tabletextboldleft"/>
              <w:tabs>
                <w:tab w:val="left" w:pos="204"/>
              </w:tabs>
              <w:spacing w:before="40" w:after="40"/>
            </w:pPr>
          </w:p>
        </w:tc>
        <w:tc>
          <w:tcPr>
            <w:tcW w:w="640" w:type="pct"/>
            <w:noWrap/>
          </w:tcPr>
          <w:p w14:paraId="7AE4CF0F" w14:textId="77777777" w:rsidR="00B36E72" w:rsidRDefault="00B36E72" w:rsidP="00B36E72">
            <w:pPr>
              <w:pStyle w:val="Tabletextbold"/>
              <w:spacing w:before="40" w:after="40"/>
              <w:rPr>
                <w:sz w:val="24"/>
                <w:szCs w:val="24"/>
              </w:rPr>
            </w:pPr>
            <w:r>
              <w:t>Year 1</w:t>
            </w:r>
          </w:p>
        </w:tc>
        <w:tc>
          <w:tcPr>
            <w:tcW w:w="638" w:type="pct"/>
            <w:noWrap/>
          </w:tcPr>
          <w:p w14:paraId="36E8647E" w14:textId="77777777" w:rsidR="00B36E72" w:rsidRDefault="00B36E72" w:rsidP="00B36E72">
            <w:pPr>
              <w:pStyle w:val="Tabletextbold"/>
              <w:spacing w:before="40" w:after="40"/>
              <w:rPr>
                <w:sz w:val="24"/>
                <w:szCs w:val="24"/>
              </w:rPr>
            </w:pPr>
            <w:r>
              <w:t>Year 2</w:t>
            </w:r>
          </w:p>
        </w:tc>
        <w:tc>
          <w:tcPr>
            <w:tcW w:w="636" w:type="pct"/>
            <w:noWrap/>
          </w:tcPr>
          <w:p w14:paraId="0C63FAF0" w14:textId="77777777" w:rsidR="00B36E72" w:rsidRDefault="00B36E72" w:rsidP="00B36E72">
            <w:pPr>
              <w:pStyle w:val="Tabletextbold"/>
              <w:spacing w:before="40" w:after="40"/>
              <w:rPr>
                <w:sz w:val="24"/>
                <w:szCs w:val="24"/>
              </w:rPr>
            </w:pPr>
            <w:r>
              <w:t>Year 3</w:t>
            </w:r>
          </w:p>
        </w:tc>
        <w:tc>
          <w:tcPr>
            <w:tcW w:w="637" w:type="pct"/>
            <w:noWrap/>
          </w:tcPr>
          <w:p w14:paraId="729E6F66" w14:textId="77777777" w:rsidR="00B36E72" w:rsidRDefault="00B36E72" w:rsidP="00B36E72">
            <w:pPr>
              <w:pStyle w:val="Tabletextbold"/>
              <w:spacing w:before="40" w:after="40"/>
              <w:rPr>
                <w:sz w:val="24"/>
                <w:szCs w:val="24"/>
              </w:rPr>
            </w:pPr>
            <w:r>
              <w:t>Year 4</w:t>
            </w:r>
          </w:p>
        </w:tc>
        <w:tc>
          <w:tcPr>
            <w:tcW w:w="636" w:type="pct"/>
            <w:noWrap/>
          </w:tcPr>
          <w:p w14:paraId="43248E52" w14:textId="77777777" w:rsidR="00B36E72" w:rsidRDefault="00B36E72" w:rsidP="00B36E72">
            <w:pPr>
              <w:pStyle w:val="Tabletextbold"/>
              <w:spacing w:before="40" w:after="40"/>
              <w:rPr>
                <w:sz w:val="24"/>
                <w:szCs w:val="24"/>
              </w:rPr>
            </w:pPr>
            <w:r>
              <w:t>Year 5</w:t>
            </w:r>
          </w:p>
        </w:tc>
      </w:tr>
      <w:tr w:rsidR="00B36E72" w:rsidRPr="007819B3" w14:paraId="746B7075" w14:textId="77777777" w:rsidTr="00D4500F">
        <w:trPr>
          <w:trHeight w:val="70"/>
        </w:trPr>
        <w:tc>
          <w:tcPr>
            <w:tcW w:w="1813" w:type="pct"/>
            <w:noWrap/>
          </w:tcPr>
          <w:p w14:paraId="5507E6E7" w14:textId="77777777" w:rsidR="00B36E72" w:rsidRDefault="00B36E72" w:rsidP="00B36E72">
            <w:pPr>
              <w:pStyle w:val="Tabletext0"/>
              <w:tabs>
                <w:tab w:val="left" w:pos="204"/>
              </w:tabs>
            </w:pPr>
            <w:r>
              <w:t>Number of patients/services</w:t>
            </w:r>
          </w:p>
        </w:tc>
        <w:tc>
          <w:tcPr>
            <w:tcW w:w="640" w:type="pct"/>
            <w:noWrap/>
          </w:tcPr>
          <w:p w14:paraId="2B31FD11" w14:textId="77777777" w:rsidR="00B36E72" w:rsidRPr="007819B3" w:rsidRDefault="00B36E72" w:rsidP="00B36E72">
            <w:pPr>
              <w:spacing w:before="40" w:after="40"/>
              <w:jc w:val="center"/>
              <w:rPr>
                <w:rFonts w:ascii="Arial Narrow" w:hAnsi="Arial Narrow"/>
                <w:sz w:val="20"/>
              </w:rPr>
            </w:pPr>
            <w:r w:rsidRPr="007819B3">
              <w:rPr>
                <w:rFonts w:ascii="Arial Narrow" w:hAnsi="Arial Narrow"/>
                <w:sz w:val="20"/>
              </w:rPr>
              <w:t>24</w:t>
            </w:r>
          </w:p>
        </w:tc>
        <w:tc>
          <w:tcPr>
            <w:tcW w:w="638" w:type="pct"/>
            <w:noWrap/>
          </w:tcPr>
          <w:p w14:paraId="37C64427" w14:textId="77777777" w:rsidR="00B36E72" w:rsidRPr="007819B3" w:rsidRDefault="00B36E72" w:rsidP="00B36E72">
            <w:pPr>
              <w:spacing w:before="40" w:after="40"/>
              <w:jc w:val="center"/>
              <w:rPr>
                <w:rFonts w:ascii="Arial Narrow" w:hAnsi="Arial Narrow"/>
                <w:sz w:val="20"/>
              </w:rPr>
            </w:pPr>
            <w:r w:rsidRPr="007819B3">
              <w:rPr>
                <w:rFonts w:ascii="Arial Narrow" w:hAnsi="Arial Narrow"/>
                <w:sz w:val="20"/>
              </w:rPr>
              <w:t>40</w:t>
            </w:r>
          </w:p>
        </w:tc>
        <w:tc>
          <w:tcPr>
            <w:tcW w:w="636" w:type="pct"/>
            <w:noWrap/>
          </w:tcPr>
          <w:p w14:paraId="4C3150E0" w14:textId="77777777" w:rsidR="00B36E72" w:rsidRPr="007819B3" w:rsidRDefault="00B36E72" w:rsidP="00B36E72">
            <w:pPr>
              <w:spacing w:before="40" w:after="40"/>
              <w:jc w:val="center"/>
              <w:rPr>
                <w:rFonts w:ascii="Arial Narrow" w:hAnsi="Arial Narrow"/>
                <w:sz w:val="20"/>
              </w:rPr>
            </w:pPr>
            <w:r w:rsidRPr="007819B3">
              <w:rPr>
                <w:rFonts w:ascii="Arial Narrow" w:hAnsi="Arial Narrow"/>
                <w:sz w:val="20"/>
              </w:rPr>
              <w:t>56</w:t>
            </w:r>
          </w:p>
        </w:tc>
        <w:tc>
          <w:tcPr>
            <w:tcW w:w="637" w:type="pct"/>
            <w:noWrap/>
          </w:tcPr>
          <w:p w14:paraId="1AF890DF" w14:textId="77777777" w:rsidR="00B36E72" w:rsidRPr="007819B3" w:rsidRDefault="00B36E72" w:rsidP="00B36E72">
            <w:pPr>
              <w:spacing w:before="40" w:after="40"/>
              <w:jc w:val="center"/>
              <w:rPr>
                <w:rFonts w:ascii="Arial Narrow" w:hAnsi="Arial Narrow"/>
                <w:sz w:val="20"/>
              </w:rPr>
            </w:pPr>
            <w:r w:rsidRPr="007819B3">
              <w:rPr>
                <w:rFonts w:ascii="Arial Narrow" w:hAnsi="Arial Narrow"/>
                <w:sz w:val="20"/>
              </w:rPr>
              <w:t>100</w:t>
            </w:r>
          </w:p>
        </w:tc>
        <w:tc>
          <w:tcPr>
            <w:tcW w:w="636" w:type="pct"/>
            <w:noWrap/>
          </w:tcPr>
          <w:p w14:paraId="4CDA7947" w14:textId="77777777" w:rsidR="00B36E72" w:rsidRPr="007819B3" w:rsidRDefault="00B36E72" w:rsidP="00B36E72">
            <w:pPr>
              <w:spacing w:before="40" w:after="40"/>
              <w:jc w:val="center"/>
              <w:rPr>
                <w:rFonts w:ascii="Arial Narrow" w:hAnsi="Arial Narrow"/>
                <w:sz w:val="20"/>
              </w:rPr>
            </w:pPr>
            <w:r w:rsidRPr="007819B3">
              <w:rPr>
                <w:rFonts w:ascii="Arial Narrow" w:hAnsi="Arial Narrow"/>
                <w:sz w:val="20"/>
              </w:rPr>
              <w:t>150</w:t>
            </w:r>
          </w:p>
        </w:tc>
      </w:tr>
      <w:tr w:rsidR="00B36E72" w:rsidRPr="005B5219" w14:paraId="19C03ED6" w14:textId="77777777" w:rsidTr="00D4500F">
        <w:trPr>
          <w:trHeight w:val="70"/>
        </w:trPr>
        <w:tc>
          <w:tcPr>
            <w:tcW w:w="1813" w:type="pct"/>
            <w:noWrap/>
          </w:tcPr>
          <w:p w14:paraId="58C62646" w14:textId="77777777" w:rsidR="00B36E72" w:rsidRPr="005B5219" w:rsidRDefault="00B36E72" w:rsidP="00B36E72">
            <w:pPr>
              <w:pStyle w:val="Tabletext0"/>
              <w:tabs>
                <w:tab w:val="left" w:pos="204"/>
              </w:tabs>
            </w:pPr>
            <w:r w:rsidRPr="005B5219">
              <w:rPr>
                <w:color w:val="000000"/>
              </w:rPr>
              <w:t xml:space="preserve">Total MBS </w:t>
            </w:r>
            <w:r>
              <w:rPr>
                <w:color w:val="000000"/>
              </w:rPr>
              <w:t>c</w:t>
            </w:r>
            <w:r w:rsidRPr="005B5219">
              <w:rPr>
                <w:color w:val="000000"/>
              </w:rPr>
              <w:t>ost</w:t>
            </w:r>
          </w:p>
        </w:tc>
        <w:tc>
          <w:tcPr>
            <w:tcW w:w="640" w:type="pct"/>
            <w:noWrap/>
          </w:tcPr>
          <w:p w14:paraId="44B72951" w14:textId="77777777" w:rsidR="00B36E72" w:rsidRPr="005B5219" w:rsidRDefault="00B36E72" w:rsidP="00B36E72">
            <w:pPr>
              <w:spacing w:before="40" w:after="40"/>
              <w:jc w:val="center"/>
              <w:rPr>
                <w:rFonts w:ascii="Arial Narrow" w:hAnsi="Arial Narrow"/>
                <w:sz w:val="20"/>
              </w:rPr>
            </w:pPr>
            <w:r w:rsidRPr="005B5219">
              <w:rPr>
                <w:rFonts w:ascii="Arial Narrow" w:hAnsi="Arial Narrow"/>
                <w:sz w:val="20"/>
              </w:rPr>
              <w:t>$30,386</w:t>
            </w:r>
          </w:p>
        </w:tc>
        <w:tc>
          <w:tcPr>
            <w:tcW w:w="638" w:type="pct"/>
            <w:noWrap/>
          </w:tcPr>
          <w:p w14:paraId="41B8D2C1" w14:textId="77777777" w:rsidR="00B36E72" w:rsidRPr="005B5219" w:rsidRDefault="00B36E72" w:rsidP="00B36E72">
            <w:pPr>
              <w:spacing w:before="40" w:after="40"/>
              <w:jc w:val="center"/>
              <w:rPr>
                <w:rFonts w:ascii="Arial Narrow" w:hAnsi="Arial Narrow"/>
                <w:sz w:val="20"/>
              </w:rPr>
            </w:pPr>
            <w:r w:rsidRPr="005B5219">
              <w:rPr>
                <w:rFonts w:ascii="Arial Narrow" w:hAnsi="Arial Narrow"/>
                <w:sz w:val="20"/>
              </w:rPr>
              <w:t>$52,454</w:t>
            </w:r>
          </w:p>
        </w:tc>
        <w:tc>
          <w:tcPr>
            <w:tcW w:w="636" w:type="pct"/>
            <w:noWrap/>
          </w:tcPr>
          <w:p w14:paraId="6A7A1725" w14:textId="77777777" w:rsidR="00B36E72" w:rsidRPr="005B5219" w:rsidRDefault="00B36E72" w:rsidP="00B36E72">
            <w:pPr>
              <w:spacing w:before="40" w:after="40"/>
              <w:jc w:val="center"/>
              <w:rPr>
                <w:rFonts w:ascii="Arial Narrow" w:hAnsi="Arial Narrow"/>
                <w:sz w:val="20"/>
              </w:rPr>
            </w:pPr>
            <w:r w:rsidRPr="005B5219">
              <w:rPr>
                <w:rFonts w:ascii="Arial Narrow" w:hAnsi="Arial Narrow"/>
                <w:sz w:val="20"/>
              </w:rPr>
              <w:t>$75,727</w:t>
            </w:r>
          </w:p>
        </w:tc>
        <w:tc>
          <w:tcPr>
            <w:tcW w:w="637" w:type="pct"/>
            <w:noWrap/>
          </w:tcPr>
          <w:p w14:paraId="68D6C8E5" w14:textId="77777777" w:rsidR="00B36E72" w:rsidRPr="005B5219" w:rsidRDefault="00B36E72" w:rsidP="00B36E72">
            <w:pPr>
              <w:spacing w:before="40" w:after="40"/>
              <w:jc w:val="center"/>
              <w:rPr>
                <w:rFonts w:ascii="Arial Narrow" w:hAnsi="Arial Narrow"/>
                <w:sz w:val="20"/>
              </w:rPr>
            </w:pPr>
            <w:r w:rsidRPr="005B5219">
              <w:rPr>
                <w:rFonts w:ascii="Arial Narrow" w:hAnsi="Arial Narrow"/>
                <w:sz w:val="20"/>
              </w:rPr>
              <w:t>$135,658</w:t>
            </w:r>
          </w:p>
        </w:tc>
        <w:tc>
          <w:tcPr>
            <w:tcW w:w="636" w:type="pct"/>
            <w:noWrap/>
          </w:tcPr>
          <w:p w14:paraId="12E5ECF5" w14:textId="77777777" w:rsidR="00B36E72" w:rsidRPr="005B5219" w:rsidRDefault="00B36E72" w:rsidP="00B36E72">
            <w:pPr>
              <w:spacing w:before="40" w:after="40"/>
              <w:jc w:val="center"/>
              <w:rPr>
                <w:rFonts w:ascii="Arial Narrow" w:hAnsi="Arial Narrow"/>
                <w:sz w:val="20"/>
              </w:rPr>
            </w:pPr>
            <w:r w:rsidRPr="005B5219">
              <w:rPr>
                <w:rFonts w:ascii="Arial Narrow" w:hAnsi="Arial Narrow"/>
                <w:sz w:val="20"/>
              </w:rPr>
              <w:t>$206,503</w:t>
            </w:r>
          </w:p>
        </w:tc>
      </w:tr>
      <w:tr w:rsidR="00B36E72" w:rsidRPr="007819B3" w14:paraId="0B3E6131" w14:textId="77777777" w:rsidTr="00D4500F">
        <w:trPr>
          <w:trHeight w:val="70"/>
        </w:trPr>
        <w:tc>
          <w:tcPr>
            <w:tcW w:w="1813" w:type="pct"/>
            <w:noWrap/>
          </w:tcPr>
          <w:p w14:paraId="7F374452" w14:textId="77777777" w:rsidR="00B36E72" w:rsidRDefault="00B36E72" w:rsidP="00B36E72">
            <w:pPr>
              <w:pStyle w:val="Tabletext0"/>
              <w:tabs>
                <w:tab w:val="left" w:pos="204"/>
              </w:tabs>
            </w:pPr>
            <w:r>
              <w:t>Substituted MBS services</w:t>
            </w:r>
          </w:p>
        </w:tc>
        <w:tc>
          <w:tcPr>
            <w:tcW w:w="640" w:type="pct"/>
            <w:noWrap/>
          </w:tcPr>
          <w:p w14:paraId="064500EB" w14:textId="77777777" w:rsidR="00B36E72" w:rsidRPr="007819B3" w:rsidRDefault="00B36E72" w:rsidP="00B36E72">
            <w:pPr>
              <w:spacing w:before="40" w:after="40"/>
              <w:jc w:val="center"/>
              <w:rPr>
                <w:rFonts w:ascii="Arial Narrow" w:hAnsi="Arial Narrow"/>
                <w:sz w:val="20"/>
              </w:rPr>
            </w:pPr>
          </w:p>
        </w:tc>
        <w:tc>
          <w:tcPr>
            <w:tcW w:w="638" w:type="pct"/>
            <w:noWrap/>
          </w:tcPr>
          <w:p w14:paraId="2040E60E" w14:textId="77777777" w:rsidR="00B36E72" w:rsidRPr="007819B3" w:rsidRDefault="00B36E72" w:rsidP="00B36E72">
            <w:pPr>
              <w:spacing w:before="40" w:after="40"/>
              <w:jc w:val="center"/>
              <w:rPr>
                <w:rFonts w:ascii="Arial Narrow" w:hAnsi="Arial Narrow"/>
                <w:sz w:val="20"/>
              </w:rPr>
            </w:pPr>
          </w:p>
        </w:tc>
        <w:tc>
          <w:tcPr>
            <w:tcW w:w="636" w:type="pct"/>
            <w:noWrap/>
          </w:tcPr>
          <w:p w14:paraId="74C660C7" w14:textId="77777777" w:rsidR="00B36E72" w:rsidRPr="007819B3" w:rsidRDefault="00B36E72" w:rsidP="00B36E72">
            <w:pPr>
              <w:spacing w:before="40" w:after="40"/>
              <w:jc w:val="center"/>
              <w:rPr>
                <w:rFonts w:ascii="Arial Narrow" w:hAnsi="Arial Narrow"/>
                <w:sz w:val="20"/>
              </w:rPr>
            </w:pPr>
          </w:p>
        </w:tc>
        <w:tc>
          <w:tcPr>
            <w:tcW w:w="637" w:type="pct"/>
            <w:noWrap/>
          </w:tcPr>
          <w:p w14:paraId="797BAD3F" w14:textId="77777777" w:rsidR="00B36E72" w:rsidRPr="007819B3" w:rsidRDefault="00B36E72" w:rsidP="00B36E72">
            <w:pPr>
              <w:spacing w:before="40" w:after="40"/>
              <w:jc w:val="center"/>
              <w:rPr>
                <w:rFonts w:ascii="Arial Narrow" w:hAnsi="Arial Narrow"/>
                <w:sz w:val="20"/>
              </w:rPr>
            </w:pPr>
          </w:p>
        </w:tc>
        <w:tc>
          <w:tcPr>
            <w:tcW w:w="636" w:type="pct"/>
            <w:noWrap/>
          </w:tcPr>
          <w:p w14:paraId="18B24CF0" w14:textId="77777777" w:rsidR="00B36E72" w:rsidRPr="007819B3" w:rsidRDefault="00B36E72" w:rsidP="00B36E72">
            <w:pPr>
              <w:spacing w:before="40" w:after="40"/>
              <w:jc w:val="center"/>
              <w:rPr>
                <w:rFonts w:ascii="Arial Narrow" w:hAnsi="Arial Narrow"/>
                <w:sz w:val="20"/>
              </w:rPr>
            </w:pPr>
          </w:p>
        </w:tc>
      </w:tr>
      <w:tr w:rsidR="00B36E72" w:rsidRPr="007819B3" w14:paraId="3BB53948" w14:textId="77777777" w:rsidTr="00D4500F">
        <w:trPr>
          <w:trHeight w:val="70"/>
        </w:trPr>
        <w:tc>
          <w:tcPr>
            <w:tcW w:w="1813" w:type="pct"/>
            <w:noWrap/>
          </w:tcPr>
          <w:p w14:paraId="73234BA5" w14:textId="77777777" w:rsidR="00B36E72" w:rsidRDefault="00B36E72" w:rsidP="00B36E72">
            <w:pPr>
              <w:pStyle w:val="Tabletext0"/>
              <w:tabs>
                <w:tab w:val="left" w:pos="204"/>
              </w:tabs>
            </w:pPr>
            <w:r>
              <w:tab/>
              <w:t>UPPP MBS costs</w:t>
            </w:r>
          </w:p>
        </w:tc>
        <w:tc>
          <w:tcPr>
            <w:tcW w:w="640" w:type="pct"/>
            <w:noWrap/>
          </w:tcPr>
          <w:p w14:paraId="2C19F7A6" w14:textId="77777777" w:rsidR="00B36E72" w:rsidRDefault="00B36E72" w:rsidP="00B36E72">
            <w:pPr>
              <w:spacing w:before="40" w:after="40"/>
              <w:jc w:val="center"/>
              <w:rPr>
                <w:rFonts w:ascii="Arial Narrow" w:hAnsi="Arial Narrow"/>
                <w:sz w:val="20"/>
              </w:rPr>
            </w:pPr>
            <w:r>
              <w:rPr>
                <w:rFonts w:ascii="Arial Narrow" w:hAnsi="Arial Narrow"/>
                <w:sz w:val="20"/>
              </w:rPr>
              <w:t>-$5,524</w:t>
            </w:r>
          </w:p>
        </w:tc>
        <w:tc>
          <w:tcPr>
            <w:tcW w:w="638" w:type="pct"/>
            <w:noWrap/>
          </w:tcPr>
          <w:p w14:paraId="7B3E54C5" w14:textId="77777777" w:rsidR="00B36E72" w:rsidRDefault="00B36E72" w:rsidP="00B36E72">
            <w:pPr>
              <w:spacing w:before="40" w:after="40"/>
              <w:jc w:val="center"/>
              <w:rPr>
                <w:rFonts w:ascii="Arial Narrow" w:hAnsi="Arial Narrow"/>
                <w:sz w:val="20"/>
              </w:rPr>
            </w:pPr>
            <w:r>
              <w:rPr>
                <w:rFonts w:ascii="Arial Narrow" w:hAnsi="Arial Narrow"/>
                <w:sz w:val="20"/>
              </w:rPr>
              <w:t>-$9,453</w:t>
            </w:r>
          </w:p>
        </w:tc>
        <w:tc>
          <w:tcPr>
            <w:tcW w:w="636" w:type="pct"/>
            <w:noWrap/>
          </w:tcPr>
          <w:p w14:paraId="214715FC" w14:textId="77777777" w:rsidR="00B36E72" w:rsidRDefault="00B36E72" w:rsidP="00B36E72">
            <w:pPr>
              <w:spacing w:before="40" w:after="40"/>
              <w:jc w:val="center"/>
              <w:rPr>
                <w:rFonts w:ascii="Arial Narrow" w:hAnsi="Arial Narrow"/>
                <w:sz w:val="20"/>
              </w:rPr>
            </w:pPr>
            <w:r>
              <w:rPr>
                <w:rFonts w:ascii="Arial Narrow" w:hAnsi="Arial Narrow"/>
                <w:sz w:val="20"/>
              </w:rPr>
              <w:t>-$13,392</w:t>
            </w:r>
          </w:p>
        </w:tc>
        <w:tc>
          <w:tcPr>
            <w:tcW w:w="637" w:type="pct"/>
            <w:noWrap/>
          </w:tcPr>
          <w:p w14:paraId="3F23274F" w14:textId="77777777" w:rsidR="00B36E72" w:rsidRDefault="00B36E72" w:rsidP="00B36E72">
            <w:pPr>
              <w:spacing w:before="40" w:after="40"/>
              <w:jc w:val="center"/>
              <w:rPr>
                <w:rFonts w:ascii="Arial Narrow" w:hAnsi="Arial Narrow"/>
                <w:sz w:val="20"/>
              </w:rPr>
            </w:pPr>
            <w:r>
              <w:rPr>
                <w:rFonts w:ascii="Arial Narrow" w:hAnsi="Arial Narrow"/>
                <w:sz w:val="20"/>
              </w:rPr>
              <w:t>-$23,633</w:t>
            </w:r>
          </w:p>
        </w:tc>
        <w:tc>
          <w:tcPr>
            <w:tcW w:w="636" w:type="pct"/>
            <w:noWrap/>
          </w:tcPr>
          <w:p w14:paraId="42A7D578" w14:textId="77777777" w:rsidR="00B36E72" w:rsidRDefault="00B36E72" w:rsidP="00B36E72">
            <w:pPr>
              <w:spacing w:before="40" w:after="40"/>
              <w:jc w:val="center"/>
              <w:rPr>
                <w:rFonts w:ascii="Arial Narrow" w:hAnsi="Arial Narrow"/>
                <w:sz w:val="20"/>
              </w:rPr>
            </w:pPr>
            <w:r>
              <w:rPr>
                <w:rFonts w:ascii="Arial Narrow" w:hAnsi="Arial Narrow"/>
                <w:sz w:val="20"/>
              </w:rPr>
              <w:t>-$36,449</w:t>
            </w:r>
          </w:p>
        </w:tc>
      </w:tr>
      <w:tr w:rsidR="00B36E72" w:rsidRPr="007819B3" w14:paraId="4E6D9097" w14:textId="77777777" w:rsidTr="00D4500F">
        <w:trPr>
          <w:trHeight w:val="70"/>
        </w:trPr>
        <w:tc>
          <w:tcPr>
            <w:tcW w:w="1813" w:type="pct"/>
            <w:noWrap/>
          </w:tcPr>
          <w:p w14:paraId="32634D15" w14:textId="77777777" w:rsidR="00B36E72" w:rsidRDefault="00B36E72" w:rsidP="00B36E72">
            <w:pPr>
              <w:pStyle w:val="Tabletext0"/>
              <w:tabs>
                <w:tab w:val="left" w:pos="204"/>
              </w:tabs>
            </w:pPr>
            <w:r>
              <w:tab/>
              <w:t>Specialist visits MBS costs</w:t>
            </w:r>
          </w:p>
        </w:tc>
        <w:tc>
          <w:tcPr>
            <w:tcW w:w="640" w:type="pct"/>
            <w:noWrap/>
          </w:tcPr>
          <w:p w14:paraId="2690F4E0" w14:textId="77777777" w:rsidR="00B36E72" w:rsidRDefault="00B36E72" w:rsidP="00B36E72">
            <w:pPr>
              <w:spacing w:before="40" w:after="40"/>
              <w:jc w:val="center"/>
              <w:rPr>
                <w:rFonts w:ascii="Arial Narrow" w:hAnsi="Arial Narrow"/>
                <w:sz w:val="20"/>
              </w:rPr>
            </w:pPr>
            <w:r>
              <w:rPr>
                <w:rFonts w:ascii="Arial Narrow" w:hAnsi="Arial Narrow"/>
                <w:sz w:val="20"/>
              </w:rPr>
              <w:t>-$1,810</w:t>
            </w:r>
          </w:p>
        </w:tc>
        <w:tc>
          <w:tcPr>
            <w:tcW w:w="638" w:type="pct"/>
            <w:noWrap/>
          </w:tcPr>
          <w:p w14:paraId="220EEB7A" w14:textId="77777777" w:rsidR="00B36E72" w:rsidRDefault="00B36E72" w:rsidP="00B36E72">
            <w:pPr>
              <w:spacing w:before="40" w:after="40"/>
              <w:jc w:val="center"/>
              <w:rPr>
                <w:rFonts w:ascii="Arial Narrow" w:hAnsi="Arial Narrow"/>
                <w:sz w:val="20"/>
              </w:rPr>
            </w:pPr>
            <w:r>
              <w:rPr>
                <w:rFonts w:ascii="Arial Narrow" w:hAnsi="Arial Narrow"/>
                <w:sz w:val="20"/>
              </w:rPr>
              <w:t>-$3,016</w:t>
            </w:r>
          </w:p>
        </w:tc>
        <w:tc>
          <w:tcPr>
            <w:tcW w:w="636" w:type="pct"/>
            <w:noWrap/>
          </w:tcPr>
          <w:p w14:paraId="316C6058" w14:textId="77777777" w:rsidR="00B36E72" w:rsidRDefault="00B36E72" w:rsidP="00B36E72">
            <w:pPr>
              <w:spacing w:before="40" w:after="40"/>
              <w:jc w:val="center"/>
              <w:rPr>
                <w:rFonts w:ascii="Arial Narrow" w:hAnsi="Arial Narrow"/>
                <w:sz w:val="20"/>
              </w:rPr>
            </w:pPr>
            <w:r>
              <w:rPr>
                <w:rFonts w:ascii="Arial Narrow" w:hAnsi="Arial Narrow"/>
                <w:sz w:val="20"/>
              </w:rPr>
              <w:t>-$4,222</w:t>
            </w:r>
          </w:p>
        </w:tc>
        <w:tc>
          <w:tcPr>
            <w:tcW w:w="637" w:type="pct"/>
            <w:noWrap/>
          </w:tcPr>
          <w:p w14:paraId="25B8CC37" w14:textId="77777777" w:rsidR="00B36E72" w:rsidRDefault="00B36E72" w:rsidP="00B36E72">
            <w:pPr>
              <w:spacing w:before="40" w:after="40"/>
              <w:jc w:val="center"/>
              <w:rPr>
                <w:rFonts w:ascii="Arial Narrow" w:hAnsi="Arial Narrow"/>
                <w:sz w:val="20"/>
              </w:rPr>
            </w:pPr>
            <w:r>
              <w:rPr>
                <w:rFonts w:ascii="Arial Narrow" w:hAnsi="Arial Narrow"/>
                <w:sz w:val="20"/>
              </w:rPr>
              <w:t>-$16,588</w:t>
            </w:r>
          </w:p>
        </w:tc>
        <w:tc>
          <w:tcPr>
            <w:tcW w:w="636" w:type="pct"/>
            <w:noWrap/>
          </w:tcPr>
          <w:p w14:paraId="3D7F0EF5" w14:textId="77777777" w:rsidR="00B36E72" w:rsidRDefault="00B36E72" w:rsidP="00B36E72">
            <w:pPr>
              <w:spacing w:before="40" w:after="40"/>
              <w:jc w:val="center"/>
              <w:rPr>
                <w:rFonts w:ascii="Arial Narrow" w:hAnsi="Arial Narrow"/>
                <w:sz w:val="20"/>
              </w:rPr>
            </w:pPr>
            <w:r>
              <w:rPr>
                <w:rFonts w:ascii="Arial Narrow" w:hAnsi="Arial Narrow"/>
                <w:sz w:val="20"/>
              </w:rPr>
              <w:t>-$27,898</w:t>
            </w:r>
          </w:p>
        </w:tc>
      </w:tr>
      <w:tr w:rsidR="00B36E72" w:rsidRPr="007819B3" w14:paraId="0E3BE6F7" w14:textId="77777777" w:rsidTr="00D4500F">
        <w:trPr>
          <w:trHeight w:val="70"/>
        </w:trPr>
        <w:tc>
          <w:tcPr>
            <w:tcW w:w="1813" w:type="pct"/>
            <w:noWrap/>
          </w:tcPr>
          <w:p w14:paraId="5C50C48D" w14:textId="77777777" w:rsidR="00B36E72" w:rsidRDefault="00B36E72" w:rsidP="00B36E72">
            <w:pPr>
              <w:pStyle w:val="Tabletext0"/>
              <w:tabs>
                <w:tab w:val="left" w:pos="204"/>
              </w:tabs>
            </w:pPr>
            <w:r>
              <w:t>Total substituted MBS services</w:t>
            </w:r>
          </w:p>
        </w:tc>
        <w:tc>
          <w:tcPr>
            <w:tcW w:w="640" w:type="pct"/>
            <w:noWrap/>
          </w:tcPr>
          <w:p w14:paraId="21912AF1" w14:textId="77777777" w:rsidR="00B36E72" w:rsidRDefault="00B36E72" w:rsidP="00B36E72">
            <w:pPr>
              <w:spacing w:before="40" w:after="40"/>
              <w:jc w:val="center"/>
              <w:rPr>
                <w:rFonts w:ascii="Arial Narrow" w:hAnsi="Arial Narrow"/>
                <w:sz w:val="20"/>
              </w:rPr>
            </w:pPr>
            <w:r>
              <w:rPr>
                <w:rFonts w:ascii="Arial Narrow" w:hAnsi="Arial Narrow"/>
                <w:sz w:val="20"/>
              </w:rPr>
              <w:t>-</w:t>
            </w:r>
            <w:r w:rsidRPr="007619CF">
              <w:rPr>
                <w:rFonts w:ascii="Arial Narrow" w:hAnsi="Arial Narrow"/>
                <w:sz w:val="20"/>
              </w:rPr>
              <w:t>$7,324</w:t>
            </w:r>
          </w:p>
        </w:tc>
        <w:tc>
          <w:tcPr>
            <w:tcW w:w="638" w:type="pct"/>
            <w:noWrap/>
          </w:tcPr>
          <w:p w14:paraId="59293199" w14:textId="77777777" w:rsidR="00B36E72" w:rsidRDefault="00B36E72" w:rsidP="00B36E72">
            <w:pPr>
              <w:spacing w:before="40" w:after="40"/>
              <w:jc w:val="center"/>
              <w:rPr>
                <w:rFonts w:ascii="Arial Narrow" w:hAnsi="Arial Narrow"/>
                <w:sz w:val="20"/>
              </w:rPr>
            </w:pPr>
            <w:r>
              <w:rPr>
                <w:rFonts w:ascii="Arial Narrow" w:hAnsi="Arial Narrow"/>
                <w:sz w:val="20"/>
              </w:rPr>
              <w:t>-</w:t>
            </w:r>
            <w:r w:rsidRPr="007619CF">
              <w:rPr>
                <w:rFonts w:ascii="Arial Narrow" w:hAnsi="Arial Narrow"/>
                <w:sz w:val="20"/>
              </w:rPr>
              <w:t>$12,469</w:t>
            </w:r>
          </w:p>
        </w:tc>
        <w:tc>
          <w:tcPr>
            <w:tcW w:w="636" w:type="pct"/>
            <w:noWrap/>
          </w:tcPr>
          <w:p w14:paraId="1C609074" w14:textId="77777777" w:rsidR="00B36E72" w:rsidRDefault="00B36E72" w:rsidP="00B36E72">
            <w:pPr>
              <w:spacing w:before="40" w:after="40"/>
              <w:jc w:val="center"/>
              <w:rPr>
                <w:rFonts w:ascii="Arial Narrow" w:hAnsi="Arial Narrow"/>
                <w:sz w:val="20"/>
              </w:rPr>
            </w:pPr>
            <w:r>
              <w:rPr>
                <w:rFonts w:ascii="Arial Narrow" w:hAnsi="Arial Narrow"/>
                <w:sz w:val="20"/>
              </w:rPr>
              <w:t>-</w:t>
            </w:r>
            <w:r w:rsidRPr="007619CF">
              <w:rPr>
                <w:rFonts w:ascii="Arial Narrow" w:hAnsi="Arial Narrow"/>
                <w:sz w:val="20"/>
              </w:rPr>
              <w:t>$17,614</w:t>
            </w:r>
          </w:p>
        </w:tc>
        <w:tc>
          <w:tcPr>
            <w:tcW w:w="637" w:type="pct"/>
            <w:noWrap/>
          </w:tcPr>
          <w:p w14:paraId="3F926BC3" w14:textId="77777777" w:rsidR="00B36E72" w:rsidRDefault="00B36E72" w:rsidP="00B36E72">
            <w:pPr>
              <w:spacing w:before="40" w:after="40"/>
              <w:jc w:val="center"/>
              <w:rPr>
                <w:rFonts w:ascii="Arial Narrow" w:hAnsi="Arial Narrow"/>
                <w:sz w:val="20"/>
              </w:rPr>
            </w:pPr>
            <w:r>
              <w:rPr>
                <w:rFonts w:ascii="Arial Narrow" w:hAnsi="Arial Narrow"/>
                <w:sz w:val="20"/>
              </w:rPr>
              <w:t>-</w:t>
            </w:r>
            <w:r w:rsidRPr="007619CF">
              <w:rPr>
                <w:rFonts w:ascii="Arial Narrow" w:hAnsi="Arial Narrow"/>
                <w:sz w:val="20"/>
              </w:rPr>
              <w:t>$31,173</w:t>
            </w:r>
          </w:p>
        </w:tc>
        <w:tc>
          <w:tcPr>
            <w:tcW w:w="636" w:type="pct"/>
            <w:noWrap/>
          </w:tcPr>
          <w:p w14:paraId="6F3CE577" w14:textId="77777777" w:rsidR="00B36E72" w:rsidRDefault="00B36E72" w:rsidP="00B36E72">
            <w:pPr>
              <w:spacing w:before="40" w:after="40"/>
              <w:jc w:val="center"/>
              <w:rPr>
                <w:rFonts w:ascii="Arial Narrow" w:hAnsi="Arial Narrow"/>
                <w:sz w:val="20"/>
              </w:rPr>
            </w:pPr>
            <w:r>
              <w:rPr>
                <w:rFonts w:ascii="Arial Narrow" w:hAnsi="Arial Narrow"/>
                <w:sz w:val="20"/>
              </w:rPr>
              <w:t>-</w:t>
            </w:r>
            <w:r w:rsidRPr="007619CF">
              <w:rPr>
                <w:rFonts w:ascii="Arial Narrow" w:hAnsi="Arial Narrow"/>
                <w:sz w:val="20"/>
              </w:rPr>
              <w:t>$46,759</w:t>
            </w:r>
          </w:p>
        </w:tc>
      </w:tr>
      <w:tr w:rsidR="00B36E72" w:rsidRPr="005B5219" w14:paraId="5EB8E1E8" w14:textId="77777777" w:rsidTr="00D4500F">
        <w:trPr>
          <w:trHeight w:val="70"/>
        </w:trPr>
        <w:tc>
          <w:tcPr>
            <w:tcW w:w="1813" w:type="pct"/>
            <w:noWrap/>
          </w:tcPr>
          <w:p w14:paraId="2B185864" w14:textId="77777777" w:rsidR="00B36E72" w:rsidRPr="005B5219" w:rsidRDefault="00B36E72" w:rsidP="00B36E72">
            <w:pPr>
              <w:pStyle w:val="Tabletext0"/>
              <w:tabs>
                <w:tab w:val="left" w:pos="204"/>
              </w:tabs>
              <w:rPr>
                <w:b/>
                <w:bCs/>
              </w:rPr>
            </w:pPr>
            <w:r w:rsidRPr="005B5219">
              <w:rPr>
                <w:b/>
                <w:bCs/>
              </w:rPr>
              <w:t>Net MBS cost</w:t>
            </w:r>
          </w:p>
        </w:tc>
        <w:tc>
          <w:tcPr>
            <w:tcW w:w="640" w:type="pct"/>
            <w:noWrap/>
          </w:tcPr>
          <w:p w14:paraId="6003B2D1" w14:textId="77777777" w:rsidR="00B36E72" w:rsidRPr="005B5219" w:rsidRDefault="00B36E72" w:rsidP="00B36E72">
            <w:pPr>
              <w:spacing w:before="40" w:after="40"/>
              <w:jc w:val="center"/>
              <w:rPr>
                <w:rFonts w:ascii="Arial Narrow" w:hAnsi="Arial Narrow"/>
                <w:b/>
                <w:bCs/>
                <w:sz w:val="20"/>
              </w:rPr>
            </w:pPr>
            <w:r w:rsidRPr="005B5219">
              <w:rPr>
                <w:rFonts w:ascii="Arial Narrow" w:hAnsi="Arial Narrow"/>
                <w:b/>
                <w:bCs/>
                <w:sz w:val="20"/>
              </w:rPr>
              <w:t>$23,063</w:t>
            </w:r>
          </w:p>
        </w:tc>
        <w:tc>
          <w:tcPr>
            <w:tcW w:w="638" w:type="pct"/>
            <w:noWrap/>
          </w:tcPr>
          <w:p w14:paraId="08EFE880" w14:textId="77777777" w:rsidR="00B36E72" w:rsidRPr="005B5219" w:rsidRDefault="00B36E72" w:rsidP="00B36E72">
            <w:pPr>
              <w:spacing w:before="40" w:after="40"/>
              <w:jc w:val="center"/>
              <w:rPr>
                <w:rFonts w:ascii="Arial Narrow" w:hAnsi="Arial Narrow"/>
                <w:b/>
                <w:bCs/>
                <w:sz w:val="20"/>
              </w:rPr>
            </w:pPr>
            <w:r w:rsidRPr="005B5219">
              <w:rPr>
                <w:rFonts w:ascii="Arial Narrow" w:hAnsi="Arial Narrow"/>
                <w:b/>
                <w:bCs/>
                <w:sz w:val="20"/>
              </w:rPr>
              <w:t>$39,985</w:t>
            </w:r>
          </w:p>
        </w:tc>
        <w:tc>
          <w:tcPr>
            <w:tcW w:w="636" w:type="pct"/>
            <w:noWrap/>
          </w:tcPr>
          <w:p w14:paraId="76B7318A" w14:textId="77777777" w:rsidR="00B36E72" w:rsidRPr="005B5219" w:rsidRDefault="00B36E72" w:rsidP="00B36E72">
            <w:pPr>
              <w:spacing w:before="40" w:after="40"/>
              <w:jc w:val="center"/>
              <w:rPr>
                <w:rFonts w:ascii="Arial Narrow" w:hAnsi="Arial Narrow"/>
                <w:b/>
                <w:bCs/>
                <w:sz w:val="20"/>
              </w:rPr>
            </w:pPr>
            <w:r w:rsidRPr="005B5219">
              <w:rPr>
                <w:rFonts w:ascii="Arial Narrow" w:hAnsi="Arial Narrow"/>
                <w:b/>
                <w:bCs/>
                <w:sz w:val="20"/>
              </w:rPr>
              <w:t>$58,113</w:t>
            </w:r>
          </w:p>
        </w:tc>
        <w:tc>
          <w:tcPr>
            <w:tcW w:w="637" w:type="pct"/>
            <w:noWrap/>
          </w:tcPr>
          <w:p w14:paraId="6CF4806E" w14:textId="77777777" w:rsidR="00B36E72" w:rsidRPr="005B5219" w:rsidRDefault="00B36E72" w:rsidP="00B36E72">
            <w:pPr>
              <w:spacing w:before="40" w:after="40"/>
              <w:jc w:val="center"/>
              <w:rPr>
                <w:rFonts w:ascii="Arial Narrow" w:hAnsi="Arial Narrow"/>
                <w:b/>
                <w:bCs/>
                <w:sz w:val="20"/>
              </w:rPr>
            </w:pPr>
            <w:r w:rsidRPr="005B5219">
              <w:rPr>
                <w:rFonts w:ascii="Arial Narrow" w:hAnsi="Arial Narrow"/>
                <w:b/>
                <w:bCs/>
                <w:sz w:val="20"/>
              </w:rPr>
              <w:t>$104,486</w:t>
            </w:r>
          </w:p>
        </w:tc>
        <w:tc>
          <w:tcPr>
            <w:tcW w:w="636" w:type="pct"/>
            <w:noWrap/>
          </w:tcPr>
          <w:p w14:paraId="7AEFDB31" w14:textId="77777777" w:rsidR="00B36E72" w:rsidRPr="005B5219" w:rsidRDefault="00B36E72" w:rsidP="00B36E72">
            <w:pPr>
              <w:spacing w:before="40" w:after="40"/>
              <w:jc w:val="center"/>
              <w:rPr>
                <w:rFonts w:ascii="Arial Narrow" w:hAnsi="Arial Narrow"/>
                <w:b/>
                <w:bCs/>
                <w:sz w:val="20"/>
              </w:rPr>
            </w:pPr>
            <w:r w:rsidRPr="005B5219">
              <w:rPr>
                <w:rFonts w:ascii="Arial Narrow" w:hAnsi="Arial Narrow"/>
                <w:b/>
                <w:bCs/>
                <w:sz w:val="20"/>
              </w:rPr>
              <w:t>$159,745</w:t>
            </w:r>
          </w:p>
        </w:tc>
      </w:tr>
    </w:tbl>
    <w:p w14:paraId="75BF6BE7" w14:textId="77777777" w:rsidR="00B36E72" w:rsidRPr="006D0F12" w:rsidRDefault="00B36E72" w:rsidP="00B36E72">
      <w:pPr>
        <w:rPr>
          <w:rFonts w:ascii="Arial Narrow" w:hAnsi="Arial Narrow"/>
          <w:sz w:val="18"/>
          <w:szCs w:val="18"/>
        </w:rPr>
      </w:pPr>
      <w:r w:rsidRPr="006D0F12">
        <w:rPr>
          <w:rFonts w:ascii="Arial Narrow" w:hAnsi="Arial Narrow"/>
          <w:sz w:val="18"/>
          <w:szCs w:val="18"/>
        </w:rPr>
        <w:t>Source: Table 59, p99 of the ADAR.</w:t>
      </w:r>
    </w:p>
    <w:p w14:paraId="4B9B68F7" w14:textId="77777777" w:rsidR="00B36E72" w:rsidRPr="007819B3" w:rsidRDefault="00B36E72" w:rsidP="00B36E72">
      <w:pPr>
        <w:pStyle w:val="Tablecaption"/>
        <w:spacing w:after="240"/>
        <w:rPr>
          <w:sz w:val="18"/>
          <w:szCs w:val="18"/>
        </w:rPr>
      </w:pPr>
      <w:r>
        <w:rPr>
          <w:sz w:val="18"/>
          <w:szCs w:val="18"/>
        </w:rPr>
        <w:t xml:space="preserve">Abbreviations: MBS=Medicare Benefit Schedule; UAS=upper airway stimulation; </w:t>
      </w:r>
      <w:r>
        <w:t>UPPP=</w:t>
      </w:r>
      <w:proofErr w:type="spellStart"/>
      <w:r w:rsidRPr="00E60889">
        <w:rPr>
          <w:sz w:val="18"/>
        </w:rPr>
        <w:t>uvulopalatopharyngoplasty</w:t>
      </w:r>
      <w:proofErr w:type="spellEnd"/>
    </w:p>
    <w:p w14:paraId="2416A2E0" w14:textId="4FDB3400" w:rsidR="00B36E72" w:rsidRDefault="00B36E72" w:rsidP="00B36E72">
      <w:pPr>
        <w:spacing w:after="240"/>
      </w:pPr>
      <w:r>
        <w:t>The ADAR estimated net cost to the MBS is $23,063 in Year 1, increasing to $159,745 in Year 5, a total of $385,391 over</w:t>
      </w:r>
      <w:r w:rsidR="00D4500F">
        <w:t xml:space="preserve"> the first 5 years of listing.</w:t>
      </w:r>
    </w:p>
    <w:p w14:paraId="1373285F" w14:textId="45620303" w:rsidR="00B36E72" w:rsidRDefault="00B36E72" w:rsidP="00B36E72">
      <w:pPr>
        <w:spacing w:after="240"/>
      </w:pPr>
      <w:r w:rsidRPr="005F481B">
        <w:rPr>
          <w:iCs/>
        </w:rPr>
        <w:t>The estimated</w:t>
      </w:r>
      <w:r>
        <w:rPr>
          <w:iCs/>
        </w:rPr>
        <w:t xml:space="preserve"> overall</w:t>
      </w:r>
      <w:r w:rsidRPr="005F481B">
        <w:rPr>
          <w:iCs/>
        </w:rPr>
        <w:t xml:space="preserve"> net cost</w:t>
      </w:r>
      <w:r>
        <w:rPr>
          <w:iCs/>
        </w:rPr>
        <w:t>s,</w:t>
      </w:r>
      <w:r w:rsidRPr="005F481B">
        <w:rPr>
          <w:iCs/>
        </w:rPr>
        <w:t xml:space="preserve"> including device cost (to </w:t>
      </w:r>
      <w:proofErr w:type="gramStart"/>
      <w:r w:rsidRPr="005F481B">
        <w:rPr>
          <w:iCs/>
        </w:rPr>
        <w:t>be covered</w:t>
      </w:r>
      <w:proofErr w:type="gramEnd"/>
      <w:r w:rsidRPr="005F481B">
        <w:rPr>
          <w:iCs/>
        </w:rPr>
        <w:t xml:space="preserve"> by PLAC, if listed)</w:t>
      </w:r>
      <w:r>
        <w:rPr>
          <w:iCs/>
        </w:rPr>
        <w:t xml:space="preserve"> and </w:t>
      </w:r>
      <w:r w:rsidRPr="005F481B">
        <w:rPr>
          <w:iCs/>
        </w:rPr>
        <w:t>hospit</w:t>
      </w:r>
      <w:r>
        <w:rPr>
          <w:iCs/>
        </w:rPr>
        <w:t>al cost</w:t>
      </w:r>
      <w:r w:rsidRPr="005F481B">
        <w:rPr>
          <w:iCs/>
        </w:rPr>
        <w:t>, over the first 5 years of listing is $15.3M</w:t>
      </w:r>
      <w:r>
        <w:rPr>
          <w:iCs/>
        </w:rPr>
        <w:t xml:space="preserve"> (</w:t>
      </w:r>
      <w:r>
        <w:rPr>
          <w:iCs/>
        </w:rPr>
        <w:fldChar w:fldCharType="begin"/>
      </w:r>
      <w:r>
        <w:rPr>
          <w:iCs/>
        </w:rPr>
        <w:instrText xml:space="preserve"> REF _Ref51870422 \h </w:instrText>
      </w:r>
      <w:r>
        <w:rPr>
          <w:iCs/>
        </w:rPr>
      </w:r>
      <w:r>
        <w:rPr>
          <w:iCs/>
        </w:rPr>
        <w:fldChar w:fldCharType="separate"/>
      </w:r>
      <w:r w:rsidR="00D007E1">
        <w:t xml:space="preserve">Table </w:t>
      </w:r>
      <w:r w:rsidR="00D007E1">
        <w:rPr>
          <w:noProof/>
        </w:rPr>
        <w:t>16</w:t>
      </w:r>
      <w:r>
        <w:rPr>
          <w:iCs/>
        </w:rPr>
        <w:fldChar w:fldCharType="end"/>
      </w:r>
      <w:r>
        <w:rPr>
          <w:iCs/>
        </w:rPr>
        <w:t>)</w:t>
      </w:r>
      <w:r w:rsidR="00D4500F">
        <w:rPr>
          <w:iCs/>
        </w:rPr>
        <w:t>.</w:t>
      </w:r>
    </w:p>
    <w:p w14:paraId="43E07271" w14:textId="74CA0414" w:rsidR="00B36E72" w:rsidRPr="00875ED2" w:rsidRDefault="00B36E72" w:rsidP="00875ED2">
      <w:pPr>
        <w:rPr>
          <w:rFonts w:ascii="Arial Narrow" w:hAnsi="Arial Narrow"/>
          <w:b/>
          <w:sz w:val="20"/>
        </w:rPr>
      </w:pPr>
      <w:bookmarkStart w:id="34" w:name="_Ref51870422"/>
      <w:r w:rsidRPr="00875ED2">
        <w:rPr>
          <w:rFonts w:ascii="Arial Narrow" w:hAnsi="Arial Narrow"/>
          <w:b/>
          <w:sz w:val="20"/>
        </w:rPr>
        <w:t xml:space="preserve">Table </w:t>
      </w:r>
      <w:r w:rsidR="00086098" w:rsidRPr="00875ED2">
        <w:rPr>
          <w:rFonts w:ascii="Arial Narrow" w:hAnsi="Arial Narrow"/>
          <w:b/>
          <w:sz w:val="20"/>
        </w:rPr>
        <w:fldChar w:fldCharType="begin"/>
      </w:r>
      <w:r w:rsidR="00086098" w:rsidRPr="00875ED2">
        <w:rPr>
          <w:rFonts w:ascii="Arial Narrow" w:hAnsi="Arial Narrow"/>
          <w:b/>
          <w:sz w:val="20"/>
        </w:rPr>
        <w:instrText xml:space="preserve"> SEQ Table \* ARABIC </w:instrText>
      </w:r>
      <w:r w:rsidR="00086098" w:rsidRPr="00875ED2">
        <w:rPr>
          <w:rFonts w:ascii="Arial Narrow" w:hAnsi="Arial Narrow"/>
          <w:b/>
          <w:sz w:val="20"/>
        </w:rPr>
        <w:fldChar w:fldCharType="separate"/>
      </w:r>
      <w:r w:rsidR="00D007E1" w:rsidRPr="00875ED2">
        <w:rPr>
          <w:rFonts w:ascii="Arial Narrow" w:hAnsi="Arial Narrow"/>
          <w:b/>
          <w:sz w:val="20"/>
        </w:rPr>
        <w:t>16</w:t>
      </w:r>
      <w:r w:rsidR="00086098" w:rsidRPr="00875ED2">
        <w:rPr>
          <w:rFonts w:ascii="Arial Narrow" w:hAnsi="Arial Narrow"/>
          <w:b/>
          <w:sz w:val="20"/>
        </w:rPr>
        <w:fldChar w:fldCharType="end"/>
      </w:r>
      <w:bookmarkEnd w:id="34"/>
      <w:r w:rsidRPr="00875ED2">
        <w:rPr>
          <w:rFonts w:ascii="Arial Narrow" w:hAnsi="Arial Narrow"/>
          <w:b/>
          <w:sz w:val="20"/>
        </w:rPr>
        <w:t xml:space="preserve"> Estimated total costs for the listing of closed loop UAS </w:t>
      </w:r>
    </w:p>
    <w:tbl>
      <w:tblPr>
        <w:tblW w:w="500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Caption w:val="Table 66 Estimated cost to the MBS for the listing of closed loop UAS "/>
        <w:tblDescription w:val="The table provides the estimated cost to the MBS for the listing of closed loop UAS across MBS, PLAC and hospital services. "/>
      </w:tblPr>
      <w:tblGrid>
        <w:gridCol w:w="3274"/>
        <w:gridCol w:w="1156"/>
        <w:gridCol w:w="1152"/>
        <w:gridCol w:w="1149"/>
        <w:gridCol w:w="1150"/>
        <w:gridCol w:w="1149"/>
      </w:tblGrid>
      <w:tr w:rsidR="00BA09B0" w:rsidRPr="00DE1D69" w14:paraId="07F1BC42" w14:textId="77777777" w:rsidTr="00B36E72">
        <w:trPr>
          <w:cantSplit/>
          <w:trHeight w:val="70"/>
          <w:tblHeader/>
        </w:trPr>
        <w:tc>
          <w:tcPr>
            <w:tcW w:w="1813" w:type="pct"/>
            <w:noWrap/>
            <w:vAlign w:val="center"/>
          </w:tcPr>
          <w:p w14:paraId="14934028" w14:textId="77777777" w:rsidR="00B36E72" w:rsidRPr="002D3D4D" w:rsidRDefault="00B36E72" w:rsidP="00B36E72">
            <w:pPr>
              <w:pStyle w:val="Tabletextboldleft"/>
              <w:tabs>
                <w:tab w:val="left" w:pos="204"/>
              </w:tabs>
              <w:spacing w:before="40" w:after="40"/>
            </w:pPr>
          </w:p>
        </w:tc>
        <w:tc>
          <w:tcPr>
            <w:tcW w:w="640" w:type="pct"/>
            <w:noWrap/>
            <w:vAlign w:val="center"/>
          </w:tcPr>
          <w:p w14:paraId="7010EF9B" w14:textId="77777777" w:rsidR="00B36E72" w:rsidRPr="00DE1D69" w:rsidRDefault="00B36E72" w:rsidP="00B36E72">
            <w:pPr>
              <w:pStyle w:val="Tabletextbold"/>
              <w:spacing w:before="40" w:after="40"/>
              <w:rPr>
                <w:sz w:val="24"/>
                <w:szCs w:val="24"/>
              </w:rPr>
            </w:pPr>
            <w:r w:rsidRPr="00DE1D69">
              <w:t>Year 1</w:t>
            </w:r>
          </w:p>
        </w:tc>
        <w:tc>
          <w:tcPr>
            <w:tcW w:w="638" w:type="pct"/>
            <w:noWrap/>
            <w:vAlign w:val="center"/>
          </w:tcPr>
          <w:p w14:paraId="54C50C89" w14:textId="77777777" w:rsidR="00B36E72" w:rsidRPr="00DE1D69" w:rsidRDefault="00B36E72" w:rsidP="00B36E72">
            <w:pPr>
              <w:pStyle w:val="Tabletextbold"/>
              <w:spacing w:before="40" w:after="40"/>
              <w:rPr>
                <w:sz w:val="24"/>
                <w:szCs w:val="24"/>
              </w:rPr>
            </w:pPr>
            <w:r w:rsidRPr="00DE1D69">
              <w:t>Year 2</w:t>
            </w:r>
          </w:p>
        </w:tc>
        <w:tc>
          <w:tcPr>
            <w:tcW w:w="636" w:type="pct"/>
            <w:noWrap/>
            <w:vAlign w:val="center"/>
          </w:tcPr>
          <w:p w14:paraId="267ECE18" w14:textId="77777777" w:rsidR="00B36E72" w:rsidRPr="00DE1D69" w:rsidRDefault="00B36E72" w:rsidP="00B36E72">
            <w:pPr>
              <w:pStyle w:val="Tabletextbold"/>
              <w:spacing w:before="40" w:after="40"/>
              <w:rPr>
                <w:sz w:val="24"/>
                <w:szCs w:val="24"/>
              </w:rPr>
            </w:pPr>
            <w:r w:rsidRPr="00DE1D69">
              <w:t>Year 3</w:t>
            </w:r>
          </w:p>
        </w:tc>
        <w:tc>
          <w:tcPr>
            <w:tcW w:w="637" w:type="pct"/>
            <w:noWrap/>
            <w:vAlign w:val="center"/>
          </w:tcPr>
          <w:p w14:paraId="69B53EE4" w14:textId="77777777" w:rsidR="00B36E72" w:rsidRPr="00DE1D69" w:rsidRDefault="00B36E72" w:rsidP="00B36E72">
            <w:pPr>
              <w:pStyle w:val="Tabletextbold"/>
              <w:spacing w:before="40" w:after="40"/>
              <w:rPr>
                <w:sz w:val="24"/>
                <w:szCs w:val="24"/>
              </w:rPr>
            </w:pPr>
            <w:r w:rsidRPr="00DE1D69">
              <w:t>Year 4</w:t>
            </w:r>
          </w:p>
        </w:tc>
        <w:tc>
          <w:tcPr>
            <w:tcW w:w="636" w:type="pct"/>
            <w:noWrap/>
            <w:vAlign w:val="center"/>
          </w:tcPr>
          <w:p w14:paraId="693A984D" w14:textId="77777777" w:rsidR="00B36E72" w:rsidRPr="00DE1D69" w:rsidRDefault="00B36E72" w:rsidP="00B36E72">
            <w:pPr>
              <w:pStyle w:val="Tabletextbold"/>
              <w:spacing w:before="40" w:after="40"/>
              <w:rPr>
                <w:sz w:val="24"/>
                <w:szCs w:val="24"/>
              </w:rPr>
            </w:pPr>
            <w:r w:rsidRPr="00DE1D69">
              <w:t>Year 5</w:t>
            </w:r>
          </w:p>
        </w:tc>
      </w:tr>
      <w:tr w:rsidR="00BA09B0" w:rsidRPr="00DE1D69" w14:paraId="3F828858" w14:textId="77777777" w:rsidTr="00B36E72">
        <w:trPr>
          <w:cantSplit/>
          <w:trHeight w:val="70"/>
        </w:trPr>
        <w:tc>
          <w:tcPr>
            <w:tcW w:w="1813" w:type="pct"/>
            <w:tcBorders>
              <w:bottom w:val="single" w:sz="4" w:space="0" w:color="auto"/>
            </w:tcBorders>
            <w:noWrap/>
            <w:vAlign w:val="center"/>
          </w:tcPr>
          <w:p w14:paraId="5FCFF43C" w14:textId="77777777" w:rsidR="00B36E72" w:rsidRPr="00DE1D69" w:rsidRDefault="00B36E72" w:rsidP="00B36E72">
            <w:pPr>
              <w:pStyle w:val="Tabletext0"/>
              <w:tabs>
                <w:tab w:val="left" w:pos="204"/>
              </w:tabs>
            </w:pPr>
            <w:r w:rsidRPr="00DE1D69">
              <w:t>Number of patients/services</w:t>
            </w:r>
          </w:p>
        </w:tc>
        <w:tc>
          <w:tcPr>
            <w:tcW w:w="640" w:type="pct"/>
            <w:tcBorders>
              <w:bottom w:val="single" w:sz="4" w:space="0" w:color="auto"/>
            </w:tcBorders>
            <w:noWrap/>
            <w:vAlign w:val="center"/>
          </w:tcPr>
          <w:p w14:paraId="47D98DD8"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24</w:t>
            </w:r>
          </w:p>
        </w:tc>
        <w:tc>
          <w:tcPr>
            <w:tcW w:w="638" w:type="pct"/>
            <w:tcBorders>
              <w:bottom w:val="single" w:sz="4" w:space="0" w:color="auto"/>
            </w:tcBorders>
            <w:noWrap/>
            <w:vAlign w:val="center"/>
          </w:tcPr>
          <w:p w14:paraId="00236E77"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40</w:t>
            </w:r>
          </w:p>
        </w:tc>
        <w:tc>
          <w:tcPr>
            <w:tcW w:w="636" w:type="pct"/>
            <w:tcBorders>
              <w:bottom w:val="single" w:sz="4" w:space="0" w:color="auto"/>
            </w:tcBorders>
            <w:noWrap/>
            <w:vAlign w:val="center"/>
          </w:tcPr>
          <w:p w14:paraId="6A517A48"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56</w:t>
            </w:r>
          </w:p>
        </w:tc>
        <w:tc>
          <w:tcPr>
            <w:tcW w:w="637" w:type="pct"/>
            <w:tcBorders>
              <w:bottom w:val="single" w:sz="4" w:space="0" w:color="auto"/>
            </w:tcBorders>
            <w:noWrap/>
            <w:vAlign w:val="center"/>
          </w:tcPr>
          <w:p w14:paraId="52CD1F0E"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100</w:t>
            </w:r>
          </w:p>
        </w:tc>
        <w:tc>
          <w:tcPr>
            <w:tcW w:w="636" w:type="pct"/>
            <w:tcBorders>
              <w:bottom w:val="single" w:sz="4" w:space="0" w:color="auto"/>
            </w:tcBorders>
            <w:noWrap/>
            <w:vAlign w:val="center"/>
          </w:tcPr>
          <w:p w14:paraId="222D50D4"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150</w:t>
            </w:r>
          </w:p>
        </w:tc>
      </w:tr>
      <w:tr w:rsidR="00BA09B0" w:rsidRPr="00DE1D69" w14:paraId="734704F2" w14:textId="77777777" w:rsidTr="00B36E72">
        <w:trPr>
          <w:cantSplit/>
          <w:trHeight w:val="70"/>
        </w:trPr>
        <w:tc>
          <w:tcPr>
            <w:tcW w:w="1813" w:type="pct"/>
            <w:tcBorders>
              <w:bottom w:val="single" w:sz="4" w:space="0" w:color="auto"/>
            </w:tcBorders>
            <w:noWrap/>
            <w:vAlign w:val="center"/>
          </w:tcPr>
          <w:p w14:paraId="0DB55BB5" w14:textId="77777777" w:rsidR="00B36E72" w:rsidRPr="00DE1D69" w:rsidRDefault="00B36E72" w:rsidP="00B36E72">
            <w:pPr>
              <w:pStyle w:val="Tabletext0"/>
              <w:tabs>
                <w:tab w:val="left" w:pos="204"/>
              </w:tabs>
            </w:pPr>
            <w:r w:rsidRPr="00DE1D69">
              <w:t>Device cost</w:t>
            </w:r>
          </w:p>
        </w:tc>
        <w:tc>
          <w:tcPr>
            <w:tcW w:w="640" w:type="pct"/>
            <w:tcBorders>
              <w:bottom w:val="single" w:sz="4" w:space="0" w:color="auto"/>
            </w:tcBorders>
            <w:noWrap/>
          </w:tcPr>
          <w:p w14:paraId="018BEA07" w14:textId="0EB4A3F4" w:rsidR="00B36E72" w:rsidRPr="00DE1D69" w:rsidRDefault="00B36E72" w:rsidP="00DE1D69">
            <w:pPr>
              <w:spacing w:before="40" w:after="40"/>
              <w:jc w:val="center"/>
              <w:rPr>
                <w:rFonts w:ascii="Arial Narrow" w:hAnsi="Arial Narrow"/>
                <w:sz w:val="20"/>
              </w:rPr>
            </w:pPr>
            <w:r w:rsidRPr="00DE1D69">
              <w:rPr>
                <w:rFonts w:ascii="Arial Narrow" w:hAnsi="Arial Narrow"/>
                <w:sz w:val="20"/>
              </w:rPr>
              <w:t>$</w:t>
            </w:r>
            <w:r w:rsidR="00BA09B0" w:rsidRPr="00DE1D69">
              <w:rPr>
                <w:rFonts w:ascii="Arial Narrow" w:hAnsi="Arial Narrow"/>
                <w:sz w:val="20"/>
              </w:rPr>
              <w:t>redacted</w:t>
            </w:r>
          </w:p>
        </w:tc>
        <w:tc>
          <w:tcPr>
            <w:tcW w:w="638" w:type="pct"/>
            <w:tcBorders>
              <w:bottom w:val="single" w:sz="4" w:space="0" w:color="auto"/>
            </w:tcBorders>
            <w:noWrap/>
          </w:tcPr>
          <w:p w14:paraId="6F9DB5A7" w14:textId="184F7D71" w:rsidR="00B36E72" w:rsidRPr="00DE1D69" w:rsidRDefault="00B36E72" w:rsidP="00DE1D69">
            <w:pPr>
              <w:spacing w:before="40" w:after="40"/>
              <w:jc w:val="center"/>
              <w:rPr>
                <w:rFonts w:ascii="Arial Narrow" w:hAnsi="Arial Narrow"/>
                <w:sz w:val="20"/>
              </w:rPr>
            </w:pPr>
            <w:r w:rsidRPr="00DE1D69">
              <w:rPr>
                <w:rFonts w:ascii="Arial Narrow" w:hAnsi="Arial Narrow"/>
                <w:sz w:val="20"/>
              </w:rPr>
              <w:t>$</w:t>
            </w:r>
            <w:r w:rsidR="00BA09B0" w:rsidRPr="00DE1D69">
              <w:rPr>
                <w:rFonts w:ascii="Arial Narrow" w:hAnsi="Arial Narrow"/>
                <w:sz w:val="20"/>
              </w:rPr>
              <w:t>redacted</w:t>
            </w:r>
          </w:p>
        </w:tc>
        <w:tc>
          <w:tcPr>
            <w:tcW w:w="636" w:type="pct"/>
            <w:tcBorders>
              <w:bottom w:val="single" w:sz="4" w:space="0" w:color="auto"/>
            </w:tcBorders>
            <w:noWrap/>
          </w:tcPr>
          <w:p w14:paraId="104EC0D5" w14:textId="24F22DE6" w:rsidR="00B36E72" w:rsidRPr="00DE1D69" w:rsidRDefault="00B36E72" w:rsidP="00DE1D69">
            <w:pPr>
              <w:spacing w:before="40" w:after="40"/>
              <w:jc w:val="center"/>
              <w:rPr>
                <w:rFonts w:ascii="Arial Narrow" w:hAnsi="Arial Narrow"/>
                <w:sz w:val="20"/>
              </w:rPr>
            </w:pPr>
            <w:r w:rsidRPr="00DE1D69">
              <w:rPr>
                <w:rFonts w:ascii="Arial Narrow" w:hAnsi="Arial Narrow"/>
                <w:sz w:val="20"/>
              </w:rPr>
              <w:t>$</w:t>
            </w:r>
            <w:r w:rsidR="00BA09B0" w:rsidRPr="00DE1D69">
              <w:rPr>
                <w:rFonts w:ascii="Arial Narrow" w:hAnsi="Arial Narrow"/>
                <w:sz w:val="20"/>
              </w:rPr>
              <w:t>redacted</w:t>
            </w:r>
          </w:p>
        </w:tc>
        <w:tc>
          <w:tcPr>
            <w:tcW w:w="637" w:type="pct"/>
            <w:tcBorders>
              <w:bottom w:val="single" w:sz="4" w:space="0" w:color="auto"/>
            </w:tcBorders>
            <w:noWrap/>
          </w:tcPr>
          <w:p w14:paraId="38485F74" w14:textId="7D12FBE0" w:rsidR="00B36E72" w:rsidRPr="00DE1D69" w:rsidRDefault="00B36E72" w:rsidP="00DE1D69">
            <w:pPr>
              <w:spacing w:before="40" w:after="40"/>
              <w:jc w:val="center"/>
              <w:rPr>
                <w:rFonts w:ascii="Arial Narrow" w:hAnsi="Arial Narrow"/>
                <w:sz w:val="20"/>
              </w:rPr>
            </w:pPr>
            <w:r w:rsidRPr="00DE1D69">
              <w:rPr>
                <w:rFonts w:ascii="Arial Narrow" w:hAnsi="Arial Narrow"/>
                <w:sz w:val="20"/>
              </w:rPr>
              <w:t>$</w:t>
            </w:r>
            <w:r w:rsidR="00BA09B0" w:rsidRPr="00DE1D69">
              <w:rPr>
                <w:rFonts w:ascii="Arial Narrow" w:hAnsi="Arial Narrow"/>
                <w:sz w:val="20"/>
              </w:rPr>
              <w:t>redacted</w:t>
            </w:r>
          </w:p>
        </w:tc>
        <w:tc>
          <w:tcPr>
            <w:tcW w:w="636" w:type="pct"/>
            <w:tcBorders>
              <w:bottom w:val="single" w:sz="4" w:space="0" w:color="auto"/>
            </w:tcBorders>
            <w:noWrap/>
          </w:tcPr>
          <w:p w14:paraId="4B82C832" w14:textId="6B260A73" w:rsidR="00B36E72" w:rsidRPr="00DE1D69" w:rsidRDefault="00B36E72" w:rsidP="00BA09B0">
            <w:pPr>
              <w:spacing w:before="40" w:after="40"/>
              <w:jc w:val="center"/>
              <w:rPr>
                <w:rFonts w:ascii="Arial Narrow" w:hAnsi="Arial Narrow"/>
                <w:sz w:val="20"/>
              </w:rPr>
            </w:pPr>
            <w:r w:rsidRPr="00DE1D69">
              <w:rPr>
                <w:rFonts w:ascii="Arial Narrow" w:hAnsi="Arial Narrow"/>
                <w:sz w:val="20"/>
              </w:rPr>
              <w:t>$</w:t>
            </w:r>
            <w:r w:rsidR="00BA09B0" w:rsidRPr="00DE1D69">
              <w:rPr>
                <w:rFonts w:ascii="Arial Narrow" w:hAnsi="Arial Narrow"/>
                <w:sz w:val="20"/>
              </w:rPr>
              <w:t>redacted</w:t>
            </w:r>
          </w:p>
        </w:tc>
      </w:tr>
      <w:tr w:rsidR="00BA09B0" w:rsidRPr="00DE1D69" w14:paraId="29947B4E" w14:textId="77777777" w:rsidTr="00B36E72">
        <w:trPr>
          <w:cantSplit/>
          <w:trHeight w:val="70"/>
        </w:trPr>
        <w:tc>
          <w:tcPr>
            <w:tcW w:w="1813" w:type="pct"/>
            <w:tcBorders>
              <w:right w:val="nil"/>
            </w:tcBorders>
            <w:noWrap/>
            <w:vAlign w:val="center"/>
          </w:tcPr>
          <w:p w14:paraId="0695AF81" w14:textId="77777777" w:rsidR="00B36E72" w:rsidRPr="00DE1D69" w:rsidRDefault="00B36E72" w:rsidP="00B36E72">
            <w:pPr>
              <w:pStyle w:val="Tabletext0"/>
              <w:tabs>
                <w:tab w:val="left" w:pos="204"/>
              </w:tabs>
              <w:rPr>
                <w:color w:val="000000"/>
              </w:rPr>
            </w:pPr>
            <w:r w:rsidRPr="00DE1D69">
              <w:rPr>
                <w:color w:val="000000"/>
              </w:rPr>
              <w:t>MBS costs</w:t>
            </w:r>
          </w:p>
        </w:tc>
        <w:tc>
          <w:tcPr>
            <w:tcW w:w="640" w:type="pct"/>
            <w:tcBorders>
              <w:left w:val="nil"/>
              <w:right w:val="nil"/>
            </w:tcBorders>
            <w:noWrap/>
            <w:vAlign w:val="center"/>
          </w:tcPr>
          <w:p w14:paraId="377A9772" w14:textId="77777777" w:rsidR="00B36E72" w:rsidRPr="00DE1D69" w:rsidRDefault="00B36E72" w:rsidP="00B36E72">
            <w:pPr>
              <w:spacing w:before="40" w:after="40"/>
              <w:jc w:val="center"/>
              <w:rPr>
                <w:rFonts w:ascii="Arial Narrow" w:hAnsi="Arial Narrow"/>
                <w:color w:val="000000"/>
                <w:sz w:val="20"/>
              </w:rPr>
            </w:pPr>
          </w:p>
        </w:tc>
        <w:tc>
          <w:tcPr>
            <w:tcW w:w="638" w:type="pct"/>
            <w:tcBorders>
              <w:left w:val="nil"/>
              <w:right w:val="nil"/>
            </w:tcBorders>
            <w:noWrap/>
            <w:vAlign w:val="center"/>
          </w:tcPr>
          <w:p w14:paraId="7510B100" w14:textId="77777777" w:rsidR="00B36E72" w:rsidRPr="00DE1D69" w:rsidRDefault="00B36E72" w:rsidP="00B36E72">
            <w:pPr>
              <w:spacing w:before="40" w:after="40"/>
              <w:jc w:val="center"/>
              <w:rPr>
                <w:rFonts w:ascii="Arial Narrow" w:hAnsi="Arial Narrow"/>
                <w:color w:val="000000"/>
                <w:sz w:val="20"/>
              </w:rPr>
            </w:pPr>
          </w:p>
        </w:tc>
        <w:tc>
          <w:tcPr>
            <w:tcW w:w="636" w:type="pct"/>
            <w:tcBorders>
              <w:left w:val="nil"/>
              <w:right w:val="nil"/>
            </w:tcBorders>
            <w:noWrap/>
            <w:vAlign w:val="center"/>
          </w:tcPr>
          <w:p w14:paraId="1C633CDF" w14:textId="77777777" w:rsidR="00B36E72" w:rsidRPr="00DE1D69" w:rsidRDefault="00B36E72" w:rsidP="00B36E72">
            <w:pPr>
              <w:spacing w:before="40" w:after="40"/>
              <w:jc w:val="center"/>
              <w:rPr>
                <w:rFonts w:ascii="Arial Narrow" w:hAnsi="Arial Narrow"/>
                <w:color w:val="000000"/>
                <w:sz w:val="20"/>
              </w:rPr>
            </w:pPr>
          </w:p>
        </w:tc>
        <w:tc>
          <w:tcPr>
            <w:tcW w:w="637" w:type="pct"/>
            <w:tcBorders>
              <w:left w:val="nil"/>
              <w:right w:val="nil"/>
            </w:tcBorders>
            <w:noWrap/>
            <w:vAlign w:val="center"/>
          </w:tcPr>
          <w:p w14:paraId="2622F1D5" w14:textId="77777777" w:rsidR="00B36E72" w:rsidRPr="00DE1D69" w:rsidRDefault="00B36E72" w:rsidP="00B36E72">
            <w:pPr>
              <w:spacing w:before="40" w:after="40"/>
              <w:jc w:val="center"/>
              <w:rPr>
                <w:rFonts w:ascii="Arial Narrow" w:hAnsi="Arial Narrow"/>
                <w:color w:val="000000"/>
                <w:sz w:val="20"/>
              </w:rPr>
            </w:pPr>
          </w:p>
        </w:tc>
        <w:tc>
          <w:tcPr>
            <w:tcW w:w="636" w:type="pct"/>
            <w:tcBorders>
              <w:left w:val="nil"/>
            </w:tcBorders>
            <w:noWrap/>
            <w:vAlign w:val="center"/>
          </w:tcPr>
          <w:p w14:paraId="25A44269" w14:textId="77777777" w:rsidR="00B36E72" w:rsidRPr="00DE1D69" w:rsidRDefault="00B36E72" w:rsidP="00B36E72">
            <w:pPr>
              <w:spacing w:before="40" w:after="40"/>
              <w:jc w:val="center"/>
              <w:rPr>
                <w:rFonts w:ascii="Arial Narrow" w:hAnsi="Arial Narrow"/>
                <w:color w:val="000000"/>
                <w:sz w:val="20"/>
              </w:rPr>
            </w:pPr>
          </w:p>
        </w:tc>
      </w:tr>
      <w:tr w:rsidR="00BA09B0" w:rsidRPr="00DE1D69" w14:paraId="08A8524E" w14:textId="77777777" w:rsidTr="00B36E72">
        <w:trPr>
          <w:cantSplit/>
          <w:trHeight w:val="70"/>
        </w:trPr>
        <w:tc>
          <w:tcPr>
            <w:tcW w:w="1813" w:type="pct"/>
            <w:noWrap/>
            <w:vAlign w:val="center"/>
          </w:tcPr>
          <w:p w14:paraId="404B2BEA" w14:textId="77777777" w:rsidR="00B36E72" w:rsidRPr="00DE1D69" w:rsidRDefault="00B36E72" w:rsidP="00B36E72">
            <w:pPr>
              <w:pStyle w:val="Tabletext0"/>
              <w:tabs>
                <w:tab w:val="left" w:pos="204"/>
              </w:tabs>
            </w:pPr>
            <w:r w:rsidRPr="00DE1D69">
              <w:rPr>
                <w:color w:val="000000"/>
              </w:rPr>
              <w:tab/>
              <w:t>Implantation of closed loop UAS system</w:t>
            </w:r>
          </w:p>
        </w:tc>
        <w:tc>
          <w:tcPr>
            <w:tcW w:w="640" w:type="pct"/>
            <w:noWrap/>
            <w:vAlign w:val="center"/>
          </w:tcPr>
          <w:p w14:paraId="1EE07BEA"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$16,974</w:t>
            </w:r>
          </w:p>
        </w:tc>
        <w:tc>
          <w:tcPr>
            <w:tcW w:w="638" w:type="pct"/>
            <w:noWrap/>
            <w:vAlign w:val="center"/>
          </w:tcPr>
          <w:p w14:paraId="24FE738F"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$28,290</w:t>
            </w:r>
          </w:p>
        </w:tc>
        <w:tc>
          <w:tcPr>
            <w:tcW w:w="636" w:type="pct"/>
            <w:noWrap/>
            <w:vAlign w:val="center"/>
          </w:tcPr>
          <w:p w14:paraId="50A40D97"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$39,606</w:t>
            </w:r>
          </w:p>
        </w:tc>
        <w:tc>
          <w:tcPr>
            <w:tcW w:w="637" w:type="pct"/>
            <w:noWrap/>
            <w:vAlign w:val="center"/>
          </w:tcPr>
          <w:p w14:paraId="40AA2F20"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$70,725</w:t>
            </w:r>
          </w:p>
        </w:tc>
        <w:tc>
          <w:tcPr>
            <w:tcW w:w="636" w:type="pct"/>
            <w:noWrap/>
            <w:vAlign w:val="center"/>
          </w:tcPr>
          <w:p w14:paraId="5BDEAD39"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$106,088</w:t>
            </w:r>
          </w:p>
        </w:tc>
      </w:tr>
      <w:tr w:rsidR="00BA09B0" w:rsidRPr="00DE1D69" w14:paraId="64B18997" w14:textId="77777777" w:rsidTr="00B36E72">
        <w:trPr>
          <w:cantSplit/>
          <w:trHeight w:val="70"/>
        </w:trPr>
        <w:tc>
          <w:tcPr>
            <w:tcW w:w="1813" w:type="pct"/>
            <w:noWrap/>
            <w:vAlign w:val="center"/>
          </w:tcPr>
          <w:p w14:paraId="3C6A31B5" w14:textId="77777777" w:rsidR="00B36E72" w:rsidRPr="00DE1D69" w:rsidRDefault="00B36E72" w:rsidP="00B36E72">
            <w:pPr>
              <w:pStyle w:val="Tabletext0"/>
              <w:tabs>
                <w:tab w:val="left" w:pos="204"/>
              </w:tabs>
            </w:pPr>
            <w:r w:rsidRPr="00DE1D69">
              <w:rPr>
                <w:color w:val="000000"/>
              </w:rPr>
              <w:tab/>
              <w:t>Surgical repositioning or removal of IPG</w:t>
            </w:r>
          </w:p>
        </w:tc>
        <w:tc>
          <w:tcPr>
            <w:tcW w:w="640" w:type="pct"/>
            <w:noWrap/>
            <w:vAlign w:val="bottom"/>
          </w:tcPr>
          <w:p w14:paraId="5101CF82"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$70</w:t>
            </w:r>
          </w:p>
        </w:tc>
        <w:tc>
          <w:tcPr>
            <w:tcW w:w="638" w:type="pct"/>
            <w:noWrap/>
            <w:vAlign w:val="bottom"/>
          </w:tcPr>
          <w:p w14:paraId="4D829780"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$117</w:t>
            </w:r>
          </w:p>
        </w:tc>
        <w:tc>
          <w:tcPr>
            <w:tcW w:w="636" w:type="pct"/>
            <w:noWrap/>
            <w:vAlign w:val="bottom"/>
          </w:tcPr>
          <w:p w14:paraId="25FAEB35"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$163</w:t>
            </w:r>
          </w:p>
        </w:tc>
        <w:tc>
          <w:tcPr>
            <w:tcW w:w="637" w:type="pct"/>
            <w:noWrap/>
            <w:vAlign w:val="bottom"/>
          </w:tcPr>
          <w:p w14:paraId="261E24B3"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$292</w:t>
            </w:r>
          </w:p>
        </w:tc>
        <w:tc>
          <w:tcPr>
            <w:tcW w:w="636" w:type="pct"/>
            <w:noWrap/>
            <w:vAlign w:val="bottom"/>
          </w:tcPr>
          <w:p w14:paraId="6D72B5B3"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$437</w:t>
            </w:r>
          </w:p>
        </w:tc>
      </w:tr>
      <w:tr w:rsidR="00BA09B0" w:rsidRPr="00DE1D69" w14:paraId="52226052" w14:textId="77777777" w:rsidTr="00B36E72">
        <w:trPr>
          <w:cantSplit/>
          <w:trHeight w:val="70"/>
        </w:trPr>
        <w:tc>
          <w:tcPr>
            <w:tcW w:w="1813" w:type="pct"/>
            <w:noWrap/>
            <w:vAlign w:val="center"/>
          </w:tcPr>
          <w:p w14:paraId="09F83F8C" w14:textId="77777777" w:rsidR="00B36E72" w:rsidRPr="00DE1D69" w:rsidRDefault="00B36E72" w:rsidP="00B36E72">
            <w:pPr>
              <w:pStyle w:val="Tabletext0"/>
              <w:tabs>
                <w:tab w:val="left" w:pos="204"/>
              </w:tabs>
            </w:pPr>
            <w:r w:rsidRPr="00DE1D69">
              <w:rPr>
                <w:color w:val="000000"/>
              </w:rPr>
              <w:tab/>
              <w:t>Programming closed loop UAS system</w:t>
            </w:r>
          </w:p>
        </w:tc>
        <w:tc>
          <w:tcPr>
            <w:tcW w:w="640" w:type="pct"/>
            <w:noWrap/>
          </w:tcPr>
          <w:p w14:paraId="13AAA199"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$1,810</w:t>
            </w:r>
          </w:p>
        </w:tc>
        <w:tc>
          <w:tcPr>
            <w:tcW w:w="638" w:type="pct"/>
            <w:noWrap/>
          </w:tcPr>
          <w:p w14:paraId="140625DA"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$3,016</w:t>
            </w:r>
          </w:p>
        </w:tc>
        <w:tc>
          <w:tcPr>
            <w:tcW w:w="636" w:type="pct"/>
            <w:noWrap/>
          </w:tcPr>
          <w:p w14:paraId="4AE6E9AC"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$4,222</w:t>
            </w:r>
          </w:p>
        </w:tc>
        <w:tc>
          <w:tcPr>
            <w:tcW w:w="637" w:type="pct"/>
            <w:noWrap/>
          </w:tcPr>
          <w:p w14:paraId="179F3E48"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$7,540</w:t>
            </w:r>
          </w:p>
        </w:tc>
        <w:tc>
          <w:tcPr>
            <w:tcW w:w="636" w:type="pct"/>
            <w:noWrap/>
          </w:tcPr>
          <w:p w14:paraId="53251EFB"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$11,310</w:t>
            </w:r>
          </w:p>
        </w:tc>
      </w:tr>
      <w:tr w:rsidR="00BA09B0" w:rsidRPr="00DE1D69" w14:paraId="11286185" w14:textId="77777777" w:rsidTr="00B36E72">
        <w:trPr>
          <w:cantSplit/>
          <w:trHeight w:val="70"/>
        </w:trPr>
        <w:tc>
          <w:tcPr>
            <w:tcW w:w="1813" w:type="pct"/>
            <w:noWrap/>
            <w:vAlign w:val="bottom"/>
          </w:tcPr>
          <w:p w14:paraId="0BD5FB2A" w14:textId="77777777" w:rsidR="00B36E72" w:rsidRPr="00DE1D69" w:rsidRDefault="00B36E72" w:rsidP="00B36E72">
            <w:pPr>
              <w:pStyle w:val="Tabletext0"/>
              <w:tabs>
                <w:tab w:val="left" w:pos="204"/>
              </w:tabs>
              <w:jc w:val="right"/>
            </w:pPr>
            <w:r w:rsidRPr="00DE1D69">
              <w:rPr>
                <w:color w:val="000000"/>
              </w:rPr>
              <w:t>Sub-total</w:t>
            </w:r>
          </w:p>
        </w:tc>
        <w:tc>
          <w:tcPr>
            <w:tcW w:w="640" w:type="pct"/>
            <w:noWrap/>
          </w:tcPr>
          <w:p w14:paraId="2B1137C7"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$18,854</w:t>
            </w:r>
          </w:p>
        </w:tc>
        <w:tc>
          <w:tcPr>
            <w:tcW w:w="638" w:type="pct"/>
            <w:noWrap/>
          </w:tcPr>
          <w:p w14:paraId="4E9585A3"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$31,423</w:t>
            </w:r>
          </w:p>
        </w:tc>
        <w:tc>
          <w:tcPr>
            <w:tcW w:w="636" w:type="pct"/>
            <w:noWrap/>
          </w:tcPr>
          <w:p w14:paraId="5934AED5"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$43,992</w:t>
            </w:r>
          </w:p>
        </w:tc>
        <w:tc>
          <w:tcPr>
            <w:tcW w:w="637" w:type="pct"/>
            <w:noWrap/>
          </w:tcPr>
          <w:p w14:paraId="5523FB71"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$78,557</w:t>
            </w:r>
          </w:p>
        </w:tc>
        <w:tc>
          <w:tcPr>
            <w:tcW w:w="636" w:type="pct"/>
            <w:noWrap/>
          </w:tcPr>
          <w:p w14:paraId="607204A0"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$117,835</w:t>
            </w:r>
          </w:p>
        </w:tc>
      </w:tr>
      <w:tr w:rsidR="00BA09B0" w:rsidRPr="00DE1D69" w14:paraId="28675E8A" w14:textId="77777777" w:rsidTr="00B36E72">
        <w:trPr>
          <w:cantSplit/>
          <w:trHeight w:val="70"/>
        </w:trPr>
        <w:tc>
          <w:tcPr>
            <w:tcW w:w="1813" w:type="pct"/>
            <w:noWrap/>
            <w:vAlign w:val="center"/>
          </w:tcPr>
          <w:p w14:paraId="5531D44D" w14:textId="77777777" w:rsidR="00B36E72" w:rsidRPr="00DE1D69" w:rsidRDefault="00B36E72" w:rsidP="00B36E72">
            <w:pPr>
              <w:pStyle w:val="Tabletext0"/>
              <w:tabs>
                <w:tab w:val="left" w:pos="204"/>
              </w:tabs>
            </w:pPr>
            <w:r w:rsidRPr="00DE1D69">
              <w:rPr>
                <w:color w:val="000000"/>
              </w:rPr>
              <w:tab/>
              <w:t>DISE</w:t>
            </w:r>
          </w:p>
        </w:tc>
        <w:tc>
          <w:tcPr>
            <w:tcW w:w="640" w:type="pct"/>
            <w:noWrap/>
            <w:vAlign w:val="center"/>
          </w:tcPr>
          <w:p w14:paraId="73AA7585"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$4,680</w:t>
            </w:r>
          </w:p>
        </w:tc>
        <w:tc>
          <w:tcPr>
            <w:tcW w:w="638" w:type="pct"/>
            <w:noWrap/>
            <w:vAlign w:val="center"/>
          </w:tcPr>
          <w:p w14:paraId="6D6B7091"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$7,799</w:t>
            </w:r>
          </w:p>
        </w:tc>
        <w:tc>
          <w:tcPr>
            <w:tcW w:w="636" w:type="pct"/>
            <w:noWrap/>
            <w:vAlign w:val="center"/>
          </w:tcPr>
          <w:p w14:paraId="4DCA5141"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$10,919</w:t>
            </w:r>
          </w:p>
        </w:tc>
        <w:tc>
          <w:tcPr>
            <w:tcW w:w="637" w:type="pct"/>
            <w:noWrap/>
            <w:vAlign w:val="center"/>
          </w:tcPr>
          <w:p w14:paraId="659BF7B6"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$19,499</w:t>
            </w:r>
          </w:p>
        </w:tc>
        <w:tc>
          <w:tcPr>
            <w:tcW w:w="636" w:type="pct"/>
            <w:noWrap/>
            <w:vAlign w:val="center"/>
          </w:tcPr>
          <w:p w14:paraId="2B7AFDCD"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$29,248</w:t>
            </w:r>
          </w:p>
        </w:tc>
      </w:tr>
      <w:tr w:rsidR="00BA09B0" w:rsidRPr="00DE1D69" w14:paraId="79F7987E" w14:textId="77777777" w:rsidTr="00B36E72">
        <w:trPr>
          <w:cantSplit/>
          <w:trHeight w:val="70"/>
        </w:trPr>
        <w:tc>
          <w:tcPr>
            <w:tcW w:w="1813" w:type="pct"/>
            <w:noWrap/>
            <w:vAlign w:val="center"/>
          </w:tcPr>
          <w:p w14:paraId="20A2AF66" w14:textId="77777777" w:rsidR="00B36E72" w:rsidRPr="00DE1D69" w:rsidRDefault="00B36E72" w:rsidP="00B36E72">
            <w:pPr>
              <w:pStyle w:val="Tabletext0"/>
              <w:tabs>
                <w:tab w:val="left" w:pos="204"/>
              </w:tabs>
            </w:pPr>
            <w:r w:rsidRPr="00DE1D69">
              <w:rPr>
                <w:color w:val="000000"/>
              </w:rPr>
              <w:tab/>
              <w:t>Anaesthesia</w:t>
            </w:r>
          </w:p>
        </w:tc>
        <w:tc>
          <w:tcPr>
            <w:tcW w:w="640" w:type="pct"/>
            <w:noWrap/>
            <w:vAlign w:val="center"/>
          </w:tcPr>
          <w:p w14:paraId="1C2F98AD"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$5,428</w:t>
            </w:r>
          </w:p>
        </w:tc>
        <w:tc>
          <w:tcPr>
            <w:tcW w:w="638" w:type="pct"/>
            <w:noWrap/>
            <w:vAlign w:val="center"/>
          </w:tcPr>
          <w:p w14:paraId="6900D64C"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$9,046</w:t>
            </w:r>
          </w:p>
        </w:tc>
        <w:tc>
          <w:tcPr>
            <w:tcW w:w="636" w:type="pct"/>
            <w:noWrap/>
            <w:vAlign w:val="center"/>
          </w:tcPr>
          <w:p w14:paraId="602A1D50"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$12,664</w:t>
            </w:r>
          </w:p>
        </w:tc>
        <w:tc>
          <w:tcPr>
            <w:tcW w:w="637" w:type="pct"/>
            <w:noWrap/>
            <w:vAlign w:val="center"/>
          </w:tcPr>
          <w:p w14:paraId="4AB381FE"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$22,615</w:t>
            </w:r>
          </w:p>
        </w:tc>
        <w:tc>
          <w:tcPr>
            <w:tcW w:w="636" w:type="pct"/>
            <w:noWrap/>
            <w:vAlign w:val="center"/>
          </w:tcPr>
          <w:p w14:paraId="638ED7BF"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$33,923</w:t>
            </w:r>
          </w:p>
        </w:tc>
      </w:tr>
      <w:tr w:rsidR="00BA09B0" w:rsidRPr="00DE1D69" w14:paraId="27E0FFB0" w14:textId="77777777" w:rsidTr="00B36E72">
        <w:trPr>
          <w:cantSplit/>
          <w:trHeight w:val="70"/>
        </w:trPr>
        <w:tc>
          <w:tcPr>
            <w:tcW w:w="1813" w:type="pct"/>
            <w:noWrap/>
            <w:vAlign w:val="center"/>
          </w:tcPr>
          <w:p w14:paraId="2AA21F5F" w14:textId="77777777" w:rsidR="00B36E72" w:rsidRPr="00DE1D69" w:rsidRDefault="00B36E72" w:rsidP="00B36E72">
            <w:pPr>
              <w:pStyle w:val="Tabletext0"/>
              <w:tabs>
                <w:tab w:val="left" w:pos="204"/>
              </w:tabs>
            </w:pPr>
            <w:r w:rsidRPr="00DE1D69">
              <w:rPr>
                <w:color w:val="000000"/>
              </w:rPr>
              <w:tab/>
              <w:t>Post-op x rays</w:t>
            </w:r>
          </w:p>
        </w:tc>
        <w:tc>
          <w:tcPr>
            <w:tcW w:w="640" w:type="pct"/>
            <w:noWrap/>
            <w:vAlign w:val="center"/>
          </w:tcPr>
          <w:p w14:paraId="289A5442"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$1,426</w:t>
            </w:r>
          </w:p>
        </w:tc>
        <w:tc>
          <w:tcPr>
            <w:tcW w:w="638" w:type="pct"/>
            <w:noWrap/>
            <w:vAlign w:val="center"/>
          </w:tcPr>
          <w:p w14:paraId="439F2C29"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$2,376</w:t>
            </w:r>
          </w:p>
        </w:tc>
        <w:tc>
          <w:tcPr>
            <w:tcW w:w="636" w:type="pct"/>
            <w:noWrap/>
            <w:vAlign w:val="center"/>
          </w:tcPr>
          <w:p w14:paraId="4C6E05F9"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$3,326</w:t>
            </w:r>
          </w:p>
        </w:tc>
        <w:tc>
          <w:tcPr>
            <w:tcW w:w="637" w:type="pct"/>
            <w:noWrap/>
            <w:vAlign w:val="center"/>
          </w:tcPr>
          <w:p w14:paraId="33E7FC92"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$5,940</w:t>
            </w:r>
          </w:p>
        </w:tc>
        <w:tc>
          <w:tcPr>
            <w:tcW w:w="636" w:type="pct"/>
            <w:noWrap/>
            <w:vAlign w:val="center"/>
          </w:tcPr>
          <w:p w14:paraId="65D14215"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$8,910</w:t>
            </w:r>
          </w:p>
        </w:tc>
      </w:tr>
      <w:tr w:rsidR="00BA09B0" w:rsidRPr="00DE1D69" w14:paraId="59C20D12" w14:textId="77777777" w:rsidTr="00B36E72">
        <w:trPr>
          <w:cantSplit/>
          <w:trHeight w:val="70"/>
        </w:trPr>
        <w:tc>
          <w:tcPr>
            <w:tcW w:w="1813" w:type="pct"/>
            <w:noWrap/>
            <w:vAlign w:val="bottom"/>
          </w:tcPr>
          <w:p w14:paraId="7DBDD787" w14:textId="77777777" w:rsidR="00B36E72" w:rsidRPr="00DE1D69" w:rsidRDefault="00B36E72" w:rsidP="00B36E72">
            <w:pPr>
              <w:pStyle w:val="Tabletext0"/>
              <w:tabs>
                <w:tab w:val="left" w:pos="204"/>
              </w:tabs>
              <w:jc w:val="right"/>
            </w:pPr>
            <w:r w:rsidRPr="00DE1D69">
              <w:rPr>
                <w:color w:val="000000"/>
              </w:rPr>
              <w:t>Sub-total</w:t>
            </w:r>
          </w:p>
        </w:tc>
        <w:tc>
          <w:tcPr>
            <w:tcW w:w="640" w:type="pct"/>
            <w:noWrap/>
            <w:vAlign w:val="bottom"/>
          </w:tcPr>
          <w:p w14:paraId="77025904"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$11,533</w:t>
            </w:r>
          </w:p>
        </w:tc>
        <w:tc>
          <w:tcPr>
            <w:tcW w:w="638" w:type="pct"/>
            <w:noWrap/>
            <w:vAlign w:val="bottom"/>
          </w:tcPr>
          <w:p w14:paraId="301DDBC6"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$19,221</w:t>
            </w:r>
          </w:p>
        </w:tc>
        <w:tc>
          <w:tcPr>
            <w:tcW w:w="636" w:type="pct"/>
            <w:noWrap/>
            <w:vAlign w:val="bottom"/>
          </w:tcPr>
          <w:p w14:paraId="0485155F"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$26,910</w:t>
            </w:r>
          </w:p>
        </w:tc>
        <w:tc>
          <w:tcPr>
            <w:tcW w:w="637" w:type="pct"/>
            <w:noWrap/>
            <w:vAlign w:val="bottom"/>
          </w:tcPr>
          <w:p w14:paraId="00919A35"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$48,054</w:t>
            </w:r>
          </w:p>
        </w:tc>
        <w:tc>
          <w:tcPr>
            <w:tcW w:w="636" w:type="pct"/>
            <w:noWrap/>
            <w:vAlign w:val="bottom"/>
          </w:tcPr>
          <w:p w14:paraId="6CD59BAC"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$72,080</w:t>
            </w:r>
          </w:p>
        </w:tc>
      </w:tr>
      <w:tr w:rsidR="00BA09B0" w:rsidRPr="00DE1D69" w14:paraId="75FE2E78" w14:textId="77777777" w:rsidTr="00B36E72">
        <w:trPr>
          <w:cantSplit/>
          <w:trHeight w:val="70"/>
        </w:trPr>
        <w:tc>
          <w:tcPr>
            <w:tcW w:w="1813" w:type="pct"/>
            <w:noWrap/>
          </w:tcPr>
          <w:p w14:paraId="047C4D06" w14:textId="77777777" w:rsidR="00B36E72" w:rsidRPr="00DE1D69" w:rsidRDefault="00B36E72" w:rsidP="00B36E72">
            <w:pPr>
              <w:widowControl w:val="0"/>
              <w:tabs>
                <w:tab w:val="left" w:pos="204"/>
              </w:tabs>
              <w:spacing w:before="40" w:after="40"/>
              <w:rPr>
                <w:rFonts w:ascii="Arial Narrow" w:hAnsi="Arial Narrow"/>
                <w:sz w:val="20"/>
              </w:rPr>
            </w:pPr>
            <w:r w:rsidRPr="00DE1D69">
              <w:rPr>
                <w:rFonts w:ascii="Arial Narrow" w:hAnsi="Arial Narrow"/>
                <w:sz w:val="20"/>
              </w:rPr>
              <w:tab/>
              <w:t>Specialist visits-ongoing after Year 1</w:t>
            </w:r>
          </w:p>
        </w:tc>
        <w:tc>
          <w:tcPr>
            <w:tcW w:w="640" w:type="pct"/>
            <w:noWrap/>
          </w:tcPr>
          <w:p w14:paraId="2FA39EB8"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$0</w:t>
            </w:r>
          </w:p>
        </w:tc>
        <w:tc>
          <w:tcPr>
            <w:tcW w:w="638" w:type="pct"/>
            <w:noWrap/>
          </w:tcPr>
          <w:p w14:paraId="330CD3E2"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$1,810</w:t>
            </w:r>
          </w:p>
        </w:tc>
        <w:tc>
          <w:tcPr>
            <w:tcW w:w="636" w:type="pct"/>
            <w:noWrap/>
          </w:tcPr>
          <w:p w14:paraId="0E29532E"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$4,826</w:t>
            </w:r>
          </w:p>
        </w:tc>
        <w:tc>
          <w:tcPr>
            <w:tcW w:w="637" w:type="pct"/>
            <w:noWrap/>
          </w:tcPr>
          <w:p w14:paraId="6268C986"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$9,048</w:t>
            </w:r>
          </w:p>
        </w:tc>
        <w:tc>
          <w:tcPr>
            <w:tcW w:w="636" w:type="pct"/>
            <w:noWrap/>
          </w:tcPr>
          <w:p w14:paraId="69081443"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$16,588</w:t>
            </w:r>
          </w:p>
        </w:tc>
      </w:tr>
      <w:tr w:rsidR="00BA09B0" w:rsidRPr="00DE1D69" w14:paraId="1D20EE89" w14:textId="77777777" w:rsidTr="00B36E72">
        <w:trPr>
          <w:cantSplit/>
          <w:trHeight w:val="70"/>
        </w:trPr>
        <w:tc>
          <w:tcPr>
            <w:tcW w:w="1813" w:type="pct"/>
            <w:tcBorders>
              <w:bottom w:val="single" w:sz="4" w:space="0" w:color="auto"/>
            </w:tcBorders>
            <w:noWrap/>
            <w:vAlign w:val="center"/>
          </w:tcPr>
          <w:p w14:paraId="3349B385" w14:textId="77777777" w:rsidR="00B36E72" w:rsidRPr="00DE1D69" w:rsidRDefault="00B36E72" w:rsidP="00B36E72">
            <w:pPr>
              <w:pStyle w:val="Tabletext0"/>
              <w:tabs>
                <w:tab w:val="left" w:pos="204"/>
              </w:tabs>
            </w:pPr>
            <w:r w:rsidRPr="00DE1D69">
              <w:rPr>
                <w:color w:val="000000"/>
              </w:rPr>
              <w:tab/>
              <w:t>Total MBS cost</w:t>
            </w:r>
          </w:p>
        </w:tc>
        <w:tc>
          <w:tcPr>
            <w:tcW w:w="640" w:type="pct"/>
            <w:tcBorders>
              <w:bottom w:val="single" w:sz="4" w:space="0" w:color="auto"/>
            </w:tcBorders>
            <w:noWrap/>
          </w:tcPr>
          <w:p w14:paraId="2D78CDF5"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$30,386</w:t>
            </w:r>
          </w:p>
        </w:tc>
        <w:tc>
          <w:tcPr>
            <w:tcW w:w="638" w:type="pct"/>
            <w:tcBorders>
              <w:bottom w:val="single" w:sz="4" w:space="0" w:color="auto"/>
            </w:tcBorders>
            <w:noWrap/>
          </w:tcPr>
          <w:p w14:paraId="0E820547"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$52,454</w:t>
            </w:r>
          </w:p>
        </w:tc>
        <w:tc>
          <w:tcPr>
            <w:tcW w:w="636" w:type="pct"/>
            <w:tcBorders>
              <w:bottom w:val="single" w:sz="4" w:space="0" w:color="auto"/>
            </w:tcBorders>
            <w:noWrap/>
          </w:tcPr>
          <w:p w14:paraId="2D111D08"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$75,727</w:t>
            </w:r>
          </w:p>
        </w:tc>
        <w:tc>
          <w:tcPr>
            <w:tcW w:w="637" w:type="pct"/>
            <w:tcBorders>
              <w:bottom w:val="single" w:sz="4" w:space="0" w:color="auto"/>
            </w:tcBorders>
            <w:noWrap/>
          </w:tcPr>
          <w:p w14:paraId="04938424"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$135,658</w:t>
            </w:r>
          </w:p>
        </w:tc>
        <w:tc>
          <w:tcPr>
            <w:tcW w:w="636" w:type="pct"/>
            <w:tcBorders>
              <w:bottom w:val="single" w:sz="4" w:space="0" w:color="auto"/>
            </w:tcBorders>
            <w:noWrap/>
          </w:tcPr>
          <w:p w14:paraId="2A411074"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$206,503</w:t>
            </w:r>
          </w:p>
        </w:tc>
      </w:tr>
      <w:tr w:rsidR="00BA09B0" w:rsidRPr="00DE1D69" w14:paraId="65C82737" w14:textId="77777777" w:rsidTr="00B36E72">
        <w:trPr>
          <w:cantSplit/>
          <w:trHeight w:val="70"/>
        </w:trPr>
        <w:tc>
          <w:tcPr>
            <w:tcW w:w="1813" w:type="pct"/>
            <w:tcBorders>
              <w:bottom w:val="single" w:sz="4" w:space="0" w:color="auto"/>
            </w:tcBorders>
            <w:noWrap/>
            <w:vAlign w:val="center"/>
          </w:tcPr>
          <w:p w14:paraId="136BC0AF" w14:textId="77777777" w:rsidR="00B36E72" w:rsidRPr="00DE1D69" w:rsidRDefault="00B36E72" w:rsidP="00B36E72">
            <w:pPr>
              <w:pStyle w:val="Tabletext0"/>
              <w:tabs>
                <w:tab w:val="left" w:pos="204"/>
              </w:tabs>
              <w:rPr>
                <w:color w:val="000000"/>
              </w:rPr>
            </w:pPr>
            <w:r w:rsidRPr="00DE1D69">
              <w:rPr>
                <w:color w:val="000000"/>
              </w:rPr>
              <w:t>Hospitalisation costs</w:t>
            </w:r>
          </w:p>
        </w:tc>
        <w:tc>
          <w:tcPr>
            <w:tcW w:w="640" w:type="pct"/>
            <w:tcBorders>
              <w:bottom w:val="single" w:sz="4" w:space="0" w:color="auto"/>
            </w:tcBorders>
            <w:noWrap/>
          </w:tcPr>
          <w:p w14:paraId="27CBB4EB" w14:textId="77777777" w:rsidR="00B36E72" w:rsidRPr="00DE1D69" w:rsidRDefault="00B36E72" w:rsidP="00B36E72">
            <w:pPr>
              <w:spacing w:before="40" w:after="40"/>
              <w:jc w:val="center"/>
              <w:rPr>
                <w:rFonts w:ascii="Arial Narrow" w:hAnsi="Arial Narrow"/>
                <w:sz w:val="20"/>
              </w:rPr>
            </w:pPr>
          </w:p>
        </w:tc>
        <w:tc>
          <w:tcPr>
            <w:tcW w:w="638" w:type="pct"/>
            <w:tcBorders>
              <w:bottom w:val="single" w:sz="4" w:space="0" w:color="auto"/>
            </w:tcBorders>
            <w:noWrap/>
          </w:tcPr>
          <w:p w14:paraId="4CE86FD1" w14:textId="77777777" w:rsidR="00B36E72" w:rsidRPr="00DE1D69" w:rsidRDefault="00B36E72" w:rsidP="00B36E72">
            <w:pPr>
              <w:spacing w:before="40" w:after="40"/>
              <w:jc w:val="center"/>
              <w:rPr>
                <w:rFonts w:ascii="Arial Narrow" w:hAnsi="Arial Narrow"/>
                <w:sz w:val="20"/>
              </w:rPr>
            </w:pPr>
          </w:p>
        </w:tc>
        <w:tc>
          <w:tcPr>
            <w:tcW w:w="636" w:type="pct"/>
            <w:tcBorders>
              <w:bottom w:val="single" w:sz="4" w:space="0" w:color="auto"/>
            </w:tcBorders>
            <w:noWrap/>
          </w:tcPr>
          <w:p w14:paraId="0C16739B" w14:textId="77777777" w:rsidR="00B36E72" w:rsidRPr="00DE1D69" w:rsidRDefault="00B36E72" w:rsidP="00B36E72">
            <w:pPr>
              <w:spacing w:before="40" w:after="40"/>
              <w:jc w:val="center"/>
              <w:rPr>
                <w:rFonts w:ascii="Arial Narrow" w:hAnsi="Arial Narrow"/>
                <w:sz w:val="20"/>
              </w:rPr>
            </w:pPr>
          </w:p>
        </w:tc>
        <w:tc>
          <w:tcPr>
            <w:tcW w:w="637" w:type="pct"/>
            <w:tcBorders>
              <w:bottom w:val="single" w:sz="4" w:space="0" w:color="auto"/>
            </w:tcBorders>
            <w:noWrap/>
          </w:tcPr>
          <w:p w14:paraId="545DAA25" w14:textId="77777777" w:rsidR="00B36E72" w:rsidRPr="00DE1D69" w:rsidRDefault="00B36E72" w:rsidP="00B36E72">
            <w:pPr>
              <w:spacing w:before="40" w:after="40"/>
              <w:jc w:val="center"/>
              <w:rPr>
                <w:rFonts w:ascii="Arial Narrow" w:hAnsi="Arial Narrow"/>
                <w:sz w:val="20"/>
              </w:rPr>
            </w:pPr>
          </w:p>
        </w:tc>
        <w:tc>
          <w:tcPr>
            <w:tcW w:w="636" w:type="pct"/>
            <w:tcBorders>
              <w:bottom w:val="single" w:sz="4" w:space="0" w:color="auto"/>
            </w:tcBorders>
            <w:noWrap/>
          </w:tcPr>
          <w:p w14:paraId="2855270F" w14:textId="77777777" w:rsidR="00B36E72" w:rsidRPr="00DE1D69" w:rsidRDefault="00B36E72" w:rsidP="00B36E72">
            <w:pPr>
              <w:spacing w:before="40" w:after="40"/>
              <w:jc w:val="center"/>
              <w:rPr>
                <w:rFonts w:ascii="Arial Narrow" w:hAnsi="Arial Narrow"/>
                <w:sz w:val="20"/>
              </w:rPr>
            </w:pPr>
          </w:p>
        </w:tc>
      </w:tr>
      <w:tr w:rsidR="00BA09B0" w:rsidRPr="00DE1D69" w14:paraId="3BAE8750" w14:textId="77777777" w:rsidTr="00B36E72">
        <w:trPr>
          <w:cantSplit/>
          <w:trHeight w:val="70"/>
        </w:trPr>
        <w:tc>
          <w:tcPr>
            <w:tcW w:w="1813" w:type="pct"/>
            <w:tcBorders>
              <w:bottom w:val="single" w:sz="4" w:space="0" w:color="auto"/>
            </w:tcBorders>
            <w:noWrap/>
            <w:vAlign w:val="center"/>
          </w:tcPr>
          <w:p w14:paraId="4A954EBC" w14:textId="77777777" w:rsidR="00B36E72" w:rsidRPr="00DE1D69" w:rsidRDefault="00B36E72" w:rsidP="00B36E72">
            <w:pPr>
              <w:pStyle w:val="Tabletext0"/>
              <w:tabs>
                <w:tab w:val="left" w:pos="204"/>
              </w:tabs>
              <w:rPr>
                <w:color w:val="000000"/>
              </w:rPr>
            </w:pPr>
            <w:r w:rsidRPr="00DE1D69">
              <w:rPr>
                <w:color w:val="000000"/>
              </w:rPr>
              <w:tab/>
              <w:t>Implantation of closed loop UAS system</w:t>
            </w:r>
          </w:p>
        </w:tc>
        <w:tc>
          <w:tcPr>
            <w:tcW w:w="640" w:type="pct"/>
            <w:tcBorders>
              <w:bottom w:val="single" w:sz="4" w:space="0" w:color="auto"/>
            </w:tcBorders>
            <w:noWrap/>
            <w:vAlign w:val="center"/>
          </w:tcPr>
          <w:p w14:paraId="5CFA4F66"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$127,575</w:t>
            </w:r>
          </w:p>
        </w:tc>
        <w:tc>
          <w:tcPr>
            <w:tcW w:w="638" w:type="pct"/>
            <w:tcBorders>
              <w:bottom w:val="single" w:sz="4" w:space="0" w:color="auto"/>
            </w:tcBorders>
            <w:noWrap/>
            <w:vAlign w:val="center"/>
          </w:tcPr>
          <w:p w14:paraId="09C4D260"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$212,625</w:t>
            </w:r>
          </w:p>
        </w:tc>
        <w:tc>
          <w:tcPr>
            <w:tcW w:w="636" w:type="pct"/>
            <w:tcBorders>
              <w:bottom w:val="single" w:sz="4" w:space="0" w:color="auto"/>
            </w:tcBorders>
            <w:noWrap/>
            <w:vAlign w:val="center"/>
          </w:tcPr>
          <w:p w14:paraId="5EC769F1"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$297,675</w:t>
            </w:r>
          </w:p>
        </w:tc>
        <w:tc>
          <w:tcPr>
            <w:tcW w:w="637" w:type="pct"/>
            <w:tcBorders>
              <w:bottom w:val="single" w:sz="4" w:space="0" w:color="auto"/>
            </w:tcBorders>
            <w:noWrap/>
            <w:vAlign w:val="center"/>
          </w:tcPr>
          <w:p w14:paraId="23381DD1"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$531,563</w:t>
            </w:r>
          </w:p>
        </w:tc>
        <w:tc>
          <w:tcPr>
            <w:tcW w:w="636" w:type="pct"/>
            <w:tcBorders>
              <w:bottom w:val="single" w:sz="4" w:space="0" w:color="auto"/>
            </w:tcBorders>
            <w:noWrap/>
            <w:vAlign w:val="center"/>
          </w:tcPr>
          <w:p w14:paraId="3ADC978B"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$797,345</w:t>
            </w:r>
          </w:p>
        </w:tc>
      </w:tr>
      <w:tr w:rsidR="00BA09B0" w:rsidRPr="00DE1D69" w14:paraId="21FBBE8A" w14:textId="77777777" w:rsidTr="00B36E72">
        <w:trPr>
          <w:cantSplit/>
          <w:trHeight w:val="70"/>
        </w:trPr>
        <w:tc>
          <w:tcPr>
            <w:tcW w:w="1813" w:type="pct"/>
            <w:tcBorders>
              <w:bottom w:val="single" w:sz="4" w:space="0" w:color="auto"/>
            </w:tcBorders>
            <w:noWrap/>
            <w:vAlign w:val="center"/>
          </w:tcPr>
          <w:p w14:paraId="3189DD68" w14:textId="77777777" w:rsidR="00B36E72" w:rsidRPr="00DE1D69" w:rsidRDefault="00B36E72" w:rsidP="00B36E72">
            <w:pPr>
              <w:pStyle w:val="Tabletext0"/>
              <w:tabs>
                <w:tab w:val="left" w:pos="204"/>
              </w:tabs>
              <w:rPr>
                <w:color w:val="000000"/>
              </w:rPr>
            </w:pPr>
            <w:r w:rsidRPr="00DE1D69">
              <w:rPr>
                <w:color w:val="000000"/>
              </w:rPr>
              <w:tab/>
              <w:t>Surgical repositioning or removal of IPG</w:t>
            </w:r>
          </w:p>
        </w:tc>
        <w:tc>
          <w:tcPr>
            <w:tcW w:w="640" w:type="pct"/>
            <w:tcBorders>
              <w:bottom w:val="single" w:sz="4" w:space="0" w:color="auto"/>
            </w:tcBorders>
            <w:noWrap/>
            <w:vAlign w:val="bottom"/>
          </w:tcPr>
          <w:p w14:paraId="10FFB45A"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$2,506</w:t>
            </w:r>
          </w:p>
        </w:tc>
        <w:tc>
          <w:tcPr>
            <w:tcW w:w="638" w:type="pct"/>
            <w:tcBorders>
              <w:bottom w:val="single" w:sz="4" w:space="0" w:color="auto"/>
            </w:tcBorders>
            <w:noWrap/>
            <w:vAlign w:val="bottom"/>
          </w:tcPr>
          <w:p w14:paraId="3CB6A4CE"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$4,177</w:t>
            </w:r>
          </w:p>
        </w:tc>
        <w:tc>
          <w:tcPr>
            <w:tcW w:w="636" w:type="pct"/>
            <w:tcBorders>
              <w:bottom w:val="single" w:sz="4" w:space="0" w:color="auto"/>
            </w:tcBorders>
            <w:noWrap/>
            <w:vAlign w:val="bottom"/>
          </w:tcPr>
          <w:p w14:paraId="45DD50F2"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$5,848</w:t>
            </w:r>
          </w:p>
        </w:tc>
        <w:tc>
          <w:tcPr>
            <w:tcW w:w="637" w:type="pct"/>
            <w:tcBorders>
              <w:bottom w:val="single" w:sz="4" w:space="0" w:color="auto"/>
            </w:tcBorders>
            <w:noWrap/>
            <w:vAlign w:val="bottom"/>
          </w:tcPr>
          <w:p w14:paraId="56773326"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$10,443</w:t>
            </w:r>
          </w:p>
        </w:tc>
        <w:tc>
          <w:tcPr>
            <w:tcW w:w="636" w:type="pct"/>
            <w:tcBorders>
              <w:bottom w:val="single" w:sz="4" w:space="0" w:color="auto"/>
            </w:tcBorders>
            <w:noWrap/>
            <w:vAlign w:val="bottom"/>
          </w:tcPr>
          <w:p w14:paraId="35F20D79" w14:textId="04E8F0A3" w:rsidR="00B36E72" w:rsidRPr="00DE1D69" w:rsidRDefault="00875ED2" w:rsidP="00B36E72">
            <w:pPr>
              <w:spacing w:before="40" w:after="40"/>
              <w:jc w:val="center"/>
              <w:rPr>
                <w:rFonts w:ascii="Arial Narrow" w:hAnsi="Arial Narrow"/>
                <w:sz w:val="20"/>
              </w:rPr>
            </w:pPr>
            <w:r w:rsidRPr="00DE1D69">
              <w:rPr>
                <w:rFonts w:ascii="Arial Narrow" w:hAnsi="Arial Narrow"/>
                <w:color w:val="000000"/>
                <w:sz w:val="20"/>
              </w:rPr>
              <w:tab/>
            </w:r>
          </w:p>
        </w:tc>
      </w:tr>
      <w:tr w:rsidR="00BA09B0" w:rsidRPr="00DE1D69" w14:paraId="0056C626" w14:textId="77777777" w:rsidTr="00B36E72">
        <w:trPr>
          <w:cantSplit/>
          <w:trHeight w:val="70"/>
        </w:trPr>
        <w:tc>
          <w:tcPr>
            <w:tcW w:w="1813" w:type="pct"/>
            <w:tcBorders>
              <w:bottom w:val="single" w:sz="4" w:space="0" w:color="auto"/>
            </w:tcBorders>
            <w:noWrap/>
          </w:tcPr>
          <w:p w14:paraId="51C976F8" w14:textId="7B36FDB2" w:rsidR="00B36E72" w:rsidRPr="00DE1D69" w:rsidRDefault="00875ED2" w:rsidP="00875ED2">
            <w:pPr>
              <w:pStyle w:val="Tabletext0"/>
              <w:tabs>
                <w:tab w:val="left" w:pos="204"/>
              </w:tabs>
              <w:rPr>
                <w:color w:val="000000"/>
              </w:rPr>
            </w:pPr>
            <w:r w:rsidRPr="00DE1D69">
              <w:rPr>
                <w:color w:val="000000"/>
              </w:rPr>
              <w:tab/>
            </w:r>
            <w:r w:rsidR="00B36E72" w:rsidRPr="00DE1D69">
              <w:rPr>
                <w:color w:val="000000"/>
              </w:rPr>
              <w:t>Total hospital cost</w:t>
            </w:r>
          </w:p>
        </w:tc>
        <w:tc>
          <w:tcPr>
            <w:tcW w:w="640" w:type="pct"/>
            <w:tcBorders>
              <w:bottom w:val="single" w:sz="4" w:space="0" w:color="auto"/>
            </w:tcBorders>
            <w:noWrap/>
          </w:tcPr>
          <w:p w14:paraId="38E5E2D5"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$130,081</w:t>
            </w:r>
          </w:p>
        </w:tc>
        <w:tc>
          <w:tcPr>
            <w:tcW w:w="638" w:type="pct"/>
            <w:tcBorders>
              <w:bottom w:val="single" w:sz="4" w:space="0" w:color="auto"/>
            </w:tcBorders>
            <w:noWrap/>
          </w:tcPr>
          <w:p w14:paraId="663BDDF1"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$216,802</w:t>
            </w:r>
          </w:p>
        </w:tc>
        <w:tc>
          <w:tcPr>
            <w:tcW w:w="636" w:type="pct"/>
            <w:tcBorders>
              <w:bottom w:val="single" w:sz="4" w:space="0" w:color="auto"/>
            </w:tcBorders>
            <w:noWrap/>
          </w:tcPr>
          <w:p w14:paraId="21BE5B37"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$303,523</w:t>
            </w:r>
          </w:p>
        </w:tc>
        <w:tc>
          <w:tcPr>
            <w:tcW w:w="637" w:type="pct"/>
            <w:tcBorders>
              <w:bottom w:val="single" w:sz="4" w:space="0" w:color="auto"/>
            </w:tcBorders>
            <w:noWrap/>
          </w:tcPr>
          <w:p w14:paraId="1EBE1FB4"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$542,006</w:t>
            </w:r>
          </w:p>
        </w:tc>
        <w:tc>
          <w:tcPr>
            <w:tcW w:w="636" w:type="pct"/>
            <w:tcBorders>
              <w:bottom w:val="single" w:sz="4" w:space="0" w:color="auto"/>
            </w:tcBorders>
            <w:noWrap/>
          </w:tcPr>
          <w:p w14:paraId="7ED3043E"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$813,009</w:t>
            </w:r>
          </w:p>
        </w:tc>
      </w:tr>
      <w:tr w:rsidR="00BA09B0" w:rsidRPr="00DE1D69" w14:paraId="42C41F5B" w14:textId="77777777" w:rsidTr="00B36E72">
        <w:trPr>
          <w:cantSplit/>
          <w:trHeight w:val="70"/>
        </w:trPr>
        <w:tc>
          <w:tcPr>
            <w:tcW w:w="1813" w:type="pct"/>
            <w:tcBorders>
              <w:bottom w:val="single" w:sz="4" w:space="0" w:color="auto"/>
            </w:tcBorders>
            <w:noWrap/>
          </w:tcPr>
          <w:p w14:paraId="1BFC4A97" w14:textId="77777777" w:rsidR="00B36E72" w:rsidRPr="00DE1D69" w:rsidRDefault="00B36E72" w:rsidP="00B36E72">
            <w:pPr>
              <w:pStyle w:val="Tabletext0"/>
              <w:tabs>
                <w:tab w:val="left" w:pos="204"/>
              </w:tabs>
              <w:rPr>
                <w:b/>
                <w:bCs/>
                <w:color w:val="000000"/>
              </w:rPr>
            </w:pPr>
            <w:r w:rsidRPr="00DE1D69">
              <w:rPr>
                <w:b/>
                <w:bCs/>
              </w:rPr>
              <w:t>Total costs (device, MBS, hospital)</w:t>
            </w:r>
          </w:p>
        </w:tc>
        <w:tc>
          <w:tcPr>
            <w:tcW w:w="640" w:type="pct"/>
            <w:tcBorders>
              <w:bottom w:val="single" w:sz="4" w:space="0" w:color="auto"/>
            </w:tcBorders>
            <w:noWrap/>
          </w:tcPr>
          <w:p w14:paraId="38C651D5" w14:textId="3268E58C" w:rsidR="00B36E72" w:rsidRPr="00DE1D69" w:rsidRDefault="00B36E72" w:rsidP="00DE1D69">
            <w:pPr>
              <w:spacing w:before="40" w:after="40"/>
              <w:jc w:val="center"/>
              <w:rPr>
                <w:rFonts w:ascii="Arial Narrow" w:hAnsi="Arial Narrow"/>
                <w:b/>
                <w:bCs/>
                <w:sz w:val="20"/>
              </w:rPr>
            </w:pPr>
            <w:r w:rsidRPr="00DE1D69">
              <w:rPr>
                <w:rFonts w:ascii="Arial Narrow" w:hAnsi="Arial Narrow"/>
                <w:b/>
                <w:bCs/>
                <w:sz w:val="20"/>
              </w:rPr>
              <w:t>$</w:t>
            </w:r>
            <w:r w:rsidR="00BA09B0" w:rsidRPr="00DE1D69">
              <w:rPr>
                <w:rFonts w:ascii="Arial Narrow" w:hAnsi="Arial Narrow"/>
                <w:b/>
                <w:bCs/>
                <w:sz w:val="20"/>
              </w:rPr>
              <w:t>redacted</w:t>
            </w:r>
          </w:p>
        </w:tc>
        <w:tc>
          <w:tcPr>
            <w:tcW w:w="638" w:type="pct"/>
            <w:tcBorders>
              <w:bottom w:val="single" w:sz="4" w:space="0" w:color="auto"/>
            </w:tcBorders>
            <w:noWrap/>
          </w:tcPr>
          <w:p w14:paraId="2B3E2B7A" w14:textId="4F28571D" w:rsidR="00B36E72" w:rsidRPr="00DE1D69" w:rsidRDefault="00B36E72" w:rsidP="00DE1D69">
            <w:pPr>
              <w:spacing w:before="40" w:after="40"/>
              <w:jc w:val="center"/>
              <w:rPr>
                <w:rFonts w:ascii="Arial Narrow" w:hAnsi="Arial Narrow"/>
                <w:b/>
                <w:bCs/>
                <w:sz w:val="20"/>
              </w:rPr>
            </w:pPr>
            <w:r w:rsidRPr="00DE1D69">
              <w:rPr>
                <w:rFonts w:ascii="Arial Narrow" w:hAnsi="Arial Narrow"/>
                <w:b/>
                <w:bCs/>
                <w:sz w:val="20"/>
              </w:rPr>
              <w:t>$</w:t>
            </w:r>
            <w:r w:rsidR="00BA09B0" w:rsidRPr="00DE1D69">
              <w:rPr>
                <w:rFonts w:ascii="Arial Narrow" w:hAnsi="Arial Narrow"/>
                <w:b/>
                <w:bCs/>
                <w:sz w:val="20"/>
              </w:rPr>
              <w:t>redacted</w:t>
            </w:r>
          </w:p>
        </w:tc>
        <w:tc>
          <w:tcPr>
            <w:tcW w:w="636" w:type="pct"/>
            <w:tcBorders>
              <w:bottom w:val="single" w:sz="4" w:space="0" w:color="auto"/>
            </w:tcBorders>
            <w:noWrap/>
          </w:tcPr>
          <w:p w14:paraId="0B16ABA9" w14:textId="37470589" w:rsidR="00B36E72" w:rsidRPr="00DE1D69" w:rsidRDefault="00B36E72" w:rsidP="00DE1D69">
            <w:pPr>
              <w:spacing w:before="40" w:after="40"/>
              <w:jc w:val="center"/>
              <w:rPr>
                <w:rFonts w:ascii="Arial Narrow" w:hAnsi="Arial Narrow"/>
                <w:b/>
                <w:bCs/>
                <w:sz w:val="20"/>
              </w:rPr>
            </w:pPr>
            <w:r w:rsidRPr="00DE1D69">
              <w:rPr>
                <w:rFonts w:ascii="Arial Narrow" w:hAnsi="Arial Narrow"/>
                <w:b/>
                <w:bCs/>
                <w:sz w:val="20"/>
              </w:rPr>
              <w:t>$</w:t>
            </w:r>
            <w:r w:rsidR="00BA09B0" w:rsidRPr="00DE1D69">
              <w:rPr>
                <w:rFonts w:ascii="Arial Narrow" w:hAnsi="Arial Narrow"/>
                <w:b/>
                <w:bCs/>
                <w:sz w:val="20"/>
              </w:rPr>
              <w:t>redacted</w:t>
            </w:r>
          </w:p>
        </w:tc>
        <w:tc>
          <w:tcPr>
            <w:tcW w:w="637" w:type="pct"/>
            <w:tcBorders>
              <w:bottom w:val="single" w:sz="4" w:space="0" w:color="auto"/>
            </w:tcBorders>
            <w:noWrap/>
          </w:tcPr>
          <w:p w14:paraId="7FC418AE" w14:textId="049A0A69" w:rsidR="00B36E72" w:rsidRPr="00DE1D69" w:rsidRDefault="00B36E72" w:rsidP="00DE1D69">
            <w:pPr>
              <w:spacing w:before="40" w:after="40"/>
              <w:jc w:val="center"/>
              <w:rPr>
                <w:rFonts w:ascii="Arial Narrow" w:hAnsi="Arial Narrow"/>
                <w:b/>
                <w:bCs/>
                <w:sz w:val="20"/>
              </w:rPr>
            </w:pPr>
            <w:r w:rsidRPr="00DE1D69">
              <w:rPr>
                <w:rFonts w:ascii="Arial Narrow" w:hAnsi="Arial Narrow"/>
                <w:b/>
                <w:bCs/>
                <w:sz w:val="20"/>
              </w:rPr>
              <w:t>$</w:t>
            </w:r>
            <w:r w:rsidR="00BA09B0" w:rsidRPr="00DE1D69">
              <w:rPr>
                <w:rFonts w:ascii="Arial Narrow" w:hAnsi="Arial Narrow"/>
                <w:b/>
                <w:bCs/>
                <w:sz w:val="20"/>
              </w:rPr>
              <w:t>redacted</w:t>
            </w:r>
          </w:p>
        </w:tc>
        <w:tc>
          <w:tcPr>
            <w:tcW w:w="636" w:type="pct"/>
            <w:tcBorders>
              <w:bottom w:val="single" w:sz="4" w:space="0" w:color="auto"/>
            </w:tcBorders>
            <w:noWrap/>
          </w:tcPr>
          <w:p w14:paraId="20F3C472" w14:textId="3375F69E" w:rsidR="00B36E72" w:rsidRPr="00DE1D69" w:rsidRDefault="00B36E72" w:rsidP="00BA09B0">
            <w:pPr>
              <w:spacing w:before="40" w:after="40"/>
              <w:jc w:val="center"/>
              <w:rPr>
                <w:rFonts w:ascii="Arial Narrow" w:hAnsi="Arial Narrow"/>
                <w:b/>
                <w:bCs/>
                <w:sz w:val="20"/>
              </w:rPr>
            </w:pPr>
            <w:r w:rsidRPr="00DE1D69">
              <w:rPr>
                <w:rFonts w:ascii="Arial Narrow" w:hAnsi="Arial Narrow"/>
                <w:b/>
                <w:bCs/>
                <w:sz w:val="20"/>
              </w:rPr>
              <w:t>$</w:t>
            </w:r>
            <w:r w:rsidR="00BA09B0" w:rsidRPr="00DE1D69">
              <w:rPr>
                <w:rFonts w:ascii="Arial Narrow" w:hAnsi="Arial Narrow"/>
                <w:b/>
                <w:bCs/>
                <w:sz w:val="20"/>
              </w:rPr>
              <w:t>redacted</w:t>
            </w:r>
          </w:p>
        </w:tc>
      </w:tr>
      <w:tr w:rsidR="00BA09B0" w:rsidRPr="00DE1D69" w14:paraId="2BD9D81B" w14:textId="77777777" w:rsidTr="00B36E72">
        <w:trPr>
          <w:cantSplit/>
          <w:trHeight w:val="70"/>
        </w:trPr>
        <w:tc>
          <w:tcPr>
            <w:tcW w:w="1813" w:type="pct"/>
            <w:tcBorders>
              <w:right w:val="nil"/>
            </w:tcBorders>
            <w:noWrap/>
            <w:vAlign w:val="center"/>
          </w:tcPr>
          <w:p w14:paraId="78F3CD02" w14:textId="77777777" w:rsidR="00B36E72" w:rsidRPr="00DE1D69" w:rsidRDefault="00B36E72" w:rsidP="00B36E72">
            <w:pPr>
              <w:pStyle w:val="Tabletext0"/>
              <w:tabs>
                <w:tab w:val="left" w:pos="204"/>
              </w:tabs>
            </w:pPr>
            <w:r w:rsidRPr="00DE1D69">
              <w:t>Substituted services</w:t>
            </w:r>
          </w:p>
        </w:tc>
        <w:tc>
          <w:tcPr>
            <w:tcW w:w="640" w:type="pct"/>
            <w:tcBorders>
              <w:left w:val="nil"/>
              <w:right w:val="nil"/>
            </w:tcBorders>
            <w:noWrap/>
            <w:vAlign w:val="center"/>
          </w:tcPr>
          <w:p w14:paraId="3C0CB598" w14:textId="77777777" w:rsidR="00B36E72" w:rsidRPr="00DE1D69" w:rsidRDefault="00B36E72" w:rsidP="00B36E72">
            <w:pPr>
              <w:spacing w:before="40" w:after="40"/>
              <w:jc w:val="center"/>
              <w:rPr>
                <w:rFonts w:ascii="Arial Narrow" w:hAnsi="Arial Narrow"/>
                <w:sz w:val="20"/>
              </w:rPr>
            </w:pPr>
          </w:p>
        </w:tc>
        <w:tc>
          <w:tcPr>
            <w:tcW w:w="638" w:type="pct"/>
            <w:tcBorders>
              <w:left w:val="nil"/>
              <w:right w:val="nil"/>
            </w:tcBorders>
            <w:noWrap/>
            <w:vAlign w:val="center"/>
          </w:tcPr>
          <w:p w14:paraId="4E9F6966" w14:textId="77777777" w:rsidR="00B36E72" w:rsidRPr="00DE1D69" w:rsidRDefault="00B36E72" w:rsidP="00B36E72">
            <w:pPr>
              <w:spacing w:before="40" w:after="40"/>
              <w:jc w:val="center"/>
              <w:rPr>
                <w:rFonts w:ascii="Arial Narrow" w:hAnsi="Arial Narrow"/>
                <w:sz w:val="20"/>
              </w:rPr>
            </w:pPr>
          </w:p>
        </w:tc>
        <w:tc>
          <w:tcPr>
            <w:tcW w:w="636" w:type="pct"/>
            <w:tcBorders>
              <w:left w:val="nil"/>
              <w:right w:val="nil"/>
            </w:tcBorders>
            <w:noWrap/>
            <w:vAlign w:val="center"/>
          </w:tcPr>
          <w:p w14:paraId="549B5E72" w14:textId="77777777" w:rsidR="00B36E72" w:rsidRPr="00DE1D69" w:rsidRDefault="00B36E72" w:rsidP="00B36E72">
            <w:pPr>
              <w:spacing w:before="40" w:after="40"/>
              <w:jc w:val="center"/>
              <w:rPr>
                <w:rFonts w:ascii="Arial Narrow" w:hAnsi="Arial Narrow"/>
                <w:sz w:val="20"/>
              </w:rPr>
            </w:pPr>
          </w:p>
        </w:tc>
        <w:tc>
          <w:tcPr>
            <w:tcW w:w="637" w:type="pct"/>
            <w:tcBorders>
              <w:left w:val="nil"/>
              <w:right w:val="nil"/>
            </w:tcBorders>
            <w:noWrap/>
            <w:vAlign w:val="center"/>
          </w:tcPr>
          <w:p w14:paraId="678326EF" w14:textId="77777777" w:rsidR="00B36E72" w:rsidRPr="00DE1D69" w:rsidRDefault="00B36E72" w:rsidP="00B36E72">
            <w:pPr>
              <w:spacing w:before="40" w:after="40"/>
              <w:jc w:val="center"/>
              <w:rPr>
                <w:rFonts w:ascii="Arial Narrow" w:hAnsi="Arial Narrow"/>
                <w:sz w:val="20"/>
              </w:rPr>
            </w:pPr>
          </w:p>
        </w:tc>
        <w:tc>
          <w:tcPr>
            <w:tcW w:w="636" w:type="pct"/>
            <w:tcBorders>
              <w:left w:val="nil"/>
            </w:tcBorders>
            <w:noWrap/>
            <w:vAlign w:val="center"/>
          </w:tcPr>
          <w:p w14:paraId="2D7991C4" w14:textId="77777777" w:rsidR="00B36E72" w:rsidRPr="00DE1D69" w:rsidRDefault="00B36E72" w:rsidP="00B36E72">
            <w:pPr>
              <w:spacing w:before="40" w:after="40"/>
              <w:jc w:val="center"/>
              <w:rPr>
                <w:rFonts w:ascii="Arial Narrow" w:hAnsi="Arial Narrow"/>
                <w:sz w:val="20"/>
              </w:rPr>
            </w:pPr>
          </w:p>
        </w:tc>
      </w:tr>
      <w:tr w:rsidR="00BA09B0" w:rsidRPr="00DE1D69" w14:paraId="6FE9CD9C" w14:textId="77777777" w:rsidTr="00B36E72">
        <w:trPr>
          <w:cantSplit/>
          <w:trHeight w:val="70"/>
        </w:trPr>
        <w:tc>
          <w:tcPr>
            <w:tcW w:w="1813" w:type="pct"/>
            <w:noWrap/>
            <w:vAlign w:val="center"/>
          </w:tcPr>
          <w:p w14:paraId="5F445DB9" w14:textId="77777777" w:rsidR="00B36E72" w:rsidRPr="00DE1D69" w:rsidRDefault="00B36E72" w:rsidP="00B36E72">
            <w:pPr>
              <w:pStyle w:val="Tabletext0"/>
              <w:tabs>
                <w:tab w:val="left" w:pos="204"/>
              </w:tabs>
            </w:pPr>
            <w:r w:rsidRPr="00DE1D69">
              <w:tab/>
              <w:t>UPPP</w:t>
            </w:r>
          </w:p>
        </w:tc>
        <w:tc>
          <w:tcPr>
            <w:tcW w:w="640" w:type="pct"/>
            <w:noWrap/>
          </w:tcPr>
          <w:p w14:paraId="5CCC5AD9" w14:textId="77777777" w:rsidR="00B36E72" w:rsidRPr="00DE1D69" w:rsidRDefault="00B36E72" w:rsidP="00B36E72">
            <w:pPr>
              <w:spacing w:before="40" w:after="40"/>
              <w:jc w:val="center"/>
              <w:rPr>
                <w:rFonts w:ascii="Arial Narrow" w:hAnsi="Arial Narrow"/>
                <w:i/>
                <w:sz w:val="20"/>
              </w:rPr>
            </w:pPr>
            <w:r w:rsidRPr="00DE1D69">
              <w:rPr>
                <w:rFonts w:ascii="Arial Narrow" w:hAnsi="Arial Narrow"/>
                <w:i/>
                <w:sz w:val="20"/>
              </w:rPr>
              <w:t>-$5,524</w:t>
            </w:r>
          </w:p>
        </w:tc>
        <w:tc>
          <w:tcPr>
            <w:tcW w:w="638" w:type="pct"/>
            <w:noWrap/>
          </w:tcPr>
          <w:p w14:paraId="26C60C1A"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-$9,453</w:t>
            </w:r>
          </w:p>
        </w:tc>
        <w:tc>
          <w:tcPr>
            <w:tcW w:w="636" w:type="pct"/>
            <w:noWrap/>
          </w:tcPr>
          <w:p w14:paraId="16CB100C"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-$13,392</w:t>
            </w:r>
          </w:p>
        </w:tc>
        <w:tc>
          <w:tcPr>
            <w:tcW w:w="637" w:type="pct"/>
            <w:noWrap/>
          </w:tcPr>
          <w:p w14:paraId="07336498"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sz w:val="20"/>
              </w:rPr>
              <w:t>-$23,633</w:t>
            </w:r>
          </w:p>
        </w:tc>
        <w:tc>
          <w:tcPr>
            <w:tcW w:w="636" w:type="pct"/>
            <w:noWrap/>
          </w:tcPr>
          <w:p w14:paraId="59A6D297" w14:textId="77777777" w:rsidR="00B36E72" w:rsidRPr="00DE1D69" w:rsidRDefault="00B36E72" w:rsidP="00B36E72">
            <w:pPr>
              <w:spacing w:before="40" w:after="40"/>
              <w:jc w:val="center"/>
              <w:rPr>
                <w:rFonts w:ascii="Arial Narrow" w:hAnsi="Arial Narrow"/>
                <w:i/>
                <w:sz w:val="20"/>
              </w:rPr>
            </w:pPr>
            <w:r w:rsidRPr="00DE1D69">
              <w:rPr>
                <w:rFonts w:ascii="Arial Narrow" w:hAnsi="Arial Narrow"/>
                <w:i/>
                <w:sz w:val="20"/>
              </w:rPr>
              <w:t>-$36,449</w:t>
            </w:r>
          </w:p>
        </w:tc>
      </w:tr>
      <w:tr w:rsidR="00BA09B0" w:rsidRPr="00DE1D69" w14:paraId="3A20BA22" w14:textId="77777777" w:rsidTr="00B36E72">
        <w:trPr>
          <w:cantSplit/>
          <w:trHeight w:val="70"/>
        </w:trPr>
        <w:tc>
          <w:tcPr>
            <w:tcW w:w="1813" w:type="pct"/>
            <w:noWrap/>
            <w:vAlign w:val="center"/>
          </w:tcPr>
          <w:p w14:paraId="7781C2F1" w14:textId="77777777" w:rsidR="00B36E72" w:rsidRPr="00DE1D69" w:rsidRDefault="00B36E72" w:rsidP="00B36E72">
            <w:pPr>
              <w:pStyle w:val="Tabletext0"/>
              <w:tabs>
                <w:tab w:val="left" w:pos="204"/>
              </w:tabs>
            </w:pPr>
            <w:r w:rsidRPr="00DE1D69">
              <w:tab/>
              <w:t>Specialist visits</w:t>
            </w:r>
          </w:p>
        </w:tc>
        <w:tc>
          <w:tcPr>
            <w:tcW w:w="640" w:type="pct"/>
            <w:noWrap/>
            <w:vAlign w:val="center"/>
          </w:tcPr>
          <w:p w14:paraId="48209FB2"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themeColor="text1"/>
                <w:sz w:val="20"/>
              </w:rPr>
              <w:t>-$1,810</w:t>
            </w:r>
          </w:p>
        </w:tc>
        <w:tc>
          <w:tcPr>
            <w:tcW w:w="638" w:type="pct"/>
            <w:noWrap/>
            <w:vAlign w:val="center"/>
          </w:tcPr>
          <w:p w14:paraId="269B4B27"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themeColor="text1"/>
                <w:sz w:val="20"/>
              </w:rPr>
              <w:t>-$3,016</w:t>
            </w:r>
          </w:p>
        </w:tc>
        <w:tc>
          <w:tcPr>
            <w:tcW w:w="636" w:type="pct"/>
            <w:noWrap/>
            <w:vAlign w:val="center"/>
          </w:tcPr>
          <w:p w14:paraId="2E9EE8B1"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themeColor="text1"/>
                <w:sz w:val="20"/>
              </w:rPr>
              <w:t>-$4,222</w:t>
            </w:r>
          </w:p>
        </w:tc>
        <w:tc>
          <w:tcPr>
            <w:tcW w:w="637" w:type="pct"/>
            <w:noWrap/>
            <w:vAlign w:val="center"/>
          </w:tcPr>
          <w:p w14:paraId="215199C1"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themeColor="text1"/>
                <w:sz w:val="20"/>
              </w:rPr>
              <w:t>-$16,588</w:t>
            </w:r>
          </w:p>
        </w:tc>
        <w:tc>
          <w:tcPr>
            <w:tcW w:w="636" w:type="pct"/>
            <w:noWrap/>
            <w:vAlign w:val="center"/>
          </w:tcPr>
          <w:p w14:paraId="52845794"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themeColor="text1"/>
                <w:sz w:val="20"/>
              </w:rPr>
              <w:t>-$27,898</w:t>
            </w:r>
          </w:p>
        </w:tc>
      </w:tr>
      <w:tr w:rsidR="00BA09B0" w:rsidRPr="00DE1D69" w14:paraId="62857E70" w14:textId="77777777" w:rsidTr="00B36E72">
        <w:trPr>
          <w:cantSplit/>
          <w:trHeight w:val="70"/>
        </w:trPr>
        <w:tc>
          <w:tcPr>
            <w:tcW w:w="1813" w:type="pct"/>
            <w:noWrap/>
            <w:vAlign w:val="center"/>
          </w:tcPr>
          <w:p w14:paraId="14917D60" w14:textId="77777777" w:rsidR="00B36E72" w:rsidRPr="00DE1D69" w:rsidRDefault="00B36E72" w:rsidP="00B36E72">
            <w:pPr>
              <w:pStyle w:val="Tabletext0"/>
              <w:tabs>
                <w:tab w:val="left" w:pos="204"/>
              </w:tabs>
            </w:pPr>
            <w:r w:rsidRPr="00DE1D69">
              <w:tab/>
              <w:t>Hospital</w:t>
            </w:r>
          </w:p>
        </w:tc>
        <w:tc>
          <w:tcPr>
            <w:tcW w:w="640" w:type="pct"/>
            <w:noWrap/>
            <w:vAlign w:val="bottom"/>
          </w:tcPr>
          <w:p w14:paraId="2C83893E" w14:textId="77777777" w:rsidR="00B36E72" w:rsidRPr="00DE1D69" w:rsidRDefault="00B36E72" w:rsidP="00B36E72">
            <w:pPr>
              <w:spacing w:before="40" w:after="40"/>
              <w:jc w:val="center"/>
              <w:rPr>
                <w:rFonts w:ascii="Arial Narrow" w:hAnsi="Arial Narrow"/>
                <w:color w:val="000000" w:themeColor="text1"/>
                <w:sz w:val="20"/>
              </w:rPr>
            </w:pPr>
            <w:r w:rsidRPr="00DE1D69">
              <w:rPr>
                <w:rFonts w:ascii="Arial Narrow" w:hAnsi="Arial Narrow"/>
                <w:color w:val="000000"/>
                <w:sz w:val="20"/>
              </w:rPr>
              <w:t xml:space="preserve">-$37,209 </w:t>
            </w:r>
          </w:p>
        </w:tc>
        <w:tc>
          <w:tcPr>
            <w:tcW w:w="638" w:type="pct"/>
            <w:noWrap/>
            <w:vAlign w:val="bottom"/>
          </w:tcPr>
          <w:p w14:paraId="4D34E04C" w14:textId="77777777" w:rsidR="00B36E72" w:rsidRPr="00DE1D69" w:rsidRDefault="00B36E72" w:rsidP="00B36E72">
            <w:pPr>
              <w:spacing w:before="40" w:after="40"/>
              <w:jc w:val="center"/>
              <w:rPr>
                <w:rFonts w:ascii="Arial Narrow" w:hAnsi="Arial Narrow"/>
                <w:color w:val="000000" w:themeColor="text1"/>
                <w:sz w:val="20"/>
              </w:rPr>
            </w:pPr>
            <w:r w:rsidRPr="00DE1D69">
              <w:rPr>
                <w:rFonts w:ascii="Arial Narrow" w:hAnsi="Arial Narrow"/>
                <w:color w:val="000000"/>
                <w:sz w:val="20"/>
              </w:rPr>
              <w:t xml:space="preserve">-$63,788 </w:t>
            </w:r>
          </w:p>
        </w:tc>
        <w:tc>
          <w:tcPr>
            <w:tcW w:w="636" w:type="pct"/>
            <w:noWrap/>
            <w:vAlign w:val="bottom"/>
          </w:tcPr>
          <w:p w14:paraId="008D961C" w14:textId="77777777" w:rsidR="00B36E72" w:rsidRPr="00DE1D69" w:rsidRDefault="00B36E72" w:rsidP="00B36E72">
            <w:pPr>
              <w:spacing w:before="40" w:after="40"/>
              <w:jc w:val="center"/>
              <w:rPr>
                <w:rFonts w:ascii="Arial Narrow" w:hAnsi="Arial Narrow"/>
                <w:color w:val="000000" w:themeColor="text1"/>
                <w:sz w:val="20"/>
              </w:rPr>
            </w:pPr>
            <w:r w:rsidRPr="00DE1D69">
              <w:rPr>
                <w:rFonts w:ascii="Arial Narrow" w:hAnsi="Arial Narrow"/>
                <w:color w:val="000000"/>
                <w:sz w:val="20"/>
              </w:rPr>
              <w:t xml:space="preserve">-$90,366 </w:t>
            </w:r>
          </w:p>
        </w:tc>
        <w:tc>
          <w:tcPr>
            <w:tcW w:w="637" w:type="pct"/>
            <w:noWrap/>
            <w:vAlign w:val="bottom"/>
          </w:tcPr>
          <w:p w14:paraId="52C4631F" w14:textId="77777777" w:rsidR="00B36E72" w:rsidRPr="00DE1D69" w:rsidRDefault="00B36E72" w:rsidP="00B36E72">
            <w:pPr>
              <w:spacing w:before="40" w:after="40"/>
              <w:jc w:val="center"/>
              <w:rPr>
                <w:rFonts w:ascii="Arial Narrow" w:hAnsi="Arial Narrow"/>
                <w:color w:val="000000" w:themeColor="text1"/>
                <w:sz w:val="20"/>
              </w:rPr>
            </w:pPr>
            <w:r w:rsidRPr="00DE1D69">
              <w:rPr>
                <w:rFonts w:ascii="Arial Narrow" w:hAnsi="Arial Narrow"/>
                <w:color w:val="000000"/>
                <w:sz w:val="20"/>
              </w:rPr>
              <w:t xml:space="preserve">-$159,469 </w:t>
            </w:r>
          </w:p>
        </w:tc>
        <w:tc>
          <w:tcPr>
            <w:tcW w:w="636" w:type="pct"/>
            <w:noWrap/>
            <w:vAlign w:val="bottom"/>
          </w:tcPr>
          <w:p w14:paraId="531B89E2" w14:textId="77777777" w:rsidR="00B36E72" w:rsidRPr="00DE1D69" w:rsidRDefault="00B36E72" w:rsidP="00B36E72">
            <w:pPr>
              <w:spacing w:before="40" w:after="40"/>
              <w:jc w:val="center"/>
              <w:rPr>
                <w:rFonts w:ascii="Arial Narrow" w:hAnsi="Arial Narrow"/>
                <w:color w:val="000000" w:themeColor="text1"/>
                <w:sz w:val="20"/>
              </w:rPr>
            </w:pPr>
            <w:r w:rsidRPr="00DE1D69">
              <w:rPr>
                <w:rFonts w:ascii="Arial Narrow" w:hAnsi="Arial Narrow"/>
                <w:color w:val="000000"/>
                <w:sz w:val="20"/>
              </w:rPr>
              <w:t xml:space="preserve">-$239,204 </w:t>
            </w:r>
          </w:p>
        </w:tc>
      </w:tr>
      <w:tr w:rsidR="00BA09B0" w:rsidRPr="00DE1D69" w14:paraId="0F310E62" w14:textId="77777777" w:rsidTr="00B36E72">
        <w:trPr>
          <w:cantSplit/>
          <w:trHeight w:val="70"/>
        </w:trPr>
        <w:tc>
          <w:tcPr>
            <w:tcW w:w="1813" w:type="pct"/>
            <w:noWrap/>
            <w:vAlign w:val="center"/>
          </w:tcPr>
          <w:p w14:paraId="365078A3" w14:textId="77777777" w:rsidR="00B36E72" w:rsidRPr="00DE1D69" w:rsidRDefault="00B36E72" w:rsidP="00B36E72">
            <w:pPr>
              <w:pStyle w:val="Tabletext0"/>
              <w:tabs>
                <w:tab w:val="left" w:pos="204"/>
              </w:tabs>
              <w:jc w:val="right"/>
            </w:pPr>
            <w:r w:rsidRPr="00DE1D69">
              <w:t>Total substituted services</w:t>
            </w:r>
          </w:p>
        </w:tc>
        <w:tc>
          <w:tcPr>
            <w:tcW w:w="640" w:type="pct"/>
            <w:noWrap/>
            <w:vAlign w:val="bottom"/>
          </w:tcPr>
          <w:p w14:paraId="4830D8E9"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 xml:space="preserve">-$44,533 </w:t>
            </w:r>
          </w:p>
        </w:tc>
        <w:tc>
          <w:tcPr>
            <w:tcW w:w="638" w:type="pct"/>
            <w:noWrap/>
            <w:vAlign w:val="bottom"/>
          </w:tcPr>
          <w:p w14:paraId="14FE385E"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 xml:space="preserve">-$76,257 </w:t>
            </w:r>
          </w:p>
        </w:tc>
        <w:tc>
          <w:tcPr>
            <w:tcW w:w="636" w:type="pct"/>
            <w:noWrap/>
            <w:vAlign w:val="bottom"/>
          </w:tcPr>
          <w:p w14:paraId="77C519D4"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 xml:space="preserve">-$107,980 </w:t>
            </w:r>
          </w:p>
        </w:tc>
        <w:tc>
          <w:tcPr>
            <w:tcW w:w="637" w:type="pct"/>
            <w:noWrap/>
            <w:vAlign w:val="bottom"/>
          </w:tcPr>
          <w:p w14:paraId="5F7CD63F"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 xml:space="preserve">-$190,642 </w:t>
            </w:r>
          </w:p>
        </w:tc>
        <w:tc>
          <w:tcPr>
            <w:tcW w:w="636" w:type="pct"/>
            <w:noWrap/>
            <w:vAlign w:val="bottom"/>
          </w:tcPr>
          <w:p w14:paraId="53340F05" w14:textId="77777777" w:rsidR="00B36E72" w:rsidRPr="00DE1D69" w:rsidRDefault="00B36E72" w:rsidP="00B36E72">
            <w:pPr>
              <w:spacing w:before="40" w:after="40"/>
              <w:jc w:val="center"/>
              <w:rPr>
                <w:rFonts w:ascii="Arial Narrow" w:hAnsi="Arial Narrow"/>
                <w:sz w:val="20"/>
              </w:rPr>
            </w:pPr>
            <w:r w:rsidRPr="00DE1D69">
              <w:rPr>
                <w:rFonts w:ascii="Arial Narrow" w:hAnsi="Arial Narrow"/>
                <w:color w:val="000000"/>
                <w:sz w:val="20"/>
              </w:rPr>
              <w:t xml:space="preserve">-$285,962 </w:t>
            </w:r>
          </w:p>
        </w:tc>
      </w:tr>
      <w:tr w:rsidR="00BA09B0" w:rsidRPr="005B5219" w14:paraId="3646986B" w14:textId="77777777" w:rsidTr="00B36E72">
        <w:trPr>
          <w:cantSplit/>
          <w:trHeight w:val="70"/>
        </w:trPr>
        <w:tc>
          <w:tcPr>
            <w:tcW w:w="1813" w:type="pct"/>
            <w:noWrap/>
            <w:vAlign w:val="center"/>
          </w:tcPr>
          <w:p w14:paraId="680177BA" w14:textId="77777777" w:rsidR="00B36E72" w:rsidRPr="00DE1D69" w:rsidRDefault="00B36E72" w:rsidP="00B36E72">
            <w:pPr>
              <w:pStyle w:val="Tabletext0"/>
              <w:tabs>
                <w:tab w:val="left" w:pos="204"/>
              </w:tabs>
              <w:rPr>
                <w:b/>
                <w:bCs/>
              </w:rPr>
            </w:pPr>
            <w:r w:rsidRPr="00DE1D69">
              <w:rPr>
                <w:b/>
                <w:bCs/>
              </w:rPr>
              <w:t>Overall net cost</w:t>
            </w:r>
          </w:p>
        </w:tc>
        <w:tc>
          <w:tcPr>
            <w:tcW w:w="640" w:type="pct"/>
            <w:noWrap/>
            <w:vAlign w:val="bottom"/>
          </w:tcPr>
          <w:p w14:paraId="1B5B0845" w14:textId="5DF11634" w:rsidR="00B36E72" w:rsidRPr="00DE1D69" w:rsidRDefault="00B36E72" w:rsidP="00DE1D69">
            <w:pPr>
              <w:spacing w:before="40" w:after="40"/>
              <w:jc w:val="center"/>
              <w:rPr>
                <w:rFonts w:ascii="Arial Narrow" w:hAnsi="Arial Narrow" w:cs="Calibri"/>
                <w:b/>
                <w:bCs/>
                <w:color w:val="000000"/>
                <w:sz w:val="20"/>
              </w:rPr>
            </w:pPr>
            <w:r w:rsidRPr="00DE1D69">
              <w:rPr>
                <w:rFonts w:ascii="Arial Narrow" w:hAnsi="Arial Narrow" w:cs="Calibri"/>
                <w:b/>
                <w:bCs/>
                <w:color w:val="000000"/>
                <w:sz w:val="20"/>
              </w:rPr>
              <w:t>$</w:t>
            </w:r>
            <w:r w:rsidR="00BA09B0" w:rsidRPr="00DE1D69">
              <w:rPr>
                <w:rFonts w:ascii="Arial Narrow" w:hAnsi="Arial Narrow" w:cs="Calibri"/>
                <w:b/>
                <w:bCs/>
                <w:color w:val="000000"/>
                <w:sz w:val="20"/>
              </w:rPr>
              <w:t>redacted</w:t>
            </w:r>
          </w:p>
        </w:tc>
        <w:tc>
          <w:tcPr>
            <w:tcW w:w="638" w:type="pct"/>
            <w:noWrap/>
            <w:vAlign w:val="bottom"/>
          </w:tcPr>
          <w:p w14:paraId="0E58EF8C" w14:textId="23AD03E3" w:rsidR="00B36E72" w:rsidRPr="00DE1D69" w:rsidRDefault="00B36E72" w:rsidP="00DE1D69">
            <w:pPr>
              <w:spacing w:before="40" w:after="40"/>
              <w:jc w:val="center"/>
              <w:rPr>
                <w:rFonts w:ascii="Arial Narrow" w:hAnsi="Arial Narrow" w:cs="Calibri"/>
                <w:b/>
                <w:bCs/>
                <w:color w:val="000000"/>
                <w:sz w:val="20"/>
              </w:rPr>
            </w:pPr>
            <w:r w:rsidRPr="00DE1D69">
              <w:rPr>
                <w:rFonts w:ascii="Arial Narrow" w:hAnsi="Arial Narrow" w:cs="Calibri"/>
                <w:b/>
                <w:bCs/>
                <w:color w:val="000000"/>
                <w:sz w:val="20"/>
              </w:rPr>
              <w:t>$</w:t>
            </w:r>
            <w:r w:rsidR="00BA09B0" w:rsidRPr="00DE1D69">
              <w:rPr>
                <w:rFonts w:ascii="Arial Narrow" w:hAnsi="Arial Narrow" w:cs="Calibri"/>
                <w:b/>
                <w:bCs/>
                <w:color w:val="000000"/>
                <w:sz w:val="20"/>
              </w:rPr>
              <w:t>redacted</w:t>
            </w:r>
          </w:p>
        </w:tc>
        <w:tc>
          <w:tcPr>
            <w:tcW w:w="636" w:type="pct"/>
            <w:noWrap/>
            <w:vAlign w:val="bottom"/>
          </w:tcPr>
          <w:p w14:paraId="04EA9558" w14:textId="01A73F0F" w:rsidR="00B36E72" w:rsidRPr="00DE1D69" w:rsidRDefault="00B36E72" w:rsidP="00DE1D69">
            <w:pPr>
              <w:spacing w:before="40" w:after="40"/>
              <w:jc w:val="center"/>
              <w:rPr>
                <w:rFonts w:ascii="Arial Narrow" w:hAnsi="Arial Narrow" w:cs="Calibri"/>
                <w:b/>
                <w:bCs/>
                <w:color w:val="000000"/>
                <w:sz w:val="20"/>
              </w:rPr>
            </w:pPr>
            <w:r w:rsidRPr="00DE1D69">
              <w:rPr>
                <w:rFonts w:ascii="Arial Narrow" w:hAnsi="Arial Narrow" w:cs="Calibri"/>
                <w:b/>
                <w:bCs/>
                <w:color w:val="000000"/>
                <w:sz w:val="20"/>
              </w:rPr>
              <w:t>$</w:t>
            </w:r>
            <w:r w:rsidR="00BA09B0" w:rsidRPr="00DE1D69">
              <w:rPr>
                <w:rFonts w:ascii="Arial Narrow" w:hAnsi="Arial Narrow" w:cs="Calibri"/>
                <w:b/>
                <w:bCs/>
                <w:color w:val="000000"/>
                <w:sz w:val="20"/>
              </w:rPr>
              <w:t>redacted</w:t>
            </w:r>
          </w:p>
        </w:tc>
        <w:tc>
          <w:tcPr>
            <w:tcW w:w="637" w:type="pct"/>
            <w:noWrap/>
            <w:vAlign w:val="bottom"/>
          </w:tcPr>
          <w:p w14:paraId="36700F63" w14:textId="231C6EE0" w:rsidR="00B36E72" w:rsidRPr="00DE1D69" w:rsidRDefault="00B36E72" w:rsidP="00DE1D69">
            <w:pPr>
              <w:spacing w:before="40" w:after="40"/>
              <w:jc w:val="center"/>
              <w:rPr>
                <w:rFonts w:ascii="Arial Narrow" w:hAnsi="Arial Narrow" w:cs="Calibri"/>
                <w:b/>
                <w:bCs/>
                <w:color w:val="000000"/>
                <w:sz w:val="20"/>
              </w:rPr>
            </w:pPr>
            <w:r w:rsidRPr="00DE1D69">
              <w:rPr>
                <w:rFonts w:ascii="Arial Narrow" w:hAnsi="Arial Narrow" w:cs="Calibri"/>
                <w:b/>
                <w:bCs/>
                <w:color w:val="000000"/>
                <w:sz w:val="20"/>
              </w:rPr>
              <w:t>$</w:t>
            </w:r>
            <w:r w:rsidR="00BA09B0" w:rsidRPr="00DE1D69">
              <w:rPr>
                <w:rFonts w:ascii="Arial Narrow" w:hAnsi="Arial Narrow" w:cs="Calibri"/>
                <w:b/>
                <w:bCs/>
                <w:color w:val="000000"/>
                <w:sz w:val="20"/>
              </w:rPr>
              <w:t>redacted</w:t>
            </w:r>
          </w:p>
        </w:tc>
        <w:tc>
          <w:tcPr>
            <w:tcW w:w="636" w:type="pct"/>
            <w:noWrap/>
            <w:vAlign w:val="bottom"/>
          </w:tcPr>
          <w:p w14:paraId="040B0835" w14:textId="32DD53FA" w:rsidR="00B36E72" w:rsidRPr="00DE1D69" w:rsidRDefault="00B36E72" w:rsidP="00DE1D69">
            <w:pPr>
              <w:spacing w:before="40" w:after="40"/>
              <w:jc w:val="center"/>
              <w:rPr>
                <w:rFonts w:ascii="Arial Narrow" w:hAnsi="Arial Narrow" w:cs="Calibri"/>
                <w:b/>
                <w:bCs/>
                <w:color w:val="000000"/>
                <w:sz w:val="20"/>
              </w:rPr>
            </w:pPr>
            <w:r w:rsidRPr="00DE1D69">
              <w:rPr>
                <w:rFonts w:ascii="Arial Narrow" w:hAnsi="Arial Narrow" w:cs="Calibri"/>
                <w:b/>
                <w:bCs/>
                <w:color w:val="000000"/>
                <w:sz w:val="20"/>
              </w:rPr>
              <w:t>$</w:t>
            </w:r>
            <w:r w:rsidR="00BA09B0" w:rsidRPr="00DE1D69">
              <w:rPr>
                <w:rFonts w:ascii="Arial Narrow" w:hAnsi="Arial Narrow" w:cs="Calibri"/>
                <w:b/>
                <w:bCs/>
                <w:color w:val="000000"/>
                <w:sz w:val="20"/>
              </w:rPr>
              <w:t>redacted</w:t>
            </w:r>
          </w:p>
        </w:tc>
      </w:tr>
    </w:tbl>
    <w:p w14:paraId="4D521F6E" w14:textId="77777777" w:rsidR="00B36E72" w:rsidRDefault="00B36E72" w:rsidP="00417876">
      <w:pPr>
        <w:pStyle w:val="Tablenotes"/>
      </w:pPr>
      <w:r w:rsidRPr="007819B3">
        <w:t xml:space="preserve">Source: </w:t>
      </w:r>
      <w:r>
        <w:t>Table 66, p119 of the commentary.</w:t>
      </w:r>
    </w:p>
    <w:p w14:paraId="628CA1A4" w14:textId="77777777" w:rsidR="00B36E72" w:rsidRPr="00D532D8" w:rsidRDefault="00B36E72" w:rsidP="00417876">
      <w:pPr>
        <w:pStyle w:val="Tablenotes"/>
      </w:pPr>
      <w:r>
        <w:lastRenderedPageBreak/>
        <w:t xml:space="preserve">Abbreviations: </w:t>
      </w:r>
      <w:r>
        <w:rPr>
          <w:rStyle w:val="TablenotesChar"/>
        </w:rPr>
        <w:t xml:space="preserve">DISE=drug induced sleep endoscopy; </w:t>
      </w:r>
      <w:r>
        <w:t>IPG=implantable pulse generator; MBS=</w:t>
      </w:r>
      <w:proofErr w:type="spellStart"/>
      <w:r>
        <w:t>medicare</w:t>
      </w:r>
      <w:proofErr w:type="spellEnd"/>
      <w:r>
        <w:t xml:space="preserve"> benefit schedule; UAS=upper airway stimulation; UPPP=</w:t>
      </w:r>
      <w:proofErr w:type="spellStart"/>
      <w:r>
        <w:t>uvulopalatopharyngoplastyItalicised</w:t>
      </w:r>
      <w:proofErr w:type="spellEnd"/>
      <w:r w:rsidRPr="00D532D8">
        <w:t xml:space="preserve"> represents numerical corrections made by Department</w:t>
      </w:r>
    </w:p>
    <w:p w14:paraId="4821F2E2" w14:textId="0DAD60CC" w:rsidR="00B36E72" w:rsidRDefault="00B36E72" w:rsidP="00B36E72">
      <w:pPr>
        <w:spacing w:after="240"/>
        <w:rPr>
          <w:i/>
          <w:iCs/>
        </w:rPr>
      </w:pPr>
      <w:r w:rsidRPr="0047045F">
        <w:t xml:space="preserve">The commentary noted that the </w:t>
      </w:r>
      <w:r w:rsidRPr="0047045F">
        <w:rPr>
          <w:iCs/>
        </w:rPr>
        <w:t xml:space="preserve">estimated costs are dependent on the claimed limitations of usage due to access (i.e. limited specialists and limited centres performing the procedure), and </w:t>
      </w:r>
      <w:r w:rsidRPr="0047045F">
        <w:t xml:space="preserve">considered the </w:t>
      </w:r>
      <w:r w:rsidRPr="0047045F">
        <w:rPr>
          <w:iCs/>
        </w:rPr>
        <w:t>estimated usage of closed loop UAS to be considerably low, particularly given the size of the estimated eligible patient population. The treatment of 24 patients in the first year of listing represents 0.1% of the eligible population (N=20,091), and the treatment of 150 patients in the fifth year of listing represents 0.7% of the eligible population</w:t>
      </w:r>
      <w:r>
        <w:rPr>
          <w:iCs/>
        </w:rPr>
        <w:t>.</w:t>
      </w:r>
      <w:r w:rsidRPr="0047045F">
        <w:rPr>
          <w:iCs/>
        </w:rPr>
        <w:t xml:space="preserve"> Overall, the commentary considered the estimated number of patients likely to use closed loop UAS </w:t>
      </w:r>
      <w:r>
        <w:rPr>
          <w:iCs/>
        </w:rPr>
        <w:t>to be</w:t>
      </w:r>
      <w:r w:rsidRPr="0047045F">
        <w:rPr>
          <w:iCs/>
        </w:rPr>
        <w:t xml:space="preserve"> uncertain, </w:t>
      </w:r>
      <w:r>
        <w:rPr>
          <w:iCs/>
        </w:rPr>
        <w:t>as the ADAR did not provide adequate justification for the estimated low usage of UAS nor the estimated number of possible treatment centres. As</w:t>
      </w:r>
      <w:r w:rsidRPr="0047045F">
        <w:rPr>
          <w:iCs/>
        </w:rPr>
        <w:t xml:space="preserve"> such</w:t>
      </w:r>
      <w:r>
        <w:rPr>
          <w:iCs/>
        </w:rPr>
        <w:t xml:space="preserve">, </w:t>
      </w:r>
      <w:r w:rsidRPr="0047045F">
        <w:rPr>
          <w:iCs/>
        </w:rPr>
        <w:t>there may be potential for greater usage.</w:t>
      </w:r>
    </w:p>
    <w:p w14:paraId="596FADEE" w14:textId="370547AE" w:rsidR="00B36E72" w:rsidRDefault="00B36E72" w:rsidP="00B36E72">
      <w:pPr>
        <w:spacing w:after="240"/>
        <w:rPr>
          <w:i/>
          <w:iCs/>
        </w:rPr>
      </w:pPr>
      <w:r>
        <w:t xml:space="preserve">Sensitivity analyses </w:t>
      </w:r>
      <w:proofErr w:type="gramStart"/>
      <w:r>
        <w:t>were conducted</w:t>
      </w:r>
      <w:proofErr w:type="gramEnd"/>
      <w:r>
        <w:t xml:space="preserve"> to explore the impact of increasing and decreasing the number of patients treated per centre, as well as analyses where the rate of substitution of UPPP is altered (</w:t>
      </w:r>
      <w:r>
        <w:fldChar w:fldCharType="begin"/>
      </w:r>
      <w:r>
        <w:instrText xml:space="preserve"> REF _Ref51870441 \h </w:instrText>
      </w:r>
      <w:r>
        <w:fldChar w:fldCharType="separate"/>
      </w:r>
      <w:r w:rsidR="00D007E1">
        <w:t xml:space="preserve">Table </w:t>
      </w:r>
      <w:r w:rsidR="00D007E1">
        <w:rPr>
          <w:noProof/>
        </w:rPr>
        <w:t>17</w:t>
      </w:r>
      <w:r>
        <w:fldChar w:fldCharType="end"/>
      </w:r>
      <w:r>
        <w:t xml:space="preserve">). </w:t>
      </w:r>
      <w:r w:rsidRPr="007C480E">
        <w:rPr>
          <w:iCs/>
        </w:rPr>
        <w:t>These results demonstrate that assumed centre numbers and patients per centre are key determinants of estimated net cost.</w:t>
      </w:r>
      <w:r w:rsidRPr="007C480E">
        <w:t xml:space="preserve"> </w:t>
      </w:r>
    </w:p>
    <w:p w14:paraId="2C705788" w14:textId="2D76AB53" w:rsidR="00B36E72" w:rsidRPr="00875ED2" w:rsidRDefault="00B36E72" w:rsidP="00875ED2">
      <w:pPr>
        <w:rPr>
          <w:rFonts w:ascii="Arial Narrow" w:hAnsi="Arial Narrow"/>
          <w:b/>
          <w:sz w:val="20"/>
        </w:rPr>
      </w:pPr>
      <w:bookmarkStart w:id="35" w:name="_Ref51870441"/>
      <w:r w:rsidRPr="00875ED2">
        <w:rPr>
          <w:rFonts w:ascii="Arial Narrow" w:hAnsi="Arial Narrow"/>
          <w:b/>
          <w:sz w:val="20"/>
        </w:rPr>
        <w:t xml:space="preserve">Table </w:t>
      </w:r>
      <w:r w:rsidR="00086098" w:rsidRPr="00875ED2">
        <w:rPr>
          <w:rFonts w:ascii="Arial Narrow" w:hAnsi="Arial Narrow"/>
          <w:b/>
          <w:sz w:val="20"/>
        </w:rPr>
        <w:fldChar w:fldCharType="begin"/>
      </w:r>
      <w:r w:rsidR="00086098" w:rsidRPr="00875ED2">
        <w:rPr>
          <w:rFonts w:ascii="Arial Narrow" w:hAnsi="Arial Narrow"/>
          <w:b/>
          <w:sz w:val="20"/>
        </w:rPr>
        <w:instrText xml:space="preserve"> SEQ Table \* ARABIC </w:instrText>
      </w:r>
      <w:r w:rsidR="00086098" w:rsidRPr="00875ED2">
        <w:rPr>
          <w:rFonts w:ascii="Arial Narrow" w:hAnsi="Arial Narrow"/>
          <w:b/>
          <w:sz w:val="20"/>
        </w:rPr>
        <w:fldChar w:fldCharType="separate"/>
      </w:r>
      <w:r w:rsidR="00D007E1" w:rsidRPr="00875ED2">
        <w:rPr>
          <w:rFonts w:ascii="Arial Narrow" w:hAnsi="Arial Narrow"/>
          <w:b/>
          <w:sz w:val="20"/>
        </w:rPr>
        <w:t>17</w:t>
      </w:r>
      <w:r w:rsidR="00086098" w:rsidRPr="00875ED2">
        <w:rPr>
          <w:rFonts w:ascii="Arial Narrow" w:hAnsi="Arial Narrow"/>
          <w:b/>
          <w:sz w:val="20"/>
        </w:rPr>
        <w:fldChar w:fldCharType="end"/>
      </w:r>
      <w:bookmarkEnd w:id="35"/>
      <w:r w:rsidRPr="00875ED2">
        <w:rPr>
          <w:rFonts w:ascii="Arial Narrow" w:hAnsi="Arial Narrow"/>
          <w:b/>
          <w:sz w:val="20"/>
        </w:rPr>
        <w:t xml:space="preserve"> Sensitivity analyses of estimated net cost to the MBS </w:t>
      </w:r>
    </w:p>
    <w:tbl>
      <w:tblPr>
        <w:tblW w:w="500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Caption w:val="Table 51 Sensitivity analyses of estimated net cost to the MBS "/>
        <w:tblDescription w:val="This table provides result sof sensitivity analyses of the estimated financial implications for listing of closed loop UAS."/>
      </w:tblPr>
      <w:tblGrid>
        <w:gridCol w:w="3535"/>
        <w:gridCol w:w="1103"/>
        <w:gridCol w:w="1100"/>
        <w:gridCol w:w="1096"/>
        <w:gridCol w:w="1098"/>
        <w:gridCol w:w="1098"/>
      </w:tblGrid>
      <w:tr w:rsidR="00B36E72" w:rsidRPr="00AA66CD" w14:paraId="172E0CF1" w14:textId="77777777" w:rsidTr="00B36E72">
        <w:trPr>
          <w:cantSplit/>
          <w:trHeight w:val="70"/>
          <w:tblHeader/>
        </w:trPr>
        <w:tc>
          <w:tcPr>
            <w:tcW w:w="1957" w:type="pct"/>
            <w:noWrap/>
            <w:vAlign w:val="center"/>
          </w:tcPr>
          <w:p w14:paraId="6CDACE9A" w14:textId="77777777" w:rsidR="00B36E72" w:rsidRPr="002D3D4D" w:rsidRDefault="00B36E72" w:rsidP="00B36E72">
            <w:pPr>
              <w:pStyle w:val="Tabletextboldleft"/>
              <w:tabs>
                <w:tab w:val="left" w:pos="204"/>
              </w:tabs>
              <w:spacing w:before="40" w:after="40"/>
            </w:pPr>
          </w:p>
        </w:tc>
        <w:tc>
          <w:tcPr>
            <w:tcW w:w="611" w:type="pct"/>
            <w:noWrap/>
            <w:vAlign w:val="center"/>
          </w:tcPr>
          <w:p w14:paraId="2134CDC1" w14:textId="77777777" w:rsidR="00B36E72" w:rsidRDefault="00B36E72" w:rsidP="00B36E72">
            <w:pPr>
              <w:pStyle w:val="Tabletextbold"/>
              <w:spacing w:before="40" w:after="40"/>
              <w:rPr>
                <w:sz w:val="24"/>
                <w:szCs w:val="24"/>
              </w:rPr>
            </w:pPr>
            <w:r>
              <w:t>Year 1</w:t>
            </w:r>
          </w:p>
        </w:tc>
        <w:tc>
          <w:tcPr>
            <w:tcW w:w="609" w:type="pct"/>
            <w:noWrap/>
            <w:vAlign w:val="center"/>
          </w:tcPr>
          <w:p w14:paraId="01C6167F" w14:textId="77777777" w:rsidR="00B36E72" w:rsidRDefault="00B36E72" w:rsidP="00B36E72">
            <w:pPr>
              <w:pStyle w:val="Tabletextbold"/>
              <w:spacing w:before="40" w:after="40"/>
              <w:rPr>
                <w:sz w:val="24"/>
                <w:szCs w:val="24"/>
              </w:rPr>
            </w:pPr>
            <w:r>
              <w:t>Year 2</w:t>
            </w:r>
          </w:p>
        </w:tc>
        <w:tc>
          <w:tcPr>
            <w:tcW w:w="607" w:type="pct"/>
            <w:noWrap/>
            <w:vAlign w:val="center"/>
          </w:tcPr>
          <w:p w14:paraId="2759AE26" w14:textId="77777777" w:rsidR="00B36E72" w:rsidRDefault="00B36E72" w:rsidP="00B36E72">
            <w:pPr>
              <w:pStyle w:val="Tabletextbold"/>
              <w:spacing w:before="40" w:after="40"/>
              <w:rPr>
                <w:sz w:val="24"/>
                <w:szCs w:val="24"/>
              </w:rPr>
            </w:pPr>
            <w:r>
              <w:t>Year 3</w:t>
            </w:r>
          </w:p>
        </w:tc>
        <w:tc>
          <w:tcPr>
            <w:tcW w:w="608" w:type="pct"/>
            <w:noWrap/>
            <w:vAlign w:val="center"/>
          </w:tcPr>
          <w:p w14:paraId="367AC17F" w14:textId="77777777" w:rsidR="00B36E72" w:rsidRDefault="00B36E72" w:rsidP="00B36E72">
            <w:pPr>
              <w:pStyle w:val="Tabletextbold"/>
              <w:spacing w:before="40" w:after="40"/>
              <w:rPr>
                <w:sz w:val="24"/>
                <w:szCs w:val="24"/>
              </w:rPr>
            </w:pPr>
            <w:r>
              <w:t>Year 4</w:t>
            </w:r>
          </w:p>
        </w:tc>
        <w:tc>
          <w:tcPr>
            <w:tcW w:w="608" w:type="pct"/>
            <w:noWrap/>
            <w:vAlign w:val="center"/>
          </w:tcPr>
          <w:p w14:paraId="1E5DFFE1" w14:textId="77777777" w:rsidR="00B36E72" w:rsidRDefault="00B36E72" w:rsidP="00B36E72">
            <w:pPr>
              <w:pStyle w:val="Tabletextbold"/>
              <w:spacing w:before="40" w:after="40"/>
              <w:rPr>
                <w:sz w:val="24"/>
                <w:szCs w:val="24"/>
              </w:rPr>
            </w:pPr>
            <w:r>
              <w:t>Year 5</w:t>
            </w:r>
          </w:p>
        </w:tc>
      </w:tr>
      <w:tr w:rsidR="00B36E72" w:rsidRPr="00EC194D" w14:paraId="658FD539" w14:textId="77777777" w:rsidTr="00B36E72">
        <w:trPr>
          <w:cantSplit/>
          <w:trHeight w:val="70"/>
        </w:trPr>
        <w:tc>
          <w:tcPr>
            <w:tcW w:w="1957" w:type="pct"/>
            <w:tcBorders>
              <w:bottom w:val="single" w:sz="4" w:space="0" w:color="auto"/>
            </w:tcBorders>
            <w:noWrap/>
            <w:vAlign w:val="center"/>
          </w:tcPr>
          <w:p w14:paraId="5CB347D9" w14:textId="77777777" w:rsidR="00B36E72" w:rsidRPr="003F2A1B" w:rsidRDefault="00B36E72" w:rsidP="00B36E72">
            <w:pPr>
              <w:pStyle w:val="Tabletext0"/>
              <w:tabs>
                <w:tab w:val="left" w:pos="204"/>
              </w:tabs>
            </w:pPr>
            <w:r w:rsidRPr="003F2A1B">
              <w:t>Number of patients/services (base case)</w:t>
            </w:r>
          </w:p>
        </w:tc>
        <w:tc>
          <w:tcPr>
            <w:tcW w:w="611" w:type="pct"/>
            <w:tcBorders>
              <w:bottom w:val="single" w:sz="4" w:space="0" w:color="auto"/>
            </w:tcBorders>
            <w:noWrap/>
            <w:vAlign w:val="center"/>
          </w:tcPr>
          <w:p w14:paraId="64D848EA"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sz w:val="20"/>
              </w:rPr>
              <w:t>24</w:t>
            </w:r>
          </w:p>
        </w:tc>
        <w:tc>
          <w:tcPr>
            <w:tcW w:w="609" w:type="pct"/>
            <w:tcBorders>
              <w:bottom w:val="single" w:sz="4" w:space="0" w:color="auto"/>
            </w:tcBorders>
            <w:noWrap/>
            <w:vAlign w:val="center"/>
          </w:tcPr>
          <w:p w14:paraId="5872273A"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sz w:val="20"/>
              </w:rPr>
              <w:t>40</w:t>
            </w:r>
          </w:p>
        </w:tc>
        <w:tc>
          <w:tcPr>
            <w:tcW w:w="607" w:type="pct"/>
            <w:tcBorders>
              <w:bottom w:val="single" w:sz="4" w:space="0" w:color="auto"/>
            </w:tcBorders>
            <w:noWrap/>
            <w:vAlign w:val="center"/>
          </w:tcPr>
          <w:p w14:paraId="2E57BD54"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sz w:val="20"/>
              </w:rPr>
              <w:t>56</w:t>
            </w:r>
          </w:p>
        </w:tc>
        <w:tc>
          <w:tcPr>
            <w:tcW w:w="608" w:type="pct"/>
            <w:tcBorders>
              <w:bottom w:val="single" w:sz="4" w:space="0" w:color="auto"/>
            </w:tcBorders>
            <w:noWrap/>
            <w:vAlign w:val="center"/>
          </w:tcPr>
          <w:p w14:paraId="77071083"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sz w:val="20"/>
              </w:rPr>
              <w:t>100</w:t>
            </w:r>
          </w:p>
        </w:tc>
        <w:tc>
          <w:tcPr>
            <w:tcW w:w="608" w:type="pct"/>
            <w:tcBorders>
              <w:bottom w:val="single" w:sz="4" w:space="0" w:color="auto"/>
            </w:tcBorders>
            <w:noWrap/>
            <w:vAlign w:val="center"/>
          </w:tcPr>
          <w:p w14:paraId="651158FD"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sz w:val="20"/>
              </w:rPr>
              <w:t>150</w:t>
            </w:r>
          </w:p>
        </w:tc>
      </w:tr>
      <w:tr w:rsidR="00B36E72" w:rsidRPr="002018EB" w14:paraId="5A7C7E16" w14:textId="77777777" w:rsidTr="00B36E72">
        <w:trPr>
          <w:cantSplit/>
          <w:trHeight w:val="70"/>
        </w:trPr>
        <w:tc>
          <w:tcPr>
            <w:tcW w:w="1957" w:type="pct"/>
            <w:tcBorders>
              <w:bottom w:val="single" w:sz="4" w:space="0" w:color="auto"/>
            </w:tcBorders>
            <w:noWrap/>
            <w:vAlign w:val="center"/>
          </w:tcPr>
          <w:p w14:paraId="59F3DA73" w14:textId="77777777" w:rsidR="00B36E72" w:rsidRPr="003F2A1B" w:rsidRDefault="00B36E72" w:rsidP="00B36E72">
            <w:pPr>
              <w:pStyle w:val="Tabletext0"/>
              <w:tabs>
                <w:tab w:val="left" w:pos="204"/>
              </w:tabs>
            </w:pPr>
            <w:r w:rsidRPr="003F2A1B">
              <w:t>Net MBS cost (base case)</w:t>
            </w:r>
          </w:p>
        </w:tc>
        <w:tc>
          <w:tcPr>
            <w:tcW w:w="611" w:type="pct"/>
            <w:tcBorders>
              <w:bottom w:val="single" w:sz="4" w:space="0" w:color="auto"/>
            </w:tcBorders>
            <w:noWrap/>
          </w:tcPr>
          <w:p w14:paraId="7B105972"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sz w:val="20"/>
              </w:rPr>
              <w:t>$23,063</w:t>
            </w:r>
          </w:p>
        </w:tc>
        <w:tc>
          <w:tcPr>
            <w:tcW w:w="609" w:type="pct"/>
            <w:tcBorders>
              <w:bottom w:val="single" w:sz="4" w:space="0" w:color="auto"/>
            </w:tcBorders>
            <w:noWrap/>
          </w:tcPr>
          <w:p w14:paraId="3D446B4B"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sz w:val="20"/>
              </w:rPr>
              <w:t>$39,985</w:t>
            </w:r>
          </w:p>
        </w:tc>
        <w:tc>
          <w:tcPr>
            <w:tcW w:w="607" w:type="pct"/>
            <w:tcBorders>
              <w:bottom w:val="single" w:sz="4" w:space="0" w:color="auto"/>
            </w:tcBorders>
            <w:noWrap/>
          </w:tcPr>
          <w:p w14:paraId="04D4DFE9"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sz w:val="20"/>
              </w:rPr>
              <w:t>$58,113</w:t>
            </w:r>
          </w:p>
        </w:tc>
        <w:tc>
          <w:tcPr>
            <w:tcW w:w="608" w:type="pct"/>
            <w:tcBorders>
              <w:bottom w:val="single" w:sz="4" w:space="0" w:color="auto"/>
            </w:tcBorders>
            <w:noWrap/>
          </w:tcPr>
          <w:p w14:paraId="759EA1F1"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sz w:val="20"/>
              </w:rPr>
              <w:t>$104,486</w:t>
            </w:r>
          </w:p>
        </w:tc>
        <w:tc>
          <w:tcPr>
            <w:tcW w:w="608" w:type="pct"/>
            <w:tcBorders>
              <w:bottom w:val="single" w:sz="4" w:space="0" w:color="auto"/>
            </w:tcBorders>
            <w:noWrap/>
          </w:tcPr>
          <w:p w14:paraId="61B79282"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sz w:val="20"/>
              </w:rPr>
              <w:t>$159,745</w:t>
            </w:r>
          </w:p>
        </w:tc>
      </w:tr>
      <w:tr w:rsidR="00B36E72" w:rsidRPr="002D3D4D" w14:paraId="1103C954" w14:textId="77777777" w:rsidTr="00B36E72">
        <w:trPr>
          <w:cantSplit/>
          <w:trHeight w:val="70"/>
        </w:trPr>
        <w:tc>
          <w:tcPr>
            <w:tcW w:w="1957" w:type="pct"/>
            <w:tcBorders>
              <w:right w:val="nil"/>
            </w:tcBorders>
            <w:noWrap/>
            <w:vAlign w:val="center"/>
          </w:tcPr>
          <w:p w14:paraId="74FDEB4E" w14:textId="77777777" w:rsidR="00B36E72" w:rsidRPr="003F2A1B" w:rsidRDefault="00B36E72" w:rsidP="00B36E72">
            <w:pPr>
              <w:pStyle w:val="Tabletext0"/>
              <w:tabs>
                <w:tab w:val="left" w:pos="204"/>
              </w:tabs>
              <w:rPr>
                <w:color w:val="000000"/>
              </w:rPr>
            </w:pPr>
            <w:r w:rsidRPr="003F2A1B">
              <w:rPr>
                <w:color w:val="000000"/>
              </w:rPr>
              <w:t xml:space="preserve">Number of patients per centre </w:t>
            </w:r>
          </w:p>
          <w:p w14:paraId="4C38FCF5" w14:textId="77777777" w:rsidR="00B36E72" w:rsidRPr="003F2A1B" w:rsidRDefault="00B36E72" w:rsidP="00B36E72">
            <w:pPr>
              <w:pStyle w:val="Tabletext0"/>
              <w:tabs>
                <w:tab w:val="left" w:pos="204"/>
              </w:tabs>
              <w:rPr>
                <w:color w:val="000000"/>
              </w:rPr>
            </w:pPr>
            <w:r w:rsidRPr="003F2A1B">
              <w:rPr>
                <w:color w:val="000000"/>
              </w:rPr>
              <w:t>(base case: 8 in Years 1-3, 10 in Years 4-5)</w:t>
            </w:r>
          </w:p>
        </w:tc>
        <w:tc>
          <w:tcPr>
            <w:tcW w:w="611" w:type="pct"/>
            <w:tcBorders>
              <w:left w:val="nil"/>
              <w:right w:val="nil"/>
            </w:tcBorders>
            <w:noWrap/>
            <w:vAlign w:val="center"/>
          </w:tcPr>
          <w:p w14:paraId="414D12F4" w14:textId="77777777" w:rsidR="00B36E72" w:rsidRPr="003F2A1B" w:rsidRDefault="00B36E72" w:rsidP="00B36E72">
            <w:pPr>
              <w:spacing w:before="40" w:after="40"/>
              <w:rPr>
                <w:rFonts w:ascii="Arial Narrow" w:hAnsi="Arial Narrow"/>
                <w:color w:val="000000"/>
                <w:sz w:val="20"/>
              </w:rPr>
            </w:pPr>
          </w:p>
        </w:tc>
        <w:tc>
          <w:tcPr>
            <w:tcW w:w="609" w:type="pct"/>
            <w:tcBorders>
              <w:left w:val="nil"/>
              <w:right w:val="nil"/>
            </w:tcBorders>
            <w:noWrap/>
            <w:vAlign w:val="center"/>
          </w:tcPr>
          <w:p w14:paraId="44DCED36" w14:textId="77777777" w:rsidR="00B36E72" w:rsidRPr="003F2A1B" w:rsidRDefault="00B36E72" w:rsidP="00B36E72">
            <w:pPr>
              <w:spacing w:before="40" w:after="40"/>
              <w:rPr>
                <w:rFonts w:ascii="Arial Narrow" w:hAnsi="Arial Narrow"/>
                <w:color w:val="000000"/>
                <w:sz w:val="20"/>
              </w:rPr>
            </w:pPr>
          </w:p>
        </w:tc>
        <w:tc>
          <w:tcPr>
            <w:tcW w:w="607" w:type="pct"/>
            <w:tcBorders>
              <w:left w:val="nil"/>
              <w:right w:val="nil"/>
            </w:tcBorders>
            <w:noWrap/>
            <w:vAlign w:val="center"/>
          </w:tcPr>
          <w:p w14:paraId="6A8510E6" w14:textId="77777777" w:rsidR="00B36E72" w:rsidRPr="003F2A1B" w:rsidRDefault="00B36E72" w:rsidP="00B36E72">
            <w:pPr>
              <w:spacing w:before="40" w:after="40"/>
              <w:rPr>
                <w:rFonts w:ascii="Arial Narrow" w:hAnsi="Arial Narrow"/>
                <w:color w:val="000000"/>
                <w:sz w:val="20"/>
              </w:rPr>
            </w:pPr>
          </w:p>
        </w:tc>
        <w:tc>
          <w:tcPr>
            <w:tcW w:w="608" w:type="pct"/>
            <w:tcBorders>
              <w:left w:val="nil"/>
              <w:right w:val="nil"/>
            </w:tcBorders>
            <w:noWrap/>
            <w:vAlign w:val="center"/>
          </w:tcPr>
          <w:p w14:paraId="0DE6310F" w14:textId="77777777" w:rsidR="00B36E72" w:rsidRPr="003F2A1B" w:rsidRDefault="00B36E72" w:rsidP="00B36E72">
            <w:pPr>
              <w:spacing w:before="40" w:after="40"/>
              <w:jc w:val="center"/>
              <w:rPr>
                <w:rFonts w:ascii="Arial Narrow" w:hAnsi="Arial Narrow"/>
                <w:color w:val="000000"/>
                <w:sz w:val="20"/>
              </w:rPr>
            </w:pPr>
          </w:p>
        </w:tc>
        <w:tc>
          <w:tcPr>
            <w:tcW w:w="608" w:type="pct"/>
            <w:tcBorders>
              <w:left w:val="nil"/>
            </w:tcBorders>
            <w:noWrap/>
            <w:vAlign w:val="center"/>
          </w:tcPr>
          <w:p w14:paraId="52F4B655" w14:textId="77777777" w:rsidR="00B36E72" w:rsidRPr="003F2A1B" w:rsidRDefault="00B36E72" w:rsidP="00B36E72">
            <w:pPr>
              <w:spacing w:before="40" w:after="40"/>
              <w:jc w:val="center"/>
              <w:rPr>
                <w:rFonts w:ascii="Arial Narrow" w:hAnsi="Arial Narrow"/>
                <w:color w:val="000000"/>
                <w:sz w:val="20"/>
              </w:rPr>
            </w:pPr>
          </w:p>
        </w:tc>
      </w:tr>
      <w:tr w:rsidR="00B36E72" w:rsidRPr="002D3D4D" w14:paraId="5A80278C" w14:textId="77777777" w:rsidTr="00B36E72">
        <w:trPr>
          <w:cantSplit/>
          <w:trHeight w:val="70"/>
        </w:trPr>
        <w:tc>
          <w:tcPr>
            <w:tcW w:w="1957" w:type="pct"/>
            <w:noWrap/>
            <w:vAlign w:val="center"/>
          </w:tcPr>
          <w:p w14:paraId="594F44F3" w14:textId="77777777" w:rsidR="00B36E72" w:rsidRPr="003F2A1B" w:rsidRDefault="00B36E72" w:rsidP="00B36E72">
            <w:pPr>
              <w:pStyle w:val="Tabletext0"/>
              <w:tabs>
                <w:tab w:val="left" w:pos="204"/>
              </w:tabs>
            </w:pPr>
            <w:r w:rsidRPr="003F2A1B">
              <w:rPr>
                <w:color w:val="000000"/>
              </w:rPr>
              <w:tab/>
              <w:t>6 per centre in Years 1-5</w:t>
            </w:r>
          </w:p>
        </w:tc>
        <w:tc>
          <w:tcPr>
            <w:tcW w:w="611" w:type="pct"/>
            <w:noWrap/>
            <w:vAlign w:val="center"/>
          </w:tcPr>
          <w:p w14:paraId="51150946"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sz w:val="20"/>
              </w:rPr>
              <w:t>N=18</w:t>
            </w:r>
          </w:p>
          <w:p w14:paraId="2F11AAF5"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sz w:val="20"/>
              </w:rPr>
              <w:t>$17,494</w:t>
            </w:r>
          </w:p>
        </w:tc>
        <w:tc>
          <w:tcPr>
            <w:tcW w:w="609" w:type="pct"/>
            <w:noWrap/>
            <w:vAlign w:val="center"/>
          </w:tcPr>
          <w:p w14:paraId="53D83B64"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sz w:val="20"/>
              </w:rPr>
              <w:t>N=30</w:t>
            </w:r>
          </w:p>
          <w:p w14:paraId="296B429F"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sz w:val="20"/>
              </w:rPr>
              <w:t>$29,989</w:t>
            </w:r>
          </w:p>
        </w:tc>
        <w:tc>
          <w:tcPr>
            <w:tcW w:w="607" w:type="pct"/>
            <w:noWrap/>
            <w:vAlign w:val="center"/>
          </w:tcPr>
          <w:p w14:paraId="12E798B1"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sz w:val="20"/>
              </w:rPr>
              <w:t>N=42</w:t>
            </w:r>
          </w:p>
          <w:p w14:paraId="59D98A5A"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sz w:val="20"/>
              </w:rPr>
              <w:t>$43,388</w:t>
            </w:r>
          </w:p>
        </w:tc>
        <w:tc>
          <w:tcPr>
            <w:tcW w:w="608" w:type="pct"/>
            <w:noWrap/>
            <w:vAlign w:val="center"/>
          </w:tcPr>
          <w:p w14:paraId="099D868D"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sz w:val="20"/>
              </w:rPr>
              <w:t>N=60</w:t>
            </w:r>
          </w:p>
          <w:p w14:paraId="7B3F7941"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sz w:val="20"/>
              </w:rPr>
              <w:t>$64,049</w:t>
            </w:r>
          </w:p>
        </w:tc>
        <w:tc>
          <w:tcPr>
            <w:tcW w:w="608" w:type="pct"/>
            <w:noWrap/>
            <w:vAlign w:val="center"/>
          </w:tcPr>
          <w:p w14:paraId="4D1BAEFE"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sz w:val="20"/>
              </w:rPr>
              <w:t>N=90</w:t>
            </w:r>
          </w:p>
          <w:p w14:paraId="3A153432"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sz w:val="20"/>
              </w:rPr>
              <w:t>$97,204</w:t>
            </w:r>
          </w:p>
        </w:tc>
      </w:tr>
      <w:tr w:rsidR="00B36E72" w:rsidRPr="00EC194D" w14:paraId="571DE726" w14:textId="77777777" w:rsidTr="00B36E72">
        <w:trPr>
          <w:cantSplit/>
          <w:trHeight w:val="70"/>
        </w:trPr>
        <w:tc>
          <w:tcPr>
            <w:tcW w:w="1957" w:type="pct"/>
            <w:tcBorders>
              <w:bottom w:val="single" w:sz="4" w:space="0" w:color="auto"/>
            </w:tcBorders>
            <w:noWrap/>
            <w:vAlign w:val="center"/>
          </w:tcPr>
          <w:p w14:paraId="017A0758" w14:textId="77777777" w:rsidR="00B36E72" w:rsidRPr="003F2A1B" w:rsidRDefault="00B36E72" w:rsidP="00B36E72">
            <w:pPr>
              <w:pStyle w:val="Tabletext0"/>
              <w:tabs>
                <w:tab w:val="left" w:pos="204"/>
              </w:tabs>
            </w:pPr>
            <w:r w:rsidRPr="003F2A1B">
              <w:rPr>
                <w:color w:val="000000"/>
              </w:rPr>
              <w:tab/>
              <w:t>12 per centre in Years 1-5</w:t>
            </w:r>
          </w:p>
        </w:tc>
        <w:tc>
          <w:tcPr>
            <w:tcW w:w="611" w:type="pct"/>
            <w:tcBorders>
              <w:bottom w:val="single" w:sz="4" w:space="0" w:color="auto"/>
            </w:tcBorders>
            <w:noWrap/>
            <w:vAlign w:val="bottom"/>
          </w:tcPr>
          <w:p w14:paraId="41787A82"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sz w:val="20"/>
              </w:rPr>
              <w:t>N=36</w:t>
            </w:r>
          </w:p>
          <w:p w14:paraId="4600A844"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sz w:val="20"/>
              </w:rPr>
              <w:t>$34,200</w:t>
            </w:r>
          </w:p>
        </w:tc>
        <w:tc>
          <w:tcPr>
            <w:tcW w:w="609" w:type="pct"/>
            <w:tcBorders>
              <w:bottom w:val="single" w:sz="4" w:space="0" w:color="auto"/>
            </w:tcBorders>
            <w:noWrap/>
            <w:vAlign w:val="bottom"/>
          </w:tcPr>
          <w:p w14:paraId="2244123F"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sz w:val="20"/>
              </w:rPr>
              <w:t>N=60</w:t>
            </w:r>
          </w:p>
          <w:p w14:paraId="287CB0B0"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sz w:val="20"/>
              </w:rPr>
              <w:t>$59,977</w:t>
            </w:r>
          </w:p>
        </w:tc>
        <w:tc>
          <w:tcPr>
            <w:tcW w:w="607" w:type="pct"/>
            <w:tcBorders>
              <w:bottom w:val="single" w:sz="4" w:space="0" w:color="auto"/>
            </w:tcBorders>
            <w:noWrap/>
            <w:vAlign w:val="bottom"/>
          </w:tcPr>
          <w:p w14:paraId="52931372"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sz w:val="20"/>
              </w:rPr>
              <w:t>N=84</w:t>
            </w:r>
          </w:p>
          <w:p w14:paraId="6F5DEF80"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sz w:val="20"/>
              </w:rPr>
              <w:t>$87,564</w:t>
            </w:r>
          </w:p>
        </w:tc>
        <w:tc>
          <w:tcPr>
            <w:tcW w:w="608" w:type="pct"/>
            <w:tcBorders>
              <w:bottom w:val="single" w:sz="4" w:space="0" w:color="auto"/>
            </w:tcBorders>
            <w:noWrap/>
            <w:vAlign w:val="bottom"/>
          </w:tcPr>
          <w:p w14:paraId="01BA01B5"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sz w:val="20"/>
              </w:rPr>
              <w:t>N=120</w:t>
            </w:r>
          </w:p>
          <w:p w14:paraId="57E02823"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sz w:val="20"/>
              </w:rPr>
              <w:t>$128,097</w:t>
            </w:r>
          </w:p>
        </w:tc>
        <w:tc>
          <w:tcPr>
            <w:tcW w:w="608" w:type="pct"/>
            <w:tcBorders>
              <w:bottom w:val="single" w:sz="4" w:space="0" w:color="auto"/>
            </w:tcBorders>
            <w:noWrap/>
            <w:vAlign w:val="bottom"/>
          </w:tcPr>
          <w:p w14:paraId="4D70A713"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sz w:val="20"/>
              </w:rPr>
              <w:t>N=180</w:t>
            </w:r>
          </w:p>
          <w:p w14:paraId="75C66502"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sz w:val="20"/>
              </w:rPr>
              <w:t>$194,408</w:t>
            </w:r>
          </w:p>
        </w:tc>
      </w:tr>
      <w:tr w:rsidR="00B36E72" w:rsidRPr="00391F16" w14:paraId="6AEB7B60" w14:textId="77777777" w:rsidTr="00B36E72">
        <w:trPr>
          <w:cantSplit/>
          <w:trHeight w:val="70"/>
        </w:trPr>
        <w:tc>
          <w:tcPr>
            <w:tcW w:w="1957" w:type="pct"/>
            <w:tcBorders>
              <w:right w:val="nil"/>
            </w:tcBorders>
            <w:noWrap/>
            <w:vAlign w:val="center"/>
          </w:tcPr>
          <w:p w14:paraId="31398C86" w14:textId="77777777" w:rsidR="00B36E72" w:rsidRPr="003F2A1B" w:rsidRDefault="00B36E72" w:rsidP="00B36E72">
            <w:pPr>
              <w:pStyle w:val="Tabletext0"/>
              <w:tabs>
                <w:tab w:val="left" w:pos="204"/>
              </w:tabs>
              <w:rPr>
                <w:iCs/>
              </w:rPr>
            </w:pPr>
            <w:r w:rsidRPr="003F2A1B">
              <w:rPr>
                <w:iCs/>
              </w:rPr>
              <w:t>Number of centres</w:t>
            </w:r>
          </w:p>
          <w:p w14:paraId="07D0C3DB" w14:textId="77777777" w:rsidR="00B36E72" w:rsidRPr="003F2A1B" w:rsidRDefault="00B36E72" w:rsidP="00B36E72">
            <w:pPr>
              <w:pStyle w:val="Tabletext0"/>
              <w:tabs>
                <w:tab w:val="left" w:pos="204"/>
              </w:tabs>
              <w:rPr>
                <w:iCs/>
              </w:rPr>
            </w:pPr>
            <w:r w:rsidRPr="003F2A1B">
              <w:rPr>
                <w:iCs/>
              </w:rPr>
              <w:t>(base case: 3, 5, 7, 10, 15 in Years 1-5)</w:t>
            </w:r>
          </w:p>
        </w:tc>
        <w:tc>
          <w:tcPr>
            <w:tcW w:w="611" w:type="pct"/>
            <w:tcBorders>
              <w:left w:val="nil"/>
              <w:right w:val="nil"/>
            </w:tcBorders>
            <w:noWrap/>
          </w:tcPr>
          <w:p w14:paraId="6EF64D7F" w14:textId="77777777" w:rsidR="00B36E72" w:rsidRPr="003F2A1B" w:rsidRDefault="00B36E72" w:rsidP="00B36E72">
            <w:pPr>
              <w:spacing w:before="40" w:after="40"/>
              <w:jc w:val="center"/>
              <w:rPr>
                <w:rFonts w:ascii="Arial Narrow" w:hAnsi="Arial Narrow"/>
                <w:iCs/>
                <w:sz w:val="20"/>
              </w:rPr>
            </w:pPr>
          </w:p>
        </w:tc>
        <w:tc>
          <w:tcPr>
            <w:tcW w:w="609" w:type="pct"/>
            <w:tcBorders>
              <w:left w:val="nil"/>
              <w:right w:val="nil"/>
            </w:tcBorders>
            <w:noWrap/>
          </w:tcPr>
          <w:p w14:paraId="7A07F007" w14:textId="77777777" w:rsidR="00B36E72" w:rsidRPr="003F2A1B" w:rsidRDefault="00B36E72" w:rsidP="00B36E72">
            <w:pPr>
              <w:spacing w:before="40" w:after="40"/>
              <w:jc w:val="center"/>
              <w:rPr>
                <w:rFonts w:ascii="Arial Narrow" w:hAnsi="Arial Narrow"/>
                <w:iCs/>
                <w:sz w:val="20"/>
              </w:rPr>
            </w:pPr>
          </w:p>
        </w:tc>
        <w:tc>
          <w:tcPr>
            <w:tcW w:w="607" w:type="pct"/>
            <w:tcBorders>
              <w:left w:val="nil"/>
              <w:right w:val="nil"/>
            </w:tcBorders>
            <w:noWrap/>
          </w:tcPr>
          <w:p w14:paraId="1D903627" w14:textId="77777777" w:rsidR="00B36E72" w:rsidRPr="003F2A1B" w:rsidRDefault="00B36E72" w:rsidP="00B36E72">
            <w:pPr>
              <w:spacing w:before="40" w:after="40"/>
              <w:jc w:val="center"/>
              <w:rPr>
                <w:rFonts w:ascii="Arial Narrow" w:hAnsi="Arial Narrow"/>
                <w:iCs/>
                <w:sz w:val="20"/>
              </w:rPr>
            </w:pPr>
          </w:p>
        </w:tc>
        <w:tc>
          <w:tcPr>
            <w:tcW w:w="608" w:type="pct"/>
            <w:tcBorders>
              <w:left w:val="nil"/>
              <w:right w:val="nil"/>
            </w:tcBorders>
            <w:noWrap/>
          </w:tcPr>
          <w:p w14:paraId="407A4884" w14:textId="77777777" w:rsidR="00B36E72" w:rsidRPr="003F2A1B" w:rsidRDefault="00B36E72" w:rsidP="00B36E72">
            <w:pPr>
              <w:spacing w:before="40" w:after="40"/>
              <w:jc w:val="center"/>
              <w:rPr>
                <w:rFonts w:ascii="Arial Narrow" w:hAnsi="Arial Narrow"/>
                <w:iCs/>
                <w:sz w:val="20"/>
              </w:rPr>
            </w:pPr>
          </w:p>
        </w:tc>
        <w:tc>
          <w:tcPr>
            <w:tcW w:w="608" w:type="pct"/>
            <w:tcBorders>
              <w:left w:val="nil"/>
            </w:tcBorders>
            <w:noWrap/>
          </w:tcPr>
          <w:p w14:paraId="2E3CBB55" w14:textId="77777777" w:rsidR="00B36E72" w:rsidRPr="003F2A1B" w:rsidRDefault="00B36E72" w:rsidP="00B36E72">
            <w:pPr>
              <w:spacing w:before="40" w:after="40"/>
              <w:jc w:val="center"/>
              <w:rPr>
                <w:rFonts w:ascii="Arial Narrow" w:hAnsi="Arial Narrow"/>
                <w:iCs/>
                <w:sz w:val="20"/>
              </w:rPr>
            </w:pPr>
          </w:p>
        </w:tc>
      </w:tr>
      <w:tr w:rsidR="00B36E72" w:rsidRPr="00391F16" w14:paraId="6738A099" w14:textId="77777777" w:rsidTr="00B36E72">
        <w:trPr>
          <w:cantSplit/>
          <w:trHeight w:val="70"/>
        </w:trPr>
        <w:tc>
          <w:tcPr>
            <w:tcW w:w="1957" w:type="pct"/>
            <w:noWrap/>
            <w:vAlign w:val="center"/>
          </w:tcPr>
          <w:p w14:paraId="66E9075C" w14:textId="77777777" w:rsidR="00B36E72" w:rsidRPr="003F2A1B" w:rsidRDefault="00B36E72" w:rsidP="00B36E72">
            <w:pPr>
              <w:pStyle w:val="Tabletext0"/>
              <w:tabs>
                <w:tab w:val="left" w:pos="204"/>
              </w:tabs>
              <w:rPr>
                <w:iCs/>
              </w:rPr>
            </w:pPr>
            <w:r w:rsidRPr="003F2A1B">
              <w:rPr>
                <w:iCs/>
                <w:color w:val="000000"/>
              </w:rPr>
              <w:tab/>
              <w:t>4, 6, 8, 11, 16 centres in Years 1-5</w:t>
            </w:r>
          </w:p>
        </w:tc>
        <w:tc>
          <w:tcPr>
            <w:tcW w:w="611" w:type="pct"/>
            <w:noWrap/>
            <w:vAlign w:val="bottom"/>
          </w:tcPr>
          <w:p w14:paraId="14CC4D6F" w14:textId="77777777" w:rsidR="00B36E72" w:rsidRPr="003F2A1B" w:rsidRDefault="00B36E72" w:rsidP="00B36E72">
            <w:pPr>
              <w:spacing w:before="40" w:after="40"/>
              <w:jc w:val="center"/>
              <w:rPr>
                <w:rFonts w:ascii="Arial Narrow" w:hAnsi="Arial Narrow" w:cs="Calibri"/>
                <w:iCs/>
                <w:color w:val="000000"/>
                <w:sz w:val="20"/>
              </w:rPr>
            </w:pPr>
            <w:r w:rsidRPr="003F2A1B">
              <w:rPr>
                <w:rFonts w:ascii="Arial Narrow" w:hAnsi="Arial Narrow" w:cs="Calibri"/>
                <w:iCs/>
                <w:color w:val="000000"/>
                <w:sz w:val="20"/>
              </w:rPr>
              <w:t>N=32</w:t>
            </w:r>
          </w:p>
          <w:p w14:paraId="7CC35C35" w14:textId="77777777" w:rsidR="00B36E72" w:rsidRPr="003F2A1B" w:rsidRDefault="00B36E72" w:rsidP="00B36E72">
            <w:pPr>
              <w:spacing w:before="40" w:after="40"/>
              <w:jc w:val="center"/>
              <w:rPr>
                <w:rFonts w:ascii="Arial Narrow" w:hAnsi="Arial Narrow"/>
                <w:iCs/>
                <w:sz w:val="20"/>
              </w:rPr>
            </w:pPr>
            <w:r w:rsidRPr="003F2A1B">
              <w:rPr>
                <w:rFonts w:ascii="Arial Narrow" w:hAnsi="Arial Narrow" w:cs="Calibri"/>
                <w:iCs/>
                <w:color w:val="000000"/>
                <w:sz w:val="20"/>
              </w:rPr>
              <w:t>$30,225</w:t>
            </w:r>
          </w:p>
        </w:tc>
        <w:tc>
          <w:tcPr>
            <w:tcW w:w="609" w:type="pct"/>
            <w:noWrap/>
            <w:vAlign w:val="bottom"/>
          </w:tcPr>
          <w:p w14:paraId="6DB568FE" w14:textId="77777777" w:rsidR="00B36E72" w:rsidRPr="003F2A1B" w:rsidRDefault="00B36E72" w:rsidP="00B36E72">
            <w:pPr>
              <w:spacing w:before="40" w:after="40"/>
              <w:jc w:val="center"/>
              <w:rPr>
                <w:rFonts w:ascii="Arial Narrow" w:hAnsi="Arial Narrow" w:cs="Calibri"/>
                <w:iCs/>
                <w:color w:val="000000"/>
                <w:sz w:val="20"/>
              </w:rPr>
            </w:pPr>
            <w:r w:rsidRPr="003F2A1B">
              <w:rPr>
                <w:rFonts w:ascii="Arial Narrow" w:hAnsi="Arial Narrow" w:cs="Calibri"/>
                <w:iCs/>
                <w:color w:val="000000"/>
                <w:sz w:val="20"/>
              </w:rPr>
              <w:t>N=48</w:t>
            </w:r>
          </w:p>
          <w:p w14:paraId="6389CF55" w14:textId="77777777" w:rsidR="00B36E72" w:rsidRPr="003F2A1B" w:rsidRDefault="00B36E72" w:rsidP="00B36E72">
            <w:pPr>
              <w:spacing w:before="40" w:after="40"/>
              <w:jc w:val="center"/>
              <w:rPr>
                <w:rFonts w:ascii="Arial Narrow" w:hAnsi="Arial Narrow"/>
                <w:iCs/>
                <w:sz w:val="20"/>
              </w:rPr>
            </w:pPr>
            <w:r w:rsidRPr="003F2A1B">
              <w:rPr>
                <w:rFonts w:ascii="Arial Narrow" w:hAnsi="Arial Narrow" w:cs="Calibri"/>
                <w:iCs/>
                <w:color w:val="000000"/>
                <w:sz w:val="20"/>
              </w:rPr>
              <w:t>$48,538</w:t>
            </w:r>
          </w:p>
        </w:tc>
        <w:tc>
          <w:tcPr>
            <w:tcW w:w="607" w:type="pct"/>
            <w:noWrap/>
            <w:vAlign w:val="bottom"/>
          </w:tcPr>
          <w:p w14:paraId="38E3E1D8" w14:textId="77777777" w:rsidR="00B36E72" w:rsidRPr="003F2A1B" w:rsidRDefault="00B36E72" w:rsidP="00B36E72">
            <w:pPr>
              <w:spacing w:before="40" w:after="40"/>
              <w:jc w:val="center"/>
              <w:rPr>
                <w:rFonts w:ascii="Arial Narrow" w:hAnsi="Arial Narrow" w:cs="Calibri"/>
                <w:iCs/>
                <w:color w:val="000000"/>
                <w:sz w:val="20"/>
              </w:rPr>
            </w:pPr>
            <w:r w:rsidRPr="003F2A1B">
              <w:rPr>
                <w:rFonts w:ascii="Arial Narrow" w:hAnsi="Arial Narrow" w:cs="Calibri"/>
                <w:iCs/>
                <w:color w:val="000000"/>
                <w:sz w:val="20"/>
              </w:rPr>
              <w:t>N=64</w:t>
            </w:r>
          </w:p>
          <w:p w14:paraId="195BFFE0" w14:textId="77777777" w:rsidR="00B36E72" w:rsidRPr="003F2A1B" w:rsidRDefault="00B36E72" w:rsidP="00B36E72">
            <w:pPr>
              <w:spacing w:before="40" w:after="40"/>
              <w:jc w:val="center"/>
              <w:rPr>
                <w:rFonts w:ascii="Arial Narrow" w:hAnsi="Arial Narrow"/>
                <w:iCs/>
                <w:sz w:val="20"/>
              </w:rPr>
            </w:pPr>
            <w:r w:rsidRPr="003F2A1B">
              <w:rPr>
                <w:rFonts w:ascii="Arial Narrow" w:hAnsi="Arial Narrow" w:cs="Calibri"/>
                <w:iCs/>
                <w:color w:val="000000"/>
                <w:sz w:val="20"/>
              </w:rPr>
              <w:t>$67,270</w:t>
            </w:r>
          </w:p>
        </w:tc>
        <w:tc>
          <w:tcPr>
            <w:tcW w:w="608" w:type="pct"/>
            <w:noWrap/>
            <w:vAlign w:val="bottom"/>
          </w:tcPr>
          <w:p w14:paraId="7973F722" w14:textId="77777777" w:rsidR="00B36E72" w:rsidRPr="003F2A1B" w:rsidRDefault="00B36E72" w:rsidP="00B36E72">
            <w:pPr>
              <w:spacing w:before="40" w:after="40"/>
              <w:jc w:val="center"/>
              <w:rPr>
                <w:rFonts w:ascii="Arial Narrow" w:hAnsi="Arial Narrow" w:cs="Calibri"/>
                <w:iCs/>
                <w:color w:val="000000"/>
                <w:sz w:val="20"/>
              </w:rPr>
            </w:pPr>
            <w:r w:rsidRPr="003F2A1B">
              <w:rPr>
                <w:rFonts w:ascii="Arial Narrow" w:hAnsi="Arial Narrow" w:cs="Calibri"/>
                <w:iCs/>
                <w:color w:val="000000"/>
                <w:sz w:val="20"/>
              </w:rPr>
              <w:t>N=110</w:t>
            </w:r>
          </w:p>
          <w:p w14:paraId="70DCCD7B" w14:textId="77777777" w:rsidR="00B36E72" w:rsidRPr="003F2A1B" w:rsidRDefault="00B36E72" w:rsidP="00B36E72">
            <w:pPr>
              <w:spacing w:before="40" w:after="40"/>
              <w:jc w:val="center"/>
              <w:rPr>
                <w:rFonts w:ascii="Arial Narrow" w:hAnsi="Arial Narrow"/>
                <w:iCs/>
                <w:sz w:val="20"/>
              </w:rPr>
            </w:pPr>
            <w:r w:rsidRPr="003F2A1B">
              <w:rPr>
                <w:rFonts w:ascii="Arial Narrow" w:hAnsi="Arial Narrow" w:cs="Calibri"/>
                <w:iCs/>
                <w:color w:val="000000"/>
                <w:sz w:val="20"/>
              </w:rPr>
              <w:t>$115,839</w:t>
            </w:r>
          </w:p>
        </w:tc>
        <w:tc>
          <w:tcPr>
            <w:tcW w:w="608" w:type="pct"/>
            <w:noWrap/>
            <w:vAlign w:val="bottom"/>
          </w:tcPr>
          <w:p w14:paraId="61C3EAE2" w14:textId="77777777" w:rsidR="00B36E72" w:rsidRPr="003F2A1B" w:rsidRDefault="00B36E72" w:rsidP="00B36E72">
            <w:pPr>
              <w:spacing w:before="40" w:after="40"/>
              <w:jc w:val="center"/>
              <w:rPr>
                <w:rFonts w:ascii="Arial Narrow" w:hAnsi="Arial Narrow" w:cs="Calibri"/>
                <w:iCs/>
                <w:color w:val="000000"/>
                <w:sz w:val="20"/>
              </w:rPr>
            </w:pPr>
            <w:r w:rsidRPr="003F2A1B">
              <w:rPr>
                <w:rFonts w:ascii="Arial Narrow" w:hAnsi="Arial Narrow" w:cs="Calibri"/>
                <w:iCs/>
                <w:color w:val="000000"/>
                <w:sz w:val="20"/>
              </w:rPr>
              <w:t>N=160</w:t>
            </w:r>
          </w:p>
          <w:p w14:paraId="3416BC0A" w14:textId="77777777" w:rsidR="00B36E72" w:rsidRPr="003F2A1B" w:rsidRDefault="00B36E72" w:rsidP="00B36E72">
            <w:pPr>
              <w:spacing w:before="40" w:after="40"/>
              <w:jc w:val="center"/>
              <w:rPr>
                <w:rFonts w:ascii="Arial Narrow" w:hAnsi="Arial Narrow"/>
                <w:iCs/>
                <w:sz w:val="20"/>
              </w:rPr>
            </w:pPr>
            <w:r w:rsidRPr="003F2A1B">
              <w:rPr>
                <w:rFonts w:ascii="Arial Narrow" w:hAnsi="Arial Narrow" w:cs="Calibri"/>
                <w:iCs/>
                <w:color w:val="000000"/>
                <w:sz w:val="20"/>
              </w:rPr>
              <w:t>$171,852</w:t>
            </w:r>
          </w:p>
        </w:tc>
      </w:tr>
      <w:tr w:rsidR="00B36E72" w:rsidRPr="00391F16" w14:paraId="70049597" w14:textId="77777777" w:rsidTr="00B36E72">
        <w:trPr>
          <w:cantSplit/>
          <w:trHeight w:val="70"/>
        </w:trPr>
        <w:tc>
          <w:tcPr>
            <w:tcW w:w="1957" w:type="pct"/>
            <w:tcBorders>
              <w:bottom w:val="single" w:sz="4" w:space="0" w:color="auto"/>
            </w:tcBorders>
            <w:noWrap/>
            <w:vAlign w:val="center"/>
          </w:tcPr>
          <w:p w14:paraId="02760D0A" w14:textId="77777777" w:rsidR="00B36E72" w:rsidRPr="003F2A1B" w:rsidRDefault="00B36E72" w:rsidP="00B36E72">
            <w:pPr>
              <w:pStyle w:val="Tabletext0"/>
              <w:tabs>
                <w:tab w:val="left" w:pos="204"/>
              </w:tabs>
              <w:rPr>
                <w:iCs/>
              </w:rPr>
            </w:pPr>
            <w:r w:rsidRPr="003F2A1B">
              <w:rPr>
                <w:iCs/>
                <w:color w:val="000000"/>
              </w:rPr>
              <w:tab/>
              <w:t>5, 8, 10, 15, 20 centres in Years 1-5</w:t>
            </w:r>
          </w:p>
        </w:tc>
        <w:tc>
          <w:tcPr>
            <w:tcW w:w="611" w:type="pct"/>
            <w:tcBorders>
              <w:bottom w:val="single" w:sz="4" w:space="0" w:color="auto"/>
            </w:tcBorders>
            <w:noWrap/>
            <w:vAlign w:val="bottom"/>
          </w:tcPr>
          <w:p w14:paraId="05DEEAFD" w14:textId="77777777" w:rsidR="00B36E72" w:rsidRPr="003F2A1B" w:rsidRDefault="00B36E72" w:rsidP="00B36E72">
            <w:pPr>
              <w:spacing w:before="40" w:after="40"/>
              <w:jc w:val="center"/>
              <w:rPr>
                <w:rFonts w:ascii="Arial Narrow" w:hAnsi="Arial Narrow" w:cs="Calibri"/>
                <w:iCs/>
                <w:color w:val="000000"/>
                <w:sz w:val="20"/>
              </w:rPr>
            </w:pPr>
            <w:r w:rsidRPr="003F2A1B">
              <w:rPr>
                <w:rFonts w:ascii="Arial Narrow" w:hAnsi="Arial Narrow" w:cs="Calibri"/>
                <w:iCs/>
                <w:color w:val="000000"/>
                <w:sz w:val="20"/>
              </w:rPr>
              <w:t>N=40</w:t>
            </w:r>
          </w:p>
          <w:p w14:paraId="53E9A1C9" w14:textId="77777777" w:rsidR="00B36E72" w:rsidRPr="003F2A1B" w:rsidRDefault="00B36E72" w:rsidP="00B36E72">
            <w:pPr>
              <w:spacing w:before="40" w:after="40"/>
              <w:jc w:val="center"/>
              <w:rPr>
                <w:rFonts w:ascii="Arial Narrow" w:hAnsi="Arial Narrow"/>
                <w:iCs/>
                <w:sz w:val="20"/>
              </w:rPr>
            </w:pPr>
            <w:r w:rsidRPr="003F2A1B">
              <w:rPr>
                <w:rFonts w:ascii="Arial Narrow" w:hAnsi="Arial Narrow" w:cs="Calibri"/>
                <w:iCs/>
                <w:color w:val="000000"/>
                <w:sz w:val="20"/>
              </w:rPr>
              <w:t>$38,175</w:t>
            </w:r>
          </w:p>
        </w:tc>
        <w:tc>
          <w:tcPr>
            <w:tcW w:w="609" w:type="pct"/>
            <w:tcBorders>
              <w:bottom w:val="single" w:sz="4" w:space="0" w:color="auto"/>
            </w:tcBorders>
            <w:noWrap/>
            <w:vAlign w:val="bottom"/>
          </w:tcPr>
          <w:p w14:paraId="44F07D7E" w14:textId="77777777" w:rsidR="00B36E72" w:rsidRPr="003F2A1B" w:rsidRDefault="00B36E72" w:rsidP="00B36E72">
            <w:pPr>
              <w:spacing w:before="40" w:after="40"/>
              <w:jc w:val="center"/>
              <w:rPr>
                <w:rFonts w:ascii="Arial Narrow" w:hAnsi="Arial Narrow" w:cs="Calibri"/>
                <w:iCs/>
                <w:color w:val="000000"/>
                <w:sz w:val="20"/>
              </w:rPr>
            </w:pPr>
            <w:r w:rsidRPr="003F2A1B">
              <w:rPr>
                <w:rFonts w:ascii="Arial Narrow" w:hAnsi="Arial Narrow" w:cs="Calibri"/>
                <w:iCs/>
                <w:color w:val="000000"/>
                <w:sz w:val="20"/>
              </w:rPr>
              <w:t>N=64</w:t>
            </w:r>
          </w:p>
          <w:p w14:paraId="590B2164" w14:textId="77777777" w:rsidR="00B36E72" w:rsidRPr="003F2A1B" w:rsidRDefault="00B36E72" w:rsidP="00B36E72">
            <w:pPr>
              <w:spacing w:before="40" w:after="40"/>
              <w:jc w:val="center"/>
              <w:rPr>
                <w:rFonts w:ascii="Arial Narrow" w:hAnsi="Arial Narrow"/>
                <w:iCs/>
                <w:sz w:val="20"/>
              </w:rPr>
            </w:pPr>
            <w:r w:rsidRPr="003F2A1B">
              <w:rPr>
                <w:rFonts w:ascii="Arial Narrow" w:hAnsi="Arial Narrow" w:cs="Calibri"/>
                <w:iCs/>
                <w:color w:val="000000"/>
                <w:sz w:val="20"/>
              </w:rPr>
              <w:t>$64,254</w:t>
            </w:r>
          </w:p>
        </w:tc>
        <w:tc>
          <w:tcPr>
            <w:tcW w:w="607" w:type="pct"/>
            <w:tcBorders>
              <w:bottom w:val="single" w:sz="4" w:space="0" w:color="auto"/>
            </w:tcBorders>
            <w:noWrap/>
            <w:vAlign w:val="bottom"/>
          </w:tcPr>
          <w:p w14:paraId="1B0CD245" w14:textId="77777777" w:rsidR="00B36E72" w:rsidRPr="003F2A1B" w:rsidRDefault="00B36E72" w:rsidP="00B36E72">
            <w:pPr>
              <w:spacing w:before="40" w:after="40"/>
              <w:jc w:val="center"/>
              <w:rPr>
                <w:rFonts w:ascii="Arial Narrow" w:hAnsi="Arial Narrow" w:cs="Calibri"/>
                <w:iCs/>
                <w:color w:val="000000"/>
                <w:sz w:val="20"/>
              </w:rPr>
            </w:pPr>
            <w:r w:rsidRPr="003F2A1B">
              <w:rPr>
                <w:rFonts w:ascii="Arial Narrow" w:hAnsi="Arial Narrow" w:cs="Calibri"/>
                <w:iCs/>
                <w:color w:val="000000"/>
                <w:sz w:val="20"/>
              </w:rPr>
              <w:t>N=80</w:t>
            </w:r>
          </w:p>
          <w:p w14:paraId="55EB6BD8" w14:textId="77777777" w:rsidR="00B36E72" w:rsidRPr="003F2A1B" w:rsidRDefault="00B36E72" w:rsidP="00B36E72">
            <w:pPr>
              <w:spacing w:before="40" w:after="40"/>
              <w:jc w:val="center"/>
              <w:rPr>
                <w:rFonts w:ascii="Arial Narrow" w:hAnsi="Arial Narrow"/>
                <w:iCs/>
                <w:sz w:val="20"/>
              </w:rPr>
            </w:pPr>
            <w:r w:rsidRPr="003F2A1B">
              <w:rPr>
                <w:rFonts w:ascii="Arial Narrow" w:hAnsi="Arial Narrow" w:cs="Calibri"/>
                <w:iCs/>
                <w:color w:val="000000"/>
                <w:sz w:val="20"/>
              </w:rPr>
              <w:t>$84,192</w:t>
            </w:r>
          </w:p>
        </w:tc>
        <w:tc>
          <w:tcPr>
            <w:tcW w:w="608" w:type="pct"/>
            <w:tcBorders>
              <w:bottom w:val="single" w:sz="4" w:space="0" w:color="auto"/>
            </w:tcBorders>
            <w:noWrap/>
            <w:vAlign w:val="bottom"/>
          </w:tcPr>
          <w:p w14:paraId="439521F3" w14:textId="77777777" w:rsidR="00B36E72" w:rsidRPr="003F2A1B" w:rsidRDefault="00B36E72" w:rsidP="00B36E72">
            <w:pPr>
              <w:spacing w:before="40" w:after="40"/>
              <w:jc w:val="center"/>
              <w:rPr>
                <w:rFonts w:ascii="Arial Narrow" w:hAnsi="Arial Narrow" w:cs="Calibri"/>
                <w:iCs/>
                <w:color w:val="000000"/>
                <w:sz w:val="20"/>
              </w:rPr>
            </w:pPr>
            <w:r w:rsidRPr="003F2A1B">
              <w:rPr>
                <w:rFonts w:ascii="Arial Narrow" w:hAnsi="Arial Narrow" w:cs="Calibri"/>
                <w:iCs/>
                <w:color w:val="000000"/>
                <w:sz w:val="20"/>
              </w:rPr>
              <w:t>N=150</w:t>
            </w:r>
          </w:p>
          <w:p w14:paraId="4B443102" w14:textId="77777777" w:rsidR="00B36E72" w:rsidRPr="003F2A1B" w:rsidRDefault="00B36E72" w:rsidP="00B36E72">
            <w:pPr>
              <w:spacing w:before="40" w:after="40"/>
              <w:jc w:val="center"/>
              <w:rPr>
                <w:rFonts w:ascii="Arial Narrow" w:hAnsi="Arial Narrow"/>
                <w:iCs/>
                <w:sz w:val="20"/>
              </w:rPr>
            </w:pPr>
            <w:r w:rsidRPr="003F2A1B">
              <w:rPr>
                <w:rFonts w:ascii="Arial Narrow" w:hAnsi="Arial Narrow" w:cs="Calibri"/>
                <w:iCs/>
                <w:color w:val="000000"/>
                <w:sz w:val="20"/>
              </w:rPr>
              <w:t>$157,030</w:t>
            </w:r>
          </w:p>
        </w:tc>
        <w:tc>
          <w:tcPr>
            <w:tcW w:w="608" w:type="pct"/>
            <w:tcBorders>
              <w:bottom w:val="single" w:sz="4" w:space="0" w:color="auto"/>
            </w:tcBorders>
            <w:noWrap/>
            <w:vAlign w:val="bottom"/>
          </w:tcPr>
          <w:p w14:paraId="1218E961" w14:textId="77777777" w:rsidR="00B36E72" w:rsidRPr="003F2A1B" w:rsidRDefault="00B36E72" w:rsidP="00B36E72">
            <w:pPr>
              <w:spacing w:before="40" w:after="40"/>
              <w:jc w:val="center"/>
              <w:rPr>
                <w:rFonts w:ascii="Arial Narrow" w:hAnsi="Arial Narrow" w:cs="Calibri"/>
                <w:iCs/>
                <w:color w:val="000000"/>
                <w:sz w:val="20"/>
              </w:rPr>
            </w:pPr>
            <w:r w:rsidRPr="003F2A1B">
              <w:rPr>
                <w:rFonts w:ascii="Arial Narrow" w:hAnsi="Arial Narrow" w:cs="Calibri"/>
                <w:iCs/>
                <w:color w:val="000000"/>
                <w:sz w:val="20"/>
              </w:rPr>
              <w:t>N=200</w:t>
            </w:r>
          </w:p>
          <w:p w14:paraId="60BDE4EF" w14:textId="77777777" w:rsidR="00B36E72" w:rsidRPr="003F2A1B" w:rsidRDefault="00B36E72" w:rsidP="00B36E72">
            <w:pPr>
              <w:spacing w:before="40" w:after="40"/>
              <w:jc w:val="center"/>
              <w:rPr>
                <w:rFonts w:ascii="Arial Narrow" w:hAnsi="Arial Narrow"/>
                <w:iCs/>
                <w:sz w:val="20"/>
              </w:rPr>
            </w:pPr>
            <w:r w:rsidRPr="003F2A1B">
              <w:rPr>
                <w:rFonts w:ascii="Arial Narrow" w:hAnsi="Arial Narrow" w:cs="Calibri"/>
                <w:iCs/>
                <w:color w:val="000000"/>
                <w:sz w:val="20"/>
              </w:rPr>
              <w:t>$216,059</w:t>
            </w:r>
          </w:p>
        </w:tc>
      </w:tr>
      <w:tr w:rsidR="00B36E72" w:rsidRPr="00391F16" w14:paraId="2E224751" w14:textId="77777777" w:rsidTr="00B36E72">
        <w:trPr>
          <w:cantSplit/>
          <w:trHeight w:val="70"/>
        </w:trPr>
        <w:tc>
          <w:tcPr>
            <w:tcW w:w="1957" w:type="pct"/>
            <w:tcBorders>
              <w:bottom w:val="single" w:sz="4" w:space="0" w:color="auto"/>
              <w:right w:val="nil"/>
            </w:tcBorders>
            <w:noWrap/>
            <w:vAlign w:val="center"/>
          </w:tcPr>
          <w:p w14:paraId="7AEBA9DA" w14:textId="77777777" w:rsidR="00B36E72" w:rsidRPr="003F2A1B" w:rsidRDefault="00B36E72" w:rsidP="00B36E72">
            <w:pPr>
              <w:pStyle w:val="Tabletext0"/>
              <w:tabs>
                <w:tab w:val="left" w:pos="204"/>
              </w:tabs>
              <w:rPr>
                <w:iCs/>
                <w:color w:val="000000"/>
              </w:rPr>
            </w:pPr>
            <w:r w:rsidRPr="003F2A1B">
              <w:rPr>
                <w:iCs/>
                <w:color w:val="000000"/>
              </w:rPr>
              <w:t>Number of centres and number of patients</w:t>
            </w:r>
          </w:p>
          <w:p w14:paraId="3DE014E5" w14:textId="77777777" w:rsidR="00B36E72" w:rsidRPr="003F2A1B" w:rsidRDefault="00B36E72" w:rsidP="00B36E72">
            <w:pPr>
              <w:pStyle w:val="Tabletext0"/>
              <w:tabs>
                <w:tab w:val="left" w:pos="204"/>
              </w:tabs>
              <w:rPr>
                <w:color w:val="000000"/>
              </w:rPr>
            </w:pPr>
            <w:r w:rsidRPr="003F2A1B">
              <w:rPr>
                <w:iCs/>
                <w:color w:val="000000"/>
              </w:rPr>
              <w:t xml:space="preserve">per centre </w:t>
            </w:r>
            <w:r w:rsidRPr="003F2A1B">
              <w:rPr>
                <w:color w:val="000000"/>
              </w:rPr>
              <w:t xml:space="preserve">(base case: 8 patients in Years 1-3, </w:t>
            </w:r>
          </w:p>
          <w:p w14:paraId="588E630A" w14:textId="77777777" w:rsidR="00B36E72" w:rsidRPr="003F2A1B" w:rsidRDefault="00B36E72" w:rsidP="00B36E72">
            <w:pPr>
              <w:pStyle w:val="Tabletext0"/>
              <w:tabs>
                <w:tab w:val="left" w:pos="204"/>
              </w:tabs>
              <w:rPr>
                <w:iCs/>
                <w:color w:val="000000"/>
              </w:rPr>
            </w:pPr>
            <w:r w:rsidRPr="003F2A1B">
              <w:rPr>
                <w:color w:val="000000"/>
              </w:rPr>
              <w:t xml:space="preserve">10 in Years 4-5; </w:t>
            </w:r>
            <w:r w:rsidRPr="003F2A1B">
              <w:rPr>
                <w:iCs/>
              </w:rPr>
              <w:t>3, 5, 7, 10, 15 centres)</w:t>
            </w:r>
          </w:p>
        </w:tc>
        <w:tc>
          <w:tcPr>
            <w:tcW w:w="611" w:type="pct"/>
            <w:tcBorders>
              <w:left w:val="nil"/>
              <w:bottom w:val="single" w:sz="4" w:space="0" w:color="auto"/>
              <w:right w:val="nil"/>
            </w:tcBorders>
            <w:noWrap/>
            <w:vAlign w:val="center"/>
          </w:tcPr>
          <w:p w14:paraId="697A6C45" w14:textId="77777777" w:rsidR="00B36E72" w:rsidRPr="003F2A1B" w:rsidRDefault="00B36E72" w:rsidP="00B36E72">
            <w:pPr>
              <w:spacing w:before="40" w:after="40"/>
              <w:jc w:val="center"/>
              <w:rPr>
                <w:rFonts w:ascii="Arial Narrow" w:hAnsi="Arial Narrow"/>
                <w:iCs/>
                <w:sz w:val="20"/>
              </w:rPr>
            </w:pPr>
          </w:p>
        </w:tc>
        <w:tc>
          <w:tcPr>
            <w:tcW w:w="609" w:type="pct"/>
            <w:tcBorders>
              <w:left w:val="nil"/>
              <w:bottom w:val="single" w:sz="4" w:space="0" w:color="auto"/>
              <w:right w:val="nil"/>
            </w:tcBorders>
            <w:noWrap/>
            <w:vAlign w:val="center"/>
          </w:tcPr>
          <w:p w14:paraId="189873A7" w14:textId="77777777" w:rsidR="00B36E72" w:rsidRPr="003F2A1B" w:rsidRDefault="00B36E72" w:rsidP="00B36E72">
            <w:pPr>
              <w:spacing w:before="40" w:after="40"/>
              <w:jc w:val="center"/>
              <w:rPr>
                <w:rFonts w:ascii="Arial Narrow" w:hAnsi="Arial Narrow"/>
                <w:iCs/>
                <w:sz w:val="20"/>
              </w:rPr>
            </w:pPr>
          </w:p>
        </w:tc>
        <w:tc>
          <w:tcPr>
            <w:tcW w:w="607" w:type="pct"/>
            <w:tcBorders>
              <w:left w:val="nil"/>
              <w:bottom w:val="single" w:sz="4" w:space="0" w:color="auto"/>
              <w:right w:val="nil"/>
            </w:tcBorders>
            <w:noWrap/>
            <w:vAlign w:val="center"/>
          </w:tcPr>
          <w:p w14:paraId="2B998651" w14:textId="77777777" w:rsidR="00B36E72" w:rsidRPr="003F2A1B" w:rsidRDefault="00B36E72" w:rsidP="00B36E72">
            <w:pPr>
              <w:spacing w:before="40" w:after="40"/>
              <w:jc w:val="center"/>
              <w:rPr>
                <w:rFonts w:ascii="Arial Narrow" w:hAnsi="Arial Narrow"/>
                <w:iCs/>
                <w:sz w:val="20"/>
              </w:rPr>
            </w:pPr>
          </w:p>
        </w:tc>
        <w:tc>
          <w:tcPr>
            <w:tcW w:w="608" w:type="pct"/>
            <w:tcBorders>
              <w:left w:val="nil"/>
              <w:bottom w:val="single" w:sz="4" w:space="0" w:color="auto"/>
              <w:right w:val="nil"/>
            </w:tcBorders>
            <w:noWrap/>
            <w:vAlign w:val="center"/>
          </w:tcPr>
          <w:p w14:paraId="3BC29131" w14:textId="77777777" w:rsidR="00B36E72" w:rsidRPr="003F2A1B" w:rsidRDefault="00B36E72" w:rsidP="00B36E72">
            <w:pPr>
              <w:spacing w:before="40" w:after="40"/>
              <w:jc w:val="center"/>
              <w:rPr>
                <w:rFonts w:ascii="Arial Narrow" w:hAnsi="Arial Narrow"/>
                <w:iCs/>
                <w:sz w:val="20"/>
              </w:rPr>
            </w:pPr>
          </w:p>
        </w:tc>
        <w:tc>
          <w:tcPr>
            <w:tcW w:w="608" w:type="pct"/>
            <w:tcBorders>
              <w:left w:val="nil"/>
              <w:bottom w:val="single" w:sz="4" w:space="0" w:color="auto"/>
            </w:tcBorders>
            <w:noWrap/>
            <w:vAlign w:val="center"/>
          </w:tcPr>
          <w:p w14:paraId="3248CE62" w14:textId="77777777" w:rsidR="00B36E72" w:rsidRPr="003F2A1B" w:rsidRDefault="00B36E72" w:rsidP="00B36E72">
            <w:pPr>
              <w:spacing w:before="40" w:after="40"/>
              <w:jc w:val="center"/>
              <w:rPr>
                <w:rFonts w:ascii="Arial Narrow" w:hAnsi="Arial Narrow"/>
                <w:iCs/>
                <w:sz w:val="20"/>
              </w:rPr>
            </w:pPr>
          </w:p>
        </w:tc>
      </w:tr>
      <w:tr w:rsidR="00B36E72" w:rsidRPr="00391F16" w14:paraId="13D576B5" w14:textId="77777777" w:rsidTr="00B36E72">
        <w:trPr>
          <w:cantSplit/>
          <w:trHeight w:val="70"/>
        </w:trPr>
        <w:tc>
          <w:tcPr>
            <w:tcW w:w="1957" w:type="pct"/>
            <w:tcBorders>
              <w:bottom w:val="single" w:sz="4" w:space="0" w:color="auto"/>
            </w:tcBorders>
            <w:noWrap/>
            <w:vAlign w:val="center"/>
          </w:tcPr>
          <w:p w14:paraId="7416AD5D" w14:textId="77777777" w:rsidR="00B36E72" w:rsidRPr="003F2A1B" w:rsidRDefault="00B36E72" w:rsidP="00B36E72">
            <w:pPr>
              <w:pStyle w:val="Tabletext0"/>
              <w:tabs>
                <w:tab w:val="left" w:pos="204"/>
              </w:tabs>
              <w:rPr>
                <w:iCs/>
                <w:color w:val="000000"/>
              </w:rPr>
            </w:pPr>
            <w:r w:rsidRPr="003F2A1B">
              <w:rPr>
                <w:iCs/>
                <w:color w:val="000000"/>
              </w:rPr>
              <w:tab/>
              <w:t>4, 6, 8, 11, 16 centres and 12 patients per</w:t>
            </w:r>
          </w:p>
          <w:p w14:paraId="2505B8CE" w14:textId="77777777" w:rsidR="00B36E72" w:rsidRPr="003F2A1B" w:rsidRDefault="00B36E72" w:rsidP="00B36E72">
            <w:pPr>
              <w:pStyle w:val="Tabletext0"/>
              <w:tabs>
                <w:tab w:val="left" w:pos="204"/>
              </w:tabs>
              <w:rPr>
                <w:iCs/>
                <w:color w:val="000000"/>
              </w:rPr>
            </w:pPr>
            <w:r w:rsidRPr="003F2A1B">
              <w:rPr>
                <w:iCs/>
                <w:color w:val="000000"/>
              </w:rPr>
              <w:tab/>
              <w:t>centre in Years 1-5</w:t>
            </w:r>
          </w:p>
        </w:tc>
        <w:tc>
          <w:tcPr>
            <w:tcW w:w="611" w:type="pct"/>
            <w:tcBorders>
              <w:bottom w:val="single" w:sz="4" w:space="0" w:color="auto"/>
            </w:tcBorders>
            <w:noWrap/>
            <w:vAlign w:val="bottom"/>
          </w:tcPr>
          <w:p w14:paraId="678F7F97" w14:textId="77777777" w:rsidR="00B36E72" w:rsidRPr="003F2A1B" w:rsidRDefault="00B36E72" w:rsidP="00B36E72">
            <w:pPr>
              <w:spacing w:before="40" w:after="40"/>
              <w:jc w:val="center"/>
              <w:rPr>
                <w:rFonts w:ascii="Arial Narrow" w:hAnsi="Arial Narrow" w:cs="Calibri"/>
                <w:iCs/>
                <w:color w:val="000000"/>
                <w:sz w:val="20"/>
              </w:rPr>
            </w:pPr>
            <w:r w:rsidRPr="003F2A1B">
              <w:rPr>
                <w:rFonts w:ascii="Arial Narrow" w:hAnsi="Arial Narrow" w:cs="Calibri"/>
                <w:iCs/>
                <w:color w:val="000000"/>
                <w:sz w:val="20"/>
              </w:rPr>
              <w:t>N=48</w:t>
            </w:r>
          </w:p>
          <w:p w14:paraId="071EAC02" w14:textId="77777777" w:rsidR="00B36E72" w:rsidRPr="003F2A1B" w:rsidRDefault="00B36E72" w:rsidP="00B36E72">
            <w:pPr>
              <w:spacing w:before="40" w:after="40"/>
              <w:jc w:val="center"/>
              <w:rPr>
                <w:rFonts w:ascii="Arial Narrow" w:hAnsi="Arial Narrow"/>
                <w:iCs/>
                <w:sz w:val="20"/>
              </w:rPr>
            </w:pPr>
            <w:r w:rsidRPr="003F2A1B">
              <w:rPr>
                <w:rFonts w:ascii="Arial Narrow" w:hAnsi="Arial Narrow" w:cs="Calibri"/>
                <w:iCs/>
                <w:color w:val="000000"/>
                <w:sz w:val="20"/>
              </w:rPr>
              <w:t>$46,125</w:t>
            </w:r>
          </w:p>
        </w:tc>
        <w:tc>
          <w:tcPr>
            <w:tcW w:w="609" w:type="pct"/>
            <w:tcBorders>
              <w:bottom w:val="single" w:sz="4" w:space="0" w:color="auto"/>
            </w:tcBorders>
            <w:noWrap/>
            <w:vAlign w:val="bottom"/>
          </w:tcPr>
          <w:p w14:paraId="3EB98EA3" w14:textId="77777777" w:rsidR="00B36E72" w:rsidRPr="003F2A1B" w:rsidRDefault="00B36E72" w:rsidP="00B36E72">
            <w:pPr>
              <w:spacing w:before="40" w:after="40"/>
              <w:jc w:val="center"/>
              <w:rPr>
                <w:rFonts w:ascii="Arial Narrow" w:hAnsi="Arial Narrow" w:cs="Calibri"/>
                <w:iCs/>
                <w:color w:val="000000"/>
                <w:sz w:val="20"/>
              </w:rPr>
            </w:pPr>
            <w:r w:rsidRPr="003F2A1B">
              <w:rPr>
                <w:rFonts w:ascii="Arial Narrow" w:hAnsi="Arial Narrow" w:cs="Calibri"/>
                <w:iCs/>
                <w:color w:val="000000"/>
                <w:sz w:val="20"/>
              </w:rPr>
              <w:t>N=72</w:t>
            </w:r>
          </w:p>
          <w:p w14:paraId="6FA1C8BF" w14:textId="77777777" w:rsidR="00B36E72" w:rsidRPr="003F2A1B" w:rsidRDefault="00B36E72" w:rsidP="00B36E72">
            <w:pPr>
              <w:spacing w:before="40" w:after="40"/>
              <w:jc w:val="center"/>
              <w:rPr>
                <w:rFonts w:ascii="Arial Narrow" w:hAnsi="Arial Narrow"/>
                <w:iCs/>
                <w:sz w:val="20"/>
              </w:rPr>
            </w:pPr>
            <w:r w:rsidRPr="003F2A1B">
              <w:rPr>
                <w:rFonts w:ascii="Arial Narrow" w:hAnsi="Arial Narrow" w:cs="Calibri"/>
                <w:iCs/>
                <w:color w:val="000000"/>
                <w:sz w:val="20"/>
              </w:rPr>
              <w:t>$72,019</w:t>
            </w:r>
          </w:p>
        </w:tc>
        <w:tc>
          <w:tcPr>
            <w:tcW w:w="607" w:type="pct"/>
            <w:tcBorders>
              <w:bottom w:val="single" w:sz="4" w:space="0" w:color="auto"/>
            </w:tcBorders>
            <w:noWrap/>
            <w:vAlign w:val="bottom"/>
          </w:tcPr>
          <w:p w14:paraId="2C9F36CE" w14:textId="77777777" w:rsidR="00B36E72" w:rsidRPr="003F2A1B" w:rsidRDefault="00B36E72" w:rsidP="00B36E72">
            <w:pPr>
              <w:spacing w:before="40" w:after="40"/>
              <w:jc w:val="center"/>
              <w:rPr>
                <w:rFonts w:ascii="Arial Narrow" w:hAnsi="Arial Narrow" w:cs="Calibri"/>
                <w:iCs/>
                <w:color w:val="000000"/>
                <w:sz w:val="20"/>
              </w:rPr>
            </w:pPr>
            <w:r w:rsidRPr="003F2A1B">
              <w:rPr>
                <w:rFonts w:ascii="Arial Narrow" w:hAnsi="Arial Narrow" w:cs="Calibri"/>
                <w:iCs/>
                <w:color w:val="000000"/>
                <w:sz w:val="20"/>
              </w:rPr>
              <w:t>N=96</w:t>
            </w:r>
          </w:p>
          <w:p w14:paraId="73065A92" w14:textId="77777777" w:rsidR="00B36E72" w:rsidRPr="003F2A1B" w:rsidRDefault="00B36E72" w:rsidP="00B36E72">
            <w:pPr>
              <w:spacing w:before="40" w:after="40"/>
              <w:jc w:val="center"/>
              <w:rPr>
                <w:rFonts w:ascii="Arial Narrow" w:hAnsi="Arial Narrow"/>
                <w:iCs/>
                <w:sz w:val="20"/>
              </w:rPr>
            </w:pPr>
            <w:r w:rsidRPr="003F2A1B">
              <w:rPr>
                <w:rFonts w:ascii="Arial Narrow" w:hAnsi="Arial Narrow" w:cs="Calibri"/>
                <w:iCs/>
                <w:color w:val="000000"/>
                <w:sz w:val="20"/>
              </w:rPr>
              <w:t>$100,511</w:t>
            </w:r>
          </w:p>
        </w:tc>
        <w:tc>
          <w:tcPr>
            <w:tcW w:w="608" w:type="pct"/>
            <w:tcBorders>
              <w:bottom w:val="single" w:sz="4" w:space="0" w:color="auto"/>
            </w:tcBorders>
            <w:noWrap/>
            <w:vAlign w:val="bottom"/>
          </w:tcPr>
          <w:p w14:paraId="55CD75CB" w14:textId="77777777" w:rsidR="00B36E72" w:rsidRPr="003F2A1B" w:rsidRDefault="00B36E72" w:rsidP="00B36E72">
            <w:pPr>
              <w:spacing w:before="40" w:after="40"/>
              <w:jc w:val="center"/>
              <w:rPr>
                <w:rFonts w:ascii="Arial Narrow" w:hAnsi="Arial Narrow" w:cs="Calibri"/>
                <w:iCs/>
                <w:color w:val="000000"/>
                <w:sz w:val="20"/>
              </w:rPr>
            </w:pPr>
            <w:r w:rsidRPr="003F2A1B">
              <w:rPr>
                <w:rFonts w:ascii="Arial Narrow" w:hAnsi="Arial Narrow" w:cs="Calibri"/>
                <w:iCs/>
                <w:color w:val="000000"/>
                <w:sz w:val="20"/>
              </w:rPr>
              <w:t>N=132</w:t>
            </w:r>
          </w:p>
          <w:p w14:paraId="462CD62C" w14:textId="77777777" w:rsidR="00B36E72" w:rsidRPr="003F2A1B" w:rsidRDefault="00B36E72" w:rsidP="00B36E72">
            <w:pPr>
              <w:spacing w:before="40" w:after="40"/>
              <w:jc w:val="center"/>
              <w:rPr>
                <w:rFonts w:ascii="Arial Narrow" w:hAnsi="Arial Narrow"/>
                <w:iCs/>
                <w:sz w:val="20"/>
              </w:rPr>
            </w:pPr>
            <w:r w:rsidRPr="003F2A1B">
              <w:rPr>
                <w:rFonts w:ascii="Arial Narrow" w:hAnsi="Arial Narrow" w:cs="Calibri"/>
                <w:iCs/>
                <w:color w:val="000000"/>
                <w:sz w:val="20"/>
              </w:rPr>
              <w:t>$141,949</w:t>
            </w:r>
          </w:p>
        </w:tc>
        <w:tc>
          <w:tcPr>
            <w:tcW w:w="608" w:type="pct"/>
            <w:tcBorders>
              <w:bottom w:val="single" w:sz="4" w:space="0" w:color="auto"/>
            </w:tcBorders>
            <w:noWrap/>
            <w:vAlign w:val="bottom"/>
          </w:tcPr>
          <w:p w14:paraId="41211F44" w14:textId="77777777" w:rsidR="00B36E72" w:rsidRPr="003F2A1B" w:rsidRDefault="00B36E72" w:rsidP="00B36E72">
            <w:pPr>
              <w:spacing w:before="40" w:after="40"/>
              <w:jc w:val="center"/>
              <w:rPr>
                <w:rFonts w:ascii="Arial Narrow" w:hAnsi="Arial Narrow" w:cs="Calibri"/>
                <w:iCs/>
                <w:color w:val="000000"/>
                <w:sz w:val="20"/>
              </w:rPr>
            </w:pPr>
            <w:r w:rsidRPr="003F2A1B">
              <w:rPr>
                <w:rFonts w:ascii="Arial Narrow" w:hAnsi="Arial Narrow" w:cs="Calibri"/>
                <w:iCs/>
                <w:color w:val="000000"/>
                <w:sz w:val="20"/>
              </w:rPr>
              <w:t>N=192</w:t>
            </w:r>
          </w:p>
          <w:p w14:paraId="2EB93FE8" w14:textId="77777777" w:rsidR="00B36E72" w:rsidRPr="003F2A1B" w:rsidRDefault="00B36E72" w:rsidP="00B36E72">
            <w:pPr>
              <w:spacing w:before="40" w:after="40"/>
              <w:jc w:val="center"/>
              <w:rPr>
                <w:rFonts w:ascii="Arial Narrow" w:hAnsi="Arial Narrow"/>
                <w:iCs/>
                <w:sz w:val="20"/>
              </w:rPr>
            </w:pPr>
            <w:r w:rsidRPr="003F2A1B">
              <w:rPr>
                <w:rFonts w:ascii="Arial Narrow" w:hAnsi="Arial Narrow" w:cs="Calibri"/>
                <w:iCs/>
                <w:color w:val="000000"/>
                <w:sz w:val="20"/>
              </w:rPr>
              <w:t>$209,165</w:t>
            </w:r>
          </w:p>
        </w:tc>
      </w:tr>
      <w:tr w:rsidR="00B36E72" w:rsidRPr="00EC194D" w14:paraId="2F8B2060" w14:textId="77777777" w:rsidTr="00B36E72">
        <w:trPr>
          <w:cantSplit/>
          <w:trHeight w:val="70"/>
        </w:trPr>
        <w:tc>
          <w:tcPr>
            <w:tcW w:w="1957" w:type="pct"/>
            <w:tcBorders>
              <w:right w:val="nil"/>
            </w:tcBorders>
            <w:noWrap/>
            <w:vAlign w:val="center"/>
          </w:tcPr>
          <w:p w14:paraId="7F37C5E8" w14:textId="77777777" w:rsidR="00B36E72" w:rsidRPr="003F2A1B" w:rsidRDefault="00B36E72" w:rsidP="00B36E72">
            <w:pPr>
              <w:pStyle w:val="Tabletext0"/>
              <w:tabs>
                <w:tab w:val="left" w:pos="204"/>
              </w:tabs>
            </w:pPr>
            <w:r w:rsidRPr="003F2A1B">
              <w:t>Substitution of UPPP (base case: 30%)</w:t>
            </w:r>
          </w:p>
        </w:tc>
        <w:tc>
          <w:tcPr>
            <w:tcW w:w="611" w:type="pct"/>
            <w:tcBorders>
              <w:left w:val="nil"/>
              <w:right w:val="nil"/>
            </w:tcBorders>
            <w:noWrap/>
            <w:vAlign w:val="center"/>
          </w:tcPr>
          <w:p w14:paraId="19B0526A" w14:textId="77777777" w:rsidR="00B36E72" w:rsidRPr="003F2A1B" w:rsidRDefault="00B36E72" w:rsidP="00B36E72">
            <w:pPr>
              <w:spacing w:before="40" w:after="40"/>
              <w:jc w:val="center"/>
              <w:rPr>
                <w:rFonts w:ascii="Arial Narrow" w:hAnsi="Arial Narrow"/>
                <w:sz w:val="20"/>
              </w:rPr>
            </w:pPr>
          </w:p>
        </w:tc>
        <w:tc>
          <w:tcPr>
            <w:tcW w:w="609" w:type="pct"/>
            <w:tcBorders>
              <w:left w:val="nil"/>
              <w:right w:val="nil"/>
            </w:tcBorders>
            <w:noWrap/>
            <w:vAlign w:val="center"/>
          </w:tcPr>
          <w:p w14:paraId="1C566D2C" w14:textId="77777777" w:rsidR="00B36E72" w:rsidRPr="003F2A1B" w:rsidRDefault="00B36E72" w:rsidP="00B36E72">
            <w:pPr>
              <w:spacing w:before="40" w:after="40"/>
              <w:jc w:val="center"/>
              <w:rPr>
                <w:rFonts w:ascii="Arial Narrow" w:hAnsi="Arial Narrow"/>
                <w:sz w:val="20"/>
              </w:rPr>
            </w:pPr>
          </w:p>
        </w:tc>
        <w:tc>
          <w:tcPr>
            <w:tcW w:w="607" w:type="pct"/>
            <w:tcBorders>
              <w:left w:val="nil"/>
              <w:right w:val="nil"/>
            </w:tcBorders>
            <w:noWrap/>
            <w:vAlign w:val="center"/>
          </w:tcPr>
          <w:p w14:paraId="3AA70175" w14:textId="77777777" w:rsidR="00B36E72" w:rsidRPr="003F2A1B" w:rsidRDefault="00B36E72" w:rsidP="00B36E72">
            <w:pPr>
              <w:spacing w:before="40" w:after="40"/>
              <w:jc w:val="center"/>
              <w:rPr>
                <w:rFonts w:ascii="Arial Narrow" w:hAnsi="Arial Narrow"/>
                <w:sz w:val="20"/>
              </w:rPr>
            </w:pPr>
          </w:p>
        </w:tc>
        <w:tc>
          <w:tcPr>
            <w:tcW w:w="608" w:type="pct"/>
            <w:tcBorders>
              <w:left w:val="nil"/>
              <w:right w:val="nil"/>
            </w:tcBorders>
            <w:noWrap/>
            <w:vAlign w:val="center"/>
          </w:tcPr>
          <w:p w14:paraId="33EFC27E" w14:textId="77777777" w:rsidR="00B36E72" w:rsidRPr="003F2A1B" w:rsidRDefault="00B36E72" w:rsidP="00B36E72">
            <w:pPr>
              <w:spacing w:before="40" w:after="40"/>
              <w:jc w:val="center"/>
              <w:rPr>
                <w:rFonts w:ascii="Arial Narrow" w:hAnsi="Arial Narrow"/>
                <w:sz w:val="20"/>
              </w:rPr>
            </w:pPr>
          </w:p>
        </w:tc>
        <w:tc>
          <w:tcPr>
            <w:tcW w:w="608" w:type="pct"/>
            <w:tcBorders>
              <w:left w:val="nil"/>
            </w:tcBorders>
            <w:noWrap/>
            <w:vAlign w:val="center"/>
          </w:tcPr>
          <w:p w14:paraId="10051F36" w14:textId="77777777" w:rsidR="00B36E72" w:rsidRPr="003F2A1B" w:rsidRDefault="00B36E72" w:rsidP="00B36E72">
            <w:pPr>
              <w:spacing w:before="40" w:after="40"/>
              <w:jc w:val="center"/>
              <w:rPr>
                <w:rFonts w:ascii="Arial Narrow" w:hAnsi="Arial Narrow"/>
                <w:sz w:val="20"/>
              </w:rPr>
            </w:pPr>
          </w:p>
        </w:tc>
      </w:tr>
      <w:tr w:rsidR="00B36E72" w:rsidRPr="00EC194D" w14:paraId="18A28E9D" w14:textId="77777777" w:rsidTr="00B36E72">
        <w:trPr>
          <w:cantSplit/>
          <w:trHeight w:val="70"/>
        </w:trPr>
        <w:tc>
          <w:tcPr>
            <w:tcW w:w="1957" w:type="pct"/>
            <w:noWrap/>
            <w:vAlign w:val="bottom"/>
          </w:tcPr>
          <w:p w14:paraId="0765E0D7" w14:textId="77777777" w:rsidR="00B36E72" w:rsidRPr="003F2A1B" w:rsidRDefault="00B36E72" w:rsidP="00B36E72">
            <w:pPr>
              <w:pStyle w:val="Tabletext0"/>
              <w:tabs>
                <w:tab w:val="left" w:pos="204"/>
              </w:tabs>
            </w:pPr>
            <w:r w:rsidRPr="003F2A1B">
              <w:tab/>
              <w:t>15%</w:t>
            </w:r>
          </w:p>
        </w:tc>
        <w:tc>
          <w:tcPr>
            <w:tcW w:w="611" w:type="pct"/>
            <w:noWrap/>
            <w:vAlign w:val="bottom"/>
          </w:tcPr>
          <w:p w14:paraId="6A6F430A"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cs="Calibri"/>
                <w:color w:val="000000"/>
                <w:sz w:val="20"/>
              </w:rPr>
              <w:t>$25,426</w:t>
            </w:r>
          </w:p>
        </w:tc>
        <w:tc>
          <w:tcPr>
            <w:tcW w:w="609" w:type="pct"/>
            <w:noWrap/>
            <w:vAlign w:val="bottom"/>
          </w:tcPr>
          <w:p w14:paraId="496BB38B"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cs="Calibri"/>
                <w:color w:val="000000"/>
                <w:sz w:val="20"/>
              </w:rPr>
              <w:t>$44,711</w:t>
            </w:r>
          </w:p>
        </w:tc>
        <w:tc>
          <w:tcPr>
            <w:tcW w:w="607" w:type="pct"/>
            <w:noWrap/>
            <w:vAlign w:val="bottom"/>
          </w:tcPr>
          <w:p w14:paraId="43D3BE54"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cs="Calibri"/>
                <w:color w:val="000000"/>
                <w:sz w:val="20"/>
              </w:rPr>
              <w:t>$65,203</w:t>
            </w:r>
          </w:p>
        </w:tc>
        <w:tc>
          <w:tcPr>
            <w:tcW w:w="608" w:type="pct"/>
            <w:noWrap/>
            <w:vAlign w:val="bottom"/>
          </w:tcPr>
          <w:p w14:paraId="2D396665"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cs="Calibri"/>
                <w:color w:val="000000"/>
                <w:sz w:val="20"/>
              </w:rPr>
              <w:t>$116,302</w:t>
            </w:r>
          </w:p>
        </w:tc>
        <w:tc>
          <w:tcPr>
            <w:tcW w:w="608" w:type="pct"/>
            <w:noWrap/>
            <w:vAlign w:val="bottom"/>
          </w:tcPr>
          <w:p w14:paraId="0E1A0E48"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cs="Calibri"/>
                <w:color w:val="000000"/>
                <w:sz w:val="20"/>
              </w:rPr>
              <w:t>$177,075</w:t>
            </w:r>
          </w:p>
        </w:tc>
      </w:tr>
      <w:tr w:rsidR="00B36E72" w:rsidRPr="00EC194D" w14:paraId="28BB05D9" w14:textId="77777777" w:rsidTr="00B36E72">
        <w:trPr>
          <w:cantSplit/>
          <w:trHeight w:val="70"/>
        </w:trPr>
        <w:tc>
          <w:tcPr>
            <w:tcW w:w="1957" w:type="pct"/>
            <w:noWrap/>
          </w:tcPr>
          <w:p w14:paraId="2F45E831" w14:textId="77777777" w:rsidR="00B36E72" w:rsidRPr="003F2A1B" w:rsidRDefault="00B36E72" w:rsidP="00B36E72">
            <w:pPr>
              <w:widowControl w:val="0"/>
              <w:tabs>
                <w:tab w:val="left" w:pos="204"/>
              </w:tabs>
              <w:spacing w:before="40" w:after="40"/>
              <w:rPr>
                <w:rFonts w:ascii="Arial Narrow" w:hAnsi="Arial Narrow"/>
                <w:sz w:val="20"/>
              </w:rPr>
            </w:pPr>
            <w:r w:rsidRPr="003F2A1B">
              <w:rPr>
                <w:rFonts w:ascii="Arial Narrow" w:hAnsi="Arial Narrow"/>
                <w:sz w:val="20"/>
              </w:rPr>
              <w:tab/>
              <w:t>50%</w:t>
            </w:r>
          </w:p>
        </w:tc>
        <w:tc>
          <w:tcPr>
            <w:tcW w:w="611" w:type="pct"/>
            <w:noWrap/>
            <w:vAlign w:val="bottom"/>
          </w:tcPr>
          <w:p w14:paraId="27E95A66"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cs="Calibri"/>
                <w:color w:val="000000"/>
                <w:sz w:val="20"/>
              </w:rPr>
              <w:t>$19,124</w:t>
            </w:r>
          </w:p>
        </w:tc>
        <w:tc>
          <w:tcPr>
            <w:tcW w:w="609" w:type="pct"/>
            <w:noWrap/>
            <w:vAlign w:val="bottom"/>
          </w:tcPr>
          <w:p w14:paraId="3E3DB02E"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cs="Calibri"/>
                <w:color w:val="000000"/>
                <w:sz w:val="20"/>
              </w:rPr>
              <w:t>$33,683</w:t>
            </w:r>
          </w:p>
        </w:tc>
        <w:tc>
          <w:tcPr>
            <w:tcW w:w="607" w:type="pct"/>
            <w:noWrap/>
            <w:vAlign w:val="bottom"/>
          </w:tcPr>
          <w:p w14:paraId="5F9CA63B"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cs="Calibri"/>
                <w:color w:val="000000"/>
                <w:sz w:val="20"/>
              </w:rPr>
              <w:t>$49,448</w:t>
            </w:r>
          </w:p>
        </w:tc>
        <w:tc>
          <w:tcPr>
            <w:tcW w:w="608" w:type="pct"/>
            <w:noWrap/>
            <w:vAlign w:val="bottom"/>
          </w:tcPr>
          <w:p w14:paraId="17A21741"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cs="Calibri"/>
                <w:color w:val="000000"/>
                <w:sz w:val="20"/>
              </w:rPr>
              <w:t>$88,731</w:t>
            </w:r>
          </w:p>
        </w:tc>
        <w:tc>
          <w:tcPr>
            <w:tcW w:w="608" w:type="pct"/>
            <w:noWrap/>
            <w:vAlign w:val="bottom"/>
          </w:tcPr>
          <w:p w14:paraId="4062C8B8" w14:textId="77777777" w:rsidR="00B36E72" w:rsidRPr="003F2A1B" w:rsidRDefault="00B36E72" w:rsidP="00B36E72">
            <w:pPr>
              <w:spacing w:before="40" w:after="40"/>
              <w:jc w:val="center"/>
              <w:rPr>
                <w:rFonts w:ascii="Arial Narrow" w:hAnsi="Arial Narrow"/>
                <w:sz w:val="20"/>
              </w:rPr>
            </w:pPr>
            <w:r w:rsidRPr="003F2A1B">
              <w:rPr>
                <w:rFonts w:ascii="Arial Narrow" w:hAnsi="Arial Narrow" w:cs="Calibri"/>
                <w:color w:val="000000"/>
                <w:sz w:val="20"/>
              </w:rPr>
              <w:t>$136,112</w:t>
            </w:r>
          </w:p>
        </w:tc>
      </w:tr>
    </w:tbl>
    <w:p w14:paraId="29DC28DB" w14:textId="77777777" w:rsidR="00B36E72" w:rsidRPr="006D0F12" w:rsidRDefault="00B36E72" w:rsidP="00B36E72">
      <w:pPr>
        <w:pStyle w:val="Tablenotes1"/>
      </w:pPr>
      <w:r w:rsidRPr="006D0F12">
        <w:t xml:space="preserve">Source: </w:t>
      </w:r>
      <w:r>
        <w:t>Table 51, p104 of the commentary</w:t>
      </w:r>
    </w:p>
    <w:p w14:paraId="7E1816EC" w14:textId="77777777" w:rsidR="00B36E72" w:rsidRPr="005E7BE9" w:rsidRDefault="00B36E72" w:rsidP="00B36E72">
      <w:pPr>
        <w:pStyle w:val="Tablenotes1"/>
      </w:pPr>
      <w:r>
        <w:t>Abbreviations: MBS=</w:t>
      </w:r>
      <w:proofErr w:type="spellStart"/>
      <w:r>
        <w:t>medicare</w:t>
      </w:r>
      <w:proofErr w:type="spellEnd"/>
      <w:r>
        <w:t xml:space="preserve"> benefit schedule; UPPP=</w:t>
      </w:r>
      <w:proofErr w:type="spellStart"/>
      <w:r>
        <w:t>uvulopalatopharyngoplasty</w:t>
      </w:r>
      <w:proofErr w:type="spellEnd"/>
    </w:p>
    <w:p w14:paraId="7D3452DE" w14:textId="6B74716F" w:rsidR="00B36E72" w:rsidRPr="00B02E35" w:rsidRDefault="00B36E72" w:rsidP="00B36E72">
      <w:pPr>
        <w:tabs>
          <w:tab w:val="left" w:pos="720"/>
          <w:tab w:val="left" w:pos="1140"/>
        </w:tabs>
        <w:rPr>
          <w:color w:val="0066FF"/>
          <w:szCs w:val="24"/>
        </w:rPr>
      </w:pPr>
      <w:r>
        <w:rPr>
          <w:szCs w:val="24"/>
        </w:rPr>
        <w:t>In the pre-</w:t>
      </w:r>
      <w:r w:rsidR="00AC559E">
        <w:rPr>
          <w:szCs w:val="24"/>
        </w:rPr>
        <w:t>MSAC</w:t>
      </w:r>
      <w:r>
        <w:rPr>
          <w:szCs w:val="24"/>
        </w:rPr>
        <w:t xml:space="preserve"> response, the applicant provided further clarification for the estimated utilisation, indicating it </w:t>
      </w:r>
      <w:proofErr w:type="gramStart"/>
      <w:r>
        <w:rPr>
          <w:szCs w:val="24"/>
        </w:rPr>
        <w:t>was based</w:t>
      </w:r>
      <w:proofErr w:type="gramEnd"/>
      <w:r>
        <w:rPr>
          <w:szCs w:val="24"/>
        </w:rPr>
        <w:t xml:space="preserve"> on the applicant’s sales data from similar health care systems.</w:t>
      </w:r>
      <w:r w:rsidR="00AC559E">
        <w:rPr>
          <w:szCs w:val="24"/>
        </w:rPr>
        <w:t xml:space="preserve"> The applicant also re-iterated that </w:t>
      </w:r>
      <w:r w:rsidR="00AC559E" w:rsidRPr="00AC559E">
        <w:rPr>
          <w:szCs w:val="24"/>
        </w:rPr>
        <w:t xml:space="preserve">there </w:t>
      </w:r>
      <w:proofErr w:type="gramStart"/>
      <w:r w:rsidR="00AC559E" w:rsidRPr="00AC559E">
        <w:rPr>
          <w:szCs w:val="24"/>
        </w:rPr>
        <w:t>will</w:t>
      </w:r>
      <w:proofErr w:type="gramEnd"/>
      <w:r w:rsidR="00AC559E" w:rsidRPr="00AC559E">
        <w:rPr>
          <w:szCs w:val="24"/>
        </w:rPr>
        <w:t xml:space="preserve"> be natural, physical constraints </w:t>
      </w:r>
      <w:r w:rsidR="0040793A">
        <w:rPr>
          <w:szCs w:val="24"/>
        </w:rPr>
        <w:t xml:space="preserve">(i.e. limited availability of specialists and hospitals providing the service) </w:t>
      </w:r>
      <w:r w:rsidR="00AC559E" w:rsidRPr="00AC559E">
        <w:rPr>
          <w:szCs w:val="24"/>
        </w:rPr>
        <w:t>on the utilisation of the Inspire System which will impact on actual uptake</w:t>
      </w:r>
      <w:r w:rsidR="0040793A">
        <w:rPr>
          <w:szCs w:val="24"/>
        </w:rPr>
        <w:t>.</w:t>
      </w:r>
      <w:r w:rsidR="00AC559E">
        <w:rPr>
          <w:szCs w:val="24"/>
        </w:rPr>
        <w:t xml:space="preserve"> </w:t>
      </w:r>
    </w:p>
    <w:p w14:paraId="5B5C07A8" w14:textId="77777777" w:rsidR="006A0D97" w:rsidRPr="00F715D1" w:rsidRDefault="006A0D97" w:rsidP="00F715D1">
      <w:pPr>
        <w:pStyle w:val="Heading1"/>
      </w:pPr>
      <w:r w:rsidRPr="00F715D1">
        <w:lastRenderedPageBreak/>
        <w:t>Key issues from ESC for MSAC</w:t>
      </w:r>
    </w:p>
    <w:tbl>
      <w:tblPr>
        <w:tblStyle w:val="TableGrid"/>
        <w:tblW w:w="0" w:type="auto"/>
        <w:tblLook w:val="04A0" w:firstRow="1" w:lastRow="0" w:firstColumn="1" w:lastColumn="0" w:noHBand="0" w:noVBand="1"/>
        <w:tblDescription w:val="Key issues identified at ESC for MSAC consideration"/>
      </w:tblPr>
      <w:tblGrid>
        <w:gridCol w:w="2689"/>
        <w:gridCol w:w="6327"/>
      </w:tblGrid>
      <w:tr w:rsidR="00E269AD" w:rsidRPr="006361AE" w14:paraId="31EA2C6F" w14:textId="77777777" w:rsidTr="00875ED2">
        <w:trPr>
          <w:tblHeader/>
        </w:trPr>
        <w:tc>
          <w:tcPr>
            <w:tcW w:w="2689" w:type="dxa"/>
          </w:tcPr>
          <w:p w14:paraId="749E9F5B" w14:textId="77777777" w:rsidR="00E269AD" w:rsidRPr="006361AE" w:rsidRDefault="00E269AD" w:rsidP="007B10A2">
            <w:pPr>
              <w:pStyle w:val="TableHeading"/>
              <w:keepNext w:val="0"/>
              <w:spacing w:before="0" w:after="0"/>
              <w:jc w:val="left"/>
              <w:rPr>
                <w:rFonts w:ascii="Times New Roman" w:hAnsi="Times New Roman" w:cs="Times New Roman"/>
                <w:sz w:val="22"/>
                <w:szCs w:val="22"/>
              </w:rPr>
            </w:pPr>
            <w:r w:rsidRPr="006361AE">
              <w:rPr>
                <w:rFonts w:ascii="Times New Roman" w:hAnsi="Times New Roman" w:cs="Times New Roman"/>
                <w:sz w:val="22"/>
                <w:szCs w:val="22"/>
              </w:rPr>
              <w:t>ESC key issue</w:t>
            </w:r>
          </w:p>
        </w:tc>
        <w:tc>
          <w:tcPr>
            <w:tcW w:w="6327" w:type="dxa"/>
          </w:tcPr>
          <w:p w14:paraId="04545269" w14:textId="77777777" w:rsidR="00E269AD" w:rsidRPr="006361AE" w:rsidRDefault="00E269AD" w:rsidP="007B10A2">
            <w:pPr>
              <w:pStyle w:val="TableHeading"/>
              <w:keepNext w:val="0"/>
              <w:spacing w:before="0" w:after="0"/>
              <w:jc w:val="left"/>
              <w:rPr>
                <w:rFonts w:ascii="Times New Roman" w:hAnsi="Times New Roman" w:cs="Times New Roman"/>
                <w:sz w:val="22"/>
                <w:szCs w:val="22"/>
              </w:rPr>
            </w:pPr>
            <w:r w:rsidRPr="006361AE">
              <w:rPr>
                <w:rFonts w:ascii="Times New Roman" w:hAnsi="Times New Roman" w:cs="Times New Roman"/>
                <w:sz w:val="22"/>
                <w:szCs w:val="22"/>
              </w:rPr>
              <w:t>ESC advice to MSAC</w:t>
            </w:r>
          </w:p>
        </w:tc>
      </w:tr>
      <w:tr w:rsidR="00E269AD" w:rsidRPr="006361AE" w14:paraId="63270DDD" w14:textId="77777777" w:rsidTr="007B10A2">
        <w:tc>
          <w:tcPr>
            <w:tcW w:w="2689" w:type="dxa"/>
          </w:tcPr>
          <w:p w14:paraId="7FB77131" w14:textId="77777777" w:rsidR="00E269AD" w:rsidRPr="006361AE" w:rsidRDefault="00E269AD" w:rsidP="007B10A2">
            <w:pPr>
              <w:pStyle w:val="TableText"/>
              <w:keepNext w:val="0"/>
              <w:spacing w:before="0" w:after="0"/>
              <w:rPr>
                <w:sz w:val="22"/>
                <w:szCs w:val="22"/>
              </w:rPr>
            </w:pPr>
            <w:r w:rsidRPr="006361AE">
              <w:rPr>
                <w:sz w:val="22"/>
                <w:szCs w:val="22"/>
              </w:rPr>
              <w:t>MBS item descriptor</w:t>
            </w:r>
          </w:p>
        </w:tc>
        <w:tc>
          <w:tcPr>
            <w:tcW w:w="6327" w:type="dxa"/>
          </w:tcPr>
          <w:p w14:paraId="3B7E60F5" w14:textId="77777777" w:rsidR="00E269AD" w:rsidRPr="006361AE" w:rsidRDefault="00E269AD" w:rsidP="007B10A2">
            <w:pPr>
              <w:pStyle w:val="TableText"/>
              <w:keepNext w:val="0"/>
              <w:spacing w:before="0" w:after="0"/>
              <w:rPr>
                <w:sz w:val="22"/>
                <w:szCs w:val="22"/>
              </w:rPr>
            </w:pPr>
            <w:r w:rsidRPr="006361AE">
              <w:rPr>
                <w:sz w:val="22"/>
                <w:szCs w:val="22"/>
              </w:rPr>
              <w:t xml:space="preserve">ESC considered that: </w:t>
            </w:r>
          </w:p>
          <w:p w14:paraId="7A5A7017" w14:textId="77777777" w:rsidR="00E269AD" w:rsidRPr="006361AE" w:rsidRDefault="00E269AD" w:rsidP="00E269AD">
            <w:pPr>
              <w:pStyle w:val="TableText"/>
              <w:keepNext w:val="0"/>
              <w:numPr>
                <w:ilvl w:val="0"/>
                <w:numId w:val="26"/>
              </w:numPr>
              <w:spacing w:before="0" w:after="0"/>
              <w:rPr>
                <w:sz w:val="22"/>
                <w:szCs w:val="22"/>
              </w:rPr>
            </w:pPr>
            <w:r w:rsidRPr="006361AE">
              <w:rPr>
                <w:sz w:val="22"/>
                <w:szCs w:val="22"/>
              </w:rPr>
              <w:t>CPAP failure and lack of tolerance to CPAP should be defined</w:t>
            </w:r>
          </w:p>
          <w:p w14:paraId="7A8B216E" w14:textId="77777777" w:rsidR="00E269AD" w:rsidRPr="006361AE" w:rsidRDefault="00E269AD" w:rsidP="00E269AD">
            <w:pPr>
              <w:pStyle w:val="TableText"/>
              <w:keepNext w:val="0"/>
              <w:numPr>
                <w:ilvl w:val="0"/>
                <w:numId w:val="26"/>
              </w:numPr>
              <w:spacing w:before="0" w:after="0"/>
              <w:rPr>
                <w:sz w:val="22"/>
                <w:szCs w:val="22"/>
              </w:rPr>
            </w:pPr>
            <w:r w:rsidRPr="006361AE">
              <w:rPr>
                <w:sz w:val="22"/>
                <w:szCs w:val="22"/>
              </w:rPr>
              <w:t>“once per patient per lifetime” was appropriate for surgical repositioning or removal of the device, but not for replacement of the device</w:t>
            </w:r>
          </w:p>
          <w:p w14:paraId="468E7B90" w14:textId="77777777" w:rsidR="00E269AD" w:rsidRPr="006361AE" w:rsidRDefault="00E269AD" w:rsidP="00E269AD">
            <w:pPr>
              <w:pStyle w:val="TableText"/>
              <w:keepNext w:val="0"/>
              <w:numPr>
                <w:ilvl w:val="0"/>
                <w:numId w:val="26"/>
              </w:numPr>
              <w:spacing w:before="0" w:after="0"/>
              <w:rPr>
                <w:sz w:val="22"/>
                <w:szCs w:val="22"/>
              </w:rPr>
            </w:pPr>
            <w:proofErr w:type="gramStart"/>
            <w:r w:rsidRPr="006361AE">
              <w:rPr>
                <w:sz w:val="22"/>
                <w:szCs w:val="22"/>
              </w:rPr>
              <w:t>unnecessary</w:t>
            </w:r>
            <w:proofErr w:type="gramEnd"/>
            <w:r w:rsidRPr="006361AE">
              <w:rPr>
                <w:sz w:val="22"/>
                <w:szCs w:val="22"/>
              </w:rPr>
              <w:t xml:space="preserve"> patient descriptions should be removed from the descriptors for repositioning or removal, and replacement.</w:t>
            </w:r>
          </w:p>
        </w:tc>
      </w:tr>
      <w:tr w:rsidR="00E269AD" w:rsidRPr="006361AE" w14:paraId="0F0C5C13" w14:textId="77777777" w:rsidTr="007B10A2">
        <w:tc>
          <w:tcPr>
            <w:tcW w:w="2689" w:type="dxa"/>
          </w:tcPr>
          <w:p w14:paraId="6C4BCD38" w14:textId="77777777" w:rsidR="00E269AD" w:rsidRPr="006361AE" w:rsidRDefault="00E269AD" w:rsidP="007B10A2">
            <w:pPr>
              <w:pStyle w:val="TableText"/>
              <w:keepNext w:val="0"/>
              <w:spacing w:before="0" w:after="0"/>
              <w:rPr>
                <w:sz w:val="22"/>
                <w:szCs w:val="22"/>
              </w:rPr>
            </w:pPr>
            <w:r w:rsidRPr="006361AE">
              <w:rPr>
                <w:sz w:val="22"/>
                <w:szCs w:val="22"/>
              </w:rPr>
              <w:t>Place in clinical management</w:t>
            </w:r>
          </w:p>
        </w:tc>
        <w:tc>
          <w:tcPr>
            <w:tcW w:w="6327" w:type="dxa"/>
          </w:tcPr>
          <w:p w14:paraId="330CD9CD" w14:textId="77777777" w:rsidR="00E269AD" w:rsidRPr="006361AE" w:rsidRDefault="00E269AD" w:rsidP="007B10A2">
            <w:pPr>
              <w:pStyle w:val="TableText"/>
              <w:keepNext w:val="0"/>
              <w:spacing w:before="0" w:after="0"/>
              <w:rPr>
                <w:sz w:val="22"/>
                <w:szCs w:val="22"/>
              </w:rPr>
            </w:pPr>
            <w:r w:rsidRPr="006361AE">
              <w:rPr>
                <w:sz w:val="22"/>
                <w:szCs w:val="22"/>
              </w:rPr>
              <w:t xml:space="preserve">ESC noted that it was unclear whether closed loop UAS would replace other treatment options or be an additional option. </w:t>
            </w:r>
          </w:p>
        </w:tc>
      </w:tr>
      <w:tr w:rsidR="00E269AD" w:rsidRPr="006361AE" w14:paraId="4A5AC1BF" w14:textId="77777777" w:rsidTr="007B10A2">
        <w:tc>
          <w:tcPr>
            <w:tcW w:w="2689" w:type="dxa"/>
          </w:tcPr>
          <w:p w14:paraId="68350D22" w14:textId="77777777" w:rsidR="00E269AD" w:rsidRPr="006361AE" w:rsidRDefault="00E269AD" w:rsidP="007B10A2">
            <w:pPr>
              <w:pStyle w:val="TableText"/>
              <w:keepNext w:val="0"/>
              <w:spacing w:before="0" w:after="0"/>
              <w:rPr>
                <w:sz w:val="22"/>
                <w:szCs w:val="22"/>
              </w:rPr>
            </w:pPr>
            <w:r w:rsidRPr="006361AE">
              <w:rPr>
                <w:sz w:val="22"/>
                <w:szCs w:val="22"/>
              </w:rPr>
              <w:t>Unclear population</w:t>
            </w:r>
          </w:p>
        </w:tc>
        <w:tc>
          <w:tcPr>
            <w:tcW w:w="6327" w:type="dxa"/>
          </w:tcPr>
          <w:p w14:paraId="5645AF16" w14:textId="77777777" w:rsidR="00E269AD" w:rsidRPr="006361AE" w:rsidRDefault="00E269AD" w:rsidP="007B10A2">
            <w:pPr>
              <w:pStyle w:val="TableText"/>
              <w:keepNext w:val="0"/>
              <w:spacing w:before="0" w:after="0"/>
              <w:rPr>
                <w:sz w:val="22"/>
                <w:szCs w:val="22"/>
              </w:rPr>
            </w:pPr>
            <w:r w:rsidRPr="006361AE">
              <w:rPr>
                <w:sz w:val="22"/>
                <w:szCs w:val="22"/>
              </w:rPr>
              <w:t xml:space="preserve">ESC noted the uncertainty in the applicability of the evidentiary trial (patients who had difficulty accepting or adhering to CPAP) to the MBS item descriptor (patients </w:t>
            </w:r>
            <w:proofErr w:type="gramStart"/>
            <w:r w:rsidRPr="006361AE">
              <w:rPr>
                <w:sz w:val="22"/>
                <w:szCs w:val="22"/>
              </w:rPr>
              <w:t>who have failed or are intolerant to CPAP</w:t>
            </w:r>
            <w:proofErr w:type="gramEnd"/>
            <w:r w:rsidRPr="006361AE">
              <w:rPr>
                <w:sz w:val="22"/>
                <w:szCs w:val="22"/>
              </w:rPr>
              <w:t>).</w:t>
            </w:r>
          </w:p>
        </w:tc>
      </w:tr>
      <w:tr w:rsidR="00E269AD" w:rsidRPr="006361AE" w14:paraId="066187E5" w14:textId="77777777" w:rsidTr="007B10A2">
        <w:tc>
          <w:tcPr>
            <w:tcW w:w="2689" w:type="dxa"/>
          </w:tcPr>
          <w:p w14:paraId="16C7A5AA" w14:textId="77777777" w:rsidR="00E269AD" w:rsidRPr="006361AE" w:rsidRDefault="00E269AD" w:rsidP="007B10A2">
            <w:pPr>
              <w:pStyle w:val="TableText"/>
              <w:keepNext w:val="0"/>
              <w:spacing w:before="0" w:after="0"/>
              <w:rPr>
                <w:sz w:val="22"/>
                <w:szCs w:val="22"/>
              </w:rPr>
            </w:pPr>
            <w:r w:rsidRPr="006361AE">
              <w:rPr>
                <w:sz w:val="22"/>
                <w:szCs w:val="22"/>
              </w:rPr>
              <w:t>Use of DISE as a prior test</w:t>
            </w:r>
          </w:p>
        </w:tc>
        <w:tc>
          <w:tcPr>
            <w:tcW w:w="6327" w:type="dxa"/>
          </w:tcPr>
          <w:p w14:paraId="042B261B" w14:textId="77777777" w:rsidR="00E269AD" w:rsidRPr="006361AE" w:rsidRDefault="00E269AD" w:rsidP="007B10A2">
            <w:pPr>
              <w:pStyle w:val="TableText"/>
              <w:keepNext w:val="0"/>
              <w:spacing w:before="0" w:after="0"/>
              <w:rPr>
                <w:sz w:val="22"/>
                <w:szCs w:val="22"/>
              </w:rPr>
            </w:pPr>
            <w:r w:rsidRPr="006361AE">
              <w:rPr>
                <w:sz w:val="22"/>
                <w:szCs w:val="22"/>
              </w:rPr>
              <w:t xml:space="preserve">ESC noted that DISE is not a well-described test, and current funding for, and utilisation of, DISE are uncertain. </w:t>
            </w:r>
          </w:p>
        </w:tc>
      </w:tr>
      <w:tr w:rsidR="00E269AD" w:rsidRPr="006361AE" w14:paraId="1E2A776E" w14:textId="77777777" w:rsidTr="007B10A2">
        <w:tc>
          <w:tcPr>
            <w:tcW w:w="2689" w:type="dxa"/>
          </w:tcPr>
          <w:p w14:paraId="66A70480" w14:textId="77777777" w:rsidR="00E269AD" w:rsidRPr="006361AE" w:rsidRDefault="00E269AD" w:rsidP="007B10A2">
            <w:pPr>
              <w:pStyle w:val="TableText"/>
              <w:keepNext w:val="0"/>
              <w:spacing w:before="0" w:after="0"/>
              <w:rPr>
                <w:sz w:val="22"/>
                <w:szCs w:val="22"/>
              </w:rPr>
            </w:pPr>
            <w:r w:rsidRPr="006361AE">
              <w:rPr>
                <w:sz w:val="22"/>
                <w:szCs w:val="22"/>
              </w:rPr>
              <w:t>Lack of comparative study results</w:t>
            </w:r>
          </w:p>
        </w:tc>
        <w:tc>
          <w:tcPr>
            <w:tcW w:w="6327" w:type="dxa"/>
          </w:tcPr>
          <w:p w14:paraId="30649810" w14:textId="77777777" w:rsidR="00E269AD" w:rsidRPr="006361AE" w:rsidRDefault="00E269AD" w:rsidP="007B10A2">
            <w:pPr>
              <w:pStyle w:val="TableText"/>
              <w:keepNext w:val="0"/>
              <w:spacing w:before="0" w:after="0"/>
              <w:rPr>
                <w:sz w:val="22"/>
                <w:szCs w:val="22"/>
              </w:rPr>
            </w:pPr>
            <w:r w:rsidRPr="006361AE">
              <w:rPr>
                <w:sz w:val="22"/>
                <w:szCs w:val="22"/>
              </w:rPr>
              <w:t xml:space="preserve">ESC noted the potential bias associated with the subjective measures of ESS and FOSQ, but not the objective measures of AHI and ODI. This has implications for the use of ESS in the economic model. </w:t>
            </w:r>
          </w:p>
        </w:tc>
      </w:tr>
      <w:tr w:rsidR="00E269AD" w:rsidRPr="006361AE" w14:paraId="033C1942" w14:textId="77777777" w:rsidTr="007B10A2">
        <w:tc>
          <w:tcPr>
            <w:tcW w:w="2689" w:type="dxa"/>
          </w:tcPr>
          <w:p w14:paraId="5E3473BA" w14:textId="77777777" w:rsidR="00E269AD" w:rsidRPr="006361AE" w:rsidRDefault="00E269AD" w:rsidP="007B10A2">
            <w:pPr>
              <w:pStyle w:val="TableText"/>
              <w:keepNext w:val="0"/>
              <w:spacing w:before="0" w:after="0"/>
              <w:rPr>
                <w:sz w:val="22"/>
                <w:szCs w:val="22"/>
              </w:rPr>
            </w:pPr>
            <w:r>
              <w:rPr>
                <w:sz w:val="22"/>
                <w:szCs w:val="22"/>
              </w:rPr>
              <w:t>Superior effectiveness claim not supported</w:t>
            </w:r>
          </w:p>
        </w:tc>
        <w:tc>
          <w:tcPr>
            <w:tcW w:w="6327" w:type="dxa"/>
          </w:tcPr>
          <w:p w14:paraId="1D488C53" w14:textId="77777777" w:rsidR="00E269AD" w:rsidRPr="006361AE" w:rsidRDefault="00E269AD" w:rsidP="007B10A2">
            <w:pPr>
              <w:pStyle w:val="TableText"/>
              <w:keepNext w:val="0"/>
              <w:spacing w:before="0" w:after="0"/>
              <w:rPr>
                <w:sz w:val="22"/>
                <w:szCs w:val="22"/>
              </w:rPr>
            </w:pPr>
            <w:r>
              <w:rPr>
                <w:sz w:val="22"/>
                <w:szCs w:val="22"/>
              </w:rPr>
              <w:t xml:space="preserve">ESC considered that the evidence did not support the claim of superior effectiveness. </w:t>
            </w:r>
          </w:p>
        </w:tc>
      </w:tr>
      <w:tr w:rsidR="00E269AD" w:rsidRPr="006361AE" w14:paraId="6BB53E17" w14:textId="77777777" w:rsidTr="007B10A2">
        <w:tc>
          <w:tcPr>
            <w:tcW w:w="2689" w:type="dxa"/>
          </w:tcPr>
          <w:p w14:paraId="33A1A8EF" w14:textId="77777777" w:rsidR="00E269AD" w:rsidRPr="006361AE" w:rsidRDefault="00E269AD" w:rsidP="007B10A2">
            <w:pPr>
              <w:pStyle w:val="TableText"/>
              <w:keepNext w:val="0"/>
              <w:spacing w:before="0" w:after="0"/>
              <w:rPr>
                <w:sz w:val="22"/>
                <w:szCs w:val="22"/>
              </w:rPr>
            </w:pPr>
            <w:r w:rsidRPr="006361AE">
              <w:rPr>
                <w:sz w:val="22"/>
                <w:szCs w:val="22"/>
              </w:rPr>
              <w:t>Inferior safety</w:t>
            </w:r>
          </w:p>
        </w:tc>
        <w:tc>
          <w:tcPr>
            <w:tcW w:w="6327" w:type="dxa"/>
          </w:tcPr>
          <w:p w14:paraId="5BDA95E4" w14:textId="77777777" w:rsidR="00E269AD" w:rsidRPr="006361AE" w:rsidRDefault="00E269AD" w:rsidP="007B10A2">
            <w:pPr>
              <w:pStyle w:val="TableText"/>
              <w:keepNext w:val="0"/>
              <w:spacing w:before="0" w:after="0"/>
              <w:rPr>
                <w:sz w:val="22"/>
                <w:szCs w:val="22"/>
              </w:rPr>
            </w:pPr>
            <w:r w:rsidRPr="006361AE">
              <w:rPr>
                <w:sz w:val="22"/>
                <w:szCs w:val="22"/>
              </w:rPr>
              <w:t>ESC considered that the claim of inferior safety, although not based on comparative evidence, was a reasonable assumption. ESC also noted the serious device-related adverse events in 6% of patients.</w:t>
            </w:r>
          </w:p>
        </w:tc>
      </w:tr>
      <w:tr w:rsidR="00E269AD" w:rsidRPr="006361AE" w14:paraId="3943B20B" w14:textId="77777777" w:rsidTr="007B10A2">
        <w:tc>
          <w:tcPr>
            <w:tcW w:w="2689" w:type="dxa"/>
          </w:tcPr>
          <w:p w14:paraId="231BF8A3" w14:textId="77777777" w:rsidR="00E269AD" w:rsidRPr="006361AE" w:rsidRDefault="00E269AD" w:rsidP="007B10A2">
            <w:pPr>
              <w:pStyle w:val="TableText"/>
              <w:keepNext w:val="0"/>
              <w:spacing w:before="0" w:after="0"/>
              <w:rPr>
                <w:sz w:val="22"/>
                <w:szCs w:val="22"/>
              </w:rPr>
            </w:pPr>
            <w:r w:rsidRPr="006361AE">
              <w:rPr>
                <w:sz w:val="22"/>
                <w:szCs w:val="22"/>
              </w:rPr>
              <w:t>Overly simplistic economic model</w:t>
            </w:r>
          </w:p>
        </w:tc>
        <w:tc>
          <w:tcPr>
            <w:tcW w:w="6327" w:type="dxa"/>
          </w:tcPr>
          <w:p w14:paraId="031E377F" w14:textId="77777777" w:rsidR="00E269AD" w:rsidRPr="006361AE" w:rsidRDefault="00E269AD" w:rsidP="007B10A2">
            <w:pPr>
              <w:pStyle w:val="TableText"/>
              <w:keepNext w:val="0"/>
              <w:spacing w:before="0" w:after="0"/>
              <w:rPr>
                <w:sz w:val="22"/>
                <w:szCs w:val="22"/>
              </w:rPr>
            </w:pPr>
            <w:r w:rsidRPr="006361AE">
              <w:rPr>
                <w:sz w:val="22"/>
                <w:szCs w:val="22"/>
              </w:rPr>
              <w:t>ESC noted issues with the model structure, time horizon and estimate of effect size. ESC advised that the model should be revised to</w:t>
            </w:r>
            <w:r>
              <w:rPr>
                <w:sz w:val="22"/>
                <w:szCs w:val="22"/>
              </w:rPr>
              <w:t xml:space="preserve"> </w:t>
            </w:r>
            <w:r w:rsidRPr="006361AE">
              <w:rPr>
                <w:sz w:val="22"/>
                <w:szCs w:val="22"/>
              </w:rPr>
              <w:t>address these issues</w:t>
            </w:r>
            <w:r>
              <w:rPr>
                <w:sz w:val="22"/>
                <w:szCs w:val="22"/>
              </w:rPr>
              <w:t xml:space="preserve"> </w:t>
            </w:r>
            <w:proofErr w:type="gramStart"/>
            <w:r>
              <w:rPr>
                <w:sz w:val="22"/>
                <w:szCs w:val="22"/>
              </w:rPr>
              <w:t>and</w:t>
            </w:r>
            <w:r w:rsidRPr="006361AE">
              <w:rPr>
                <w:sz w:val="22"/>
                <w:szCs w:val="22"/>
              </w:rPr>
              <w:t xml:space="preserve"> </w:t>
            </w:r>
            <w:r>
              <w:rPr>
                <w:sz w:val="22"/>
                <w:szCs w:val="22"/>
              </w:rPr>
              <w:t>also</w:t>
            </w:r>
            <w:proofErr w:type="gramEnd"/>
            <w:r>
              <w:rPr>
                <w:sz w:val="22"/>
                <w:szCs w:val="22"/>
              </w:rPr>
              <w:t xml:space="preserve"> </w:t>
            </w:r>
            <w:r w:rsidRPr="006361AE">
              <w:rPr>
                <w:sz w:val="22"/>
                <w:szCs w:val="22"/>
              </w:rPr>
              <w:t>include objective inputs</w:t>
            </w:r>
            <w:r>
              <w:rPr>
                <w:sz w:val="22"/>
                <w:szCs w:val="22"/>
              </w:rPr>
              <w:t>.</w:t>
            </w:r>
            <w:r w:rsidRPr="006361AE">
              <w:rPr>
                <w:sz w:val="22"/>
                <w:szCs w:val="22"/>
              </w:rPr>
              <w:t xml:space="preserve"> </w:t>
            </w:r>
          </w:p>
        </w:tc>
      </w:tr>
      <w:tr w:rsidR="00E269AD" w:rsidRPr="006361AE" w14:paraId="74D4D0AB" w14:textId="77777777" w:rsidTr="007B10A2">
        <w:tc>
          <w:tcPr>
            <w:tcW w:w="2689" w:type="dxa"/>
          </w:tcPr>
          <w:p w14:paraId="75121E98" w14:textId="77777777" w:rsidR="00E269AD" w:rsidRPr="00A0184F" w:rsidRDefault="00E269AD" w:rsidP="007B10A2">
            <w:pPr>
              <w:pStyle w:val="TableText"/>
              <w:keepNext w:val="0"/>
              <w:spacing w:before="0" w:after="0"/>
              <w:rPr>
                <w:sz w:val="22"/>
                <w:szCs w:val="22"/>
              </w:rPr>
            </w:pPr>
            <w:r w:rsidRPr="009A3B94">
              <w:rPr>
                <w:sz w:val="22"/>
                <w:szCs w:val="22"/>
              </w:rPr>
              <w:t>Policy issues</w:t>
            </w:r>
          </w:p>
        </w:tc>
        <w:tc>
          <w:tcPr>
            <w:tcW w:w="6327" w:type="dxa"/>
          </w:tcPr>
          <w:p w14:paraId="532CB2D1" w14:textId="77777777" w:rsidR="00E269AD" w:rsidRPr="00A0184F" w:rsidRDefault="00E269AD" w:rsidP="007B10A2">
            <w:pPr>
              <w:pStyle w:val="TableText"/>
              <w:keepNext w:val="0"/>
              <w:spacing w:before="0" w:after="0"/>
              <w:rPr>
                <w:sz w:val="22"/>
                <w:szCs w:val="22"/>
              </w:rPr>
            </w:pPr>
            <w:r>
              <w:rPr>
                <w:sz w:val="22"/>
                <w:szCs w:val="22"/>
              </w:rPr>
              <w:t>ESC noted the issues associated with likely OOP, MDT and capacity issues</w:t>
            </w:r>
          </w:p>
        </w:tc>
      </w:tr>
    </w:tbl>
    <w:p w14:paraId="3949F75A" w14:textId="77777777" w:rsidR="00E269AD" w:rsidRPr="00417876" w:rsidRDefault="00E269AD" w:rsidP="00B05427">
      <w:pPr>
        <w:pStyle w:val="Heading2"/>
        <w:spacing w:before="240"/>
      </w:pPr>
      <w:r>
        <w:t>ESC Discussion</w:t>
      </w:r>
    </w:p>
    <w:p w14:paraId="65A2FA61" w14:textId="6576E470" w:rsidR="00E269AD" w:rsidRDefault="00E269AD" w:rsidP="00E269AD">
      <w:pPr>
        <w:spacing w:after="240"/>
      </w:pPr>
      <w:r>
        <w:t xml:space="preserve">ESC noted the purpose of the </w:t>
      </w:r>
      <w:r w:rsidRPr="005468B6">
        <w:t>application requesting MBS listing of closed loop UAS) for patients who have failed or are intolerant to CPAP, for the treatment of moderate to severe OSA</w:t>
      </w:r>
      <w:r>
        <w:t>. ESC noted that there are likely to be other applications to MSAC for OSA treatment in the future, and it would be beneficial to develop a consistent framework for evaluating these applications.</w:t>
      </w:r>
    </w:p>
    <w:p w14:paraId="386C4E67" w14:textId="6C9FF108" w:rsidR="00E269AD" w:rsidRDefault="00E269AD" w:rsidP="00E269AD">
      <w:pPr>
        <w:spacing w:after="240"/>
      </w:pPr>
      <w:r>
        <w:t xml:space="preserve">ESC noted the proposed MBS item descriptors, and considered that the wording describing the patient characteristics </w:t>
      </w:r>
      <w:proofErr w:type="gramStart"/>
      <w:r>
        <w:t>should be deleted</w:t>
      </w:r>
      <w:proofErr w:type="gramEnd"/>
      <w:r>
        <w:t xml:space="preserve"> from the item descriptors for surgical repositioning or removal, and surgical replacement, as this description is not necessary (see ESC proposed changes in Table 3 and Table 4).</w:t>
      </w:r>
      <w:r w:rsidRPr="001C16D4">
        <w:t xml:space="preserve"> </w:t>
      </w:r>
      <w:r>
        <w:t xml:space="preserve">ESC considered that CPAP failure and lack of tolerance to CPAP should be defined; </w:t>
      </w:r>
      <w:proofErr w:type="gramStart"/>
      <w:r>
        <w:t>and also</w:t>
      </w:r>
      <w:proofErr w:type="gramEnd"/>
      <w:r>
        <w:t xml:space="preserve"> noted that DISE is not listed on the MBS, but this is a required prior test for closed loop UAS. ESC considered that “once per patient per lifetime” was appropriate for surgical repositioning or removal of the device, but not for replacement of the device, as the entire device </w:t>
      </w:r>
      <w:proofErr w:type="gramStart"/>
      <w:r>
        <w:t>must be replaced</w:t>
      </w:r>
      <w:proofErr w:type="gramEnd"/>
      <w:r>
        <w:t xml:space="preserve"> at the end of the battery life (approximately 10 years). ESC also queried whether any co-claiming restrictions would be appropriate.</w:t>
      </w:r>
    </w:p>
    <w:p w14:paraId="2E08A63A" w14:textId="77777777" w:rsidR="00E269AD" w:rsidRDefault="00E269AD" w:rsidP="00E269AD">
      <w:pPr>
        <w:spacing w:after="240"/>
      </w:pPr>
      <w:r>
        <w:t xml:space="preserve">ESC noted the consultation feedback received and the perceived benefits for patients. ESC noted that multidisciplinary care and specialist training </w:t>
      </w:r>
      <w:proofErr w:type="gramStart"/>
      <w:r>
        <w:t>may</w:t>
      </w:r>
      <w:proofErr w:type="gramEnd"/>
      <w:r>
        <w:t xml:space="preserve"> have equity issues for patients in rural and remote areas.</w:t>
      </w:r>
    </w:p>
    <w:p w14:paraId="1CDDCCA0" w14:textId="77777777" w:rsidR="00E269AD" w:rsidRDefault="00E269AD" w:rsidP="00E269AD">
      <w:pPr>
        <w:spacing w:after="240"/>
      </w:pPr>
      <w:r>
        <w:lastRenderedPageBreak/>
        <w:t xml:space="preserve">ESC noted the clinical management algorithms and the issues raised in the commentary; in particular, that it was not clear whether closed loop UAS would replace other treatment options or be an additional option. ESC also considered that patients who are unwilling to undergo upper airway surgery </w:t>
      </w:r>
      <w:proofErr w:type="gramStart"/>
      <w:r>
        <w:t>may</w:t>
      </w:r>
      <w:proofErr w:type="gramEnd"/>
      <w:r>
        <w:t xml:space="preserve"> be a different population to those who are unsuitable for surgery. ESC also considered that it was unlikely that patients </w:t>
      </w:r>
      <w:proofErr w:type="gramStart"/>
      <w:r>
        <w:t>would be managed</w:t>
      </w:r>
      <w:proofErr w:type="gramEnd"/>
      <w:r>
        <w:t xml:space="preserve"> by a multidisciplinary team (as suggested by PASC) and queried potential issues with workforce and facility capacity.</w:t>
      </w:r>
    </w:p>
    <w:p w14:paraId="03FFC988" w14:textId="77777777" w:rsidR="00E269AD" w:rsidRDefault="00E269AD" w:rsidP="00E269AD">
      <w:pPr>
        <w:spacing w:after="240"/>
      </w:pPr>
      <w:r>
        <w:t xml:space="preserve">ESC noted that the claim of inferior safety of closed loop UAS </w:t>
      </w:r>
      <w:proofErr w:type="gramStart"/>
      <w:r>
        <w:t>was not based</w:t>
      </w:r>
      <w:proofErr w:type="gramEnd"/>
      <w:r>
        <w:t xml:space="preserve"> on comparative studies against medical management, but considered this to be a reasonable assumption.</w:t>
      </w:r>
    </w:p>
    <w:p w14:paraId="06E30AC0" w14:textId="1C544FC9" w:rsidR="00E269AD" w:rsidRDefault="00E269AD" w:rsidP="00E269AD">
      <w:pPr>
        <w:spacing w:after="240"/>
      </w:pPr>
      <w:r>
        <w:t xml:space="preserve">ESC noted the concerns raised in the commentary regarding evidence of comparative clinical effectiveness. These included that the risk of bias checklist used in the applicant developed assessment report (ADAR) </w:t>
      </w:r>
      <w:proofErr w:type="gramStart"/>
      <w:r>
        <w:t>was incorrectly applied</w:t>
      </w:r>
      <w:proofErr w:type="gramEnd"/>
      <w:r>
        <w:t xml:space="preserve">, and the main study had a high risk of bias (not low as presented in the ADAR). The ADAR also did not present comparative results from the STAR study, and the claim that baseline values were representative of patients treated with medical management </w:t>
      </w:r>
      <w:proofErr w:type="gramStart"/>
      <w:r>
        <w:t>was not supported</w:t>
      </w:r>
      <w:proofErr w:type="gramEnd"/>
      <w:r>
        <w:t xml:space="preserve"> with evidence. ESC noted that some outcomes were objective (AHI, ODI), while others were self-reported (ESS, FOSQ). Limited evidence </w:t>
      </w:r>
      <w:proofErr w:type="gramStart"/>
      <w:r>
        <w:t>was provided</w:t>
      </w:r>
      <w:proofErr w:type="gramEnd"/>
      <w:r>
        <w:t xml:space="preserve"> to demonstrate that observed improvements in AHI, ODI, FOSQ and ESS outcomes represented a clinical benefit. ESC noted that the STAR study did not assess mortality or cardiac event outcomes. ESC also noted that, at the 5-year time point, only 56% of study participants (n = 71) completed a PSG sleep study. Although the withdrawal subgroup showed a change in response when therapy was withdrawn, ESC did not consider that this demonstrated that closed loop UAS was superior to medical management.</w:t>
      </w:r>
    </w:p>
    <w:p w14:paraId="4F201EE6" w14:textId="77777777" w:rsidR="00E269AD" w:rsidRDefault="00E269AD" w:rsidP="00E269AD">
      <w:pPr>
        <w:spacing w:after="240"/>
      </w:pPr>
      <w:r>
        <w:t>ESC agreed with the commentary that the economic model presented in the ADAR was overly simplistic. The model used treatment states rather than health states, and ESS was the only study outcome used in the model. ESC considered that the alternative models (</w:t>
      </w:r>
      <w:proofErr w:type="spellStart"/>
      <w:r>
        <w:t>Pietzch</w:t>
      </w:r>
      <w:proofErr w:type="spellEnd"/>
      <w:r>
        <w:t xml:space="preserve"> et al. 2015 and health technology assessment [HTA] for CPAP by McDaid 2009) had relevant health states that could be included in a revised model. ESC noted the pre-ESC </w:t>
      </w:r>
      <w:proofErr w:type="gramStart"/>
      <w:r>
        <w:t>response which considered that given STAR</w:t>
      </w:r>
      <w:proofErr w:type="gramEnd"/>
      <w:r>
        <w:t xml:space="preserve"> did not report cardiac event outcomes that including these in the model (like published models) would have resulted in multiple assumptions increasing the uncertainty considerably. ESC acknowledged that the lack of data is an issue and agreed with the applicant that it might be conservative to exclude cardiac event outcomes, but considered that the model structure </w:t>
      </w:r>
      <w:proofErr w:type="gramStart"/>
      <w:r>
        <w:t>should be driven</w:t>
      </w:r>
      <w:proofErr w:type="gramEnd"/>
      <w:r>
        <w:t xml:space="preserve"> by the assessment question, rather than data availability. The ADAR model used a 45-year time horizon. ESC </w:t>
      </w:r>
      <w:proofErr w:type="gramStart"/>
      <w:r>
        <w:t>noted</w:t>
      </w:r>
      <w:proofErr w:type="gramEnd"/>
      <w:r>
        <w:t xml:space="preserve"> </w:t>
      </w:r>
      <w:proofErr w:type="gramStart"/>
      <w:r>
        <w:t>that the device battery needs</w:t>
      </w:r>
      <w:proofErr w:type="gramEnd"/>
      <w:r>
        <w:t xml:space="preserve"> to be changed every approximately 10 years, so some patients in the model received this up to four times. However, ESC noted that the technology is likely to change over time, and therefore did not consider a time horizon of 45 years to be appropriate. ESC agreed with the commentary that a time horizon of 15-20 years would be more appropriate. </w:t>
      </w:r>
    </w:p>
    <w:p w14:paraId="1E4E2B68" w14:textId="020FAEE7" w:rsidR="00E269AD" w:rsidRDefault="00E269AD" w:rsidP="00E269AD">
      <w:pPr>
        <w:spacing w:after="240"/>
      </w:pPr>
      <w:r>
        <w:t xml:space="preserve">ESC noted that the benefits in the model </w:t>
      </w:r>
      <w:proofErr w:type="gramStart"/>
      <w:r>
        <w:t>were driven</w:t>
      </w:r>
      <w:proofErr w:type="gramEnd"/>
      <w:r>
        <w:t xml:space="preserve"> by the change in mortality with treatment. </w:t>
      </w:r>
      <w:proofErr w:type="gramStart"/>
      <w:r>
        <w:t>ESC considered that the effect size may be overestimated because the model applied a hazard ratio (HR) of 3.0 for mortality due to severe disease before treatment to the entire cohort, but the median AHI in the study used (Young 2008) was 29, indicating that at least half the cohort would be in the mild or moderate category instead (HR 1.6 and 1.4, respectively).</w:t>
      </w:r>
      <w:proofErr w:type="gramEnd"/>
      <w:r>
        <w:t xml:space="preserve"> ESC also noted that the Markov traces did not fit well to the Kaplan–Meier curves</w:t>
      </w:r>
      <w:r w:rsidR="007B10A2">
        <w:t xml:space="preserve"> from Young 2008 (see </w:t>
      </w:r>
      <w:r w:rsidR="007B10A2">
        <w:fldChar w:fldCharType="begin"/>
      </w:r>
      <w:r w:rsidR="007B10A2">
        <w:instrText xml:space="preserve"> REF _Ref58247559 \h </w:instrText>
      </w:r>
      <w:r w:rsidR="007B10A2">
        <w:fldChar w:fldCharType="separate"/>
      </w:r>
      <w:r w:rsidR="00D007E1">
        <w:t xml:space="preserve">Figure </w:t>
      </w:r>
      <w:r w:rsidR="00D007E1">
        <w:rPr>
          <w:noProof/>
        </w:rPr>
        <w:t>4</w:t>
      </w:r>
      <w:r w:rsidR="007B10A2">
        <w:fldChar w:fldCharType="end"/>
      </w:r>
      <w:r>
        <w:t xml:space="preserve"> below). ESC discussed the commentary’s criticism of the use of ESS to drive utility values; ESC noted that, although the estimate of effect was much larger than that in McDaid 2009, it was consistent with the improvements seen in follow-up data up to 5 years. However, ESC noted that the ESS is self-reported and is subject to variability. Overall, ESC considered that a revised model </w:t>
      </w:r>
      <w:proofErr w:type="gramStart"/>
      <w:r>
        <w:t>should be developed</w:t>
      </w:r>
      <w:proofErr w:type="gramEnd"/>
      <w:r>
        <w:t xml:space="preserve"> that </w:t>
      </w:r>
      <w:r>
        <w:lastRenderedPageBreak/>
        <w:t>addresses these issues, model structure that better aligns with published HTA application by McDaid and uses objective inputs (rather than ESS only).</w:t>
      </w:r>
    </w:p>
    <w:p w14:paraId="37E4040E" w14:textId="77777777" w:rsidR="00E269AD" w:rsidRDefault="00E269AD" w:rsidP="00E269AD">
      <w:r w:rsidRPr="006076B4">
        <w:rPr>
          <w:noProof/>
        </w:rPr>
        <w:drawing>
          <wp:inline distT="0" distB="0" distL="0" distR="0" wp14:anchorId="455129EB" wp14:editId="03178460">
            <wp:extent cx="5731510" cy="3062605"/>
            <wp:effectExtent l="0" t="0" r="2540" b="4445"/>
            <wp:docPr id="3" name="Chart 3" descr="Comparison of ADARs modelled OS vs. digitised KM curves for mild (5 ≤ 15), moderate (15-30), severe OSA (≥30) over 20 years from Young 2008">
              <a:extLst xmlns:a="http://schemas.openxmlformats.org/drawingml/2006/main">
                <a:ext uri="{FF2B5EF4-FFF2-40B4-BE49-F238E27FC236}">
                  <a16:creationId xmlns:a16="http://schemas.microsoft.com/office/drawing/2014/main" id="{A40BF1B0-E70A-5C4F-A0FA-9B930B0707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17C6DAB" w14:textId="4922B75C" w:rsidR="00E269AD" w:rsidRPr="00875ED2" w:rsidRDefault="007B10A2" w:rsidP="00875ED2">
      <w:pPr>
        <w:rPr>
          <w:rFonts w:ascii="Arial Narrow" w:hAnsi="Arial Narrow"/>
          <w:b/>
          <w:sz w:val="20"/>
        </w:rPr>
      </w:pPr>
      <w:bookmarkStart w:id="36" w:name="_Ref58247559"/>
      <w:r w:rsidRPr="00875ED2">
        <w:rPr>
          <w:rFonts w:ascii="Arial Narrow" w:hAnsi="Arial Narrow"/>
          <w:b/>
          <w:sz w:val="20"/>
        </w:rPr>
        <w:t xml:space="preserve">Figure </w:t>
      </w:r>
      <w:r w:rsidR="00086098" w:rsidRPr="00875ED2">
        <w:rPr>
          <w:rFonts w:ascii="Arial Narrow" w:hAnsi="Arial Narrow"/>
          <w:b/>
          <w:sz w:val="20"/>
        </w:rPr>
        <w:fldChar w:fldCharType="begin"/>
      </w:r>
      <w:r w:rsidR="00086098" w:rsidRPr="00875ED2">
        <w:rPr>
          <w:rFonts w:ascii="Arial Narrow" w:hAnsi="Arial Narrow"/>
          <w:b/>
          <w:sz w:val="20"/>
        </w:rPr>
        <w:instrText xml:space="preserve"> SEQ Figure \* ARABIC </w:instrText>
      </w:r>
      <w:r w:rsidR="00086098" w:rsidRPr="00875ED2">
        <w:rPr>
          <w:rFonts w:ascii="Arial Narrow" w:hAnsi="Arial Narrow"/>
          <w:b/>
          <w:sz w:val="20"/>
        </w:rPr>
        <w:fldChar w:fldCharType="separate"/>
      </w:r>
      <w:r w:rsidR="00D007E1" w:rsidRPr="00875ED2">
        <w:rPr>
          <w:rFonts w:ascii="Arial Narrow" w:hAnsi="Arial Narrow"/>
          <w:b/>
          <w:sz w:val="20"/>
        </w:rPr>
        <w:t>4</w:t>
      </w:r>
      <w:r w:rsidR="00086098" w:rsidRPr="00875ED2">
        <w:rPr>
          <w:rFonts w:ascii="Arial Narrow" w:hAnsi="Arial Narrow"/>
          <w:b/>
          <w:sz w:val="20"/>
        </w:rPr>
        <w:fldChar w:fldCharType="end"/>
      </w:r>
      <w:bookmarkEnd w:id="36"/>
      <w:r w:rsidRPr="00875ED2">
        <w:rPr>
          <w:rFonts w:ascii="Arial Narrow" w:hAnsi="Arial Narrow"/>
          <w:b/>
          <w:sz w:val="20"/>
        </w:rPr>
        <w:t xml:space="preserve"> </w:t>
      </w:r>
      <w:r w:rsidR="00E269AD" w:rsidRPr="00875ED2">
        <w:rPr>
          <w:rFonts w:ascii="Arial Narrow" w:hAnsi="Arial Narrow"/>
          <w:b/>
          <w:sz w:val="20"/>
        </w:rPr>
        <w:t>Comparison of ADARs modelled OS vs. digitised KM curves for mild (</w:t>
      </w:r>
      <w:proofErr w:type="gramStart"/>
      <w:r w:rsidR="00E269AD" w:rsidRPr="00875ED2">
        <w:rPr>
          <w:rFonts w:ascii="Arial Narrow" w:hAnsi="Arial Narrow"/>
          <w:b/>
          <w:sz w:val="20"/>
        </w:rPr>
        <w:t>5</w:t>
      </w:r>
      <w:proofErr w:type="gramEnd"/>
      <w:r w:rsidR="00E269AD" w:rsidRPr="00875ED2">
        <w:rPr>
          <w:rFonts w:ascii="Arial Narrow" w:hAnsi="Arial Narrow"/>
          <w:b/>
          <w:sz w:val="20"/>
        </w:rPr>
        <w:t xml:space="preserve"> ≤ 15), moderate (15-30), severe OSA (≥30) over 20 years from Young 2008</w:t>
      </w:r>
    </w:p>
    <w:p w14:paraId="5D881821" w14:textId="77777777" w:rsidR="00E269AD" w:rsidRDefault="00E269AD" w:rsidP="00E269AD">
      <w:pPr>
        <w:spacing w:after="240"/>
      </w:pPr>
      <w:r w:rsidRPr="00A0184F">
        <w:rPr>
          <w:rFonts w:ascii="Arial Narrow" w:hAnsi="Arial Narrow"/>
          <w:iCs/>
          <w:sz w:val="18"/>
        </w:rPr>
        <w:t>Source</w:t>
      </w:r>
      <w:r w:rsidRPr="003356EA">
        <w:rPr>
          <w:rFonts w:ascii="Arial Narrow" w:hAnsi="Arial Narrow"/>
          <w:iCs/>
          <w:sz w:val="18"/>
        </w:rPr>
        <w:t>: ESC meeting Oc</w:t>
      </w:r>
      <w:r w:rsidRPr="004023AB">
        <w:rPr>
          <w:rFonts w:ascii="Arial Narrow" w:hAnsi="Arial Narrow"/>
          <w:iCs/>
          <w:sz w:val="18"/>
        </w:rPr>
        <w:t xml:space="preserve">tober </w:t>
      </w:r>
      <w:r>
        <w:rPr>
          <w:rFonts w:ascii="Arial Narrow" w:hAnsi="Arial Narrow"/>
          <w:iCs/>
          <w:sz w:val="18"/>
        </w:rPr>
        <w:t>2020, created by comparing modelled OS Markov traces with digitised OSA Kaplan Meier curves from Young et al 2008 (Figure 1, p1,075)</w:t>
      </w:r>
    </w:p>
    <w:p w14:paraId="4912901E" w14:textId="77777777" w:rsidR="00E269AD" w:rsidRDefault="00E269AD" w:rsidP="00E269AD">
      <w:pPr>
        <w:spacing w:after="240"/>
      </w:pPr>
      <w:r>
        <w:t xml:space="preserve">Overall, ESC considered that the incremental cost-effectiveness ratios (ICERs) presented in the ADAR were highly uncertain due to the structural and other issues in the economic model. </w:t>
      </w:r>
    </w:p>
    <w:p w14:paraId="682F987A" w14:textId="6EDEB9D6" w:rsidR="00E269AD" w:rsidRPr="006810D8" w:rsidRDefault="00E269AD" w:rsidP="00E269AD">
      <w:pPr>
        <w:spacing w:after="240"/>
      </w:pPr>
      <w:r>
        <w:t xml:space="preserve">ESC noted that the eligible population is potentially large, but utilisation is likely to </w:t>
      </w:r>
      <w:proofErr w:type="gramStart"/>
      <w:r>
        <w:t>be limited</w:t>
      </w:r>
      <w:proofErr w:type="gramEnd"/>
      <w:r>
        <w:t xml:space="preserve"> by the capacity of treatment centres and specialists. However, ESC also noted data from the United States indicating a doubling of treatment rate in the past year. ESC considered that uptake may initially be slow, but will likely increase over time when centres are operating efficiently. ESC also noted that despite the small patient numbers treated with </w:t>
      </w:r>
      <w:r w:rsidRPr="00DE1D69">
        <w:t>closed loop UAS, at the applicant’s proposed cost for the prostheses ($</w:t>
      </w:r>
      <w:r w:rsidR="00BA09B0" w:rsidRPr="00DE1D69">
        <w:rPr>
          <w:b/>
        </w:rPr>
        <w:t>redacted</w:t>
      </w:r>
      <w:r w:rsidRPr="00DE1D69">
        <w:t>) the potential cost to the Prostheses List would be high (e.g. $</w:t>
      </w:r>
      <w:r w:rsidR="00BA09B0" w:rsidRPr="00DE1D69">
        <w:rPr>
          <w:b/>
        </w:rPr>
        <w:t>redacted</w:t>
      </w:r>
      <w:r w:rsidRPr="00DE1D69">
        <w:t xml:space="preserve"> in Year 5).</w:t>
      </w:r>
    </w:p>
    <w:p w14:paraId="04F96866" w14:textId="77777777" w:rsidR="00D90A38" w:rsidRPr="00F715D1" w:rsidRDefault="00BC1364" w:rsidP="00F715D1">
      <w:pPr>
        <w:pStyle w:val="Heading1"/>
      </w:pPr>
      <w:r w:rsidRPr="00F715D1">
        <w:t>Other significant factors</w:t>
      </w:r>
    </w:p>
    <w:p w14:paraId="6F26CFFE" w14:textId="77777777" w:rsidR="00BC1364" w:rsidRPr="00B36E72" w:rsidRDefault="00B36E72" w:rsidP="00F715D1">
      <w:pPr>
        <w:spacing w:after="240"/>
        <w:rPr>
          <w:szCs w:val="24"/>
        </w:rPr>
      </w:pPr>
      <w:r>
        <w:rPr>
          <w:szCs w:val="24"/>
        </w:rPr>
        <w:t>Nil.</w:t>
      </w:r>
    </w:p>
    <w:p w14:paraId="3F06334B" w14:textId="77777777" w:rsidR="00BC1364" w:rsidRPr="00F715D1" w:rsidRDefault="00C06B0B" w:rsidP="00F715D1">
      <w:pPr>
        <w:pStyle w:val="Heading1"/>
      </w:pPr>
      <w:r>
        <w:t>Applicant</w:t>
      </w:r>
      <w:r w:rsidR="00BC1364" w:rsidRPr="00F715D1">
        <w:t xml:space="preserve"> comments on MSAC’s </w:t>
      </w:r>
      <w:r w:rsidR="00DA56AA" w:rsidRPr="00F715D1">
        <w:t>Public Summary Document</w:t>
      </w:r>
    </w:p>
    <w:p w14:paraId="6BEA8D00" w14:textId="48254C37" w:rsidR="00BC1364" w:rsidRPr="00DE1D69" w:rsidRDefault="00086098" w:rsidP="00DE1D69">
      <w:pPr>
        <w:rPr>
          <w:szCs w:val="24"/>
          <w:lang w:eastAsia="en-US"/>
        </w:rPr>
      </w:pPr>
      <w:r w:rsidRPr="00086098">
        <w:rPr>
          <w:szCs w:val="24"/>
          <w:lang w:eastAsia="en-US"/>
        </w:rPr>
        <w:t xml:space="preserve">While disappointed with the outcome of this application, we would like to thank MSAC for their consideration of the application and the work of all those involved. It is the applicant’s intention to resubmit </w:t>
      </w:r>
      <w:proofErr w:type="gramStart"/>
      <w:r w:rsidRPr="00086098">
        <w:rPr>
          <w:szCs w:val="24"/>
          <w:lang w:eastAsia="en-US"/>
        </w:rPr>
        <w:t>at a later date</w:t>
      </w:r>
      <w:proofErr w:type="gramEnd"/>
      <w:r w:rsidRPr="00086098">
        <w:rPr>
          <w:szCs w:val="24"/>
          <w:lang w:eastAsia="en-US"/>
        </w:rPr>
        <w:t>, taking into account MSACs advice included in this document.</w:t>
      </w:r>
    </w:p>
    <w:p w14:paraId="20302127" w14:textId="77777777" w:rsidR="00BC1364" w:rsidRPr="00F715D1" w:rsidRDefault="00271F18" w:rsidP="00F715D1">
      <w:pPr>
        <w:pStyle w:val="Heading1"/>
      </w:pPr>
      <w:r w:rsidRPr="00F715D1">
        <w:lastRenderedPageBreak/>
        <w:t>Further information on MSAC</w:t>
      </w:r>
    </w:p>
    <w:p w14:paraId="71749B39"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7"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8"/>
      <w:headerReference w:type="default" r:id="rId19"/>
      <w:footerReference w:type="even" r:id="rId20"/>
      <w:footerReference w:type="default" r:id="rId21"/>
      <w:headerReference w:type="first" r:id="rId22"/>
      <w:footerReference w:type="first" r:id="rId23"/>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5C602" w14:textId="77777777" w:rsidR="00256E0E" w:rsidRDefault="00256E0E" w:rsidP="00065623">
      <w:r>
        <w:separator/>
      </w:r>
    </w:p>
  </w:endnote>
  <w:endnote w:type="continuationSeparator" w:id="0">
    <w:p w14:paraId="76907814" w14:textId="77777777" w:rsidR="00256E0E" w:rsidRDefault="00256E0E"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56AF" w14:textId="77777777" w:rsidR="00875ED2" w:rsidRDefault="00875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36580C70" w14:textId="6E0FF139" w:rsidR="00875ED2" w:rsidRDefault="00875ED2">
        <w:pPr>
          <w:pStyle w:val="Footer"/>
          <w:jc w:val="right"/>
        </w:pPr>
        <w:r>
          <w:fldChar w:fldCharType="begin"/>
        </w:r>
        <w:r>
          <w:instrText xml:space="preserve"> PAGE   \* MERGEFORMAT </w:instrText>
        </w:r>
        <w:r>
          <w:fldChar w:fldCharType="separate"/>
        </w:r>
        <w:r w:rsidR="00DE1D69">
          <w:rPr>
            <w:noProof/>
          </w:rPr>
          <w:t>26</w:t>
        </w:r>
        <w:r>
          <w:rPr>
            <w:noProof/>
          </w:rPr>
          <w:fldChar w:fldCharType="end"/>
        </w:r>
      </w:p>
    </w:sdtContent>
  </w:sdt>
  <w:p w14:paraId="6AE1F469" w14:textId="77777777" w:rsidR="00875ED2" w:rsidRDefault="00875E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7E94B" w14:textId="77777777" w:rsidR="00875ED2" w:rsidRDefault="00875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F42E0" w14:textId="77777777" w:rsidR="00256E0E" w:rsidRDefault="00256E0E" w:rsidP="00065623">
      <w:r>
        <w:separator/>
      </w:r>
    </w:p>
  </w:footnote>
  <w:footnote w:type="continuationSeparator" w:id="0">
    <w:p w14:paraId="11F1B123" w14:textId="77777777" w:rsidR="00256E0E" w:rsidRDefault="00256E0E" w:rsidP="00065623">
      <w:r>
        <w:continuationSeparator/>
      </w:r>
    </w:p>
  </w:footnote>
  <w:footnote w:id="1">
    <w:p w14:paraId="63A7E53C" w14:textId="6436A8F6" w:rsidR="00875ED2" w:rsidRDefault="00875ED2">
      <w:pPr>
        <w:pStyle w:val="FootnoteText"/>
      </w:pPr>
      <w:r>
        <w:rPr>
          <w:rStyle w:val="FootnoteReference"/>
        </w:rPr>
        <w:footnoteRef/>
      </w:r>
      <w:r>
        <w:t xml:space="preserve"> </w:t>
      </w:r>
      <w:proofErr w:type="spellStart"/>
      <w:r w:rsidRPr="001D34F9">
        <w:t>McEvoy</w:t>
      </w:r>
      <w:proofErr w:type="spellEnd"/>
      <w:r w:rsidRPr="001D34F9">
        <w:t xml:space="preserve"> RD, Antic NA, Heeley E, Luo Y, </w:t>
      </w:r>
      <w:proofErr w:type="spellStart"/>
      <w:r w:rsidRPr="001D34F9">
        <w:t>Ou</w:t>
      </w:r>
      <w:proofErr w:type="spellEnd"/>
      <w:r w:rsidRPr="001D34F9">
        <w:t xml:space="preserve"> Q, Zhang X, </w:t>
      </w:r>
      <w:proofErr w:type="spellStart"/>
      <w:r w:rsidRPr="001D34F9">
        <w:t>Mediano</w:t>
      </w:r>
      <w:proofErr w:type="spellEnd"/>
      <w:r w:rsidRPr="001D34F9">
        <w:t xml:space="preserve"> O, Chen R, </w:t>
      </w:r>
      <w:proofErr w:type="spellStart"/>
      <w:r w:rsidRPr="001D34F9">
        <w:t>Drager</w:t>
      </w:r>
      <w:proofErr w:type="spellEnd"/>
      <w:r w:rsidRPr="001D34F9">
        <w:t xml:space="preserve"> LF, Liu Z, Chen G, Du B, </w:t>
      </w:r>
      <w:proofErr w:type="spellStart"/>
      <w:r w:rsidRPr="001D34F9">
        <w:t>McArdle</w:t>
      </w:r>
      <w:proofErr w:type="spellEnd"/>
      <w:r w:rsidRPr="001D34F9">
        <w:t xml:space="preserve"> N, Mukherjee S, </w:t>
      </w:r>
      <w:proofErr w:type="spellStart"/>
      <w:r w:rsidRPr="001D34F9">
        <w:t>Tripathi</w:t>
      </w:r>
      <w:proofErr w:type="spellEnd"/>
      <w:r w:rsidRPr="001D34F9">
        <w:t xml:space="preserve"> M, </w:t>
      </w:r>
      <w:proofErr w:type="spellStart"/>
      <w:r w:rsidRPr="001D34F9">
        <w:t>Billot</w:t>
      </w:r>
      <w:proofErr w:type="spellEnd"/>
      <w:r w:rsidRPr="001D34F9">
        <w:t xml:space="preserve"> L, Li Q, </w:t>
      </w:r>
      <w:proofErr w:type="spellStart"/>
      <w:r w:rsidRPr="001D34F9">
        <w:t>Lorenzi-Filho</w:t>
      </w:r>
      <w:proofErr w:type="spellEnd"/>
      <w:r w:rsidRPr="001D34F9">
        <w:t xml:space="preserve"> G, </w:t>
      </w:r>
      <w:proofErr w:type="spellStart"/>
      <w:r w:rsidRPr="001D34F9">
        <w:t>Barbe</w:t>
      </w:r>
      <w:proofErr w:type="spellEnd"/>
      <w:r w:rsidRPr="001D34F9">
        <w:t xml:space="preserve"> F, Redline S, Wang J, </w:t>
      </w:r>
      <w:proofErr w:type="spellStart"/>
      <w:r w:rsidRPr="001D34F9">
        <w:t>Arima</w:t>
      </w:r>
      <w:proofErr w:type="spellEnd"/>
      <w:r w:rsidRPr="001D34F9">
        <w:t xml:space="preserve"> H, Neal B, White DP, </w:t>
      </w:r>
      <w:proofErr w:type="spellStart"/>
      <w:r w:rsidRPr="001D34F9">
        <w:t>Grunstein</w:t>
      </w:r>
      <w:proofErr w:type="spellEnd"/>
      <w:r w:rsidRPr="001D34F9">
        <w:t xml:space="preserve"> RR, </w:t>
      </w:r>
      <w:proofErr w:type="spellStart"/>
      <w:r w:rsidRPr="001D34F9">
        <w:t>Zhong</w:t>
      </w:r>
      <w:proofErr w:type="spellEnd"/>
      <w:r w:rsidRPr="001D34F9">
        <w:t xml:space="preserve"> N, Anderson CS; SAVE Investigators and Coordinators. CPAP for Prevention of Cardiovascular Events in Obstructive Sleep </w:t>
      </w:r>
      <w:proofErr w:type="spellStart"/>
      <w:r w:rsidRPr="001D34F9">
        <w:t>Apnea</w:t>
      </w:r>
      <w:proofErr w:type="spellEnd"/>
      <w:r w:rsidRPr="001D34F9">
        <w:t xml:space="preserve">. N </w:t>
      </w:r>
      <w:proofErr w:type="spellStart"/>
      <w:r w:rsidRPr="001D34F9">
        <w:t>Engl</w:t>
      </w:r>
      <w:proofErr w:type="spellEnd"/>
      <w:r w:rsidRPr="001D34F9">
        <w:t xml:space="preserve"> J Med. 2016 Sep 8</w:t>
      </w:r>
      <w:proofErr w:type="gramStart"/>
      <w:r w:rsidRPr="001D34F9">
        <w:t>;375</w:t>
      </w:r>
      <w:proofErr w:type="gramEnd"/>
      <w:r w:rsidRPr="001D34F9">
        <w:t xml:space="preserve">(10):919-31. </w:t>
      </w:r>
      <w:proofErr w:type="spellStart"/>
      <w:proofErr w:type="gramStart"/>
      <w:r w:rsidRPr="001D34F9">
        <w:t>doi</w:t>
      </w:r>
      <w:proofErr w:type="spellEnd"/>
      <w:proofErr w:type="gramEnd"/>
      <w:r w:rsidRPr="001D34F9">
        <w:t xml:space="preserve">: 10.1056/NEJMoa1606599. </w:t>
      </w:r>
      <w:proofErr w:type="spellStart"/>
      <w:r w:rsidRPr="001D34F9">
        <w:t>Epub</w:t>
      </w:r>
      <w:proofErr w:type="spellEnd"/>
      <w:r w:rsidRPr="001D34F9">
        <w:t xml:space="preserve"> 2016 Aug 28. PMID: 27571048.</w:t>
      </w:r>
    </w:p>
  </w:footnote>
  <w:footnote w:id="2">
    <w:p w14:paraId="5B7A40CF" w14:textId="77777777" w:rsidR="00875ED2" w:rsidRDefault="00875ED2" w:rsidP="007B10A2">
      <w:pPr>
        <w:pStyle w:val="FootnoteText"/>
      </w:pPr>
      <w:r>
        <w:rPr>
          <w:rStyle w:val="FootnoteReference"/>
        </w:rPr>
        <w:footnoteRef/>
      </w:r>
      <w:r>
        <w:t xml:space="preserve"> Stimulation therapy for apnoea reduction (STAR), NCTC 01161420</w:t>
      </w:r>
    </w:p>
  </w:footnote>
  <w:footnote w:id="3">
    <w:p w14:paraId="7C1522EE" w14:textId="77777777" w:rsidR="00875ED2" w:rsidRDefault="00875ED2" w:rsidP="007B10A2">
      <w:pPr>
        <w:pStyle w:val="FootnoteText"/>
      </w:pPr>
      <w:r>
        <w:rPr>
          <w:rStyle w:val="FootnoteReference"/>
        </w:rPr>
        <w:footnoteRef/>
      </w:r>
      <w:r>
        <w:t xml:space="preserve"> Woodson, B.T. et al. (2018). </w:t>
      </w:r>
      <w:r w:rsidRPr="000F0AE8">
        <w:t>Otolaryngology - Head a</w:t>
      </w:r>
      <w:r>
        <w:t>nd Neck Surgery,</w:t>
      </w:r>
      <w:r w:rsidRPr="000F0AE8">
        <w:t xml:space="preserve"> 159</w:t>
      </w:r>
      <w:r>
        <w:t>:</w:t>
      </w:r>
      <w:r w:rsidRPr="000F0AE8">
        <w:t xml:space="preserve"> 194-202.</w:t>
      </w:r>
    </w:p>
  </w:footnote>
  <w:footnote w:id="4">
    <w:p w14:paraId="51EA0D94" w14:textId="77777777" w:rsidR="00875ED2" w:rsidRDefault="00875ED2" w:rsidP="007B10A2">
      <w:pPr>
        <w:pStyle w:val="FootnoteText"/>
      </w:pPr>
      <w:r>
        <w:rPr>
          <w:rStyle w:val="FootnoteReference"/>
        </w:rPr>
        <w:footnoteRef/>
      </w:r>
      <w:r>
        <w:t xml:space="preserve"> </w:t>
      </w:r>
      <w:proofErr w:type="spellStart"/>
      <w:r>
        <w:t>Strollo</w:t>
      </w:r>
      <w:proofErr w:type="spellEnd"/>
      <w:r>
        <w:t>, J. R. et al. (2017). Sleep,</w:t>
      </w:r>
      <w:r w:rsidRPr="000A1222">
        <w:t xml:space="preserve"> 40</w:t>
      </w:r>
      <w:r>
        <w:t>:</w:t>
      </w:r>
      <w:r w:rsidRPr="000A1222">
        <w:t xml:space="preserve"> A209.</w:t>
      </w:r>
    </w:p>
  </w:footnote>
  <w:footnote w:id="5">
    <w:p w14:paraId="1B17D031" w14:textId="77777777" w:rsidR="00875ED2" w:rsidRDefault="00875ED2" w:rsidP="007B10A2">
      <w:pPr>
        <w:pStyle w:val="FootnoteText"/>
      </w:pPr>
      <w:r>
        <w:rPr>
          <w:rStyle w:val="FootnoteReference"/>
        </w:rPr>
        <w:footnoteRef/>
      </w:r>
      <w:r>
        <w:t xml:space="preserve"> </w:t>
      </w:r>
      <w:proofErr w:type="spellStart"/>
      <w:r>
        <w:t>Strollo</w:t>
      </w:r>
      <w:proofErr w:type="spellEnd"/>
      <w:r>
        <w:t xml:space="preserve">, J. R. et al. (2014). </w:t>
      </w:r>
      <w:r w:rsidRPr="000A1222">
        <w:t>New England Journal of Medicine, 370</w:t>
      </w:r>
      <w:r>
        <w:t>:</w:t>
      </w:r>
      <w:r w:rsidRPr="000A1222">
        <w:t xml:space="preserve"> 139-149.</w:t>
      </w:r>
    </w:p>
  </w:footnote>
  <w:footnote w:id="6">
    <w:p w14:paraId="7B9AB114" w14:textId="77777777" w:rsidR="00875ED2" w:rsidRDefault="00875ED2" w:rsidP="007B10A2">
      <w:pPr>
        <w:pStyle w:val="FootnoteText"/>
      </w:pPr>
      <w:r>
        <w:rPr>
          <w:rStyle w:val="FootnoteReference"/>
        </w:rPr>
        <w:footnoteRef/>
      </w:r>
      <w:r>
        <w:t xml:space="preserve"> Woodson, B.T. et al. (2014). </w:t>
      </w:r>
      <w:r w:rsidRPr="000F0AE8">
        <w:t>Otolaryngology - Head a</w:t>
      </w:r>
      <w:r>
        <w:t>nd Neck Surgery,</w:t>
      </w:r>
      <w:r w:rsidRPr="000F0AE8">
        <w:t xml:space="preserve"> </w:t>
      </w:r>
      <w:r>
        <w:t>151:</w:t>
      </w:r>
      <w:r w:rsidRPr="000F0AE8">
        <w:t xml:space="preserve"> 880‐887.</w:t>
      </w:r>
    </w:p>
  </w:footnote>
  <w:footnote w:id="7">
    <w:p w14:paraId="78883ED4" w14:textId="77777777" w:rsidR="00875ED2" w:rsidRDefault="00875ED2" w:rsidP="007B10A2">
      <w:pPr>
        <w:pStyle w:val="FootnoteText"/>
      </w:pPr>
      <w:r>
        <w:rPr>
          <w:rStyle w:val="FootnoteReference"/>
        </w:rPr>
        <w:footnoteRef/>
      </w:r>
      <w:r>
        <w:t xml:space="preserve"> RCT of the effect of </w:t>
      </w:r>
      <w:proofErr w:type="spellStart"/>
      <w:r>
        <w:t>uvulopalatopharyngoplasty</w:t>
      </w:r>
      <w:proofErr w:type="spellEnd"/>
      <w:r>
        <w:t xml:space="preserve"> compared to expectancy in patients with obstructive sleep a</w:t>
      </w:r>
      <w:r w:rsidRPr="007D75D8">
        <w:t>pn</w:t>
      </w:r>
      <w:r>
        <w:t>o</w:t>
      </w:r>
      <w:r w:rsidRPr="007D75D8">
        <w:t>ea</w:t>
      </w:r>
      <w:r>
        <w:t xml:space="preserve"> (SKUP3), NCTC </w:t>
      </w:r>
      <w:r w:rsidRPr="007D75D8">
        <w:t>01659671</w:t>
      </w:r>
    </w:p>
  </w:footnote>
  <w:footnote w:id="8">
    <w:p w14:paraId="1DDF40E1" w14:textId="77777777" w:rsidR="00875ED2" w:rsidRDefault="00875ED2" w:rsidP="007B10A2">
      <w:pPr>
        <w:pStyle w:val="FootnoteText"/>
      </w:pPr>
      <w:r>
        <w:rPr>
          <w:rStyle w:val="FootnoteReference"/>
        </w:rPr>
        <w:footnoteRef/>
      </w:r>
      <w:r>
        <w:t xml:space="preserve"> </w:t>
      </w:r>
      <w:proofErr w:type="spellStart"/>
      <w:r>
        <w:t>Browaldh</w:t>
      </w:r>
      <w:proofErr w:type="spellEnd"/>
      <w:r>
        <w:t xml:space="preserve">, N. et al. (2018). </w:t>
      </w:r>
      <w:r w:rsidRPr="00054ADF">
        <w:t>Laryngoscope, 128</w:t>
      </w:r>
      <w:r>
        <w:t>:</w:t>
      </w:r>
      <w:r w:rsidRPr="00054ADF">
        <w:t xml:space="preserve"> 1238-1244.</w:t>
      </w:r>
    </w:p>
  </w:footnote>
  <w:footnote w:id="9">
    <w:p w14:paraId="18C8C6F1" w14:textId="77777777" w:rsidR="00875ED2" w:rsidRDefault="00875ED2" w:rsidP="007B10A2">
      <w:pPr>
        <w:pStyle w:val="FootnoteText"/>
      </w:pPr>
      <w:r>
        <w:rPr>
          <w:rStyle w:val="FootnoteReference"/>
        </w:rPr>
        <w:footnoteRef/>
      </w:r>
      <w:r>
        <w:t xml:space="preserve"> </w:t>
      </w:r>
      <w:proofErr w:type="spellStart"/>
      <w:r>
        <w:t>Joar</w:t>
      </w:r>
      <w:proofErr w:type="spellEnd"/>
      <w:r>
        <w:t xml:space="preserve">, S. et al. (2018). </w:t>
      </w:r>
      <w:r w:rsidRPr="00054ADF">
        <w:t>Sleep, 41.</w:t>
      </w:r>
    </w:p>
  </w:footnote>
  <w:footnote w:id="10">
    <w:p w14:paraId="6984BECD" w14:textId="77777777" w:rsidR="00875ED2" w:rsidRDefault="00875ED2" w:rsidP="007B10A2">
      <w:pPr>
        <w:pStyle w:val="FootnoteText"/>
      </w:pPr>
      <w:r>
        <w:rPr>
          <w:rStyle w:val="FootnoteReference"/>
        </w:rPr>
        <w:footnoteRef/>
      </w:r>
      <w:r>
        <w:t xml:space="preserve"> </w:t>
      </w:r>
      <w:proofErr w:type="spellStart"/>
      <w:r>
        <w:t>Certal</w:t>
      </w:r>
      <w:proofErr w:type="spellEnd"/>
      <w:r>
        <w:t>, V.F. et al. (2014). Laryngoscope, 125:1254-1264.</w:t>
      </w:r>
    </w:p>
  </w:footnote>
  <w:footnote w:id="11">
    <w:p w14:paraId="2498A19B" w14:textId="77777777" w:rsidR="00875ED2" w:rsidRDefault="00875ED2" w:rsidP="007B10A2">
      <w:pPr>
        <w:pStyle w:val="FootnoteText"/>
      </w:pPr>
      <w:r>
        <w:rPr>
          <w:rStyle w:val="FootnoteReference"/>
        </w:rPr>
        <w:footnoteRef/>
      </w:r>
      <w:r>
        <w:t xml:space="preserve"> </w:t>
      </w:r>
      <w:hyperlink r:id="rId1" w:history="1">
        <w:r w:rsidRPr="00D532D8">
          <w:rPr>
            <w:rStyle w:val="Hyperlink"/>
          </w:rPr>
          <w:t>Crook, S. et al. (2018). Thorax, 74(4):390-396</w:t>
        </w:r>
      </w:hyperlink>
    </w:p>
  </w:footnote>
  <w:footnote w:id="12">
    <w:p w14:paraId="0E7C76B4" w14:textId="77777777" w:rsidR="00875ED2" w:rsidRDefault="00875ED2" w:rsidP="007B10A2">
      <w:pPr>
        <w:pStyle w:val="FootnoteText"/>
      </w:pPr>
      <w:r>
        <w:rPr>
          <w:rStyle w:val="FootnoteReference"/>
        </w:rPr>
        <w:footnoteRef/>
      </w:r>
      <w:r>
        <w:t xml:space="preserve"> EQ-5D utility = baseline ESS score * -0.01) + 0.893</w:t>
      </w:r>
    </w:p>
  </w:footnote>
  <w:footnote w:id="13">
    <w:p w14:paraId="57E27E21" w14:textId="77777777" w:rsidR="00875ED2" w:rsidRDefault="00875ED2" w:rsidP="00B36E72">
      <w:pPr>
        <w:pStyle w:val="FootnoteText"/>
      </w:pPr>
      <w:r>
        <w:rPr>
          <w:rStyle w:val="FootnoteReference"/>
        </w:rPr>
        <w:footnoteRef/>
      </w:r>
      <w:r>
        <w:t xml:space="preserve"> </w:t>
      </w:r>
      <w:proofErr w:type="spellStart"/>
      <w:r w:rsidRPr="002F5611">
        <w:t>Mehra</w:t>
      </w:r>
      <w:proofErr w:type="spellEnd"/>
      <w:r w:rsidRPr="002F5611">
        <w:t xml:space="preserve"> R et al ‘Upper Airway Stimulation versus Untreated Comparators in Positive Airway Pressure Treatment Refractory Obstructive Sleep </w:t>
      </w:r>
      <w:proofErr w:type="spellStart"/>
      <w:r w:rsidRPr="002F5611">
        <w:t>Apnea</w:t>
      </w:r>
      <w:proofErr w:type="spellEnd"/>
      <w:r w:rsidRPr="002F5611">
        <w:t>’ ANNALSATS Articles in Press. Published July 14, 2020 as 10.1513/AnnalsATS.202001-015OC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B463F" w14:textId="77777777" w:rsidR="00875ED2" w:rsidRDefault="00875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BE4B8" w14:textId="77777777" w:rsidR="00875ED2" w:rsidRDefault="00875E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40741" w14:textId="77777777" w:rsidR="00875ED2" w:rsidRDefault="00875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88B"/>
    <w:multiLevelType w:val="hybridMultilevel"/>
    <w:tmpl w:val="3CD04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C542B"/>
    <w:multiLevelType w:val="hybridMultilevel"/>
    <w:tmpl w:val="7B62036E"/>
    <w:lvl w:ilvl="0" w:tplc="A502E678">
      <w:numFmt w:val="bullet"/>
      <w:lvlText w:val="-"/>
      <w:lvlJc w:val="left"/>
      <w:pPr>
        <w:ind w:left="5463" w:hanging="360"/>
      </w:pPr>
      <w:rPr>
        <w:rFonts w:ascii="Calibri" w:eastAsiaTheme="minorHAnsi" w:hAnsi="Calibri" w:cstheme="minorBidi"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3"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AC3D3A"/>
    <w:multiLevelType w:val="hybridMultilevel"/>
    <w:tmpl w:val="3A40F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A6E7C"/>
    <w:multiLevelType w:val="hybridMultilevel"/>
    <w:tmpl w:val="6B04ED74"/>
    <w:lvl w:ilvl="0" w:tplc="2A209C58">
      <w:start w:val="1"/>
      <w:numFmt w:val="bullet"/>
      <w:lvlText w:val=""/>
      <w:lvlJc w:val="left"/>
      <w:pPr>
        <w:tabs>
          <w:tab w:val="num" w:pos="1080"/>
        </w:tabs>
        <w:ind w:left="1080" w:hanging="720"/>
      </w:pPr>
      <w:rPr>
        <w:rFonts w:ascii="Symbol" w:hAnsi="Symbol" w:hint="default"/>
        <w:color w:val="auto"/>
      </w:rPr>
    </w:lvl>
    <w:lvl w:ilvl="1" w:tplc="39444770">
      <w:start w:val="4"/>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744C26"/>
    <w:multiLevelType w:val="hybridMultilevel"/>
    <w:tmpl w:val="1FFE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C577CE"/>
    <w:multiLevelType w:val="hybridMultilevel"/>
    <w:tmpl w:val="D39E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D12A3F"/>
    <w:multiLevelType w:val="hybridMultilevel"/>
    <w:tmpl w:val="D7E874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DAD673C"/>
    <w:multiLevelType w:val="hybridMultilevel"/>
    <w:tmpl w:val="4F24A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733E70DF"/>
    <w:multiLevelType w:val="hybridMultilevel"/>
    <w:tmpl w:val="53B6EB26"/>
    <w:lvl w:ilvl="0" w:tplc="D1D204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351B29"/>
    <w:multiLevelType w:val="hybridMultilevel"/>
    <w:tmpl w:val="77149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59697D"/>
    <w:multiLevelType w:val="hybridMultilevel"/>
    <w:tmpl w:val="3E4AEE78"/>
    <w:lvl w:ilvl="0" w:tplc="C58864F0">
      <w:start w:val="1"/>
      <w:numFmt w:val="lowerRoman"/>
      <w:lvlText w:val="%1)"/>
      <w:lvlJc w:val="left"/>
      <w:pPr>
        <w:ind w:left="1021" w:hanging="845"/>
      </w:pPr>
      <w:rPr>
        <w:rFonts w:hint="default"/>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35"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9"/>
  </w:num>
  <w:num w:numId="3">
    <w:abstractNumId w:val="3"/>
  </w:num>
  <w:num w:numId="4">
    <w:abstractNumId w:val="21"/>
  </w:num>
  <w:num w:numId="5">
    <w:abstractNumId w:val="13"/>
  </w:num>
  <w:num w:numId="6">
    <w:abstractNumId w:val="20"/>
  </w:num>
  <w:num w:numId="7">
    <w:abstractNumId w:val="24"/>
  </w:num>
  <w:num w:numId="8">
    <w:abstractNumId w:val="16"/>
  </w:num>
  <w:num w:numId="9">
    <w:abstractNumId w:val="35"/>
  </w:num>
  <w:num w:numId="10">
    <w:abstractNumId w:val="1"/>
  </w:num>
  <w:num w:numId="11">
    <w:abstractNumId w:val="23"/>
  </w:num>
  <w:num w:numId="12">
    <w:abstractNumId w:val="25"/>
  </w:num>
  <w:num w:numId="13">
    <w:abstractNumId w:val="6"/>
  </w:num>
  <w:num w:numId="14">
    <w:abstractNumId w:val="31"/>
  </w:num>
  <w:num w:numId="15">
    <w:abstractNumId w:val="22"/>
  </w:num>
  <w:num w:numId="16">
    <w:abstractNumId w:val="26"/>
  </w:num>
  <w:num w:numId="17">
    <w:abstractNumId w:val="17"/>
  </w:num>
  <w:num w:numId="18">
    <w:abstractNumId w:val="18"/>
  </w:num>
  <w:num w:numId="19">
    <w:abstractNumId w:val="28"/>
  </w:num>
  <w:num w:numId="20">
    <w:abstractNumId w:val="27"/>
  </w:num>
  <w:num w:numId="21">
    <w:abstractNumId w:val="5"/>
  </w:num>
  <w:num w:numId="22">
    <w:abstractNumId w:val="12"/>
  </w:num>
  <w:num w:numId="23">
    <w:abstractNumId w:val="4"/>
  </w:num>
  <w:num w:numId="24">
    <w:abstractNumId w:val="11"/>
  </w:num>
  <w:num w:numId="25">
    <w:abstractNumId w:val="7"/>
  </w:num>
  <w:num w:numId="26">
    <w:abstractNumId w:val="30"/>
  </w:num>
  <w:num w:numId="27">
    <w:abstractNumId w:val="34"/>
  </w:num>
  <w:num w:numId="28">
    <w:abstractNumId w:val="15"/>
  </w:num>
  <w:num w:numId="29">
    <w:abstractNumId w:val="8"/>
  </w:num>
  <w:num w:numId="30">
    <w:abstractNumId w:val="10"/>
  </w:num>
  <w:num w:numId="31">
    <w:abstractNumId w:val="29"/>
  </w:num>
  <w:num w:numId="32">
    <w:abstractNumId w:val="32"/>
  </w:num>
  <w:num w:numId="33">
    <w:abstractNumId w:val="14"/>
  </w:num>
  <w:num w:numId="34">
    <w:abstractNumId w:val="33"/>
  </w:num>
  <w:num w:numId="35">
    <w:abstractNumId w:val="2"/>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1A36"/>
    <w:rsid w:val="0001311B"/>
    <w:rsid w:val="00014516"/>
    <w:rsid w:val="00030425"/>
    <w:rsid w:val="000317F2"/>
    <w:rsid w:val="00036B20"/>
    <w:rsid w:val="00047606"/>
    <w:rsid w:val="00052555"/>
    <w:rsid w:val="00061919"/>
    <w:rsid w:val="00065623"/>
    <w:rsid w:val="000756B9"/>
    <w:rsid w:val="00080571"/>
    <w:rsid w:val="00086098"/>
    <w:rsid w:val="000906D0"/>
    <w:rsid w:val="00096B67"/>
    <w:rsid w:val="00096DAF"/>
    <w:rsid w:val="000C2F47"/>
    <w:rsid w:val="000D2B9A"/>
    <w:rsid w:val="000D6C00"/>
    <w:rsid w:val="000E4E04"/>
    <w:rsid w:val="000F14B4"/>
    <w:rsid w:val="000F75DF"/>
    <w:rsid w:val="001023DC"/>
    <w:rsid w:val="001328FA"/>
    <w:rsid w:val="00135ADA"/>
    <w:rsid w:val="001464E9"/>
    <w:rsid w:val="00147AAF"/>
    <w:rsid w:val="001552C0"/>
    <w:rsid w:val="001640B1"/>
    <w:rsid w:val="001842B7"/>
    <w:rsid w:val="0018435E"/>
    <w:rsid w:val="00184625"/>
    <w:rsid w:val="00190EFE"/>
    <w:rsid w:val="00194A71"/>
    <w:rsid w:val="001D34F9"/>
    <w:rsid w:val="001E3F42"/>
    <w:rsid w:val="002041A1"/>
    <w:rsid w:val="002054F0"/>
    <w:rsid w:val="0022169D"/>
    <w:rsid w:val="00222DAE"/>
    <w:rsid w:val="00230D6B"/>
    <w:rsid w:val="00232068"/>
    <w:rsid w:val="002330F2"/>
    <w:rsid w:val="00243D9E"/>
    <w:rsid w:val="00253B66"/>
    <w:rsid w:val="00255E54"/>
    <w:rsid w:val="00256E0E"/>
    <w:rsid w:val="00261DF1"/>
    <w:rsid w:val="00271F18"/>
    <w:rsid w:val="0028237B"/>
    <w:rsid w:val="00282779"/>
    <w:rsid w:val="0028334D"/>
    <w:rsid w:val="002A2483"/>
    <w:rsid w:val="002B6B82"/>
    <w:rsid w:val="002B7FFA"/>
    <w:rsid w:val="002C109E"/>
    <w:rsid w:val="002C2BCF"/>
    <w:rsid w:val="002D2FCA"/>
    <w:rsid w:val="002D670D"/>
    <w:rsid w:val="002F279D"/>
    <w:rsid w:val="002F3DCC"/>
    <w:rsid w:val="002F43B8"/>
    <w:rsid w:val="00304328"/>
    <w:rsid w:val="0033340E"/>
    <w:rsid w:val="00336856"/>
    <w:rsid w:val="0034554D"/>
    <w:rsid w:val="00352224"/>
    <w:rsid w:val="00360443"/>
    <w:rsid w:val="003671E6"/>
    <w:rsid w:val="003724D2"/>
    <w:rsid w:val="00384272"/>
    <w:rsid w:val="00386D67"/>
    <w:rsid w:val="003945B8"/>
    <w:rsid w:val="003B42C4"/>
    <w:rsid w:val="003D7F29"/>
    <w:rsid w:val="003E2CB2"/>
    <w:rsid w:val="003E70F4"/>
    <w:rsid w:val="003F2A1B"/>
    <w:rsid w:val="00405A6B"/>
    <w:rsid w:val="0040793A"/>
    <w:rsid w:val="00407B1F"/>
    <w:rsid w:val="0041184F"/>
    <w:rsid w:val="00414C57"/>
    <w:rsid w:val="0041758C"/>
    <w:rsid w:val="00417876"/>
    <w:rsid w:val="00424791"/>
    <w:rsid w:val="00451948"/>
    <w:rsid w:val="004539DE"/>
    <w:rsid w:val="00457C0E"/>
    <w:rsid w:val="004667C2"/>
    <w:rsid w:val="004A2CF1"/>
    <w:rsid w:val="004A51C6"/>
    <w:rsid w:val="004A7E0B"/>
    <w:rsid w:val="004B253C"/>
    <w:rsid w:val="004C3035"/>
    <w:rsid w:val="004C307F"/>
    <w:rsid w:val="004D5B6F"/>
    <w:rsid w:val="004D79DC"/>
    <w:rsid w:val="004E4BA8"/>
    <w:rsid w:val="004E64BD"/>
    <w:rsid w:val="004F340F"/>
    <w:rsid w:val="004F7B7C"/>
    <w:rsid w:val="00515738"/>
    <w:rsid w:val="0052243D"/>
    <w:rsid w:val="00532435"/>
    <w:rsid w:val="0053491D"/>
    <w:rsid w:val="00550354"/>
    <w:rsid w:val="00560A97"/>
    <w:rsid w:val="0056771D"/>
    <w:rsid w:val="00571236"/>
    <w:rsid w:val="00580142"/>
    <w:rsid w:val="005953A1"/>
    <w:rsid w:val="005A2D17"/>
    <w:rsid w:val="005A4362"/>
    <w:rsid w:val="005A4D4A"/>
    <w:rsid w:val="005B5434"/>
    <w:rsid w:val="005C5B23"/>
    <w:rsid w:val="005D0332"/>
    <w:rsid w:val="005D0D8C"/>
    <w:rsid w:val="00603AEE"/>
    <w:rsid w:val="00640A46"/>
    <w:rsid w:val="006776AE"/>
    <w:rsid w:val="006A0D97"/>
    <w:rsid w:val="006A31C7"/>
    <w:rsid w:val="006B1F86"/>
    <w:rsid w:val="006C0A91"/>
    <w:rsid w:val="007054BB"/>
    <w:rsid w:val="00707064"/>
    <w:rsid w:val="00712B1D"/>
    <w:rsid w:val="007176E7"/>
    <w:rsid w:val="0072495E"/>
    <w:rsid w:val="00724C12"/>
    <w:rsid w:val="00730683"/>
    <w:rsid w:val="00747FFA"/>
    <w:rsid w:val="0075261F"/>
    <w:rsid w:val="0075468E"/>
    <w:rsid w:val="00757328"/>
    <w:rsid w:val="007665D8"/>
    <w:rsid w:val="00766E36"/>
    <w:rsid w:val="007765F4"/>
    <w:rsid w:val="00776633"/>
    <w:rsid w:val="00784D53"/>
    <w:rsid w:val="00797797"/>
    <w:rsid w:val="007A63C9"/>
    <w:rsid w:val="007A64E4"/>
    <w:rsid w:val="007B10A2"/>
    <w:rsid w:val="007B32D1"/>
    <w:rsid w:val="007B7095"/>
    <w:rsid w:val="007D24E1"/>
    <w:rsid w:val="007D6288"/>
    <w:rsid w:val="007D63F2"/>
    <w:rsid w:val="007E2867"/>
    <w:rsid w:val="007F4CE9"/>
    <w:rsid w:val="007F4E20"/>
    <w:rsid w:val="008028A0"/>
    <w:rsid w:val="00822369"/>
    <w:rsid w:val="00822C7E"/>
    <w:rsid w:val="008251C3"/>
    <w:rsid w:val="00834E36"/>
    <w:rsid w:val="00847060"/>
    <w:rsid w:val="00847A36"/>
    <w:rsid w:val="00856A33"/>
    <w:rsid w:val="0087527B"/>
    <w:rsid w:val="00875ED2"/>
    <w:rsid w:val="00876906"/>
    <w:rsid w:val="00886DEB"/>
    <w:rsid w:val="00892620"/>
    <w:rsid w:val="008A3FEC"/>
    <w:rsid w:val="008A50D4"/>
    <w:rsid w:val="008C778E"/>
    <w:rsid w:val="008C7D37"/>
    <w:rsid w:val="008D5885"/>
    <w:rsid w:val="009041DA"/>
    <w:rsid w:val="009119EE"/>
    <w:rsid w:val="009214C0"/>
    <w:rsid w:val="00921914"/>
    <w:rsid w:val="00923FA2"/>
    <w:rsid w:val="00952AB2"/>
    <w:rsid w:val="0096060D"/>
    <w:rsid w:val="00964C38"/>
    <w:rsid w:val="00974A50"/>
    <w:rsid w:val="0097585A"/>
    <w:rsid w:val="00981022"/>
    <w:rsid w:val="00984B27"/>
    <w:rsid w:val="009924B0"/>
    <w:rsid w:val="009942C9"/>
    <w:rsid w:val="009B2BFF"/>
    <w:rsid w:val="009B35C4"/>
    <w:rsid w:val="009C1631"/>
    <w:rsid w:val="009C3648"/>
    <w:rsid w:val="009C596F"/>
    <w:rsid w:val="009C630A"/>
    <w:rsid w:val="009E0D98"/>
    <w:rsid w:val="00A068A1"/>
    <w:rsid w:val="00A102AE"/>
    <w:rsid w:val="00A1207D"/>
    <w:rsid w:val="00A12FD8"/>
    <w:rsid w:val="00A34671"/>
    <w:rsid w:val="00A346FC"/>
    <w:rsid w:val="00A46D77"/>
    <w:rsid w:val="00A6376C"/>
    <w:rsid w:val="00A73F85"/>
    <w:rsid w:val="00A846F2"/>
    <w:rsid w:val="00A84F93"/>
    <w:rsid w:val="00AA3FA8"/>
    <w:rsid w:val="00AB1AC5"/>
    <w:rsid w:val="00AB3BFC"/>
    <w:rsid w:val="00AB74E5"/>
    <w:rsid w:val="00AC4F2E"/>
    <w:rsid w:val="00AC559E"/>
    <w:rsid w:val="00AD0C37"/>
    <w:rsid w:val="00AD385F"/>
    <w:rsid w:val="00AE53E7"/>
    <w:rsid w:val="00AE6E2A"/>
    <w:rsid w:val="00AE7899"/>
    <w:rsid w:val="00AF03E9"/>
    <w:rsid w:val="00AF4529"/>
    <w:rsid w:val="00B03EAB"/>
    <w:rsid w:val="00B05427"/>
    <w:rsid w:val="00B07401"/>
    <w:rsid w:val="00B31E9C"/>
    <w:rsid w:val="00B35595"/>
    <w:rsid w:val="00B36E72"/>
    <w:rsid w:val="00B46D22"/>
    <w:rsid w:val="00B51C6D"/>
    <w:rsid w:val="00B818E6"/>
    <w:rsid w:val="00B81E2B"/>
    <w:rsid w:val="00B83DD2"/>
    <w:rsid w:val="00B86D64"/>
    <w:rsid w:val="00BA09B0"/>
    <w:rsid w:val="00BA4AC5"/>
    <w:rsid w:val="00BC1364"/>
    <w:rsid w:val="00BC2667"/>
    <w:rsid w:val="00BC622C"/>
    <w:rsid w:val="00BC7DE9"/>
    <w:rsid w:val="00BD40D8"/>
    <w:rsid w:val="00BF30B4"/>
    <w:rsid w:val="00BF479B"/>
    <w:rsid w:val="00C015E4"/>
    <w:rsid w:val="00C02577"/>
    <w:rsid w:val="00C06B0B"/>
    <w:rsid w:val="00C204FB"/>
    <w:rsid w:val="00C20BEE"/>
    <w:rsid w:val="00C2158D"/>
    <w:rsid w:val="00C67DD2"/>
    <w:rsid w:val="00C725CB"/>
    <w:rsid w:val="00C76F5C"/>
    <w:rsid w:val="00C96BAD"/>
    <w:rsid w:val="00CA6944"/>
    <w:rsid w:val="00CB0F8E"/>
    <w:rsid w:val="00CB7E7D"/>
    <w:rsid w:val="00CC2911"/>
    <w:rsid w:val="00CF0C6D"/>
    <w:rsid w:val="00CF4E81"/>
    <w:rsid w:val="00CF7307"/>
    <w:rsid w:val="00CF7C68"/>
    <w:rsid w:val="00D007E1"/>
    <w:rsid w:val="00D124FA"/>
    <w:rsid w:val="00D340DE"/>
    <w:rsid w:val="00D345AC"/>
    <w:rsid w:val="00D4500F"/>
    <w:rsid w:val="00D55723"/>
    <w:rsid w:val="00D62FAD"/>
    <w:rsid w:val="00D64355"/>
    <w:rsid w:val="00D70450"/>
    <w:rsid w:val="00D75C5F"/>
    <w:rsid w:val="00D83BFD"/>
    <w:rsid w:val="00D90A38"/>
    <w:rsid w:val="00D95739"/>
    <w:rsid w:val="00DA0515"/>
    <w:rsid w:val="00DA171E"/>
    <w:rsid w:val="00DA56AA"/>
    <w:rsid w:val="00DB5833"/>
    <w:rsid w:val="00DD2858"/>
    <w:rsid w:val="00DE1D69"/>
    <w:rsid w:val="00DE2F7D"/>
    <w:rsid w:val="00DF489D"/>
    <w:rsid w:val="00E03E33"/>
    <w:rsid w:val="00E04387"/>
    <w:rsid w:val="00E059E0"/>
    <w:rsid w:val="00E269AD"/>
    <w:rsid w:val="00E3642A"/>
    <w:rsid w:val="00E415C4"/>
    <w:rsid w:val="00E42E16"/>
    <w:rsid w:val="00E43EF1"/>
    <w:rsid w:val="00E50016"/>
    <w:rsid w:val="00E50EAA"/>
    <w:rsid w:val="00E60F1E"/>
    <w:rsid w:val="00E656D6"/>
    <w:rsid w:val="00E977EE"/>
    <w:rsid w:val="00EA0792"/>
    <w:rsid w:val="00EA2F24"/>
    <w:rsid w:val="00EA5C0E"/>
    <w:rsid w:val="00EA67A2"/>
    <w:rsid w:val="00EA772A"/>
    <w:rsid w:val="00EB630F"/>
    <w:rsid w:val="00EB6B6F"/>
    <w:rsid w:val="00EC4F98"/>
    <w:rsid w:val="00EC6BA9"/>
    <w:rsid w:val="00F12F02"/>
    <w:rsid w:val="00F32E0D"/>
    <w:rsid w:val="00F35134"/>
    <w:rsid w:val="00F37B9C"/>
    <w:rsid w:val="00F41812"/>
    <w:rsid w:val="00F42810"/>
    <w:rsid w:val="00F47FC3"/>
    <w:rsid w:val="00F53620"/>
    <w:rsid w:val="00F56D7F"/>
    <w:rsid w:val="00F713BD"/>
    <w:rsid w:val="00F715D1"/>
    <w:rsid w:val="00F72715"/>
    <w:rsid w:val="00F73333"/>
    <w:rsid w:val="00F85113"/>
    <w:rsid w:val="00F85BEA"/>
    <w:rsid w:val="00F878CB"/>
    <w:rsid w:val="00F95D8F"/>
    <w:rsid w:val="00FA02DE"/>
    <w:rsid w:val="00FB350A"/>
    <w:rsid w:val="00FB4C5D"/>
    <w:rsid w:val="00FD0063"/>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BA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7B10A2"/>
    <w:pPr>
      <w:spacing w:after="240"/>
      <w:outlineLvl w:val="1"/>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locked/>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rFonts w:cs="Times New Roman"/>
      <w:vertAlign w:val="superscript"/>
    </w:rPr>
  </w:style>
  <w:style w:type="paragraph" w:styleId="ListParagraph">
    <w:name w:val="List Paragraph"/>
    <w:aliases w:val="Styl moj,Akapit z listą1,Akapit z listą11,Numbered para,BulletPoints,Section heading,Bullet point,List Paragraph1,List Paragraph11,Recommendation"/>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7B10A2"/>
    <w:rPr>
      <w:rFonts w:eastAsia="Times New Roman"/>
      <w:b/>
      <w:sz w:val="24"/>
      <w:szCs w:val="24"/>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aliases w:val="Summary box,Table Gridbeth"/>
    <w:basedOn w:val="TableNormal"/>
    <w:uiPriority w:val="59"/>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qFormat/>
    <w:rsid w:val="00E269AD"/>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E269AD"/>
    <w:rPr>
      <w:rFonts w:ascii="Arial Narrow" w:eastAsia="Times New Roman" w:hAnsi="Arial Narrow" w:cs="Tahoma"/>
      <w:b/>
      <w:noProof/>
      <w:sz w:val="20"/>
      <w:szCs w:val="20"/>
    </w:rPr>
  </w:style>
  <w:style w:type="paragraph" w:customStyle="1" w:styleId="TableText">
    <w:name w:val="TableText"/>
    <w:basedOn w:val="Normal"/>
    <w:rsid w:val="00E269AD"/>
    <w:pPr>
      <w:keepNext/>
      <w:spacing w:before="60" w:after="60"/>
    </w:pPr>
    <w:rPr>
      <w:color w:val="000000"/>
      <w:sz w:val="21"/>
      <w:szCs w:val="21"/>
    </w:rPr>
  </w:style>
  <w:style w:type="paragraph" w:customStyle="1" w:styleId="Tabletext0">
    <w:name w:val="Table text"/>
    <w:basedOn w:val="Normal"/>
    <w:link w:val="TabletextChar"/>
    <w:qFormat/>
    <w:rsid w:val="00E269AD"/>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0"/>
    <w:rsid w:val="00E269AD"/>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locked/>
    <w:rsid w:val="00E269AD"/>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E269AD"/>
    <w:rPr>
      <w:rFonts w:ascii="Arial Narrow" w:eastAsia="Times New Roman" w:hAnsi="Arial Narrow" w:cs="Arial"/>
      <w:b/>
      <w:bCs/>
      <w:iCs/>
      <w:sz w:val="20"/>
      <w:szCs w:val="20"/>
      <w:lang w:eastAsia="en-US"/>
    </w:rPr>
  </w:style>
  <w:style w:type="paragraph" w:customStyle="1" w:styleId="Tablenotes">
    <w:name w:val="Tablenotes"/>
    <w:basedOn w:val="Normal"/>
    <w:link w:val="TablenotesChar"/>
    <w:autoRedefine/>
    <w:qFormat/>
    <w:rsid w:val="00417876"/>
    <w:pPr>
      <w:widowControl w:val="0"/>
      <w:spacing w:before="60" w:after="24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417876"/>
    <w:rPr>
      <w:rFonts w:ascii="Arial Narrow" w:eastAsia="Times New Roman" w:hAnsi="Arial Narrow" w:cs="Arial"/>
      <w:snapToGrid w:val="0"/>
      <w:sz w:val="18"/>
      <w:szCs w:val="20"/>
      <w:lang w:eastAsia="en-US"/>
    </w:rPr>
  </w:style>
  <w:style w:type="paragraph" w:customStyle="1" w:styleId="Tablecaption">
    <w:name w:val="Table caption"/>
    <w:basedOn w:val="Normal"/>
    <w:link w:val="TablecaptionChar"/>
    <w:qFormat/>
    <w:rsid w:val="00DE2F7D"/>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DE2F7D"/>
    <w:rPr>
      <w:rFonts w:ascii="Arial Narrow" w:eastAsia="Times New Roman" w:hAnsi="Arial Narrow" w:cs="Arial"/>
      <w:sz w:val="20"/>
      <w:szCs w:val="20"/>
      <w:lang w:eastAsia="en-US"/>
    </w:rPr>
  </w:style>
  <w:style w:type="character" w:customStyle="1" w:styleId="ListParagraphChar">
    <w:name w:val="List Paragraph Char"/>
    <w:aliases w:val="Styl moj Char,Akapit z listą1 Char,Akapit z listą11 Char,Numbered para Char,BulletPoints Char,Section heading Char,Bullet point Char,List Paragraph1 Char,List Paragraph11 Char,Recommendation Char"/>
    <w:link w:val="ListParagraph"/>
    <w:uiPriority w:val="34"/>
    <w:rsid w:val="00DE2F7D"/>
    <w:rPr>
      <w:rFonts w:eastAsia="Times New Roman"/>
      <w:sz w:val="24"/>
      <w:szCs w:val="20"/>
    </w:rPr>
  </w:style>
  <w:style w:type="paragraph" w:customStyle="1" w:styleId="Tabletextright">
    <w:name w:val="Table text right"/>
    <w:basedOn w:val="Normal"/>
    <w:link w:val="TabletextrightChar"/>
    <w:qFormat/>
    <w:rsid w:val="00DE2F7D"/>
    <w:pPr>
      <w:keepNext/>
      <w:jc w:val="right"/>
    </w:pPr>
    <w:rPr>
      <w:rFonts w:ascii="Arial Narrow" w:hAnsi="Arial Narrow" w:cs="Arial"/>
      <w:sz w:val="20"/>
      <w:lang w:eastAsia="en-US"/>
    </w:rPr>
  </w:style>
  <w:style w:type="character" w:customStyle="1" w:styleId="TabletextrightChar">
    <w:name w:val="Table text right Char"/>
    <w:basedOn w:val="DefaultParagraphFont"/>
    <w:link w:val="Tabletextright"/>
    <w:rsid w:val="00DE2F7D"/>
    <w:rPr>
      <w:rFonts w:ascii="Arial Narrow" w:eastAsia="Times New Roman" w:hAnsi="Arial Narrow" w:cs="Arial"/>
      <w:sz w:val="20"/>
      <w:szCs w:val="20"/>
      <w:lang w:eastAsia="en-US"/>
    </w:rPr>
  </w:style>
  <w:style w:type="paragraph" w:customStyle="1" w:styleId="Tabletextboldleft">
    <w:name w:val="Table text bold left"/>
    <w:basedOn w:val="Normal"/>
    <w:link w:val="TabletextboldleftChar"/>
    <w:qFormat/>
    <w:rsid w:val="007B10A2"/>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rsid w:val="007B10A2"/>
    <w:rPr>
      <w:rFonts w:ascii="Arial Narrow" w:eastAsia="Times New Roman" w:hAnsi="Arial Narrow" w:cs="Arial"/>
      <w:b/>
      <w:sz w:val="20"/>
      <w:szCs w:val="20"/>
      <w:lang w:eastAsia="en-US"/>
    </w:rPr>
  </w:style>
  <w:style w:type="paragraph" w:customStyle="1" w:styleId="TableText1">
    <w:name w:val="Table Text"/>
    <w:basedOn w:val="Normal"/>
    <w:link w:val="TableTextChar0"/>
    <w:rsid w:val="007B10A2"/>
    <w:pPr>
      <w:keepNext/>
      <w:spacing w:before="40" w:after="40"/>
      <w:jc w:val="both"/>
    </w:pPr>
    <w:rPr>
      <w:rFonts w:ascii="Arial Narrow" w:hAnsi="Arial Narrow" w:cs="Tahoma"/>
      <w:sz w:val="20"/>
      <w:szCs w:val="22"/>
      <w:lang w:eastAsia="en-US"/>
    </w:rPr>
  </w:style>
  <w:style w:type="character" w:customStyle="1" w:styleId="TableTextChar0">
    <w:name w:val="Table Text Char"/>
    <w:link w:val="TableText1"/>
    <w:rsid w:val="007B10A2"/>
    <w:rPr>
      <w:rFonts w:ascii="Arial Narrow" w:eastAsia="Times New Roman" w:hAnsi="Arial Narrow" w:cs="Tahoma"/>
      <w:sz w:val="20"/>
      <w:lang w:eastAsia="en-US"/>
    </w:rPr>
  </w:style>
  <w:style w:type="paragraph" w:customStyle="1" w:styleId="Tablenotes1">
    <w:name w:val="Tablenotes 1"/>
    <w:basedOn w:val="Normal"/>
    <w:link w:val="Tablenotes1Char"/>
    <w:qFormat/>
    <w:rsid w:val="00B36E72"/>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B36E72"/>
    <w:rPr>
      <w:rFonts w:ascii="Arial Narrow" w:eastAsia="Times New Roman" w:hAnsi="Arial Narrow" w:cs="Arial"/>
      <w:snapToGrid w:val="0"/>
      <w:sz w:val="18"/>
      <w:szCs w:val="20"/>
      <w:lang w:eastAsia="en-US"/>
    </w:rPr>
  </w:style>
  <w:style w:type="paragraph" w:customStyle="1" w:styleId="Tabletextbold">
    <w:name w:val="Table text bold"/>
    <w:basedOn w:val="Normal"/>
    <w:link w:val="TabletextboldChar"/>
    <w:qFormat/>
    <w:rsid w:val="00B36E72"/>
    <w:pPr>
      <w:keepNext/>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B36E72"/>
    <w:rPr>
      <w:rFonts w:ascii="Arial Narrow" w:eastAsia="Times New Roman" w:hAnsi="Arial Narrow" w:cs="Arial"/>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204357">
      <w:bodyDiv w:val="1"/>
      <w:marLeft w:val="0"/>
      <w:marRight w:val="0"/>
      <w:marTop w:val="0"/>
      <w:marBottom w:val="0"/>
      <w:divBdr>
        <w:top w:val="none" w:sz="0" w:space="0" w:color="auto"/>
        <w:left w:val="none" w:sz="0" w:space="0" w:color="auto"/>
        <w:bottom w:val="none" w:sz="0" w:space="0" w:color="auto"/>
        <w:right w:val="none" w:sz="0" w:space="0" w:color="auto"/>
      </w:divBdr>
    </w:div>
    <w:div w:id="911695938">
      <w:bodyDiv w:val="1"/>
      <w:marLeft w:val="0"/>
      <w:marRight w:val="0"/>
      <w:marTop w:val="0"/>
      <w:marBottom w:val="0"/>
      <w:divBdr>
        <w:top w:val="none" w:sz="0" w:space="0" w:color="auto"/>
        <w:left w:val="none" w:sz="0" w:space="0" w:color="auto"/>
        <w:bottom w:val="none" w:sz="0" w:space="0" w:color="auto"/>
        <w:right w:val="none" w:sz="0" w:space="0" w:color="auto"/>
      </w:divBdr>
    </w:div>
    <w:div w:id="977954788">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sac.gov.au/internet/msac/publishing.nsf/Content/1595-public" TargetMode="External"/><Relationship Id="rId17" Type="http://schemas.openxmlformats.org/officeDocument/2006/relationships/hyperlink" Target="http://www.msac.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ga-search.clients.funnelback.com/s/search.html?query=&amp;collection=tga-art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hyperlink" Target="http://www.msac.gov.au/internet/msac/publishing.nsf/Content/1630-public"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image" Target="media/image3.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pubmed.ncbi.nlm.nih.gov/3010057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entral.health\DFSApps\ServerApps\Staging\MSAC%20Reform%20Products\Documents\2.%20ESC\ESC%20-%20October%202020\Draft%20ADARs%20Commentaries\1595\02a.%201595%20-%20ADAR%20Econ%20Model_RJ%20model%20validation%20graphs_Mortality-Young%202008.xlsm"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01159230096238"/>
          <c:y val="5.0925925925925923E-2"/>
          <c:w val="0.85554396325459314"/>
          <c:h val="0.79442913385826774"/>
        </c:manualLayout>
      </c:layout>
      <c:scatterChart>
        <c:scatterStyle val="smoothMarker"/>
        <c:varyColors val="0"/>
        <c:ser>
          <c:idx val="0"/>
          <c:order val="0"/>
          <c:tx>
            <c:strRef>
              <c:f>Engine_UAS!$N$13</c:f>
              <c:strCache>
                <c:ptCount val="1"/>
                <c:pt idx="0">
                  <c:v>Modelled OS-UAS</c:v>
                </c:pt>
              </c:strCache>
            </c:strRef>
          </c:tx>
          <c:spPr>
            <a:ln w="25400" cap="rnd">
              <a:solidFill>
                <a:srgbClr val="0070C0"/>
              </a:solidFill>
              <a:round/>
            </a:ln>
            <a:effectLst/>
          </c:spPr>
          <c:marker>
            <c:symbol val="circle"/>
            <c:size val="5"/>
            <c:spPr>
              <a:solidFill>
                <a:schemeClr val="accent1"/>
              </a:solidFill>
              <a:ln w="9525">
                <a:solidFill>
                  <a:srgbClr val="0070C0"/>
                </a:solidFill>
              </a:ln>
              <a:effectLst/>
            </c:spPr>
          </c:marker>
          <c:xVal>
            <c:numRef>
              <c:f>Engine_NoUAS!$B$14:$B$60</c:f>
              <c:numCache>
                <c:formatCode>0</c:formatCode>
                <c:ptCount val="4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numCache>
            </c:numRef>
          </c:xVal>
          <c:yVal>
            <c:numRef>
              <c:f>Engine_UAS!$N$14:$N$60</c:f>
              <c:numCache>
                <c:formatCode>0.00000</c:formatCode>
                <c:ptCount val="47"/>
                <c:pt idx="1">
                  <c:v>0.99717524145407233</c:v>
                </c:pt>
                <c:pt idx="2">
                  <c:v>0.99122955184379014</c:v>
                </c:pt>
                <c:pt idx="3">
                  <c:v>0.98474495083274183</c:v>
                </c:pt>
                <c:pt idx="4">
                  <c:v>0.97776393303356579</c:v>
                </c:pt>
                <c:pt idx="5">
                  <c:v>0.97023693554248225</c:v>
                </c:pt>
                <c:pt idx="6">
                  <c:v>0.96209621816082214</c:v>
                </c:pt>
                <c:pt idx="7">
                  <c:v>0.95329740266040075</c:v>
                </c:pt>
                <c:pt idx="8">
                  <c:v>0.94381779912637409</c:v>
                </c:pt>
                <c:pt idx="9">
                  <c:v>0.93364653809283071</c:v>
                </c:pt>
                <c:pt idx="10">
                  <c:v>0.92278165664330847</c:v>
                </c:pt>
                <c:pt idx="11">
                  <c:v>0.91119370342359918</c:v>
                </c:pt>
                <c:pt idx="12">
                  <c:v>0.89881447880037224</c:v>
                </c:pt>
                <c:pt idx="13">
                  <c:v>0.8855554397541493</c:v>
                </c:pt>
                <c:pt idx="14">
                  <c:v>0.87132400655407372</c:v>
                </c:pt>
                <c:pt idx="15">
                  <c:v>0.85601675705592983</c:v>
                </c:pt>
                <c:pt idx="16">
                  <c:v>0.83951256355467863</c:v>
                </c:pt>
                <c:pt idx="17">
                  <c:v>0.82168454262131285</c:v>
                </c:pt>
                <c:pt idx="18">
                  <c:v>0.80241374542598454</c:v>
                </c:pt>
                <c:pt idx="19">
                  <c:v>0.78160181295441467</c:v>
                </c:pt>
                <c:pt idx="20">
                  <c:v>0.75914835774385137</c:v>
                </c:pt>
                <c:pt idx="21">
                  <c:v>0.73500672641208864</c:v>
                </c:pt>
                <c:pt idx="22">
                  <c:v>0.70914771712068603</c:v>
                </c:pt>
                <c:pt idx="23">
                  <c:v>0.68145297388805048</c:v>
                </c:pt>
                <c:pt idx="24">
                  <c:v>0.6517620872369656</c:v>
                </c:pt>
                <c:pt idx="25">
                  <c:v>0.6199562634394602</c:v>
                </c:pt>
                <c:pt idx="26">
                  <c:v>0.58602867189538255</c:v>
                </c:pt>
                <c:pt idx="27">
                  <c:v>0.55002369110804239</c:v>
                </c:pt>
                <c:pt idx="28">
                  <c:v>0.51202493735663068</c:v>
                </c:pt>
                <c:pt idx="29">
                  <c:v>0.47224315035017361</c:v>
                </c:pt>
                <c:pt idx="30">
                  <c:v>0.43099934609369372</c:v>
                </c:pt>
                <c:pt idx="31">
                  <c:v>0.38860900916715924</c:v>
                </c:pt>
                <c:pt idx="32">
                  <c:v>0.34547852199891382</c:v>
                </c:pt>
                <c:pt idx="33">
                  <c:v>0.30226519939453289</c:v>
                </c:pt>
                <c:pt idx="34">
                  <c:v>0.25975047995894285</c:v>
                </c:pt>
                <c:pt idx="35">
                  <c:v>0.218761798565697</c:v>
                </c:pt>
                <c:pt idx="36">
                  <c:v>0.1801426681690188</c:v>
                </c:pt>
                <c:pt idx="37">
                  <c:v>0.14471843219905911</c:v>
                </c:pt>
                <c:pt idx="38">
                  <c:v>0.11319035833946156</c:v>
                </c:pt>
                <c:pt idx="39">
                  <c:v>8.6013671623054844E-2</c:v>
                </c:pt>
                <c:pt idx="40">
                  <c:v>6.3386943162264342E-2</c:v>
                </c:pt>
                <c:pt idx="41">
                  <c:v>4.5246642461504005E-2</c:v>
                </c:pt>
                <c:pt idx="42">
                  <c:v>3.1425953636501025E-2</c:v>
                </c:pt>
                <c:pt idx="43">
                  <c:v>2.1347796864145785E-2</c:v>
                </c:pt>
                <c:pt idx="44">
                  <c:v>1.4123980840954342E-2</c:v>
                </c:pt>
                <c:pt idx="45">
                  <c:v>9.0319119864687991E-3</c:v>
                </c:pt>
                <c:pt idx="46">
                  <c:v>5.4875392430717707E-3</c:v>
                </c:pt>
              </c:numCache>
            </c:numRef>
          </c:yVal>
          <c:smooth val="1"/>
          <c:extLst>
            <c:ext xmlns:c16="http://schemas.microsoft.com/office/drawing/2014/chart" uri="{C3380CC4-5D6E-409C-BE32-E72D297353CC}">
              <c16:uniqueId val="{00000000-F392-4BF9-9928-07EF2D2BAB46}"/>
            </c:ext>
          </c:extLst>
        </c:ser>
        <c:ser>
          <c:idx val="1"/>
          <c:order val="1"/>
          <c:tx>
            <c:strRef>
              <c:f>Engine_NoUAS!$D$13</c:f>
              <c:strCache>
                <c:ptCount val="1"/>
                <c:pt idx="0">
                  <c:v>Modelled OS-No UAS (i.e. MMS)</c:v>
                </c:pt>
              </c:strCache>
            </c:strRef>
          </c:tx>
          <c:spPr>
            <a:ln w="25400" cap="rnd">
              <a:solidFill>
                <a:srgbClr val="FF0000"/>
              </a:solidFill>
              <a:round/>
            </a:ln>
            <a:effectLst/>
          </c:spPr>
          <c:marker>
            <c:symbol val="circle"/>
            <c:size val="5"/>
            <c:spPr>
              <a:solidFill>
                <a:srgbClr val="FF0000"/>
              </a:solidFill>
              <a:ln w="9525">
                <a:solidFill>
                  <a:srgbClr val="FF0000"/>
                </a:solidFill>
              </a:ln>
              <a:effectLst/>
            </c:spPr>
          </c:marker>
          <c:xVal>
            <c:numRef>
              <c:f>Engine_NoUAS!$B$14:$B$60</c:f>
              <c:numCache>
                <c:formatCode>0</c:formatCode>
                <c:ptCount val="4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numCache>
            </c:numRef>
          </c:xVal>
          <c:yVal>
            <c:numRef>
              <c:f>Engine_NoUAS!$D$14:$D$60</c:f>
              <c:numCache>
                <c:formatCode>0.00000</c:formatCode>
                <c:ptCount val="47"/>
                <c:pt idx="1">
                  <c:v>0.99436644142983033</c:v>
                </c:pt>
                <c:pt idx="2">
                  <c:v>0.98268834927329685</c:v>
                </c:pt>
                <c:pt idx="3">
                  <c:v>0.97016886988622719</c:v>
                </c:pt>
                <c:pt idx="4">
                  <c:v>0.95677668279726391</c:v>
                </c:pt>
                <c:pt idx="5">
                  <c:v>0.94243693733469391</c:v>
                </c:pt>
                <c:pt idx="6">
                  <c:v>0.92704462145214395</c:v>
                </c:pt>
                <c:pt idx="7">
                  <c:v>0.91054430283544485</c:v>
                </c:pt>
                <c:pt idx="8">
                  <c:v>0.89292589614342155</c:v>
                </c:pt>
                <c:pt idx="9">
                  <c:v>0.87420513279631806</c:v>
                </c:pt>
                <c:pt idx="10">
                  <c:v>0.8544173736541234</c:v>
                </c:pt>
                <c:pt idx="11">
                  <c:v>0.83355208037682704</c:v>
                </c:pt>
                <c:pt idx="12">
                  <c:v>0.81153546781420172</c:v>
                </c:pt>
                <c:pt idx="13">
                  <c:v>0.78826807363405127</c:v>
                </c:pt>
                <c:pt idx="14">
                  <c:v>0.76365613148407974</c:v>
                </c:pt>
                <c:pt idx="15">
                  <c:v>0.73760293804729038</c:v>
                </c:pt>
                <c:pt idx="16">
                  <c:v>0.71000028741017507</c:v>
                </c:pt>
                <c:pt idx="17">
                  <c:v>0.6807536043045771</c:v>
                </c:pt>
                <c:pt idx="18">
                  <c:v>0.64980712670231644</c:v>
                </c:pt>
                <c:pt idx="19">
                  <c:v>0.61716608456172284</c:v>
                </c:pt>
                <c:pt idx="20">
                  <c:v>0.58286190452378084</c:v>
                </c:pt>
                <c:pt idx="21">
                  <c:v>0.5470357618584627</c:v>
                </c:pt>
                <c:pt idx="22">
                  <c:v>0.50988138979492659</c:v>
                </c:pt>
                <c:pt idx="23">
                  <c:v>0.4714955766695953</c:v>
                </c:pt>
                <c:pt idx="24">
                  <c:v>0.43196445270955097</c:v>
                </c:pt>
                <c:pt idx="25">
                  <c:v>0.39148536260143152</c:v>
                </c:pt>
                <c:pt idx="26">
                  <c:v>0.35044278340467339</c:v>
                </c:pt>
                <c:pt idx="27">
                  <c:v>0.30931231021265726</c:v>
                </c:pt>
                <c:pt idx="28">
                  <c:v>0.26862429052336856</c:v>
                </c:pt>
                <c:pt idx="29">
                  <c:v>0.22903399328038954</c:v>
                </c:pt>
                <c:pt idx="30">
                  <c:v>0.19125307690972415</c:v>
                </c:pt>
                <c:pt idx="31">
                  <c:v>0.15590796669271056</c:v>
                </c:pt>
                <c:pt idx="32">
                  <c:v>0.12358884940637171</c:v>
                </c:pt>
                <c:pt idx="33">
                  <c:v>9.4911265972626002E-2</c:v>
                </c:pt>
                <c:pt idx="34">
                  <c:v>7.033678709684521E-2</c:v>
                </c:pt>
                <c:pt idx="35">
                  <c:v>5.008154883792848E-2</c:v>
                </c:pt>
                <c:pt idx="36">
                  <c:v>3.4102752348609155E-2</c:v>
                </c:pt>
                <c:pt idx="37">
                  <c:v>2.2109317860667277E-2</c:v>
                </c:pt>
                <c:pt idx="38">
                  <c:v>1.3592189086969686E-2</c:v>
                </c:pt>
                <c:pt idx="39">
                  <c:v>7.8910810366464856E-3</c:v>
                </c:pt>
                <c:pt idx="40">
                  <c:v>4.3103630531395876E-3</c:v>
                </c:pt>
                <c:pt idx="41">
                  <c:v>2.2097260306092048E-3</c:v>
                </c:pt>
                <c:pt idx="42">
                  <c:v>1.0704347557991545E-3</c:v>
                </c:pt>
                <c:pt idx="43">
                  <c:v>4.9643772146623633E-4</c:v>
                </c:pt>
                <c:pt idx="44">
                  <c:v>2.1857092034904824E-4</c:v>
                </c:pt>
                <c:pt idx="45">
                  <c:v>9.0180069480361169E-5</c:v>
                </c:pt>
                <c:pt idx="46">
                  <c:v>3.3782625533218535E-5</c:v>
                </c:pt>
              </c:numCache>
            </c:numRef>
          </c:yVal>
          <c:smooth val="1"/>
          <c:extLst>
            <c:ext xmlns:c16="http://schemas.microsoft.com/office/drawing/2014/chart" uri="{C3380CC4-5D6E-409C-BE32-E72D297353CC}">
              <c16:uniqueId val="{00000001-F392-4BF9-9928-07EF2D2BAB46}"/>
            </c:ext>
          </c:extLst>
        </c:ser>
        <c:ser>
          <c:idx val="2"/>
          <c:order val="2"/>
          <c:tx>
            <c:v>KM OS Severe OSA</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'[3]Default Dataset (6)'!$A$1:$A$99</c:f>
              <c:numCache>
                <c:formatCode>General</c:formatCode>
                <c:ptCount val="99"/>
                <c:pt idx="0">
                  <c:v>0.161338845743355</c:v>
                </c:pt>
                <c:pt idx="1">
                  <c:v>0.46143898149828699</c:v>
                </c:pt>
                <c:pt idx="2">
                  <c:v>0.761477431716578</c:v>
                </c:pt>
                <c:pt idx="3">
                  <c:v>1.06151588193487</c:v>
                </c:pt>
                <c:pt idx="4">
                  <c:v>1.36155433215316</c:v>
                </c:pt>
                <c:pt idx="5">
                  <c:v>1.66159278237145</c:v>
                </c:pt>
                <c:pt idx="6">
                  <c:v>1.96163123258974</c:v>
                </c:pt>
                <c:pt idx="7">
                  <c:v>2.2612995695881901</c:v>
                </c:pt>
                <c:pt idx="8">
                  <c:v>2.33474648188121</c:v>
                </c:pt>
                <c:pt idx="9">
                  <c:v>2.4073709203523599</c:v>
                </c:pt>
                <c:pt idx="10">
                  <c:v>2.7072859994973699</c:v>
                </c:pt>
                <c:pt idx="11">
                  <c:v>3.0073244497156599</c:v>
                </c:pt>
                <c:pt idx="12">
                  <c:v>3.3073628999339499</c:v>
                </c:pt>
                <c:pt idx="13">
                  <c:v>3.6074013501522399</c:v>
                </c:pt>
                <c:pt idx="14">
                  <c:v>3.90743980037053</c:v>
                </c:pt>
                <c:pt idx="15">
                  <c:v>4.2074782505888297</c:v>
                </c:pt>
                <c:pt idx="16">
                  <c:v>4.4320136039594198</c:v>
                </c:pt>
                <c:pt idx="17">
                  <c:v>4.4300396667869304</c:v>
                </c:pt>
                <c:pt idx="18">
                  <c:v>4.5031987132423001</c:v>
                </c:pt>
                <c:pt idx="19">
                  <c:v>4.8031137923873102</c:v>
                </c:pt>
                <c:pt idx="20">
                  <c:v>5.1031522426056002</c:v>
                </c:pt>
                <c:pt idx="21">
                  <c:v>5.4031906928238902</c:v>
                </c:pt>
                <c:pt idx="22">
                  <c:v>5.7032291430421802</c:v>
                </c:pt>
                <c:pt idx="23">
                  <c:v>6.00326759326048</c:v>
                </c:pt>
                <c:pt idx="24">
                  <c:v>6.30330604347877</c:v>
                </c:pt>
                <c:pt idx="25">
                  <c:v>6.60346786477034</c:v>
                </c:pt>
                <c:pt idx="26">
                  <c:v>6.90338294391535</c:v>
                </c:pt>
                <c:pt idx="27">
                  <c:v>7.20342139413364</c:v>
                </c:pt>
                <c:pt idx="28">
                  <c:v>7.5032131022053701</c:v>
                </c:pt>
                <c:pt idx="29">
                  <c:v>7.6592528356906104</c:v>
                </c:pt>
                <c:pt idx="30">
                  <c:v>7.7238005812309902</c:v>
                </c:pt>
                <c:pt idx="31">
                  <c:v>8.0235922893027194</c:v>
                </c:pt>
                <c:pt idx="32">
                  <c:v>8.3236307395210094</c:v>
                </c:pt>
                <c:pt idx="33">
                  <c:v>8.6236691897392994</c:v>
                </c:pt>
                <c:pt idx="34">
                  <c:v>8.9237076399576001</c:v>
                </c:pt>
                <c:pt idx="35">
                  <c:v>9.2237460901758901</c:v>
                </c:pt>
                <c:pt idx="36">
                  <c:v>9.5237845403941801</c:v>
                </c:pt>
                <c:pt idx="37">
                  <c:v>9.8238229906124701</c:v>
                </c:pt>
                <c:pt idx="38">
                  <c:v>10.099351720939</c:v>
                </c:pt>
                <c:pt idx="39">
                  <c:v>10.4237765199757</c:v>
                </c:pt>
                <c:pt idx="40">
                  <c:v>10.723938341267299</c:v>
                </c:pt>
                <c:pt idx="41">
                  <c:v>11.0239767914856</c:v>
                </c:pt>
                <c:pt idx="42">
                  <c:v>11.324015241703901</c:v>
                </c:pt>
                <c:pt idx="43">
                  <c:v>11.6240536919222</c:v>
                </c:pt>
                <c:pt idx="44">
                  <c:v>11.9240921421405</c:v>
                </c:pt>
                <c:pt idx="45">
                  <c:v>12.224130592358801</c:v>
                </c:pt>
                <c:pt idx="46">
                  <c:v>12.523922300430501</c:v>
                </c:pt>
                <c:pt idx="47">
                  <c:v>12.5957242650798</c:v>
                </c:pt>
                <c:pt idx="48">
                  <c:v>12.667649600802299</c:v>
                </c:pt>
                <c:pt idx="49">
                  <c:v>12.740315162964601</c:v>
                </c:pt>
                <c:pt idx="50">
                  <c:v>12.7383412257921</c:v>
                </c:pt>
                <c:pt idx="51">
                  <c:v>12.8115002722474</c:v>
                </c:pt>
                <c:pt idx="52">
                  <c:v>13.073581555586401</c:v>
                </c:pt>
                <c:pt idx="53">
                  <c:v>13.108947929926799</c:v>
                </c:pt>
                <c:pt idx="54">
                  <c:v>13.1559934325378</c:v>
                </c:pt>
                <c:pt idx="55">
                  <c:v>13.442707806841799</c:v>
                </c:pt>
                <c:pt idx="56">
                  <c:v>13.478074181182199</c:v>
                </c:pt>
                <c:pt idx="57">
                  <c:v>13.4761002440098</c:v>
                </c:pt>
                <c:pt idx="58">
                  <c:v>13.5492592904651</c:v>
                </c:pt>
                <c:pt idx="59">
                  <c:v>13.811340573804101</c:v>
                </c:pt>
                <c:pt idx="60">
                  <c:v>13.846706948144501</c:v>
                </c:pt>
                <c:pt idx="61">
                  <c:v>13.844733010972</c:v>
                </c:pt>
                <c:pt idx="62">
                  <c:v>13.9178920574274</c:v>
                </c:pt>
                <c:pt idx="63">
                  <c:v>14.1799733407664</c:v>
                </c:pt>
                <c:pt idx="64">
                  <c:v>14.215339715106801</c:v>
                </c:pt>
                <c:pt idx="65">
                  <c:v>14.2133657779343</c:v>
                </c:pt>
                <c:pt idx="66">
                  <c:v>14.286278082243101</c:v>
                </c:pt>
                <c:pt idx="67">
                  <c:v>14.358943644405301</c:v>
                </c:pt>
                <c:pt idx="68">
                  <c:v>14.356969707232899</c:v>
                </c:pt>
                <c:pt idx="69">
                  <c:v>14.4301287536882</c:v>
                </c:pt>
                <c:pt idx="70">
                  <c:v>14.7300438328332</c:v>
                </c:pt>
                <c:pt idx="71">
                  <c:v>15.030082283051501</c:v>
                </c:pt>
                <c:pt idx="72">
                  <c:v>15.3301207332698</c:v>
                </c:pt>
                <c:pt idx="73">
                  <c:v>15.6301591834881</c:v>
                </c:pt>
                <c:pt idx="74">
                  <c:v>15.9299508915598</c:v>
                </c:pt>
                <c:pt idx="75">
                  <c:v>16.002739824795398</c:v>
                </c:pt>
                <c:pt idx="76">
                  <c:v>16.000765887622901</c:v>
                </c:pt>
                <c:pt idx="77">
                  <c:v>15.9987919504504</c:v>
                </c:pt>
                <c:pt idx="78">
                  <c:v>15.996818013277901</c:v>
                </c:pt>
                <c:pt idx="79">
                  <c:v>16.044110258035399</c:v>
                </c:pt>
                <c:pt idx="80">
                  <c:v>16.368905170291999</c:v>
                </c:pt>
                <c:pt idx="81">
                  <c:v>16.668943620510301</c:v>
                </c:pt>
                <c:pt idx="82">
                  <c:v>16.9689820707286</c:v>
                </c:pt>
                <c:pt idx="83">
                  <c:v>17.269020520946899</c:v>
                </c:pt>
                <c:pt idx="84">
                  <c:v>17.5312251753592</c:v>
                </c:pt>
                <c:pt idx="85">
                  <c:v>17.566591549699599</c:v>
                </c:pt>
                <c:pt idx="86">
                  <c:v>17.564617612527101</c:v>
                </c:pt>
                <c:pt idx="87">
                  <c:v>17.5626436753546</c:v>
                </c:pt>
                <c:pt idx="88">
                  <c:v>17.560669738182099</c:v>
                </c:pt>
                <c:pt idx="89">
                  <c:v>17.558695801009598</c:v>
                </c:pt>
                <c:pt idx="90">
                  <c:v>17.556721863837101</c:v>
                </c:pt>
                <c:pt idx="91">
                  <c:v>17.5547479266647</c:v>
                </c:pt>
                <c:pt idx="92">
                  <c:v>17.552773989492199</c:v>
                </c:pt>
                <c:pt idx="93">
                  <c:v>17.550800052319701</c:v>
                </c:pt>
                <c:pt idx="94">
                  <c:v>17.5488261151472</c:v>
                </c:pt>
                <c:pt idx="95">
                  <c:v>17.621615048382701</c:v>
                </c:pt>
                <c:pt idx="96">
                  <c:v>17.921406756454399</c:v>
                </c:pt>
                <c:pt idx="97">
                  <c:v>18.221445206672701</c:v>
                </c:pt>
                <c:pt idx="98">
                  <c:v>18.446474044336501</c:v>
                </c:pt>
              </c:numCache>
            </c:numRef>
          </c:xVal>
          <c:yVal>
            <c:numRef>
              <c:f>'[3]Default Dataset (6)'!$B$1:$B$99</c:f>
              <c:numCache>
                <c:formatCode>General</c:formatCode>
                <c:ptCount val="99"/>
                <c:pt idx="0">
                  <c:v>1</c:v>
                </c:pt>
                <c:pt idx="1">
                  <c:v>1</c:v>
                </c:pt>
                <c:pt idx="2">
                  <c:v>1</c:v>
                </c:pt>
                <c:pt idx="3">
                  <c:v>1</c:v>
                </c:pt>
                <c:pt idx="4">
                  <c:v>1</c:v>
                </c:pt>
                <c:pt idx="5">
                  <c:v>1</c:v>
                </c:pt>
                <c:pt idx="6">
                  <c:v>1</c:v>
                </c:pt>
                <c:pt idx="7">
                  <c:v>0.99967902482932403</c:v>
                </c:pt>
                <c:pt idx="8">
                  <c:v>0.99398503856051601</c:v>
                </c:pt>
                <c:pt idx="9">
                  <c:v>0.98528902284188102</c:v>
                </c:pt>
                <c:pt idx="10">
                  <c:v>0.98487819716785696</c:v>
                </c:pt>
                <c:pt idx="11">
                  <c:v>0.98491767591130697</c:v>
                </c:pt>
                <c:pt idx="12">
                  <c:v>0.98495715465475597</c:v>
                </c:pt>
                <c:pt idx="13">
                  <c:v>0.98499663339820598</c:v>
                </c:pt>
                <c:pt idx="14">
                  <c:v>0.98503611214165598</c:v>
                </c:pt>
                <c:pt idx="15">
                  <c:v>0.98507559088510599</c:v>
                </c:pt>
                <c:pt idx="16">
                  <c:v>0.98330398227279703</c:v>
                </c:pt>
                <c:pt idx="17">
                  <c:v>0.97609911159321305</c:v>
                </c:pt>
                <c:pt idx="18">
                  <c:v>0.96935441501696595</c:v>
                </c:pt>
                <c:pt idx="19">
                  <c:v>0.968943589342941</c:v>
                </c:pt>
                <c:pt idx="20">
                  <c:v>0.96898306808639101</c:v>
                </c:pt>
                <c:pt idx="21">
                  <c:v>0.96902254682984101</c:v>
                </c:pt>
                <c:pt idx="22">
                  <c:v>0.96906202557329102</c:v>
                </c:pt>
                <c:pt idx="23">
                  <c:v>0.96910150431674003</c:v>
                </c:pt>
                <c:pt idx="24">
                  <c:v>0.96914098306019003</c:v>
                </c:pt>
                <c:pt idx="25">
                  <c:v>0.96963076622111399</c:v>
                </c:pt>
                <c:pt idx="26">
                  <c:v>0.96921994054709004</c:v>
                </c:pt>
                <c:pt idx="27">
                  <c:v>0.96925941929053905</c:v>
                </c:pt>
                <c:pt idx="28">
                  <c:v>0.96839828919904103</c:v>
                </c:pt>
                <c:pt idx="29">
                  <c:v>0.96301536252966402</c:v>
                </c:pt>
                <c:pt idx="30">
                  <c:v>0.95221693922756501</c:v>
                </c:pt>
                <c:pt idx="31">
                  <c:v>0.95135580913606599</c:v>
                </c:pt>
                <c:pt idx="32">
                  <c:v>0.95139528787951599</c:v>
                </c:pt>
                <c:pt idx="33">
                  <c:v>0.951434766622966</c:v>
                </c:pt>
                <c:pt idx="34">
                  <c:v>0.951474245366416</c:v>
                </c:pt>
                <c:pt idx="35">
                  <c:v>0.95151372410986601</c:v>
                </c:pt>
                <c:pt idx="36">
                  <c:v>0.95155320285331502</c:v>
                </c:pt>
                <c:pt idx="37">
                  <c:v>0.95159268159676502</c:v>
                </c:pt>
                <c:pt idx="38">
                  <c:v>0.95343008811482299</c:v>
                </c:pt>
                <c:pt idx="39">
                  <c:v>0.95122133466619097</c:v>
                </c:pt>
                <c:pt idx="40">
                  <c:v>0.95171111782711404</c:v>
                </c:pt>
                <c:pt idx="41">
                  <c:v>0.95175059657056404</c:v>
                </c:pt>
                <c:pt idx="42">
                  <c:v>0.95179007531401405</c:v>
                </c:pt>
                <c:pt idx="43">
                  <c:v>0.95182955405746394</c:v>
                </c:pt>
                <c:pt idx="44">
                  <c:v>0.95186903280091395</c:v>
                </c:pt>
                <c:pt idx="45">
                  <c:v>0.95190851154436296</c:v>
                </c:pt>
                <c:pt idx="46">
                  <c:v>0.95104738145286505</c:v>
                </c:pt>
                <c:pt idx="47">
                  <c:v>0.93934933628440398</c:v>
                </c:pt>
                <c:pt idx="48">
                  <c:v>0.92810159553341598</c:v>
                </c:pt>
                <c:pt idx="49">
                  <c:v>0.91955568128727205</c:v>
                </c:pt>
                <c:pt idx="50">
                  <c:v>0.91235081060768897</c:v>
                </c:pt>
                <c:pt idx="51">
                  <c:v>0.90560611403144098</c:v>
                </c:pt>
                <c:pt idx="52">
                  <c:v>0.90398954173455504</c:v>
                </c:pt>
                <c:pt idx="53">
                  <c:v>0.896189200007937</c:v>
                </c:pt>
                <c:pt idx="54">
                  <c:v>0.88538847377913599</c:v>
                </c:pt>
                <c:pt idx="55">
                  <c:v>0.88242427812511504</c:v>
                </c:pt>
                <c:pt idx="56">
                  <c:v>0.874623936398497</c:v>
                </c:pt>
                <c:pt idx="57">
                  <c:v>0.86741906571891303</c:v>
                </c:pt>
                <c:pt idx="58">
                  <c:v>0.86067436914266604</c:v>
                </c:pt>
                <c:pt idx="59">
                  <c:v>0.85905779684577899</c:v>
                </c:pt>
                <c:pt idx="60">
                  <c:v>0.85125745511916096</c:v>
                </c:pt>
                <c:pt idx="61">
                  <c:v>0.84405258443957698</c:v>
                </c:pt>
                <c:pt idx="62">
                  <c:v>0.83730788786332999</c:v>
                </c:pt>
                <c:pt idx="63">
                  <c:v>0.83569131556644405</c:v>
                </c:pt>
                <c:pt idx="64">
                  <c:v>0.82789097383982602</c:v>
                </c:pt>
                <c:pt idx="65">
                  <c:v>0.82068610316024204</c:v>
                </c:pt>
                <c:pt idx="66">
                  <c:v>0.81304079774904603</c:v>
                </c:pt>
                <c:pt idx="67">
                  <c:v>0.80449488350290299</c:v>
                </c:pt>
                <c:pt idx="68">
                  <c:v>0.79729001282331902</c:v>
                </c:pt>
                <c:pt idx="69">
                  <c:v>0.79054531624707103</c:v>
                </c:pt>
                <c:pt idx="70">
                  <c:v>0.79013449057304697</c:v>
                </c:pt>
                <c:pt idx="71">
                  <c:v>0.79017396931649697</c:v>
                </c:pt>
                <c:pt idx="72">
                  <c:v>0.79021344805994698</c:v>
                </c:pt>
                <c:pt idx="73">
                  <c:v>0.79025292680339598</c:v>
                </c:pt>
                <c:pt idx="74">
                  <c:v>0.78939179671189796</c:v>
                </c:pt>
                <c:pt idx="75">
                  <c:v>0.78129618688322899</c:v>
                </c:pt>
                <c:pt idx="76">
                  <c:v>0.77409131620364502</c:v>
                </c:pt>
                <c:pt idx="77">
                  <c:v>0.76688644552406104</c:v>
                </c:pt>
                <c:pt idx="78">
                  <c:v>0.75968157484447696</c:v>
                </c:pt>
                <c:pt idx="79">
                  <c:v>0.74978145745062397</c:v>
                </c:pt>
                <c:pt idx="80">
                  <c:v>0.74892361725441303</c:v>
                </c:pt>
                <c:pt idx="81">
                  <c:v>0.74896309599786304</c:v>
                </c:pt>
                <c:pt idx="82">
                  <c:v>0.74900257474131204</c:v>
                </c:pt>
                <c:pt idx="83">
                  <c:v>0.74904205348476205</c:v>
                </c:pt>
                <c:pt idx="84">
                  <c:v>0.74787578560534995</c:v>
                </c:pt>
                <c:pt idx="85">
                  <c:v>0.74007544387873203</c:v>
                </c:pt>
                <c:pt idx="86">
                  <c:v>0.73287057319914795</c:v>
                </c:pt>
                <c:pt idx="87">
                  <c:v>0.72566570251956397</c:v>
                </c:pt>
                <c:pt idx="88">
                  <c:v>0.71846083183998</c:v>
                </c:pt>
                <c:pt idx="89">
                  <c:v>0.71125596116039602</c:v>
                </c:pt>
                <c:pt idx="90">
                  <c:v>0.70405109048081205</c:v>
                </c:pt>
                <c:pt idx="91">
                  <c:v>0.69684621980122796</c:v>
                </c:pt>
                <c:pt idx="92">
                  <c:v>0.68964134912164399</c:v>
                </c:pt>
                <c:pt idx="93">
                  <c:v>0.68243647844206001</c:v>
                </c:pt>
                <c:pt idx="94">
                  <c:v>0.67523160776247604</c:v>
                </c:pt>
                <c:pt idx="95">
                  <c:v>0.66713599793380696</c:v>
                </c:pt>
                <c:pt idx="96">
                  <c:v>0.66627486784230805</c:v>
                </c:pt>
                <c:pt idx="97">
                  <c:v>0.66631434658575805</c:v>
                </c:pt>
                <c:pt idx="98">
                  <c:v>0.66634395564334603</c:v>
                </c:pt>
              </c:numCache>
            </c:numRef>
          </c:yVal>
          <c:smooth val="1"/>
          <c:extLst>
            <c:ext xmlns:c16="http://schemas.microsoft.com/office/drawing/2014/chart" uri="{C3380CC4-5D6E-409C-BE32-E72D297353CC}">
              <c16:uniqueId val="{00000002-F392-4BF9-9928-07EF2D2BAB46}"/>
            </c:ext>
          </c:extLst>
        </c:ser>
        <c:ser>
          <c:idx val="3"/>
          <c:order val="3"/>
          <c:tx>
            <c:v>KM OS moderate OSA</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'[4]Default Dataset (7)'!$A$1:$A$64</c:f>
              <c:numCache>
                <c:formatCode>General</c:formatCode>
                <c:ptCount val="64"/>
                <c:pt idx="0">
                  <c:v>0.23653351490784799</c:v>
                </c:pt>
                <c:pt idx="1">
                  <c:v>0.53644859405285905</c:v>
                </c:pt>
                <c:pt idx="2">
                  <c:v>0.83648704427115095</c:v>
                </c:pt>
                <c:pt idx="3">
                  <c:v>1.1365254944894401</c:v>
                </c:pt>
                <c:pt idx="4">
                  <c:v>1.4365639447077301</c:v>
                </c:pt>
                <c:pt idx="5">
                  <c:v>1.7366023949260201</c:v>
                </c:pt>
                <c:pt idx="6">
                  <c:v>2.0366408451443099</c:v>
                </c:pt>
                <c:pt idx="7">
                  <c:v>2.33612412553284</c:v>
                </c:pt>
                <c:pt idx="8">
                  <c:v>2.63597751914121</c:v>
                </c:pt>
                <c:pt idx="9">
                  <c:v>2.9360159693595</c:v>
                </c:pt>
                <c:pt idx="10">
                  <c:v>3.2357254300490501</c:v>
                </c:pt>
                <c:pt idx="11">
                  <c:v>3.5365863540892102</c:v>
                </c:pt>
                <c:pt idx="12">
                  <c:v>3.8366248043075002</c:v>
                </c:pt>
                <c:pt idx="13">
                  <c:v>4.1364781979158698</c:v>
                </c:pt>
                <c:pt idx="14">
                  <c:v>4.1343808896701004</c:v>
                </c:pt>
                <c:pt idx="15">
                  <c:v>4.43423428327847</c:v>
                </c:pt>
                <c:pt idx="16">
                  <c:v>4.73427273349676</c:v>
                </c:pt>
                <c:pt idx="17">
                  <c:v>5.0340027560318497</c:v>
                </c:pt>
                <c:pt idx="18">
                  <c:v>5.3338561496402299</c:v>
                </c:pt>
                <c:pt idx="19">
                  <c:v>5.6338945998585199</c:v>
                </c:pt>
                <c:pt idx="20">
                  <c:v>5.9339330500768099</c:v>
                </c:pt>
                <c:pt idx="21">
                  <c:v>6.2339715002950999</c:v>
                </c:pt>
                <c:pt idx="22">
                  <c:v>6.53400995051339</c:v>
                </c:pt>
                <c:pt idx="23">
                  <c:v>6.83404840073168</c:v>
                </c:pt>
                <c:pt idx="24">
                  <c:v>7.0587071251755598</c:v>
                </c:pt>
                <c:pt idx="25">
                  <c:v>7.1828924475397598</c:v>
                </c:pt>
                <c:pt idx="26">
                  <c:v>7.5046318695481</c:v>
                </c:pt>
                <c:pt idx="27">
                  <c:v>7.80504043298623</c:v>
                </c:pt>
                <c:pt idx="28">
                  <c:v>8.1052639398144404</c:v>
                </c:pt>
                <c:pt idx="29">
                  <c:v>8.4053023900327393</c:v>
                </c:pt>
                <c:pt idx="30">
                  <c:v>8.7053408402510293</c:v>
                </c:pt>
                <c:pt idx="31">
                  <c:v>9.0053792904693193</c:v>
                </c:pt>
                <c:pt idx="32">
                  <c:v>9.3054177406876093</c:v>
                </c:pt>
                <c:pt idx="33">
                  <c:v>9.6054561909058993</c:v>
                </c:pt>
                <c:pt idx="34">
                  <c:v>9.9054946411241893</c:v>
                </c:pt>
                <c:pt idx="35">
                  <c:v>10.205533091342399</c:v>
                </c:pt>
                <c:pt idx="36">
                  <c:v>10.5055715415607</c:v>
                </c:pt>
                <c:pt idx="37">
                  <c:v>10.805609991779001</c:v>
                </c:pt>
                <c:pt idx="38">
                  <c:v>11.1056484419973</c:v>
                </c:pt>
                <c:pt idx="39">
                  <c:v>11.4056868922156</c:v>
                </c:pt>
                <c:pt idx="40">
                  <c:v>11.705725342433899</c:v>
                </c:pt>
                <c:pt idx="41">
                  <c:v>12.0057637926522</c:v>
                </c:pt>
                <c:pt idx="42">
                  <c:v>12.305802242870501</c:v>
                </c:pt>
                <c:pt idx="43">
                  <c:v>12.605840693088799</c:v>
                </c:pt>
                <c:pt idx="44">
                  <c:v>12.792624498035501</c:v>
                </c:pt>
                <c:pt idx="45">
                  <c:v>12.7899103344233</c:v>
                </c:pt>
                <c:pt idx="46">
                  <c:v>12.938449106653101</c:v>
                </c:pt>
                <c:pt idx="47">
                  <c:v>13.4260115882579</c:v>
                </c:pt>
                <c:pt idx="48">
                  <c:v>13.7260500384761</c:v>
                </c:pt>
                <c:pt idx="49">
                  <c:v>14.0260884886944</c:v>
                </c:pt>
                <c:pt idx="50">
                  <c:v>14.2883753904889</c:v>
                </c:pt>
                <c:pt idx="51">
                  <c:v>14.3601773551382</c:v>
                </c:pt>
                <c:pt idx="52">
                  <c:v>15.988675522441399</c:v>
                </c:pt>
                <c:pt idx="53">
                  <c:v>16.147824206973301</c:v>
                </c:pt>
                <c:pt idx="54">
                  <c:v>16.1458502698008</c:v>
                </c:pt>
                <c:pt idx="55">
                  <c:v>16.232900899107602</c:v>
                </c:pt>
                <c:pt idx="56">
                  <c:v>16.5551954909457</c:v>
                </c:pt>
                <c:pt idx="57">
                  <c:v>16.855233941163998</c:v>
                </c:pt>
                <c:pt idx="58">
                  <c:v>17.155272391382201</c:v>
                </c:pt>
                <c:pt idx="59">
                  <c:v>17.4553108416005</c:v>
                </c:pt>
                <c:pt idx="60">
                  <c:v>17.755349291818799</c:v>
                </c:pt>
                <c:pt idx="61">
                  <c:v>18.055387742037102</c:v>
                </c:pt>
                <c:pt idx="62">
                  <c:v>18.355426192255401</c:v>
                </c:pt>
                <c:pt idx="63">
                  <c:v>18.617959836196398</c:v>
                </c:pt>
              </c:numCache>
            </c:numRef>
          </c:xVal>
          <c:yVal>
            <c:numRef>
              <c:f>'[4]Default Dataset (7)'!$B$1:$B$64</c:f>
              <c:numCache>
                <c:formatCode>General</c:formatCode>
                <c:ptCount val="64"/>
                <c:pt idx="0">
                  <c:v>1</c:v>
                </c:pt>
                <c:pt idx="1">
                  <c:v>1</c:v>
                </c:pt>
                <c:pt idx="2">
                  <c:v>1</c:v>
                </c:pt>
                <c:pt idx="3">
                  <c:v>1</c:v>
                </c:pt>
                <c:pt idx="4">
                  <c:v>1</c:v>
                </c:pt>
                <c:pt idx="5">
                  <c:v>1</c:v>
                </c:pt>
                <c:pt idx="6">
                  <c:v>1</c:v>
                </c:pt>
                <c:pt idx="7">
                  <c:v>0.99901343788897601</c:v>
                </c:pt>
                <c:pt idx="8">
                  <c:v>0.99837746000621397</c:v>
                </c:pt>
                <c:pt idx="9">
                  <c:v>0.99841693874966397</c:v>
                </c:pt>
                <c:pt idx="10">
                  <c:v>0.99725560571318295</c:v>
                </c:pt>
                <c:pt idx="11">
                  <c:v>1.00029711390646</c:v>
                </c:pt>
                <c:pt idx="12">
                  <c:v>1.0003365926499099</c:v>
                </c:pt>
                <c:pt idx="13">
                  <c:v>0.999700614767148</c:v>
                </c:pt>
                <c:pt idx="14">
                  <c:v>0.99204543967008996</c:v>
                </c:pt>
                <c:pt idx="15">
                  <c:v>0.99140946178732903</c:v>
                </c:pt>
                <c:pt idx="16">
                  <c:v>0.99144894053077903</c:v>
                </c:pt>
                <c:pt idx="17">
                  <c:v>0.99036265823054404</c:v>
                </c:pt>
                <c:pt idx="18">
                  <c:v>0.989726680347782</c:v>
                </c:pt>
                <c:pt idx="19">
                  <c:v>0.989766159091232</c:v>
                </c:pt>
                <c:pt idx="20">
                  <c:v>0.98980563783468201</c:v>
                </c:pt>
                <c:pt idx="21">
                  <c:v>0.98984511657813201</c:v>
                </c:pt>
                <c:pt idx="22">
                  <c:v>0.98988459532158102</c:v>
                </c:pt>
                <c:pt idx="23">
                  <c:v>0.98992407406503102</c:v>
                </c:pt>
                <c:pt idx="24">
                  <c:v>0.98860276987019602</c:v>
                </c:pt>
                <c:pt idx="25">
                  <c:v>0.976461329064365</c:v>
                </c:pt>
                <c:pt idx="26">
                  <c:v>0.97357678999999198</c:v>
                </c:pt>
                <c:pt idx="27">
                  <c:v>0.97496718199586396</c:v>
                </c:pt>
                <c:pt idx="28">
                  <c:v>0.97568211736552501</c:v>
                </c:pt>
                <c:pt idx="29">
                  <c:v>0.97572159610897502</c:v>
                </c:pt>
                <c:pt idx="30">
                  <c:v>0.97576107485242403</c:v>
                </c:pt>
                <c:pt idx="31">
                  <c:v>0.97580055359587403</c:v>
                </c:pt>
                <c:pt idx="32">
                  <c:v>0.97584003233932404</c:v>
                </c:pt>
                <c:pt idx="33">
                  <c:v>0.97587951108277404</c:v>
                </c:pt>
                <c:pt idx="34">
                  <c:v>0.97591898982622305</c:v>
                </c:pt>
                <c:pt idx="35">
                  <c:v>0.97595846856967305</c:v>
                </c:pt>
                <c:pt idx="36">
                  <c:v>0.97599794731312295</c:v>
                </c:pt>
                <c:pt idx="37">
                  <c:v>0.97603742605657295</c:v>
                </c:pt>
                <c:pt idx="38">
                  <c:v>0.97607690480002296</c:v>
                </c:pt>
                <c:pt idx="39">
                  <c:v>0.97611638354347197</c:v>
                </c:pt>
                <c:pt idx="40">
                  <c:v>0.97615586228692197</c:v>
                </c:pt>
                <c:pt idx="41">
                  <c:v>0.97619534103037198</c:v>
                </c:pt>
                <c:pt idx="42">
                  <c:v>0.97623481977382198</c:v>
                </c:pt>
                <c:pt idx="43">
                  <c:v>0.97627429851727099</c:v>
                </c:pt>
                <c:pt idx="44">
                  <c:v>0.97359714622708304</c:v>
                </c:pt>
                <c:pt idx="45">
                  <c:v>0.96369044904265599</c:v>
                </c:pt>
                <c:pt idx="46">
                  <c:v>0.95830653540469202</c:v>
                </c:pt>
                <c:pt idx="47">
                  <c:v>0.95837068836279804</c:v>
                </c:pt>
                <c:pt idx="48">
                  <c:v>0.95841016710624805</c:v>
                </c:pt>
                <c:pt idx="49">
                  <c:v>0.95844964584969805</c:v>
                </c:pt>
                <c:pt idx="50">
                  <c:v>0.95758358091526796</c:v>
                </c:pt>
                <c:pt idx="51">
                  <c:v>0.945885535746807</c:v>
                </c:pt>
                <c:pt idx="52">
                  <c:v>0.91247829405007796</c:v>
                </c:pt>
                <c:pt idx="53">
                  <c:v>0.90019135762515801</c:v>
                </c:pt>
                <c:pt idx="54">
                  <c:v>0.89298648694557403</c:v>
                </c:pt>
                <c:pt idx="55">
                  <c:v>0.88219102454923304</c:v>
                </c:pt>
                <c:pt idx="56">
                  <c:v>0.88133285536349304</c:v>
                </c:pt>
                <c:pt idx="57">
                  <c:v>0.88137233410694305</c:v>
                </c:pt>
                <c:pt idx="58">
                  <c:v>0.88141181285039305</c:v>
                </c:pt>
                <c:pt idx="59">
                  <c:v>0.88145129159384294</c:v>
                </c:pt>
                <c:pt idx="60">
                  <c:v>0.88149077033729195</c:v>
                </c:pt>
                <c:pt idx="61">
                  <c:v>0.88153024908074196</c:v>
                </c:pt>
                <c:pt idx="62">
                  <c:v>0.88156972782419196</c:v>
                </c:pt>
                <c:pt idx="63">
                  <c:v>0.88160427172471001</c:v>
                </c:pt>
              </c:numCache>
            </c:numRef>
          </c:yVal>
          <c:smooth val="1"/>
          <c:extLst>
            <c:ext xmlns:c16="http://schemas.microsoft.com/office/drawing/2014/chart" uri="{C3380CC4-5D6E-409C-BE32-E72D297353CC}">
              <c16:uniqueId val="{00000003-F392-4BF9-9928-07EF2D2BAB46}"/>
            </c:ext>
          </c:extLst>
        </c:ser>
        <c:ser>
          <c:idx val="4"/>
          <c:order val="4"/>
          <c:tx>
            <c:v>KMN OS mild OSA</c:v>
          </c:tx>
          <c:spPr>
            <a:ln w="19050" cap="rnd">
              <a:solidFill>
                <a:srgbClr val="00B050"/>
              </a:solidFill>
              <a:round/>
            </a:ln>
            <a:effectLst/>
          </c:spPr>
          <c:marker>
            <c:symbol val="circle"/>
            <c:size val="5"/>
            <c:spPr>
              <a:solidFill>
                <a:schemeClr val="accent5"/>
              </a:solidFill>
              <a:ln w="9525">
                <a:solidFill>
                  <a:srgbClr val="00B050"/>
                </a:solidFill>
              </a:ln>
              <a:effectLst/>
            </c:spPr>
          </c:marker>
          <c:xVal>
            <c:numRef>
              <c:f>'[5]Default Dataset (10)'!$A$1:$A$84</c:f>
              <c:numCache>
                <c:formatCode>General</c:formatCode>
                <c:ptCount val="84"/>
                <c:pt idx="0">
                  <c:v>0</c:v>
                </c:pt>
                <c:pt idx="1">
                  <c:v>0.198910647272972</c:v>
                </c:pt>
                <c:pt idx="2">
                  <c:v>0.44381868054815399</c:v>
                </c:pt>
                <c:pt idx="3">
                  <c:v>0.81146120232679397</c:v>
                </c:pt>
                <c:pt idx="4">
                  <c:v>1.05659361309467</c:v>
                </c:pt>
                <c:pt idx="5">
                  <c:v>1.2708741186171599</c:v>
                </c:pt>
                <c:pt idx="6">
                  <c:v>1.54640967964503</c:v>
                </c:pt>
                <c:pt idx="7">
                  <c:v>1.7608023739138701</c:v>
                </c:pt>
                <c:pt idx="8">
                  <c:v>2.0674142176798198</c:v>
                </c:pt>
                <c:pt idx="9">
                  <c:v>2.3128831946867399</c:v>
                </c:pt>
                <c:pt idx="10">
                  <c:v>2.52727588895557</c:v>
                </c:pt>
                <c:pt idx="11">
                  <c:v>2.80303582747614</c:v>
                </c:pt>
                <c:pt idx="12">
                  <c:v>3.0480560494976698</c:v>
                </c:pt>
                <c:pt idx="13">
                  <c:v>3.07913233223575</c:v>
                </c:pt>
                <c:pt idx="14">
                  <c:v>3.3854076097626602</c:v>
                </c:pt>
                <c:pt idx="15">
                  <c:v>3.7223104150422599</c:v>
                </c:pt>
                <c:pt idx="16">
                  <c:v>3.9673306370637902</c:v>
                </c:pt>
                <c:pt idx="17">
                  <c:v>4.2737181033370497</c:v>
                </c:pt>
                <c:pt idx="18">
                  <c:v>4.6412484363693398</c:v>
                </c:pt>
                <c:pt idx="19">
                  <c:v>4.8557533193845304</c:v>
                </c:pt>
                <c:pt idx="20">
                  <c:v>4.9175693186216503</c:v>
                </c:pt>
                <c:pt idx="21">
                  <c:v>5.1631504843749099</c:v>
                </c:pt>
                <c:pt idx="22">
                  <c:v>5.3776553673900898</c:v>
                </c:pt>
                <c:pt idx="23">
                  <c:v>4.9488699788524197</c:v>
                </c:pt>
                <c:pt idx="24">
                  <c:v>5.4088438388745201</c:v>
                </c:pt>
                <c:pt idx="25">
                  <c:v>5.6233487218897</c:v>
                </c:pt>
                <c:pt idx="26">
                  <c:v>5.9296239994166102</c:v>
                </c:pt>
                <c:pt idx="27">
                  <c:v>6.2054961266835296</c:v>
                </c:pt>
                <c:pt idx="28">
                  <c:v>6.3285671814260303</c:v>
                </c:pt>
                <c:pt idx="29">
                  <c:v>6.35964346416411</c:v>
                </c:pt>
                <c:pt idx="30">
                  <c:v>6.6660309304373602</c:v>
                </c:pt>
                <c:pt idx="31">
                  <c:v>7.0029337357169696</c:v>
                </c:pt>
                <c:pt idx="32">
                  <c:v>7.3093212019902296</c:v>
                </c:pt>
                <c:pt idx="33">
                  <c:v>7.4930863685063702</c:v>
                </c:pt>
                <c:pt idx="34">
                  <c:v>7.4938716897308</c:v>
                </c:pt>
                <c:pt idx="35">
                  <c:v>7.7388919117523303</c:v>
                </c:pt>
                <c:pt idx="36">
                  <c:v>8.1065344335309693</c:v>
                </c:pt>
                <c:pt idx="37">
                  <c:v>8.3821821833051899</c:v>
                </c:pt>
                <c:pt idx="38">
                  <c:v>8.6882330833394104</c:v>
                </c:pt>
                <c:pt idx="39">
                  <c:v>8.9641052106063199</c:v>
                </c:pt>
                <c:pt idx="40">
                  <c:v>8.9646661543380599</c:v>
                </c:pt>
                <c:pt idx="41">
                  <c:v>9.2096863763595795</c:v>
                </c:pt>
                <c:pt idx="42">
                  <c:v>9.5161860313791902</c:v>
                </c:pt>
                <c:pt idx="43">
                  <c:v>9.7918337811534109</c:v>
                </c:pt>
                <c:pt idx="44">
                  <c:v>9.8843894968895594</c:v>
                </c:pt>
                <c:pt idx="45">
                  <c:v>10.1605981903955</c:v>
                </c:pt>
                <c:pt idx="46">
                  <c:v>10.2223020008862</c:v>
                </c:pt>
                <c:pt idx="47">
                  <c:v>10.4675466004005</c:v>
                </c:pt>
                <c:pt idx="48">
                  <c:v>10.712566822422</c:v>
                </c:pt>
                <c:pt idx="49">
                  <c:v>11.0188420999489</c:v>
                </c:pt>
                <c:pt idx="50">
                  <c:v>11.447627488486599</c:v>
                </c:pt>
                <c:pt idx="51">
                  <c:v>11.6621323715018</c:v>
                </c:pt>
                <c:pt idx="52">
                  <c:v>11.815943142743301</c:v>
                </c:pt>
                <c:pt idx="53">
                  <c:v>11.9693051589995</c:v>
                </c:pt>
                <c:pt idx="54">
                  <c:v>12.214325381021</c:v>
                </c:pt>
                <c:pt idx="55">
                  <c:v>12.4593456030425</c:v>
                </c:pt>
                <c:pt idx="56">
                  <c:v>12.7349933528167</c:v>
                </c:pt>
                <c:pt idx="57">
                  <c:v>12.980013574838299</c:v>
                </c:pt>
                <c:pt idx="58">
                  <c:v>13.225145985606099</c:v>
                </c:pt>
                <c:pt idx="59">
                  <c:v>13.531421263133</c:v>
                </c:pt>
                <c:pt idx="60">
                  <c:v>13.776441485154599</c:v>
                </c:pt>
                <c:pt idx="61">
                  <c:v>14.113344290434201</c:v>
                </c:pt>
                <c:pt idx="62">
                  <c:v>14.511614339965501</c:v>
                </c:pt>
                <c:pt idx="63">
                  <c:v>14.848517145245101</c:v>
                </c:pt>
                <c:pt idx="64">
                  <c:v>15.062909839514001</c:v>
                </c:pt>
                <c:pt idx="65">
                  <c:v>15.1864296492418</c:v>
                </c:pt>
                <c:pt idx="66">
                  <c:v>15.1872149704663</c:v>
                </c:pt>
                <c:pt idx="67">
                  <c:v>15.2490309697034</c:v>
                </c:pt>
                <c:pt idx="68">
                  <c:v>15.494275569217599</c:v>
                </c:pt>
                <c:pt idx="69">
                  <c:v>15.739295791239099</c:v>
                </c:pt>
                <c:pt idx="70">
                  <c:v>15.740193301209899</c:v>
                </c:pt>
                <c:pt idx="71">
                  <c:v>15.7407542449416</c:v>
                </c:pt>
                <c:pt idx="72">
                  <c:v>16.077881427713901</c:v>
                </c:pt>
                <c:pt idx="73">
                  <c:v>16.322901649735499</c:v>
                </c:pt>
                <c:pt idx="74">
                  <c:v>16.324023537198901</c:v>
                </c:pt>
                <c:pt idx="75">
                  <c:v>16.324584480930699</c:v>
                </c:pt>
                <c:pt idx="76">
                  <c:v>16.356109518654101</c:v>
                </c:pt>
                <c:pt idx="77">
                  <c:v>16.693012323933701</c:v>
                </c:pt>
                <c:pt idx="78">
                  <c:v>16.999287601460701</c:v>
                </c:pt>
                <c:pt idx="79">
                  <c:v>17.3668179344929</c:v>
                </c:pt>
                <c:pt idx="80">
                  <c:v>17.6730932120199</c:v>
                </c:pt>
                <c:pt idx="81">
                  <c:v>17.948740961794101</c:v>
                </c:pt>
                <c:pt idx="82">
                  <c:v>18.1631336560629</c:v>
                </c:pt>
                <c:pt idx="83">
                  <c:v>18.500148650088899</c:v>
                </c:pt>
              </c:numCache>
            </c:numRef>
          </c:xVal>
          <c:yVal>
            <c:numRef>
              <c:f>'[5]Default Dataset (10)'!$B$1:$B$84</c:f>
              <c:numCache>
                <c:formatCode>General</c:formatCode>
                <c:ptCount val="84"/>
                <c:pt idx="0">
                  <c:v>1</c:v>
                </c:pt>
                <c:pt idx="1">
                  <c:v>1</c:v>
                </c:pt>
                <c:pt idx="2">
                  <c:v>1</c:v>
                </c:pt>
                <c:pt idx="3">
                  <c:v>1</c:v>
                </c:pt>
                <c:pt idx="4">
                  <c:v>1</c:v>
                </c:pt>
                <c:pt idx="5">
                  <c:v>1</c:v>
                </c:pt>
                <c:pt idx="6">
                  <c:v>1</c:v>
                </c:pt>
                <c:pt idx="7">
                  <c:v>1</c:v>
                </c:pt>
                <c:pt idx="8">
                  <c:v>0.99868963544266798</c:v>
                </c:pt>
                <c:pt idx="9">
                  <c:v>0.99577721558750398</c:v>
                </c:pt>
                <c:pt idx="10">
                  <c:v>0.99579292201199299</c:v>
                </c:pt>
                <c:pt idx="11">
                  <c:v>0.99508052347269005</c:v>
                </c:pt>
                <c:pt idx="12">
                  <c:v>0.99509847367210602</c:v>
                </c:pt>
                <c:pt idx="13">
                  <c:v>0.99217034739245302</c:v>
                </c:pt>
                <c:pt idx="14">
                  <c:v>0.99219278514172204</c:v>
                </c:pt>
                <c:pt idx="15">
                  <c:v>0.99221746666591804</c:v>
                </c:pt>
                <c:pt idx="16">
                  <c:v>0.99223541686533401</c:v>
                </c:pt>
                <c:pt idx="17">
                  <c:v>0.99152526210095804</c:v>
                </c:pt>
                <c:pt idx="18">
                  <c:v>0.991552187400082</c:v>
                </c:pt>
                <c:pt idx="19">
                  <c:v>0.99083530131092501</c:v>
                </c:pt>
                <c:pt idx="20">
                  <c:v>0.98717682629255399</c:v>
                </c:pt>
                <c:pt idx="21">
                  <c:v>0.983531813923745</c:v>
                </c:pt>
                <c:pt idx="22">
                  <c:v>0.98281492783458901</c:v>
                </c:pt>
                <c:pt idx="23">
                  <c:v>0.98278351498561101</c:v>
                </c:pt>
                <c:pt idx="24">
                  <c:v>0.97915420904129102</c:v>
                </c:pt>
                <c:pt idx="25">
                  <c:v>0.97843732295213404</c:v>
                </c:pt>
                <c:pt idx="26">
                  <c:v>0.97845976070140395</c:v>
                </c:pt>
                <c:pt idx="27">
                  <c:v>0.97701476964845602</c:v>
                </c:pt>
                <c:pt idx="28">
                  <c:v>0.97336078217993904</c:v>
                </c:pt>
                <c:pt idx="29">
                  <c:v>0.97043265590028605</c:v>
                </c:pt>
                <c:pt idx="30">
                  <c:v>0.96972250113591096</c:v>
                </c:pt>
                <c:pt idx="31">
                  <c:v>0.96974718266010695</c:v>
                </c:pt>
                <c:pt idx="32">
                  <c:v>0.96903702789573098</c:v>
                </c:pt>
                <c:pt idx="33">
                  <c:v>0.96905049054529302</c:v>
                </c:pt>
                <c:pt idx="34">
                  <c:v>0.96392234294977797</c:v>
                </c:pt>
                <c:pt idx="35">
                  <c:v>0.96394029314919405</c:v>
                </c:pt>
                <c:pt idx="36">
                  <c:v>0.96323462593467202</c:v>
                </c:pt>
                <c:pt idx="37">
                  <c:v>0.96325481990901496</c:v>
                </c:pt>
                <c:pt idx="38">
                  <c:v>0.96474244268557396</c:v>
                </c:pt>
                <c:pt idx="39">
                  <c:v>0.96329745163262603</c:v>
                </c:pt>
                <c:pt idx="40">
                  <c:v>0.95963448906440196</c:v>
                </c:pt>
                <c:pt idx="41">
                  <c:v>0.95965243926381705</c:v>
                </c:pt>
                <c:pt idx="42">
                  <c:v>0.95820969198579697</c:v>
                </c:pt>
                <c:pt idx="43">
                  <c:v>0.95822988596013903</c:v>
                </c:pt>
                <c:pt idx="44">
                  <c:v>0.95384106220304998</c:v>
                </c:pt>
                <c:pt idx="45">
                  <c:v>0.95019829360916797</c:v>
                </c:pt>
                <c:pt idx="46">
                  <c:v>0.94727241110444205</c:v>
                </c:pt>
                <c:pt idx="47">
                  <c:v>0.94582517627656704</c:v>
                </c:pt>
                <c:pt idx="48">
                  <c:v>0.94584312647598301</c:v>
                </c:pt>
                <c:pt idx="49">
                  <c:v>0.94586556422525203</c:v>
                </c:pt>
                <c:pt idx="50">
                  <c:v>0.94589697707422904</c:v>
                </c:pt>
                <c:pt idx="51">
                  <c:v>0.94518009098507305</c:v>
                </c:pt>
                <c:pt idx="52">
                  <c:v>0.94079575477783794</c:v>
                </c:pt>
                <c:pt idx="53">
                  <c:v>0.93934178862518303</c:v>
                </c:pt>
                <c:pt idx="54">
                  <c:v>0.939359738824598</c:v>
                </c:pt>
                <c:pt idx="55">
                  <c:v>0.93937768902401397</c:v>
                </c:pt>
                <c:pt idx="56">
                  <c:v>0.93939788299835603</c:v>
                </c:pt>
                <c:pt idx="57">
                  <c:v>0.939415833197772</c:v>
                </c:pt>
                <c:pt idx="58">
                  <c:v>0.93870119088354198</c:v>
                </c:pt>
                <c:pt idx="59">
                  <c:v>0.938723628632811</c:v>
                </c:pt>
                <c:pt idx="60">
                  <c:v>0.93874157883222697</c:v>
                </c:pt>
                <c:pt idx="61">
                  <c:v>0.93876626035642297</c:v>
                </c:pt>
                <c:pt idx="62">
                  <c:v>0.93806283691682901</c:v>
                </c:pt>
                <c:pt idx="63">
                  <c:v>0.938087518441025</c:v>
                </c:pt>
                <c:pt idx="64">
                  <c:v>0.93810322486551301</c:v>
                </c:pt>
                <c:pt idx="65">
                  <c:v>0.93151886734241696</c:v>
                </c:pt>
                <c:pt idx="66">
                  <c:v>0.92639071974690201</c:v>
                </c:pt>
                <c:pt idx="67">
                  <c:v>0.92273224472853099</c:v>
                </c:pt>
                <c:pt idx="68">
                  <c:v>0.92128500990065698</c:v>
                </c:pt>
                <c:pt idx="69">
                  <c:v>0.92130296010007195</c:v>
                </c:pt>
                <c:pt idx="70">
                  <c:v>0.91544221999091202</c:v>
                </c:pt>
                <c:pt idx="71">
                  <c:v>0.91177925742268795</c:v>
                </c:pt>
                <c:pt idx="72">
                  <c:v>0.91033875391959396</c:v>
                </c:pt>
                <c:pt idx="73">
                  <c:v>0.91035670411900904</c:v>
                </c:pt>
                <c:pt idx="74">
                  <c:v>0.90303077898256001</c:v>
                </c:pt>
                <c:pt idx="75">
                  <c:v>0.89936781641433505</c:v>
                </c:pt>
                <c:pt idx="76">
                  <c:v>0.89350932008010198</c:v>
                </c:pt>
                <c:pt idx="77">
                  <c:v>0.89353400160429897</c:v>
                </c:pt>
                <c:pt idx="78">
                  <c:v>0.89355643935356799</c:v>
                </c:pt>
                <c:pt idx="79">
                  <c:v>0.89358336465269095</c:v>
                </c:pt>
                <c:pt idx="80">
                  <c:v>0.89360580240196097</c:v>
                </c:pt>
                <c:pt idx="81">
                  <c:v>0.89362599637630302</c:v>
                </c:pt>
                <c:pt idx="82">
                  <c:v>0.89364170280079203</c:v>
                </c:pt>
                <c:pt idx="83">
                  <c:v>0.89293379181134303</c:v>
                </c:pt>
              </c:numCache>
            </c:numRef>
          </c:yVal>
          <c:smooth val="1"/>
          <c:extLst>
            <c:ext xmlns:c16="http://schemas.microsoft.com/office/drawing/2014/chart" uri="{C3380CC4-5D6E-409C-BE32-E72D297353CC}">
              <c16:uniqueId val="{00000004-F392-4BF9-9928-07EF2D2BAB46}"/>
            </c:ext>
          </c:extLst>
        </c:ser>
        <c:dLbls>
          <c:showLegendKey val="0"/>
          <c:showVal val="0"/>
          <c:showCatName val="0"/>
          <c:showSerName val="0"/>
          <c:showPercent val="0"/>
          <c:showBubbleSize val="0"/>
        </c:dLbls>
        <c:axId val="443020712"/>
        <c:axId val="443020384"/>
      </c:scatterChart>
      <c:valAx>
        <c:axId val="443020712"/>
        <c:scaling>
          <c:orientation val="minMax"/>
          <c:max val="2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Model</a:t>
                </a:r>
                <a:r>
                  <a:rPr lang="en-AU" baseline="0"/>
                  <a:t> duration/Years of observation</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3020384"/>
        <c:crosses val="autoZero"/>
        <c:crossBetween val="midCat"/>
      </c:valAx>
      <c:valAx>
        <c:axId val="443020384"/>
        <c:scaling>
          <c:orientation val="minMax"/>
          <c:max val="1"/>
          <c:min val="0.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Cumukative</a:t>
                </a:r>
                <a:r>
                  <a:rPr lang="en-AU" baseline="0"/>
                  <a:t> incidence</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3020712"/>
        <c:crosses val="autoZero"/>
        <c:crossBetween val="midCat"/>
        <c:majorUnit val="0.1"/>
      </c:valAx>
      <c:spPr>
        <a:noFill/>
        <a:ln>
          <a:noFill/>
        </a:ln>
        <a:effectLst/>
      </c:spPr>
    </c:plotArea>
    <c:legend>
      <c:legendPos val="tr"/>
      <c:layout>
        <c:manualLayout>
          <c:xMode val="edge"/>
          <c:yMode val="edge"/>
          <c:x val="0.13234563953617473"/>
          <c:y val="0.34407419072615925"/>
          <c:w val="0.36455227360539327"/>
          <c:h val="0.41318523184601924"/>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C7DDB-1D83-416E-B37B-44A28B1E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10478</Words>
  <Characters>58105</Characters>
  <Application>Microsoft Office Word</Application>
  <DocSecurity>0</DocSecurity>
  <Lines>1708</Lines>
  <Paragraphs>1055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2021-02-09T23:22:00Z</dcterms:created>
  <dcterms:modified xsi:type="dcterms:W3CDTF">2021-02-15T03:58:00Z</dcterms:modified>
</cp:coreProperties>
</file>