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2D38D" w14:textId="77777777" w:rsidR="001C48A0" w:rsidRPr="001C48A0" w:rsidRDefault="001C48A0" w:rsidP="007C7AFB">
      <w:pPr>
        <w:keepNext/>
        <w:keepLines/>
        <w:spacing w:before="480" w:after="360" w:line="240" w:lineRule="auto"/>
        <w:jc w:val="center"/>
        <w:outlineLvl w:val="0"/>
        <w:rPr>
          <w:rFonts w:ascii="Arial" w:eastAsiaTheme="majorEastAsia" w:hAnsi="Arial" w:cs="Arial"/>
          <w:b/>
          <w:bCs/>
          <w:color w:val="000080"/>
          <w:sz w:val="36"/>
          <w:szCs w:val="36"/>
        </w:rPr>
      </w:pPr>
      <w:bookmarkStart w:id="0" w:name="_Hlk68005436"/>
      <w:bookmarkStart w:id="1" w:name="_Toc69491414"/>
      <w:r w:rsidRPr="001C48A0">
        <w:rPr>
          <w:rFonts w:ascii="Arial" w:eastAsiaTheme="majorEastAsia" w:hAnsi="Arial" w:cs="Arial"/>
          <w:b/>
          <w:bCs/>
          <w:color w:val="000080"/>
          <w:sz w:val="36"/>
          <w:szCs w:val="36"/>
        </w:rPr>
        <w:t>Medical Services Advisory Committee</w:t>
      </w:r>
      <w:r w:rsidR="0039393C">
        <w:rPr>
          <w:rFonts w:ascii="Arial" w:eastAsiaTheme="majorEastAsia" w:hAnsi="Arial" w:cs="Arial"/>
          <w:b/>
          <w:bCs/>
          <w:color w:val="000080"/>
          <w:sz w:val="36"/>
          <w:szCs w:val="36"/>
        </w:rPr>
        <w:t xml:space="preserve"> (MSAC)</w:t>
      </w:r>
      <w:r w:rsidRPr="001C48A0">
        <w:rPr>
          <w:rFonts w:ascii="Arial" w:eastAsiaTheme="majorEastAsia" w:hAnsi="Arial" w:cs="Arial"/>
          <w:b/>
          <w:bCs/>
          <w:color w:val="000080"/>
          <w:sz w:val="36"/>
          <w:szCs w:val="36"/>
        </w:rPr>
        <w:br/>
      </w:r>
      <w:r w:rsidR="0039393C">
        <w:rPr>
          <w:rFonts w:ascii="Arial" w:eastAsiaTheme="majorEastAsia" w:hAnsi="Arial" w:cs="Arial"/>
          <w:b/>
          <w:bCs/>
          <w:color w:val="000080"/>
          <w:sz w:val="36"/>
          <w:szCs w:val="36"/>
        </w:rPr>
        <w:t>Public Summary Document</w:t>
      </w:r>
    </w:p>
    <w:p w14:paraId="264A794E" w14:textId="77777777" w:rsidR="001C48A0" w:rsidRPr="001C48A0" w:rsidRDefault="001C48A0" w:rsidP="001C48A0">
      <w:pPr>
        <w:spacing w:after="240" w:line="240" w:lineRule="auto"/>
        <w:jc w:val="center"/>
        <w:rPr>
          <w:rFonts w:ascii="Arial" w:eastAsia="Times New Roman" w:hAnsi="Arial" w:cs="Arial"/>
          <w:b/>
          <w:bCs/>
          <w:i/>
          <w:color w:val="000080"/>
          <w:sz w:val="28"/>
          <w:szCs w:val="28"/>
          <w:lang w:eastAsia="en-AU"/>
        </w:rPr>
      </w:pPr>
      <w:r w:rsidRPr="001C48A0">
        <w:rPr>
          <w:rFonts w:ascii="Arial" w:eastAsia="Times New Roman" w:hAnsi="Arial" w:cs="Arial"/>
          <w:b/>
          <w:bCs/>
          <w:i/>
          <w:color w:val="000080"/>
          <w:sz w:val="28"/>
          <w:szCs w:val="28"/>
          <w:lang w:eastAsia="en-AU"/>
        </w:rPr>
        <w:t xml:space="preserve">Application No. 1678 – Integrating Pharmacists within Aboriginal Community Controlled Health Services to Improve Chronic Disease Management (IPAC Project) </w:t>
      </w:r>
    </w:p>
    <w:p w14:paraId="121C6ED6" w14:textId="1AC4B4EF" w:rsidR="00772829" w:rsidRPr="00C0623D" w:rsidRDefault="00772829" w:rsidP="00AD591D">
      <w:pPr>
        <w:tabs>
          <w:tab w:val="left" w:pos="3686"/>
        </w:tabs>
        <w:spacing w:after="240"/>
        <w:ind w:left="3600" w:hanging="3600"/>
        <w:rPr>
          <w:rFonts w:ascii="Arial" w:hAnsi="Arial" w:cs="Arial"/>
          <w:b/>
          <w:szCs w:val="24"/>
        </w:rPr>
      </w:pPr>
      <w:r w:rsidRPr="00C0623D">
        <w:rPr>
          <w:rFonts w:ascii="Arial" w:hAnsi="Arial" w:cs="Arial"/>
          <w:b/>
          <w:szCs w:val="24"/>
        </w:rPr>
        <w:t>Applicant:</w:t>
      </w:r>
      <w:r w:rsidR="00C0623D">
        <w:rPr>
          <w:rFonts w:ascii="Arial" w:hAnsi="Arial" w:cs="Arial"/>
          <w:b/>
          <w:szCs w:val="24"/>
        </w:rPr>
        <w:tab/>
      </w:r>
      <w:r w:rsidR="001D7F85" w:rsidRPr="00C0623D">
        <w:rPr>
          <w:rFonts w:ascii="Arial" w:hAnsi="Arial" w:cs="Arial"/>
          <w:b/>
          <w:szCs w:val="24"/>
        </w:rPr>
        <w:t>Pharmaceutical Society of Australia in partnership with the National Aboriginal Community Controlled Health Organisation (NACCHO) and James Cook University</w:t>
      </w:r>
    </w:p>
    <w:p w14:paraId="67D4B33C" w14:textId="77777777" w:rsidR="009A3778" w:rsidRPr="00C0623D" w:rsidRDefault="00772829" w:rsidP="00C0623D">
      <w:pPr>
        <w:tabs>
          <w:tab w:val="left" w:pos="3686"/>
        </w:tabs>
        <w:spacing w:after="240"/>
        <w:rPr>
          <w:rFonts w:ascii="Arial" w:hAnsi="Arial" w:cs="Arial"/>
          <w:b/>
          <w:szCs w:val="24"/>
        </w:rPr>
      </w:pPr>
      <w:r w:rsidRPr="00C0623D">
        <w:rPr>
          <w:rFonts w:ascii="Arial" w:hAnsi="Arial" w:cs="Arial"/>
          <w:b/>
          <w:szCs w:val="24"/>
        </w:rPr>
        <w:t>Date of MSAC consideration:</w:t>
      </w:r>
      <w:r w:rsidRPr="00C0623D">
        <w:rPr>
          <w:rFonts w:ascii="Arial" w:hAnsi="Arial" w:cs="Arial"/>
          <w:b/>
          <w:szCs w:val="24"/>
        </w:rPr>
        <w:tab/>
      </w:r>
      <w:r w:rsidR="001D7F85" w:rsidRPr="00C0623D">
        <w:rPr>
          <w:rFonts w:ascii="Arial" w:hAnsi="Arial" w:cs="Arial"/>
          <w:b/>
          <w:szCs w:val="24"/>
        </w:rPr>
        <w:t>30–31 March 2023</w:t>
      </w:r>
    </w:p>
    <w:p w14:paraId="65ED02C9" w14:textId="77777777" w:rsidR="0039393C" w:rsidRPr="0039393C" w:rsidRDefault="0039393C" w:rsidP="0039393C">
      <w:pPr>
        <w:spacing w:after="36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8" w:tooltip="Link to Medical Services Advisory Committee website" w:history="1">
        <w:r w:rsidRPr="00F715D1">
          <w:rPr>
            <w:rStyle w:val="Hyperlink"/>
            <w:szCs w:val="24"/>
          </w:rPr>
          <w:t>visit the MSAC website</w:t>
        </w:r>
      </w:hyperlink>
    </w:p>
    <w:p w14:paraId="5090D673" w14:textId="77777777" w:rsidR="0039393C" w:rsidRPr="00CE28E3" w:rsidRDefault="0039393C" w:rsidP="0039393C">
      <w:pPr>
        <w:pStyle w:val="Heading2"/>
        <w:numPr>
          <w:ilvl w:val="0"/>
          <w:numId w:val="0"/>
        </w:numPr>
      </w:pPr>
      <w:r>
        <w:t>1.</w:t>
      </w:r>
      <w:r>
        <w:tab/>
      </w:r>
      <w:r w:rsidRPr="00CE28E3">
        <w:t xml:space="preserve">Purpose </w:t>
      </w:r>
      <w:r w:rsidRPr="00CE28E3">
        <w:rPr>
          <w:szCs w:val="32"/>
        </w:rPr>
        <w:t>of</w:t>
      </w:r>
      <w:r w:rsidRPr="00CE28E3">
        <w:t xml:space="preserve"> application</w:t>
      </w:r>
    </w:p>
    <w:p w14:paraId="5F7FD62A" w14:textId="7FC0D64A" w:rsidR="00BC31B4" w:rsidRPr="0039393C" w:rsidRDefault="00772829" w:rsidP="0039393C">
      <w:r w:rsidRPr="009A3778">
        <w:rPr>
          <w:iCs/>
        </w:rPr>
        <w:t xml:space="preserve">An application requesting </w:t>
      </w:r>
      <w:r w:rsidR="00BC31B4" w:rsidRPr="00BC31B4">
        <w:rPr>
          <w:iCs/>
        </w:rPr>
        <w:t xml:space="preserve">public funding </w:t>
      </w:r>
      <w:r w:rsidR="00003E87">
        <w:rPr>
          <w:iCs/>
        </w:rPr>
        <w:t>for</w:t>
      </w:r>
      <w:r w:rsidR="00BC31B4" w:rsidRPr="00BC31B4">
        <w:rPr>
          <w:iCs/>
        </w:rPr>
        <w:t xml:space="preserve"> Integrating Pharmacists within Aboriginal Community</w:t>
      </w:r>
      <w:r w:rsidR="00BC31B4">
        <w:rPr>
          <w:iCs/>
        </w:rPr>
        <w:t xml:space="preserve"> </w:t>
      </w:r>
      <w:r w:rsidR="00BC31B4" w:rsidRPr="00BC31B4">
        <w:rPr>
          <w:iCs/>
        </w:rPr>
        <w:t>Controlled Health Services (IPAC) for chronic disease management was received from the</w:t>
      </w:r>
      <w:r w:rsidR="00BC31B4">
        <w:rPr>
          <w:iCs/>
        </w:rPr>
        <w:t xml:space="preserve"> </w:t>
      </w:r>
      <w:r w:rsidR="00BC31B4" w:rsidRPr="00BC31B4">
        <w:rPr>
          <w:iCs/>
        </w:rPr>
        <w:t>Pharmaceutical Society of Australia (PSA) in partnership with the National Aboriginal Community</w:t>
      </w:r>
      <w:r w:rsidR="00BC31B4">
        <w:rPr>
          <w:iCs/>
        </w:rPr>
        <w:t xml:space="preserve"> </w:t>
      </w:r>
      <w:r w:rsidR="00BC31B4" w:rsidRPr="00BC31B4">
        <w:rPr>
          <w:iCs/>
        </w:rPr>
        <w:t>Controlled Health Organisation (NACCHO) and James Cook University by the Department of</w:t>
      </w:r>
      <w:r w:rsidR="00BC31B4">
        <w:rPr>
          <w:iCs/>
        </w:rPr>
        <w:t xml:space="preserve"> </w:t>
      </w:r>
      <w:r w:rsidR="00BC31B4" w:rsidRPr="00BC31B4">
        <w:rPr>
          <w:iCs/>
        </w:rPr>
        <w:t>Health</w:t>
      </w:r>
      <w:r w:rsidR="00B85E1F">
        <w:rPr>
          <w:iCs/>
        </w:rPr>
        <w:t xml:space="preserve"> and Aged Care</w:t>
      </w:r>
      <w:r w:rsidR="00BC31B4" w:rsidRPr="00BC31B4">
        <w:rPr>
          <w:iCs/>
        </w:rPr>
        <w:t>.</w:t>
      </w:r>
    </w:p>
    <w:p w14:paraId="4647E1AC" w14:textId="77777777" w:rsidR="00101C20" w:rsidRDefault="0039393C" w:rsidP="0039393C">
      <w:pPr>
        <w:pStyle w:val="Heading2"/>
        <w:numPr>
          <w:ilvl w:val="0"/>
          <w:numId w:val="0"/>
        </w:numPr>
      </w:pPr>
      <w:r>
        <w:t>2.</w:t>
      </w:r>
      <w:r>
        <w:tab/>
        <w:t>MSAC’s advice to the Minister</w:t>
      </w:r>
    </w:p>
    <w:p w14:paraId="0832C20D" w14:textId="5B2706AC" w:rsidR="008A1C92" w:rsidRDefault="00087AE0" w:rsidP="008A1C92">
      <w:pPr>
        <w:rPr>
          <w:szCs w:val="24"/>
        </w:rPr>
      </w:pPr>
      <w:r w:rsidRPr="00D81A81">
        <w:t>After considering the strength of the available evidence in relation to comparative safety, clinical effectiveness</w:t>
      </w:r>
      <w:r>
        <w:t xml:space="preserve">, </w:t>
      </w:r>
      <w:proofErr w:type="gramStart"/>
      <w:r w:rsidRPr="00D81A81">
        <w:t>cost-effectiveness</w:t>
      </w:r>
      <w:proofErr w:type="gramEnd"/>
      <w:r>
        <w:t xml:space="preserve"> and total cost</w:t>
      </w:r>
      <w:r w:rsidRPr="00D81A81">
        <w:t xml:space="preserve">, </w:t>
      </w:r>
      <w:r w:rsidRPr="00E50A2D">
        <w:rPr>
          <w:szCs w:val="24"/>
        </w:rPr>
        <w:t>MSAC supported public funding for integrating non-dispensing pharmacists within the primary health care team of Aboriginal Health Services to improve chronic disease management. MSAC considered this model of integrated, collaborative, patient-centred care was at least as safe as usual care. MSAC considered that the totality of improvements in biomedical outcomes, prescribing quality, medication adherence, self-rated health status and positive qualitative outcomes reflected an acceptable clinical outcome, compared to usual care, in an under</w:t>
      </w:r>
      <w:r w:rsidR="000C3FAC">
        <w:rPr>
          <w:szCs w:val="24"/>
        </w:rPr>
        <w:t>-</w:t>
      </w:r>
      <w:r w:rsidRPr="00E50A2D">
        <w:rPr>
          <w:szCs w:val="24"/>
        </w:rPr>
        <w:t>served population that is known to have typically poorer health outcomes compared to the broader Australian population. MSAC considered the updated economic and financial analysis indicated the per patient cost and annual cost were comparable to existing medication review programs and acceptable in the context of providing overall better quality of care that may help improve health inequities for Aboriginal and Torres Strait Islander peoples.</w:t>
      </w:r>
      <w:r w:rsidR="008A1C92">
        <w:rPr>
          <w:szCs w:val="24"/>
        </w:rPr>
        <w:br w:type="page"/>
      </w:r>
    </w:p>
    <w:tbl>
      <w:tblPr>
        <w:tblStyle w:val="TableGrid"/>
        <w:tblW w:w="0" w:type="auto"/>
        <w:tblLook w:val="04A0" w:firstRow="1" w:lastRow="0" w:firstColumn="1" w:lastColumn="0" w:noHBand="0" w:noVBand="1"/>
        <w:tblDescription w:val="Consumer summary of MSAC consideration"/>
      </w:tblPr>
      <w:tblGrid>
        <w:gridCol w:w="9016"/>
      </w:tblGrid>
      <w:tr w:rsidR="00087AE0" w:rsidRPr="00AF46D8" w14:paraId="02C4AB15" w14:textId="77777777" w:rsidTr="00771DCE">
        <w:trPr>
          <w:tblHeader/>
        </w:trPr>
        <w:tc>
          <w:tcPr>
            <w:tcW w:w="9016" w:type="dxa"/>
          </w:tcPr>
          <w:bookmarkEnd w:id="0"/>
          <w:bookmarkEnd w:id="1"/>
          <w:p w14:paraId="30CB4FE4" w14:textId="77777777" w:rsidR="00087AE0" w:rsidRPr="00AF46D8" w:rsidRDefault="00087AE0" w:rsidP="002A3BD0">
            <w:pPr>
              <w:pStyle w:val="Heading3"/>
              <w:spacing w:before="120" w:after="120"/>
              <w:outlineLvl w:val="2"/>
              <w:rPr>
                <w:rFonts w:eastAsiaTheme="minorHAnsi" w:cstheme="minorBidi"/>
                <w:iCs/>
              </w:rPr>
            </w:pPr>
            <w:r w:rsidRPr="00AF46D8">
              <w:lastRenderedPageBreak/>
              <w:t>Consumer summary</w:t>
            </w:r>
          </w:p>
        </w:tc>
      </w:tr>
      <w:tr w:rsidR="00087AE0" w:rsidRPr="00AF46D8" w14:paraId="31D9CEA2" w14:textId="77777777" w:rsidTr="00771DCE">
        <w:tc>
          <w:tcPr>
            <w:tcW w:w="9016" w:type="dxa"/>
          </w:tcPr>
          <w:p w14:paraId="5BFEE7B9" w14:textId="77777777" w:rsidR="00A031CD" w:rsidRDefault="0005039F" w:rsidP="0005039F">
            <w:r>
              <w:t xml:space="preserve">This is an application from the Pharmaceutical Society of Australia in partnership with the National Aboriginal Community Controlled Health Organisation (NACCHO) and James Cook University requesting funding of Integrating Pharmacists within Aboriginal Community Controlled Health Services for chronic disease management. </w:t>
            </w:r>
          </w:p>
          <w:p w14:paraId="4F8969E4" w14:textId="20BE3ECB" w:rsidR="0005039F" w:rsidRDefault="0005039F" w:rsidP="0005039F">
            <w:r>
              <w:t>This application was seeking funding for Aboriginal Community Controlled Health Services</w:t>
            </w:r>
            <w:r w:rsidR="00A031CD">
              <w:t xml:space="preserve"> (ACCHS)</w:t>
            </w:r>
            <w:r>
              <w:t xml:space="preserve"> to </w:t>
            </w:r>
            <w:r w:rsidR="00A031CD">
              <w:t xml:space="preserve">be able to </w:t>
            </w:r>
            <w:r>
              <w:t>employ non-dispensing pharmacists</w:t>
            </w:r>
            <w:r w:rsidR="00303E79">
              <w:t xml:space="preserve"> as a part of their usual healthcare teams to improve the health outcomes for Aboriginal and or Torres Strait Islander peoples with chronic health conditions. Non-dispensing pharmacists are pharmacists who are allowed to make recommendations about medications, but </w:t>
            </w:r>
            <w:r w:rsidR="0060582E" w:rsidRPr="00F66295">
              <w:rPr>
                <w:color w:val="262626"/>
              </w:rPr>
              <w:t>whose role does not usually include dispensing medicines</w:t>
            </w:r>
            <w:r w:rsidR="00303E79">
              <w:t xml:space="preserve">. The purpose of integrating the pharmacist in the health service is to have an in-house medicines expert who can work closely together with the rest of the team to provide culturally safe healthcare, consistent with the holistic model of care of the ACCHS. The pharmacist can act as a resource for other staff, liaise </w:t>
            </w:r>
            <w:r w:rsidR="00303E79">
              <w:rPr>
                <w:lang w:val="en-US"/>
              </w:rPr>
              <w:t>with external healthcare providers such as community pharmac</w:t>
            </w:r>
            <w:r w:rsidR="00054CB8">
              <w:rPr>
                <w:lang w:val="en-US"/>
              </w:rPr>
              <w:t>ists</w:t>
            </w:r>
            <w:r w:rsidR="00303E79">
              <w:rPr>
                <w:lang w:val="en-US"/>
              </w:rPr>
              <w:t xml:space="preserve">, undertake service improvement activities and </w:t>
            </w:r>
            <w:r w:rsidR="00303E79">
              <w:t>provide preventive care, medicines reviews, education and advice to patients with chronic health conditions (</w:t>
            </w:r>
            <w:proofErr w:type="spellStart"/>
            <w:proofErr w:type="gramStart"/>
            <w:r w:rsidR="00303E79">
              <w:t>eg</w:t>
            </w:r>
            <w:proofErr w:type="spellEnd"/>
            <w:proofErr w:type="gramEnd"/>
            <w:r w:rsidR="00303E79">
              <w:t xml:space="preserve"> diabetes), and undertake service improvement activities</w:t>
            </w:r>
            <w:r>
              <w:t xml:space="preserve">. </w:t>
            </w:r>
          </w:p>
          <w:p w14:paraId="65B03C66" w14:textId="66E8BE06" w:rsidR="0005039F" w:rsidRDefault="0005039F" w:rsidP="0005039F">
            <w:r>
              <w:t xml:space="preserve">MSAC previously considered this application at the </w:t>
            </w:r>
            <w:r w:rsidR="00783F43">
              <w:t xml:space="preserve">31 </w:t>
            </w:r>
            <w:r>
              <w:t xml:space="preserve">March </w:t>
            </w:r>
            <w:r w:rsidR="00783F43">
              <w:t xml:space="preserve">– 1 April </w:t>
            </w:r>
            <w:r>
              <w:t xml:space="preserve">2022 MSAC meeting (see </w:t>
            </w:r>
            <w:hyperlink r:id="rId9" w:history="1">
              <w:r w:rsidRPr="00F657EA">
                <w:rPr>
                  <w:rStyle w:val="Hyperlink"/>
                </w:rPr>
                <w:t>MSAC 1678 Public Summary Documen</w:t>
              </w:r>
              <w:r w:rsidR="004D7B52">
                <w:rPr>
                  <w:rStyle w:val="Hyperlink"/>
                </w:rPr>
                <w:t>t – March 2022</w:t>
              </w:r>
              <w:r w:rsidRPr="009139B8">
                <w:rPr>
                  <w:rStyle w:val="Hyperlink"/>
                  <w:color w:val="auto"/>
                  <w:u w:val="none"/>
                </w:rPr>
                <w:t>)</w:t>
              </w:r>
            </w:hyperlink>
            <w:r w:rsidR="00DD7D68">
              <w:t>. At that time MSAC acknowledged</w:t>
            </w:r>
            <w:r>
              <w:t xml:space="preserve"> the potential value of </w:t>
            </w:r>
            <w:r w:rsidR="00DD7D68">
              <w:t xml:space="preserve">funding </w:t>
            </w:r>
            <w:r>
              <w:t>this program</w:t>
            </w:r>
            <w:r w:rsidR="00BD4CC9">
              <w:t xml:space="preserve"> which MSAC </w:t>
            </w:r>
            <w:r w:rsidR="00EC4F13">
              <w:t xml:space="preserve">felt </w:t>
            </w:r>
            <w:r w:rsidR="00A20820">
              <w:t>had</w:t>
            </w:r>
            <w:r>
              <w:t xml:space="preserve"> the potential to improve </w:t>
            </w:r>
            <w:r w:rsidR="00EC4F13">
              <w:t xml:space="preserve">the </w:t>
            </w:r>
            <w:r>
              <w:t xml:space="preserve">health </w:t>
            </w:r>
            <w:r w:rsidR="00EC4F13">
              <w:t xml:space="preserve">of </w:t>
            </w:r>
            <w:r>
              <w:t>Aboriginal and Torres Strait Islander peoples.</w:t>
            </w:r>
            <w:r w:rsidR="00A20820">
              <w:t xml:space="preserve"> However,</w:t>
            </w:r>
            <w:r w:rsidR="00E86B72">
              <w:t xml:space="preserve"> at the March</w:t>
            </w:r>
            <w:r w:rsidR="00783F43">
              <w:t>-April</w:t>
            </w:r>
            <w:r w:rsidR="00E86B72">
              <w:t xml:space="preserve"> 2022 meeting,</w:t>
            </w:r>
            <w:r w:rsidR="00A20820">
              <w:t xml:space="preserve"> MSAC </w:t>
            </w:r>
            <w:r w:rsidR="0041322B">
              <w:t xml:space="preserve">deferred its decision </w:t>
            </w:r>
            <w:r w:rsidR="001D506B">
              <w:t>on the application as MSAC considered that more</w:t>
            </w:r>
            <w:r w:rsidR="0041322B">
              <w:t xml:space="preserve"> information was needed</w:t>
            </w:r>
            <w:r w:rsidR="00C17FD0">
              <w:t xml:space="preserve"> </w:t>
            </w:r>
            <w:r w:rsidR="008F306F">
              <w:t xml:space="preserve">about the </w:t>
            </w:r>
            <w:r w:rsidR="00C5196C">
              <w:t xml:space="preserve">improvements in </w:t>
            </w:r>
            <w:r w:rsidR="008F306F">
              <w:t>health markers</w:t>
            </w:r>
            <w:r w:rsidR="00F31DB8">
              <w:t xml:space="preserve"> (e</w:t>
            </w:r>
            <w:r w:rsidR="004F5040">
              <w:t>.</w:t>
            </w:r>
            <w:r w:rsidR="00F31DB8">
              <w:t>g.</w:t>
            </w:r>
            <w:r w:rsidR="000C65C8">
              <w:t>,</w:t>
            </w:r>
            <w:r w:rsidR="00F31DB8">
              <w:t xml:space="preserve"> </w:t>
            </w:r>
            <w:r w:rsidR="000C65C8">
              <w:t>d</w:t>
            </w:r>
            <w:r w:rsidR="00124A95">
              <w:t>iabetes</w:t>
            </w:r>
            <w:r w:rsidR="004F5040">
              <w:t xml:space="preserve"> control</w:t>
            </w:r>
            <w:r w:rsidR="00124A95">
              <w:t xml:space="preserve">, </w:t>
            </w:r>
            <w:r w:rsidR="00F31DB8">
              <w:t>cholesterol levels</w:t>
            </w:r>
            <w:r w:rsidR="00124A95">
              <w:t>)</w:t>
            </w:r>
            <w:r w:rsidR="0041322B">
              <w:t xml:space="preserve"> to decide whether the program improved </w:t>
            </w:r>
            <w:r w:rsidR="00437216">
              <w:t>the health of</w:t>
            </w:r>
            <w:r w:rsidR="0041322B">
              <w:t xml:space="preserve"> patients.</w:t>
            </w:r>
          </w:p>
          <w:p w14:paraId="0599309D" w14:textId="5E75C43F" w:rsidR="00087AE0" w:rsidRDefault="00E85223" w:rsidP="00361997">
            <w:r>
              <w:t>After considering the additional inf</w:t>
            </w:r>
            <w:r w:rsidR="004C2FB0">
              <w:t xml:space="preserve">ormation </w:t>
            </w:r>
            <w:r w:rsidR="00C11600">
              <w:t xml:space="preserve">presented </w:t>
            </w:r>
            <w:r w:rsidR="004C2FB0">
              <w:t>a</w:t>
            </w:r>
            <w:r w:rsidR="0094556B">
              <w:t xml:space="preserve">t the March 2023 MSAC meeting, </w:t>
            </w:r>
            <w:r w:rsidR="00087AE0" w:rsidRPr="00E34FA7">
              <w:t xml:space="preserve">MSAC considered </w:t>
            </w:r>
            <w:r w:rsidR="00087AE0">
              <w:t xml:space="preserve">that </w:t>
            </w:r>
            <w:r w:rsidR="00087AE0" w:rsidRPr="00E34FA7">
              <w:t>this model</w:t>
            </w:r>
            <w:r w:rsidR="00C11600">
              <w:t xml:space="preserve"> of</w:t>
            </w:r>
            <w:r w:rsidR="00087AE0" w:rsidRPr="00E34FA7">
              <w:t xml:space="preserve"> care was at least as safe as usual care. </w:t>
            </w:r>
            <w:r w:rsidR="00E8675C">
              <w:t xml:space="preserve">There were modest improvements in health markers such as diabetes control and cholesterol levels, and improvements in patient reported outcomes, such as helping patients to take their medications regularly and patient reported health status. Patients reported </w:t>
            </w:r>
            <w:r w:rsidR="00E8675C">
              <w:rPr>
                <w:lang w:val="en-US"/>
              </w:rPr>
              <w:t xml:space="preserve">being more involved in decisions about their care, and feeling empowered to better manage their health, </w:t>
            </w:r>
            <w:r w:rsidR="00E8675C">
              <w:t xml:space="preserve">which highlighted the cultural safety the patient experienced when participating in the IPAC study. </w:t>
            </w:r>
            <w:r w:rsidR="00087AE0">
              <w:t xml:space="preserve">MSAC considered that </w:t>
            </w:r>
            <w:r w:rsidR="00E00EED">
              <w:t xml:space="preserve">when </w:t>
            </w:r>
            <w:r w:rsidR="00AE6127">
              <w:t xml:space="preserve">all of the improvements were </w:t>
            </w:r>
            <w:proofErr w:type="gramStart"/>
            <w:r w:rsidR="00AE6127">
              <w:t>considered together,</w:t>
            </w:r>
            <w:proofErr w:type="gramEnd"/>
            <w:r w:rsidR="00AE6127">
              <w:t xml:space="preserve"> </w:t>
            </w:r>
            <w:r w:rsidR="002A4A97">
              <w:t>that this</w:t>
            </w:r>
            <w:r w:rsidR="00974FC5">
              <w:t xml:space="preserve"> </w:t>
            </w:r>
            <w:r w:rsidR="00087AE0" w:rsidRPr="00E34FA7">
              <w:t>reflected an acceptable clinical outcome, compared to usual care</w:t>
            </w:r>
            <w:r w:rsidR="00087AE0">
              <w:t xml:space="preserve">. </w:t>
            </w:r>
          </w:p>
          <w:p w14:paraId="60EAA677" w14:textId="7D448F57" w:rsidR="00087AE0" w:rsidRPr="00AF46D8" w:rsidRDefault="00087AE0" w:rsidP="00771DCE">
            <w:pPr>
              <w:pStyle w:val="Heading3"/>
              <w:outlineLvl w:val="2"/>
            </w:pPr>
            <w:r w:rsidRPr="00AF46D8">
              <w:t xml:space="preserve">MSAC’s advice to the </w:t>
            </w:r>
            <w:proofErr w:type="gramStart"/>
            <w:r w:rsidRPr="00AF46D8">
              <w:t>Commonwealth Minister</w:t>
            </w:r>
            <w:proofErr w:type="gramEnd"/>
            <w:r w:rsidRPr="00AF46D8">
              <w:t xml:space="preserve"> for Health</w:t>
            </w:r>
            <w:r w:rsidR="001C1161">
              <w:t xml:space="preserve"> and Aged Care</w:t>
            </w:r>
          </w:p>
          <w:p w14:paraId="2500FC3F" w14:textId="66F69BF2" w:rsidR="00087AE0" w:rsidRPr="00AF46D8" w:rsidRDefault="00087AE0" w:rsidP="00771DCE">
            <w:r w:rsidRPr="00E34FA7">
              <w:t xml:space="preserve">MSAC supported public funding for integrating non-dispensing pharmacists within the primary healthcare team of </w:t>
            </w:r>
            <w:r w:rsidRPr="00E13141">
              <w:t>Aboriginal Health Services</w:t>
            </w:r>
            <w:r w:rsidRPr="00E34FA7">
              <w:t xml:space="preserve"> to</w:t>
            </w:r>
            <w:r>
              <w:t xml:space="preserve"> help </w:t>
            </w:r>
            <w:r w:rsidRPr="00E34FA7">
              <w:t>improve chronic disease management.</w:t>
            </w:r>
            <w:r>
              <w:t xml:space="preserve"> MSAC considered that the model was safe</w:t>
            </w:r>
            <w:r w:rsidR="00974FC5">
              <w:t xml:space="preserve"> and </w:t>
            </w:r>
            <w:r>
              <w:t>effective</w:t>
            </w:r>
            <w:r w:rsidR="00974FC5">
              <w:t xml:space="preserve"> compared to usual care</w:t>
            </w:r>
            <w:r w:rsidR="001F6C32">
              <w:t>. MSAC considered that</w:t>
            </w:r>
            <w:r w:rsidR="00974FC5">
              <w:t xml:space="preserve"> </w:t>
            </w:r>
            <w:r w:rsidR="00817394">
              <w:t xml:space="preserve">the estimated costs for providing this integrated, collaborative, </w:t>
            </w:r>
            <w:r w:rsidR="009A5B24">
              <w:t xml:space="preserve">culturally appropriate </w:t>
            </w:r>
            <w:r w:rsidR="00817394">
              <w:t>patient-centred care to improve health outcomes for Aboriginal and Torres Strait Islander peoples</w:t>
            </w:r>
            <w:r w:rsidR="00817394" w:rsidDel="00817394">
              <w:t xml:space="preserve"> </w:t>
            </w:r>
            <w:r w:rsidR="00817394">
              <w:t xml:space="preserve">was </w:t>
            </w:r>
            <w:r>
              <w:t>good value for money.</w:t>
            </w:r>
          </w:p>
        </w:tc>
      </w:tr>
    </w:tbl>
    <w:p w14:paraId="6BDE8B2E" w14:textId="3D20A915" w:rsidR="0039393C" w:rsidRDefault="0039393C" w:rsidP="0039393C">
      <w:pPr>
        <w:pStyle w:val="Heading2"/>
        <w:numPr>
          <w:ilvl w:val="0"/>
          <w:numId w:val="0"/>
        </w:numPr>
      </w:pPr>
      <w:r>
        <w:t>3.</w:t>
      </w:r>
      <w:r>
        <w:tab/>
        <w:t>Summary of consideration and rationale for MSAC’s advice</w:t>
      </w:r>
    </w:p>
    <w:p w14:paraId="243C7914" w14:textId="5E2568AC" w:rsidR="00D01B09" w:rsidRDefault="00B51AE3" w:rsidP="00B51AE3">
      <w:r>
        <w:t xml:space="preserve">MSAC </w:t>
      </w:r>
      <w:r w:rsidR="00B40A33">
        <w:t>recalled that</w:t>
      </w:r>
      <w:r w:rsidR="009E3611">
        <w:t xml:space="preserve"> </w:t>
      </w:r>
      <w:r w:rsidR="00D56BD5">
        <w:t xml:space="preserve">at the </w:t>
      </w:r>
      <w:r w:rsidR="0099678C">
        <w:t xml:space="preserve">31 </w:t>
      </w:r>
      <w:r w:rsidR="009E3611">
        <w:t xml:space="preserve">March </w:t>
      </w:r>
      <w:r w:rsidR="0099678C">
        <w:t xml:space="preserve">– 1 April </w:t>
      </w:r>
      <w:r w:rsidR="009E3611">
        <w:t>2022</w:t>
      </w:r>
      <w:r w:rsidR="00B40A33">
        <w:t xml:space="preserve"> </w:t>
      </w:r>
      <w:r w:rsidR="00AA7685">
        <w:t>MSAC</w:t>
      </w:r>
      <w:r w:rsidR="00B40A33">
        <w:t xml:space="preserve"> </w:t>
      </w:r>
      <w:r w:rsidR="0099678C">
        <w:t>meeting, MSAC</w:t>
      </w:r>
      <w:r w:rsidR="00B40A33">
        <w:t xml:space="preserve"> had </w:t>
      </w:r>
      <w:r w:rsidR="009E3611">
        <w:t>deferred providing advice on</w:t>
      </w:r>
      <w:r w:rsidR="00E02883">
        <w:t xml:space="preserve"> this application</w:t>
      </w:r>
      <w:r w:rsidR="002C1487" w:rsidRPr="002C1487">
        <w:t xml:space="preserve"> </w:t>
      </w:r>
      <w:r w:rsidR="009072F5">
        <w:t>which seeks pub</w:t>
      </w:r>
      <w:r w:rsidR="00051642">
        <w:t>l</w:t>
      </w:r>
      <w:r w:rsidR="009072F5">
        <w:t>ic</w:t>
      </w:r>
      <w:r w:rsidR="00E02883">
        <w:t xml:space="preserve"> </w:t>
      </w:r>
      <w:r w:rsidR="009072F5" w:rsidRPr="00BC31B4">
        <w:rPr>
          <w:iCs/>
        </w:rPr>
        <w:t xml:space="preserve">funding </w:t>
      </w:r>
      <w:r w:rsidR="009072F5">
        <w:rPr>
          <w:iCs/>
        </w:rPr>
        <w:t>for</w:t>
      </w:r>
      <w:r w:rsidR="009072F5" w:rsidRPr="00BC31B4">
        <w:rPr>
          <w:iCs/>
        </w:rPr>
        <w:t xml:space="preserve"> Integrating Pharmacists within Aboriginal Community</w:t>
      </w:r>
      <w:r w:rsidR="009072F5">
        <w:rPr>
          <w:iCs/>
        </w:rPr>
        <w:t xml:space="preserve"> </w:t>
      </w:r>
      <w:r w:rsidR="009072F5" w:rsidRPr="00BC31B4">
        <w:rPr>
          <w:iCs/>
        </w:rPr>
        <w:t>Controlled Health Services (IPAC) for chronic disease management</w:t>
      </w:r>
      <w:r w:rsidR="00A3730E">
        <w:t xml:space="preserve">. </w:t>
      </w:r>
      <w:r>
        <w:t xml:space="preserve">MSAC </w:t>
      </w:r>
      <w:r w:rsidR="0067742B">
        <w:t>recalled</w:t>
      </w:r>
      <w:r>
        <w:t xml:space="preserve"> </w:t>
      </w:r>
      <w:r w:rsidR="0090333F">
        <w:t>it</w:t>
      </w:r>
      <w:r w:rsidRPr="00E50A2D">
        <w:t xml:space="preserve"> </w:t>
      </w:r>
      <w:r>
        <w:t>had</w:t>
      </w:r>
      <w:r w:rsidR="00957433">
        <w:t xml:space="preserve"> previously</w:t>
      </w:r>
      <w:r>
        <w:t xml:space="preserve"> </w:t>
      </w:r>
      <w:r w:rsidRPr="00E50A2D">
        <w:t>considered the</w:t>
      </w:r>
      <w:r w:rsidR="000B6F0D">
        <w:t xml:space="preserve"> I</w:t>
      </w:r>
      <w:r w:rsidR="0075216D">
        <w:t>PAC</w:t>
      </w:r>
      <w:r w:rsidRPr="00E50A2D">
        <w:t xml:space="preserve"> model of care an excellent example of integrated, collaborative, patient-centred approach to primary care </w:t>
      </w:r>
      <w:r w:rsidR="005E089B">
        <w:t xml:space="preserve">that </w:t>
      </w:r>
      <w:r w:rsidRPr="00E50A2D">
        <w:t xml:space="preserve">has potential to have a meaningful societal impact by improving equity of health outcomes for Aboriginal and Torres Strait Islander </w:t>
      </w:r>
      <w:r w:rsidRPr="00E50A2D">
        <w:lastRenderedPageBreak/>
        <w:t>peoples</w:t>
      </w:r>
      <w:r>
        <w:t>. H</w:t>
      </w:r>
      <w:r w:rsidRPr="00E50A2D">
        <w:t>owever</w:t>
      </w:r>
      <w:r>
        <w:t xml:space="preserve">, MSAC had </w:t>
      </w:r>
      <w:r w:rsidR="00DD3028">
        <w:t>considered</w:t>
      </w:r>
      <w:r w:rsidR="008E3051">
        <w:t xml:space="preserve"> that </w:t>
      </w:r>
      <w:r w:rsidRPr="00E50A2D">
        <w:t xml:space="preserve">additional information </w:t>
      </w:r>
      <w:r w:rsidR="008E3051">
        <w:t xml:space="preserve">was required </w:t>
      </w:r>
      <w:r w:rsidRPr="00E50A2D">
        <w:t xml:space="preserve">to interpret </w:t>
      </w:r>
      <w:r w:rsidR="002C74FB">
        <w:t xml:space="preserve">the </w:t>
      </w:r>
      <w:r w:rsidRPr="00E50A2D">
        <w:t>clinical significance of biomedical outcomes, assess qualitative feedback, revise economic analysis,</w:t>
      </w:r>
      <w:r>
        <w:t xml:space="preserve"> and examine </w:t>
      </w:r>
      <w:r w:rsidRPr="00E50A2D">
        <w:t>financial implications in</w:t>
      </w:r>
      <w:r>
        <w:t xml:space="preserve"> the</w:t>
      </w:r>
      <w:r w:rsidRPr="00E50A2D">
        <w:t xml:space="preserve"> context of other relevant funding programs</w:t>
      </w:r>
      <w:r w:rsidR="0094505E">
        <w:t xml:space="preserve"> (</w:t>
      </w:r>
      <w:hyperlink r:id="rId10" w:history="1">
        <w:r w:rsidR="0094505E" w:rsidRPr="00F657EA">
          <w:rPr>
            <w:rStyle w:val="Hyperlink"/>
          </w:rPr>
          <w:t>MSAC 1678 Public Summary Documen</w:t>
        </w:r>
        <w:r w:rsidR="0094505E">
          <w:rPr>
            <w:rStyle w:val="Hyperlink"/>
          </w:rPr>
          <w:t>t – March 2022</w:t>
        </w:r>
        <w:r w:rsidR="0094505E" w:rsidRPr="00BC4C68">
          <w:rPr>
            <w:rStyle w:val="Hyperlink"/>
            <w:color w:val="auto"/>
            <w:u w:val="none"/>
          </w:rPr>
          <w:t>)</w:t>
        </w:r>
      </w:hyperlink>
      <w:r>
        <w:t>.</w:t>
      </w:r>
      <w:r w:rsidR="00085EAD">
        <w:t xml:space="preserve"> </w:t>
      </w:r>
    </w:p>
    <w:p w14:paraId="59B7DED7" w14:textId="00AA6EB1" w:rsidR="00B51AE3" w:rsidRPr="00E50A2D" w:rsidRDefault="00085EAD" w:rsidP="00B51AE3">
      <w:r>
        <w:t xml:space="preserve">MSAC noted that the requested additional information was now available for MSAC’s consideration and that a Stakeholder meeting </w:t>
      </w:r>
      <w:r w:rsidR="006C4416">
        <w:t xml:space="preserve">had been held </w:t>
      </w:r>
      <w:r w:rsidR="00834EEF">
        <w:t xml:space="preserve">to </w:t>
      </w:r>
      <w:r w:rsidR="006C4416" w:rsidRPr="006C4416">
        <w:t>seek stakeholder input on issues</w:t>
      </w:r>
      <w:r w:rsidR="00834EEF">
        <w:t xml:space="preserve"> that were</w:t>
      </w:r>
      <w:r w:rsidR="006C4416" w:rsidRPr="006C4416">
        <w:t xml:space="preserve"> raised by MSAC </w:t>
      </w:r>
      <w:r w:rsidR="00834EEF">
        <w:t>at the</w:t>
      </w:r>
      <w:r w:rsidR="006C4416" w:rsidRPr="006C4416">
        <w:t xml:space="preserve"> March-April 202</w:t>
      </w:r>
      <w:r w:rsidR="00834EEF">
        <w:t>2 meeting (see</w:t>
      </w:r>
      <w:r w:rsidR="008E5E91">
        <w:t xml:space="preserve"> </w:t>
      </w:r>
      <w:hyperlink r:id="rId11" w:history="1">
        <w:r w:rsidR="008E5E91" w:rsidRPr="00555F7D">
          <w:rPr>
            <w:rStyle w:val="Hyperlink"/>
          </w:rPr>
          <w:t>MSAC 1678 Final Stakeholder Meeting Minutes</w:t>
        </w:r>
      </w:hyperlink>
      <w:r w:rsidR="008E5E91">
        <w:t>).</w:t>
      </w:r>
      <w:r w:rsidR="00D01B09">
        <w:t xml:space="preserve"> </w:t>
      </w:r>
    </w:p>
    <w:p w14:paraId="7DECB9BD" w14:textId="28234794" w:rsidR="00B51AE3" w:rsidRDefault="00BE288D" w:rsidP="00B51AE3">
      <w:r>
        <w:t>Regarding safety, u</w:t>
      </w:r>
      <w:r w:rsidR="00B51AE3" w:rsidRPr="005E6CCC">
        <w:t xml:space="preserve">nchanged from the previous consideration, </w:t>
      </w:r>
      <w:r w:rsidR="00B51AE3">
        <w:t xml:space="preserve">MSAC </w:t>
      </w:r>
      <w:r w:rsidR="00740C4D">
        <w:t>noted</w:t>
      </w:r>
      <w:r w:rsidR="00C87398">
        <w:t xml:space="preserve"> </w:t>
      </w:r>
      <w:r w:rsidR="00B51AE3">
        <w:t xml:space="preserve">that </w:t>
      </w:r>
      <w:r w:rsidR="00B51AE3" w:rsidRPr="005E6CCC">
        <w:t>the IPAC study did not report any safety outcomes</w:t>
      </w:r>
      <w:r w:rsidR="006716EB">
        <w:t>. H</w:t>
      </w:r>
      <w:r w:rsidR="00036FDB">
        <w:t xml:space="preserve">owever, </w:t>
      </w:r>
      <w:r w:rsidR="00740C4D">
        <w:t xml:space="preserve">MSAC considered </w:t>
      </w:r>
      <w:r w:rsidR="00B51AE3">
        <w:t>that</w:t>
      </w:r>
      <w:r w:rsidR="00B51AE3" w:rsidRPr="005E6CCC">
        <w:t xml:space="preserve"> </w:t>
      </w:r>
      <w:r w:rsidR="00B51AE3">
        <w:t>i</w:t>
      </w:r>
      <w:r w:rsidR="00B51AE3" w:rsidRPr="005E6CCC">
        <w:t xml:space="preserve">t is likely that </w:t>
      </w:r>
      <w:r w:rsidR="00B51AE3" w:rsidRPr="00E50A2D">
        <w:t xml:space="preserve">this model of care was at least as safe as usual care. </w:t>
      </w:r>
    </w:p>
    <w:p w14:paraId="590EE04E" w14:textId="19017CE0" w:rsidR="005432CB" w:rsidRDefault="00916DF1" w:rsidP="00B51AE3">
      <w:r>
        <w:t xml:space="preserve">Regarding comparative effectiveness, MSAC recalled that </w:t>
      </w:r>
      <w:r w:rsidR="009A5831">
        <w:t xml:space="preserve">understanding the clinical significance of the modest improvements in biomedical outcomes and </w:t>
      </w:r>
      <w:r w:rsidR="006F7929">
        <w:t xml:space="preserve">evaluation of the qualitative feedback from the IPAC study were outstanding considerations for MSAC. </w:t>
      </w:r>
      <w:proofErr w:type="gramStart"/>
      <w:r w:rsidR="00BB6641">
        <w:t>In regards to</w:t>
      </w:r>
      <w:proofErr w:type="gramEnd"/>
      <w:r w:rsidR="00BB6641">
        <w:t xml:space="preserve"> interpreting the clinical significance of the changes in biomedical outcomes reported in the IPAC study, </w:t>
      </w:r>
      <w:r w:rsidR="008F371A">
        <w:t xml:space="preserve">MSAC recalled </w:t>
      </w:r>
      <w:r w:rsidR="00B51AE3" w:rsidRPr="0038140C">
        <w:t xml:space="preserve">that the data provided in the IPAC study focused on changes in biomedical markers for </w:t>
      </w:r>
      <w:r w:rsidR="00B51AE3">
        <w:t>t</w:t>
      </w:r>
      <w:r w:rsidR="00B51AE3" w:rsidRPr="0038140C">
        <w:t xml:space="preserve">ype 2 diabetes mellitus (T2DM) (measuring HbA1c), renal function (measuring </w:t>
      </w:r>
      <w:r w:rsidR="00B51AE3" w:rsidRPr="00123698">
        <w:t>estimated glomerular filtration rate</w:t>
      </w:r>
      <w:r w:rsidR="00B51AE3" w:rsidRPr="0038140C">
        <w:t>) and lipids (measuring LDL</w:t>
      </w:r>
      <w:r w:rsidR="00B51AE3">
        <w:t xml:space="preserve"> cholesterol</w:t>
      </w:r>
      <w:r w:rsidR="00B51AE3" w:rsidRPr="0038140C">
        <w:t>).</w:t>
      </w:r>
      <w:r w:rsidR="00B51AE3">
        <w:t xml:space="preserve"> </w:t>
      </w:r>
      <w:r w:rsidR="00D55C74">
        <w:t xml:space="preserve">MSAC noted the additional information </w:t>
      </w:r>
      <w:r w:rsidR="009E72A3">
        <w:t>on biomedical outcomes had been considered by the MSAC Executive</w:t>
      </w:r>
      <w:r w:rsidR="0024095B">
        <w:t xml:space="preserve">. MSAC considered </w:t>
      </w:r>
      <w:r w:rsidR="00D0360C">
        <w:t xml:space="preserve">the improvements in </w:t>
      </w:r>
      <w:r w:rsidR="008A3A13">
        <w:t xml:space="preserve">individual </w:t>
      </w:r>
      <w:r w:rsidR="00D0360C">
        <w:t>biomedical outcomes</w:t>
      </w:r>
      <w:r w:rsidR="00EE2406">
        <w:t xml:space="preserve"> did not</w:t>
      </w:r>
      <w:r w:rsidR="00D0360C">
        <w:t xml:space="preserve"> </w:t>
      </w:r>
      <w:r w:rsidR="008A3A13">
        <w:t xml:space="preserve">represent </w:t>
      </w:r>
      <w:r w:rsidR="00B51AE3">
        <w:t xml:space="preserve">a clinically meaningful difference compared with usual care. </w:t>
      </w:r>
    </w:p>
    <w:p w14:paraId="7D9E8D7B" w14:textId="5C270AA1" w:rsidR="00B51AE3" w:rsidRDefault="00DB45F9" w:rsidP="00B51AE3">
      <w:r>
        <w:t xml:space="preserve">MSAC </w:t>
      </w:r>
      <w:r w:rsidR="002D2F93">
        <w:t xml:space="preserve">noted the appraisal of the qualitative evidence from the IPAC study </w:t>
      </w:r>
      <w:r w:rsidR="0004664B">
        <w:t>reported</w:t>
      </w:r>
      <w:r w:rsidR="002D2F93">
        <w:t xml:space="preserve"> that </w:t>
      </w:r>
      <w:r w:rsidR="00A03DE8">
        <w:t>th</w:t>
      </w:r>
      <w:r w:rsidR="0079237C">
        <w:t xml:space="preserve">e conduct of the qualitative research </w:t>
      </w:r>
      <w:r w:rsidR="00A45FE6">
        <w:t>was</w:t>
      </w:r>
      <w:r w:rsidR="008108A7">
        <w:t xml:space="preserve"> generally consistent with best practices for </w:t>
      </w:r>
      <w:r w:rsidR="00EF7CD3">
        <w:t>qualitative</w:t>
      </w:r>
      <w:r w:rsidR="008108A7">
        <w:t xml:space="preserve"> research (including Indigenous health qualitative research) </w:t>
      </w:r>
      <w:r w:rsidR="00EF7CD3">
        <w:t xml:space="preserve">supporting the credibility of the qualitative findings. Overall, </w:t>
      </w:r>
      <w:r w:rsidR="00AC171F">
        <w:t>MSAC</w:t>
      </w:r>
      <w:r w:rsidR="00B51AE3">
        <w:t xml:space="preserve"> considered</w:t>
      </w:r>
      <w:r w:rsidR="00965D3F">
        <w:t xml:space="preserve"> that</w:t>
      </w:r>
      <w:r w:rsidR="00C05D48">
        <w:t>,</w:t>
      </w:r>
      <w:r w:rsidR="001E690E">
        <w:t xml:space="preserve"> </w:t>
      </w:r>
      <w:r w:rsidR="00801C02">
        <w:t>when the</w:t>
      </w:r>
      <w:r w:rsidR="00B51AE3" w:rsidRPr="00E50A2D">
        <w:t xml:space="preserve"> improvements in biomedical outcomes</w:t>
      </w:r>
      <w:r w:rsidR="00137280">
        <w:t xml:space="preserve"> and </w:t>
      </w:r>
      <w:r w:rsidR="001C015D">
        <w:t>positive qualitative outcomes</w:t>
      </w:r>
      <w:r w:rsidR="00801C02">
        <w:t xml:space="preserve"> were considered</w:t>
      </w:r>
      <w:r w:rsidR="00AA0BE7">
        <w:t xml:space="preserve"> tog</w:t>
      </w:r>
      <w:r w:rsidR="00F867F5">
        <w:t>ether</w:t>
      </w:r>
      <w:r w:rsidR="00801C02">
        <w:t xml:space="preserve"> in conjunction with improvements in</w:t>
      </w:r>
      <w:r w:rsidR="00B51AE3" w:rsidRPr="00E50A2D">
        <w:t xml:space="preserve"> prescribing quality, medication adherence</w:t>
      </w:r>
      <w:r w:rsidR="001C015D">
        <w:t xml:space="preserve"> and </w:t>
      </w:r>
      <w:r w:rsidR="00B51AE3" w:rsidRPr="00E50A2D">
        <w:t xml:space="preserve">self-rated health status, </w:t>
      </w:r>
      <w:r w:rsidR="00C05D48">
        <w:t xml:space="preserve">that the totality in improvements </w:t>
      </w:r>
      <w:r w:rsidR="00B51AE3" w:rsidRPr="00E50A2D">
        <w:t>reflected an acceptable clinical outcome, compared to usual care, in an under</w:t>
      </w:r>
      <w:r w:rsidR="002C0188">
        <w:t>-</w:t>
      </w:r>
      <w:r w:rsidR="00B51AE3" w:rsidRPr="00E50A2D">
        <w:t>served population that is known to have typically poorer health outcomes compared to the broader Australian population</w:t>
      </w:r>
      <w:r w:rsidR="00B51AE3">
        <w:t>.</w:t>
      </w:r>
    </w:p>
    <w:p w14:paraId="6F1A9A9B" w14:textId="59001AB9" w:rsidR="00ED0441" w:rsidRDefault="00363E04" w:rsidP="00576868">
      <w:r>
        <w:t xml:space="preserve">MSAC noted that, after seeking </w:t>
      </w:r>
      <w:r w:rsidR="002624AE">
        <w:t>additional</w:t>
      </w:r>
      <w:r>
        <w:t xml:space="preserve"> advice </w:t>
      </w:r>
      <w:r w:rsidR="002624AE">
        <w:t xml:space="preserve">from </w:t>
      </w:r>
      <w:r>
        <w:t xml:space="preserve">the </w:t>
      </w:r>
      <w:r w:rsidR="00B51AE3">
        <w:t>MSAC Executive</w:t>
      </w:r>
      <w:r w:rsidR="00097CE6">
        <w:t xml:space="preserve">, </w:t>
      </w:r>
      <w:r w:rsidR="008A262B">
        <w:t>the revised</w:t>
      </w:r>
      <w:r w:rsidR="00566EB1">
        <w:t xml:space="preserve"> economic evaluation was </w:t>
      </w:r>
      <w:r w:rsidR="00793866">
        <w:t>presented as</w:t>
      </w:r>
      <w:r w:rsidR="00B51AE3">
        <w:t xml:space="preserve"> a cost-consequence analysis to capture improvements across numerous outcomes</w:t>
      </w:r>
      <w:r w:rsidR="008B4B72">
        <w:t xml:space="preserve"> (biomedical, presc</w:t>
      </w:r>
      <w:r w:rsidR="00607791">
        <w:t xml:space="preserve">ribing quality, </w:t>
      </w:r>
      <w:proofErr w:type="gramStart"/>
      <w:r w:rsidR="00607791">
        <w:t>adherence</w:t>
      </w:r>
      <w:proofErr w:type="gramEnd"/>
      <w:r w:rsidR="00607791">
        <w:t xml:space="preserve"> and self-assessed health status)</w:t>
      </w:r>
      <w:r w:rsidR="00B51AE3">
        <w:t xml:space="preserve">, </w:t>
      </w:r>
      <w:r w:rsidR="00EC5EAA">
        <w:t>as this</w:t>
      </w:r>
      <w:r w:rsidR="00B51AE3">
        <w:t xml:space="preserve"> may better reflect the costs and outcomes of the IPAC </w:t>
      </w:r>
      <w:r w:rsidR="008A47EF">
        <w:t>p</w:t>
      </w:r>
      <w:r w:rsidR="00B51AE3">
        <w:t xml:space="preserve">rogram. MSAC </w:t>
      </w:r>
      <w:r w:rsidR="00EC356A">
        <w:t xml:space="preserve">also </w:t>
      </w:r>
      <w:r w:rsidR="00B51AE3">
        <w:t xml:space="preserve">noted that cost-consequence analyses </w:t>
      </w:r>
      <w:r w:rsidR="00D17D9A">
        <w:t>were presented</w:t>
      </w:r>
      <w:r w:rsidR="00B15FBC">
        <w:t xml:space="preserve"> for integrating pharmacists within Aboriginal Health Services </w:t>
      </w:r>
      <w:r w:rsidR="00884BB1">
        <w:t xml:space="preserve">(AHS) </w:t>
      </w:r>
      <w:r w:rsidR="00B15FBC">
        <w:t>per the</w:t>
      </w:r>
      <w:r w:rsidR="002C2495">
        <w:t xml:space="preserve"> </w:t>
      </w:r>
      <w:r w:rsidR="00510AAC">
        <w:t xml:space="preserve">original </w:t>
      </w:r>
      <w:r w:rsidR="00BB2865">
        <w:t xml:space="preserve">model proposed in the </w:t>
      </w:r>
      <w:r w:rsidR="00501C70">
        <w:t>Applicant Developed Assessment Report (</w:t>
      </w:r>
      <w:r w:rsidR="00BB2865">
        <w:t>ADAR</w:t>
      </w:r>
      <w:r w:rsidR="00501C70">
        <w:t>)</w:t>
      </w:r>
      <w:r w:rsidR="00BB2865">
        <w:t xml:space="preserve"> </w:t>
      </w:r>
      <w:proofErr w:type="gramStart"/>
      <w:r w:rsidR="00BB2865">
        <w:t>and</w:t>
      </w:r>
      <w:r w:rsidR="000D2AB2">
        <w:t xml:space="preserve"> also</w:t>
      </w:r>
      <w:proofErr w:type="gramEnd"/>
      <w:r w:rsidR="00BB2865">
        <w:t xml:space="preserve"> for three</w:t>
      </w:r>
      <w:r w:rsidR="00E34B3E">
        <w:t xml:space="preserve"> </w:t>
      </w:r>
      <w:r w:rsidR="00B15FBC">
        <w:t xml:space="preserve">(3) </w:t>
      </w:r>
      <w:r w:rsidR="00DB205C">
        <w:t>model options</w:t>
      </w:r>
      <w:r w:rsidR="00BB2865">
        <w:t xml:space="preserve"> proposed by the Depar</w:t>
      </w:r>
      <w:r w:rsidR="00B15FBC">
        <w:t>tment</w:t>
      </w:r>
      <w:r w:rsidR="00C31DD3">
        <w:t xml:space="preserve">. MSAC </w:t>
      </w:r>
      <w:r w:rsidR="00573E8A">
        <w:t>noted</w:t>
      </w:r>
      <w:r w:rsidR="00C31DD3">
        <w:t xml:space="preserve"> the differences for the models as </w:t>
      </w:r>
      <w:r w:rsidR="00B02AEC">
        <w:t xml:space="preserve">summarised in </w:t>
      </w:r>
      <w:r w:rsidR="00992AA9" w:rsidRPr="007F1506">
        <w:fldChar w:fldCharType="begin"/>
      </w:r>
      <w:r w:rsidR="00992AA9" w:rsidRPr="00421D9B">
        <w:instrText xml:space="preserve"> REF _Ref132378819 \h </w:instrText>
      </w:r>
      <w:r w:rsidR="00421D9B">
        <w:instrText xml:space="preserve"> \* MERGEFORMAT </w:instrText>
      </w:r>
      <w:r w:rsidR="00992AA9" w:rsidRPr="007F1506">
        <w:fldChar w:fldCharType="separate"/>
      </w:r>
      <w:r w:rsidR="009713A2" w:rsidRPr="00D65CF2">
        <w:t xml:space="preserve">Table </w:t>
      </w:r>
      <w:r w:rsidR="009713A2" w:rsidRPr="00D65CF2">
        <w:rPr>
          <w:noProof/>
        </w:rPr>
        <w:t>6</w:t>
      </w:r>
      <w:r w:rsidR="00992AA9" w:rsidRPr="007F1506">
        <w:fldChar w:fldCharType="end"/>
      </w:r>
      <w:r w:rsidR="004F6639">
        <w:t>.</w:t>
      </w:r>
      <w:r w:rsidR="00C114F3">
        <w:t xml:space="preserve"> </w:t>
      </w:r>
      <w:r w:rsidR="00501C70">
        <w:t xml:space="preserve"> </w:t>
      </w:r>
    </w:p>
    <w:p w14:paraId="2AD2AE98" w14:textId="634CCE66" w:rsidR="00ED0441" w:rsidRDefault="00501C70" w:rsidP="00204501">
      <w:r>
        <w:t>MSAC noted that t</w:t>
      </w:r>
      <w:r w:rsidR="00B51AE3">
        <w:t xml:space="preserve">he cost per patient was </w:t>
      </w:r>
      <w:r w:rsidR="00AB0004">
        <w:t xml:space="preserve">$1,525 (ADAR </w:t>
      </w:r>
      <w:r w:rsidR="00F41F62">
        <w:t>model)</w:t>
      </w:r>
      <w:r w:rsidR="007F42E8">
        <w:t>,</w:t>
      </w:r>
      <w:r w:rsidR="00F41F62">
        <w:t xml:space="preserve"> </w:t>
      </w:r>
      <w:r w:rsidR="00B51AE3">
        <w:t>$1,703 (</w:t>
      </w:r>
      <w:r w:rsidR="004A5773">
        <w:t xml:space="preserve">Department </w:t>
      </w:r>
      <w:r w:rsidR="00B51AE3">
        <w:t>model 1), $1,523 (</w:t>
      </w:r>
      <w:r w:rsidR="004A5773">
        <w:t xml:space="preserve">Department </w:t>
      </w:r>
      <w:r w:rsidR="00B51AE3">
        <w:t>model 2),</w:t>
      </w:r>
      <w:r w:rsidR="00F41F62">
        <w:t xml:space="preserve"> and</w:t>
      </w:r>
      <w:r w:rsidR="00B51AE3">
        <w:t xml:space="preserve"> $1,358 (</w:t>
      </w:r>
      <w:r w:rsidR="004A5773">
        <w:t xml:space="preserve">Department </w:t>
      </w:r>
      <w:r w:rsidR="00B51AE3">
        <w:t>model 3)</w:t>
      </w:r>
      <w:r w:rsidR="00F41F62">
        <w:t>.</w:t>
      </w:r>
      <w:r w:rsidR="00B51AE3">
        <w:t xml:space="preserve"> </w:t>
      </w:r>
      <w:r w:rsidR="00B51AE3" w:rsidRPr="00123698">
        <w:t xml:space="preserve">MSAC noted that the current cost per patient </w:t>
      </w:r>
      <w:r w:rsidR="00A41448">
        <w:t xml:space="preserve">for the four models </w:t>
      </w:r>
      <w:r w:rsidR="00B51AE3" w:rsidRPr="00123698">
        <w:t>was estimated based on the applicant’s estimate that only 2.6% of patients would be eligible</w:t>
      </w:r>
      <w:r w:rsidR="00B25CD0">
        <w:t xml:space="preserve"> for the service</w:t>
      </w:r>
      <w:r w:rsidR="00B51AE3" w:rsidRPr="00123698">
        <w:t xml:space="preserve">. </w:t>
      </w:r>
      <w:r w:rsidR="007470D2">
        <w:t xml:space="preserve">MSAC noted that </w:t>
      </w:r>
      <w:r w:rsidR="003957E1">
        <w:t xml:space="preserve">the </w:t>
      </w:r>
      <w:r w:rsidR="003D54F9">
        <w:t xml:space="preserve">cost per patient may be lower in practice if the outcomes in the IPAC study were able to be </w:t>
      </w:r>
      <w:r w:rsidR="00C959C3">
        <w:t>achieved in a larger group of patients</w:t>
      </w:r>
      <w:r w:rsidR="003957E1">
        <w:t>,</w:t>
      </w:r>
      <w:r w:rsidR="00C959C3">
        <w:t xml:space="preserve"> with sensitivity analysis showing that i</w:t>
      </w:r>
      <w:r w:rsidR="00B51AE3" w:rsidRPr="00123698">
        <w:t>ncreasing the eligible population to 5% and 10% result</w:t>
      </w:r>
      <w:r w:rsidR="005F39A6">
        <w:t>ed</w:t>
      </w:r>
      <w:r w:rsidR="00B51AE3" w:rsidRPr="00123698">
        <w:t xml:space="preserve"> in a substantial decrease in the per-patient cost </w:t>
      </w:r>
      <w:r w:rsidR="00BD0150">
        <w:t xml:space="preserve">(see </w:t>
      </w:r>
      <w:r w:rsidR="00DA0546" w:rsidRPr="007F1506">
        <w:fldChar w:fldCharType="begin"/>
      </w:r>
      <w:r w:rsidR="00DA0546" w:rsidRPr="00ED0441">
        <w:instrText xml:space="preserve"> REF _Ref128569309 \h </w:instrText>
      </w:r>
      <w:r w:rsidR="00ED0441">
        <w:instrText xml:space="preserve"> \* MERGEFORMAT </w:instrText>
      </w:r>
      <w:r w:rsidR="00DA0546" w:rsidRPr="007F1506">
        <w:fldChar w:fldCharType="separate"/>
      </w:r>
      <w:r w:rsidR="009713A2" w:rsidRPr="009713A2">
        <w:t xml:space="preserve">Table </w:t>
      </w:r>
      <w:r w:rsidR="009713A2" w:rsidRPr="009713A2">
        <w:rPr>
          <w:noProof/>
        </w:rPr>
        <w:t>12</w:t>
      </w:r>
      <w:r w:rsidR="00DA0546" w:rsidRPr="007F1506">
        <w:fldChar w:fldCharType="end"/>
      </w:r>
      <w:r w:rsidR="00B51AE3" w:rsidRPr="00123698">
        <w:t>).</w:t>
      </w:r>
      <w:r w:rsidR="004A5773">
        <w:t xml:space="preserve"> </w:t>
      </w:r>
      <w:r w:rsidR="009A595F">
        <w:t xml:space="preserve">MSAC noted the </w:t>
      </w:r>
      <w:r w:rsidR="00100150">
        <w:t xml:space="preserve">revised </w:t>
      </w:r>
      <w:r w:rsidR="009A595F">
        <w:t xml:space="preserve">financial </w:t>
      </w:r>
      <w:r w:rsidR="00100150">
        <w:t>analys</w:t>
      </w:r>
      <w:r w:rsidR="00C05856">
        <w:t>is estimated that</w:t>
      </w:r>
      <w:r w:rsidR="00073E18">
        <w:t xml:space="preserve">, across </w:t>
      </w:r>
      <w:r w:rsidR="008F0232">
        <w:t>the three Department models</w:t>
      </w:r>
      <w:r w:rsidR="00C05856">
        <w:t xml:space="preserve">, the </w:t>
      </w:r>
      <w:r w:rsidR="00073E18">
        <w:t>t</w:t>
      </w:r>
      <w:r w:rsidR="009A595F">
        <w:t xml:space="preserve">otal cost </w:t>
      </w:r>
      <w:r w:rsidR="00037FFB">
        <w:t>ov</w:t>
      </w:r>
      <w:r w:rsidR="009A595F">
        <w:t>er six year</w:t>
      </w:r>
      <w:r w:rsidR="004A5773">
        <w:t>s</w:t>
      </w:r>
      <w:r w:rsidR="00C05856">
        <w:t xml:space="preserve"> </w:t>
      </w:r>
      <w:r w:rsidR="00073E18">
        <w:t>was estimated to r</w:t>
      </w:r>
      <w:r w:rsidR="00037FFB">
        <w:t xml:space="preserve">ange from </w:t>
      </w:r>
      <w:r w:rsidR="009F046B">
        <w:t xml:space="preserve">$61 million to </w:t>
      </w:r>
      <w:r w:rsidR="009A595F">
        <w:t>$90 million (se</w:t>
      </w:r>
      <w:r w:rsidR="009A595F" w:rsidRPr="00735B37">
        <w:t xml:space="preserve">e </w:t>
      </w:r>
      <w:r w:rsidR="009A595F" w:rsidRPr="00735B37">
        <w:fldChar w:fldCharType="begin"/>
      </w:r>
      <w:r w:rsidR="009A595F" w:rsidRPr="002D6FE8">
        <w:instrText xml:space="preserve"> REF _Ref128579124 \h </w:instrText>
      </w:r>
      <w:r w:rsidR="009A595F">
        <w:instrText xml:space="preserve"> \* MERGEFORMAT </w:instrText>
      </w:r>
      <w:r w:rsidR="009A595F" w:rsidRPr="00735B37">
        <w:fldChar w:fldCharType="separate"/>
      </w:r>
      <w:r w:rsidR="009713A2" w:rsidRPr="007B0DCF">
        <w:t xml:space="preserve">Table </w:t>
      </w:r>
      <w:r w:rsidR="009713A2" w:rsidRPr="007B0DCF">
        <w:rPr>
          <w:noProof/>
        </w:rPr>
        <w:t>15</w:t>
      </w:r>
      <w:r w:rsidR="009A595F" w:rsidRPr="00735B37">
        <w:fldChar w:fldCharType="end"/>
      </w:r>
      <w:r w:rsidR="009A595F" w:rsidRPr="00735B37">
        <w:t>)</w:t>
      </w:r>
      <w:r w:rsidR="009A595F">
        <w:t>.</w:t>
      </w:r>
      <w:r w:rsidR="009F046B">
        <w:t xml:space="preserve"> MSAC also noted </w:t>
      </w:r>
      <w:r w:rsidR="006E50A8">
        <w:t>the estimated</w:t>
      </w:r>
      <w:r w:rsidR="00786BE0">
        <w:t xml:space="preserve"> total</w:t>
      </w:r>
      <w:r w:rsidR="006E50A8">
        <w:t xml:space="preserve"> </w:t>
      </w:r>
      <w:r w:rsidR="00AD2CD7">
        <w:t xml:space="preserve">financial impact was </w:t>
      </w:r>
      <w:proofErr w:type="gramStart"/>
      <w:r w:rsidR="00AD2CD7">
        <w:t>similar to</w:t>
      </w:r>
      <w:proofErr w:type="gramEnd"/>
      <w:r w:rsidR="00AD2CD7">
        <w:t xml:space="preserve"> the </w:t>
      </w:r>
      <w:r w:rsidR="006D0EAB">
        <w:t xml:space="preserve">total </w:t>
      </w:r>
      <w:r w:rsidR="00C4286F">
        <w:t xml:space="preserve">costs </w:t>
      </w:r>
      <w:r w:rsidR="005151BF">
        <w:t xml:space="preserve">for the </w:t>
      </w:r>
      <w:r w:rsidR="006A3F68">
        <w:t xml:space="preserve">Home Medicines Review </w:t>
      </w:r>
      <w:r w:rsidR="006A3F68">
        <w:lastRenderedPageBreak/>
        <w:t>(</w:t>
      </w:r>
      <w:r w:rsidR="005151BF">
        <w:t>HMR</w:t>
      </w:r>
      <w:r w:rsidR="006A3F68">
        <w:t>)</w:t>
      </w:r>
      <w:r w:rsidR="005151BF">
        <w:t xml:space="preserve"> program</w:t>
      </w:r>
      <w:r w:rsidR="00B500EB">
        <w:t>,</w:t>
      </w:r>
      <w:r w:rsidR="005151BF">
        <w:t xml:space="preserve"> substantially lower than </w:t>
      </w:r>
      <w:r w:rsidR="00665DB4">
        <w:t xml:space="preserve">the </w:t>
      </w:r>
      <w:proofErr w:type="spellStart"/>
      <w:r w:rsidR="00665DB4" w:rsidRPr="00665DB4">
        <w:t>MedsCheck</w:t>
      </w:r>
      <w:proofErr w:type="spellEnd"/>
      <w:r w:rsidR="00665DB4" w:rsidRPr="00665DB4">
        <w:t xml:space="preserve">/Diabetes </w:t>
      </w:r>
      <w:proofErr w:type="spellStart"/>
      <w:r w:rsidR="00665DB4" w:rsidRPr="00665DB4">
        <w:t>MedsCheck</w:t>
      </w:r>
      <w:proofErr w:type="spellEnd"/>
      <w:r w:rsidR="00665DB4" w:rsidRPr="00665DB4">
        <w:t xml:space="preserve"> </w:t>
      </w:r>
      <w:r w:rsidR="00665DB4">
        <w:t>p</w:t>
      </w:r>
      <w:r w:rsidR="00665DB4" w:rsidRPr="00665DB4">
        <w:t xml:space="preserve">rograms </w:t>
      </w:r>
      <w:r w:rsidR="003A0058">
        <w:t>costs and also</w:t>
      </w:r>
      <w:r w:rsidR="00665DB4" w:rsidRPr="00665DB4">
        <w:t xml:space="preserve"> substantially lower than the </w:t>
      </w:r>
      <w:r w:rsidR="00E76074">
        <w:t>total program</w:t>
      </w:r>
      <w:r w:rsidR="003A0058">
        <w:t xml:space="preserve"> costs </w:t>
      </w:r>
      <w:r w:rsidR="00E76074">
        <w:t xml:space="preserve">announced for </w:t>
      </w:r>
      <w:r w:rsidR="003A0058">
        <w:t xml:space="preserve">the </w:t>
      </w:r>
      <w:r w:rsidR="00665DB4" w:rsidRPr="00665DB4">
        <w:t xml:space="preserve">Aged Care on-site pharmacists </w:t>
      </w:r>
      <w:r w:rsidR="00C71DCC">
        <w:t xml:space="preserve">measure </w:t>
      </w:r>
      <w:r w:rsidR="00E76074">
        <w:t>(</w:t>
      </w:r>
      <w:r w:rsidR="006D0EAB">
        <w:t>although the IPAC program would have a higher per patient cost)</w:t>
      </w:r>
      <w:r w:rsidR="003A0058">
        <w:t>.</w:t>
      </w:r>
      <w:r w:rsidR="00CF3174" w:rsidRPr="00CF3174" w:rsidDel="000F2755">
        <w:t xml:space="preserve"> </w:t>
      </w:r>
      <w:r w:rsidR="00953952">
        <w:t xml:space="preserve">Overall, </w:t>
      </w:r>
      <w:r w:rsidR="00CF3174" w:rsidRPr="00E50A2D" w:rsidDel="000F2755">
        <w:t xml:space="preserve">MSAC considered the updated economic and financial analysis indicated the per patient cost and annual cost were comparable to existing medication review programs and acceptable in the context of providing overall better quality of care that may help </w:t>
      </w:r>
      <w:r w:rsidR="00D64CB8">
        <w:t>lessen</w:t>
      </w:r>
      <w:r w:rsidR="00D64CB8" w:rsidRPr="00E50A2D" w:rsidDel="000F2755">
        <w:t xml:space="preserve"> </w:t>
      </w:r>
      <w:r w:rsidR="00CF3174" w:rsidRPr="00E50A2D" w:rsidDel="000F2755">
        <w:t>health inequities for Aboriginal and Torres Strait Islander peoples.</w:t>
      </w:r>
    </w:p>
    <w:p w14:paraId="1304AB49" w14:textId="571CE4C4" w:rsidR="00142B38" w:rsidRDefault="00C35649" w:rsidP="00B51AE3">
      <w:r>
        <w:t xml:space="preserve">MSAC discussed the </w:t>
      </w:r>
      <w:r w:rsidR="00AF00B1">
        <w:t xml:space="preserve">key differences between the </w:t>
      </w:r>
      <w:r w:rsidR="00433F9E">
        <w:t xml:space="preserve">original </w:t>
      </w:r>
      <w:r w:rsidR="00AF00B1">
        <w:t xml:space="preserve">ADAR </w:t>
      </w:r>
      <w:r w:rsidR="00433F9E">
        <w:t xml:space="preserve">model </w:t>
      </w:r>
      <w:r w:rsidR="00AF00B1">
        <w:t>and three Department models</w:t>
      </w:r>
      <w:r w:rsidR="00361820">
        <w:t>.</w:t>
      </w:r>
      <w:r w:rsidR="00387F43">
        <w:t xml:space="preserve"> MSAC noted that </w:t>
      </w:r>
      <w:r w:rsidR="00EB3296">
        <w:t xml:space="preserve">NACCHO affiliation was an </w:t>
      </w:r>
      <w:r w:rsidR="002D7938">
        <w:t>eligibility criterion</w:t>
      </w:r>
      <w:r w:rsidR="00173872">
        <w:t xml:space="preserve"> for</w:t>
      </w:r>
      <w:r w:rsidR="00CA6417">
        <w:t xml:space="preserve"> the </w:t>
      </w:r>
      <w:r w:rsidR="00FC2879">
        <w:t xml:space="preserve">original </w:t>
      </w:r>
      <w:r w:rsidR="00CA6417">
        <w:t xml:space="preserve">ADAR </w:t>
      </w:r>
      <w:r w:rsidR="00BC10D6">
        <w:t xml:space="preserve">model </w:t>
      </w:r>
      <w:r w:rsidR="00FF5A65">
        <w:t>(consistent with the IPAC study</w:t>
      </w:r>
      <w:r w:rsidR="00032F45">
        <w:t>) but was not an eligibility criteri</w:t>
      </w:r>
      <w:r w:rsidR="00562122">
        <w:t>on</w:t>
      </w:r>
      <w:r w:rsidR="00032F45">
        <w:t xml:space="preserve"> for </w:t>
      </w:r>
      <w:r w:rsidR="00FF5A65">
        <w:t xml:space="preserve">the </w:t>
      </w:r>
      <w:r w:rsidR="00387F43">
        <w:t xml:space="preserve">three Department models </w:t>
      </w:r>
      <w:r w:rsidR="00E63BDA">
        <w:t>and that removing this criterion</w:t>
      </w:r>
      <w:r w:rsidR="00032F45">
        <w:t xml:space="preserve"> </w:t>
      </w:r>
      <w:r w:rsidR="00FF5A65">
        <w:t>increas</w:t>
      </w:r>
      <w:r w:rsidR="00E63BDA">
        <w:t>e</w:t>
      </w:r>
      <w:r w:rsidR="00550A60">
        <w:t>d</w:t>
      </w:r>
      <w:r w:rsidR="00FF5A65">
        <w:t xml:space="preserve"> </w:t>
      </w:r>
      <w:r w:rsidR="002D7938">
        <w:t>the number of eligible</w:t>
      </w:r>
      <w:r w:rsidR="00884BB1">
        <w:t xml:space="preserve"> AHS</w:t>
      </w:r>
      <w:r w:rsidR="00B21741">
        <w:t>s</w:t>
      </w:r>
      <w:r w:rsidR="002D7938">
        <w:t>.</w:t>
      </w:r>
      <w:r w:rsidR="00FF5A65">
        <w:t xml:space="preserve"> </w:t>
      </w:r>
      <w:r w:rsidR="004D2810">
        <w:t xml:space="preserve">MSAC also noted that </w:t>
      </w:r>
      <w:r w:rsidR="00320FF4">
        <w:t>Department model</w:t>
      </w:r>
      <w:r w:rsidR="005F3697">
        <w:t>s</w:t>
      </w:r>
      <w:r w:rsidR="00320FF4">
        <w:t xml:space="preserve"> 1 and 2 increased th</w:t>
      </w:r>
      <w:r w:rsidR="005E4EDA">
        <w:t>e ratio of pharmacist to clients attending a</w:t>
      </w:r>
      <w:r w:rsidR="000A1ED3">
        <w:t xml:space="preserve">n </w:t>
      </w:r>
      <w:r w:rsidR="00C96E2B">
        <w:t>AHS from 1:8,295 (per ADAR model) to 1:6,</w:t>
      </w:r>
      <w:r w:rsidR="00142B38">
        <w:t>000</w:t>
      </w:r>
      <w:r w:rsidR="00710334">
        <w:t xml:space="preserve">, </w:t>
      </w:r>
      <w:r w:rsidR="00142B38">
        <w:t>increasing the number of pharmacists</w:t>
      </w:r>
      <w:r w:rsidR="00EB52ED">
        <w:t xml:space="preserve"> that may be</w:t>
      </w:r>
      <w:r w:rsidR="00142B38">
        <w:t xml:space="preserve"> </w:t>
      </w:r>
      <w:r w:rsidR="00EB52ED">
        <w:t>funded</w:t>
      </w:r>
      <w:r w:rsidR="00142B38">
        <w:t xml:space="preserve"> under the program. </w:t>
      </w:r>
    </w:p>
    <w:p w14:paraId="0EB06801" w14:textId="77777777" w:rsidR="006D743B" w:rsidRDefault="00AF00B1" w:rsidP="00B51AE3">
      <w:r>
        <w:t xml:space="preserve">MSAC </w:t>
      </w:r>
      <w:r w:rsidR="002D7938">
        <w:t xml:space="preserve">discussed </w:t>
      </w:r>
      <w:r>
        <w:t xml:space="preserve">that model 1 </w:t>
      </w:r>
      <w:r w:rsidR="004737DA">
        <w:t xml:space="preserve">also </w:t>
      </w:r>
      <w:r w:rsidR="00387F43">
        <w:t xml:space="preserve">differed from the </w:t>
      </w:r>
      <w:r w:rsidR="004E4AEA">
        <w:t xml:space="preserve">ADAR model and </w:t>
      </w:r>
      <w:r w:rsidR="00387F43">
        <w:t xml:space="preserve">other </w:t>
      </w:r>
      <w:r w:rsidR="004E4AEA">
        <w:t xml:space="preserve">Department </w:t>
      </w:r>
      <w:r w:rsidR="00387F43">
        <w:t xml:space="preserve">models in that </w:t>
      </w:r>
      <w:r w:rsidR="006B20B2">
        <w:t xml:space="preserve">model </w:t>
      </w:r>
      <w:r w:rsidR="008B08B3">
        <w:t xml:space="preserve">1 </w:t>
      </w:r>
      <w:r w:rsidR="006B20B2">
        <w:t xml:space="preserve">did not </w:t>
      </w:r>
      <w:r w:rsidR="00387F43">
        <w:t>require a health service to have</w:t>
      </w:r>
      <w:r w:rsidR="0041028F" w:rsidRPr="0041028F">
        <w:t xml:space="preserve"> </w:t>
      </w:r>
      <w:r w:rsidR="0041028F">
        <w:t>at least one full-time equivalent (FTE) general practitioner (GP)</w:t>
      </w:r>
      <w:r w:rsidR="006E356E">
        <w:t xml:space="preserve"> </w:t>
      </w:r>
      <w:r w:rsidR="00563DD3">
        <w:t xml:space="preserve">and removing this requirement </w:t>
      </w:r>
      <w:r w:rsidR="006E356E">
        <w:t>further increas</w:t>
      </w:r>
      <w:r w:rsidR="00563DD3">
        <w:t xml:space="preserve">ed </w:t>
      </w:r>
      <w:r w:rsidR="006E356E">
        <w:t>the number of eligible health services</w:t>
      </w:r>
      <w:r w:rsidR="006B20B2">
        <w:t>.</w:t>
      </w:r>
      <w:r w:rsidR="0041028F">
        <w:t xml:space="preserve"> </w:t>
      </w:r>
      <w:r w:rsidR="00B51AE3">
        <w:t xml:space="preserve">MSAC noted the </w:t>
      </w:r>
      <w:r w:rsidR="00C975B3">
        <w:t xml:space="preserve">applicant’s </w:t>
      </w:r>
      <w:r w:rsidR="00B51AE3">
        <w:t xml:space="preserve">pre-MSAC response </w:t>
      </w:r>
      <w:r w:rsidR="00C975B3">
        <w:t>was</w:t>
      </w:r>
      <w:r w:rsidR="00B51AE3">
        <w:t xml:space="preserve"> supportive of Department model 1</w:t>
      </w:r>
      <w:r w:rsidR="00575F22">
        <w:t xml:space="preserve"> and</w:t>
      </w:r>
      <w:r w:rsidR="00B51AE3">
        <w:t xml:space="preserve"> stated that the ADAR proposal to have a minimum of 1 FTE GP was included to keep the fidelity of the application with the</w:t>
      </w:r>
      <w:r w:rsidR="004737DA">
        <w:t xml:space="preserve"> IPAC study</w:t>
      </w:r>
      <w:r w:rsidR="00B51AE3">
        <w:t xml:space="preserve"> conditions</w:t>
      </w:r>
      <w:r w:rsidR="00BB48B3">
        <w:t xml:space="preserve">. </w:t>
      </w:r>
      <w:r w:rsidR="00117C25">
        <w:t xml:space="preserve">The pre-MSAC response </w:t>
      </w:r>
      <w:r w:rsidR="00A42E65">
        <w:t xml:space="preserve">also </w:t>
      </w:r>
      <w:r w:rsidR="00607B03">
        <w:t>noted</w:t>
      </w:r>
      <w:r w:rsidR="00B51AE3">
        <w:t xml:space="preserve"> </w:t>
      </w:r>
      <w:r w:rsidR="00607B03">
        <w:t>s</w:t>
      </w:r>
      <w:r w:rsidR="00B51AE3">
        <w:t xml:space="preserve">maller ACCHOs with &lt;1 FTE GP or those unable to reliably recruit a GP that wish to participate should not be </w:t>
      </w:r>
      <w:proofErr w:type="gramStart"/>
      <w:r w:rsidR="00B51AE3">
        <w:t>penalised, and</w:t>
      </w:r>
      <w:proofErr w:type="gramEnd"/>
      <w:r w:rsidR="00B51AE3">
        <w:t xml:space="preserve"> </w:t>
      </w:r>
      <w:r w:rsidR="0058556B">
        <w:t xml:space="preserve">suggested that </w:t>
      </w:r>
      <w:r w:rsidR="00B51AE3">
        <w:t>these are the services that could most use a pharmacist, particularly to support practice level activities</w:t>
      </w:r>
      <w:r w:rsidR="002D6122">
        <w:t>.</w:t>
      </w:r>
      <w:r w:rsidR="00B51AE3">
        <w:t xml:space="preserve"> </w:t>
      </w:r>
      <w:r w:rsidR="00D3367C">
        <w:t xml:space="preserve">The applicant stated that these locations would likely have 0.2 FTE pharmacist allocation and may need to be delivered under a hub-and-spoke model. </w:t>
      </w:r>
      <w:r w:rsidR="00436E3E">
        <w:t xml:space="preserve">MSAC </w:t>
      </w:r>
      <w:r w:rsidR="00D3367C">
        <w:t xml:space="preserve">also </w:t>
      </w:r>
      <w:r w:rsidR="00436E3E">
        <w:t xml:space="preserve">noted </w:t>
      </w:r>
      <w:r w:rsidR="00667CC1">
        <w:t xml:space="preserve">that it is a recommendation of </w:t>
      </w:r>
      <w:r w:rsidR="00436E3E" w:rsidRPr="00436E3E">
        <w:t>the Strengthening Medicare Taskforce Report - December 2022</w:t>
      </w:r>
      <w:r w:rsidR="00996149" w:rsidRPr="002C15CC">
        <w:rPr>
          <w:rStyle w:val="FootnoteReference"/>
        </w:rPr>
        <w:footnoteReference w:id="2"/>
      </w:r>
      <w:r w:rsidR="00D337F7">
        <w:t xml:space="preserve"> to </w:t>
      </w:r>
      <w:r w:rsidR="005F56FD">
        <w:t xml:space="preserve">ensure </w:t>
      </w:r>
      <w:r w:rsidR="00436E3E" w:rsidRPr="00436E3E">
        <w:t xml:space="preserve">new funding models </w:t>
      </w:r>
      <w:r w:rsidR="004B04BB">
        <w:t>do not</w:t>
      </w:r>
      <w:r w:rsidR="00436E3E" w:rsidRPr="00436E3E">
        <w:t xml:space="preserve"> disadvantage people who live in communities with little or no access to regular GP care.</w:t>
      </w:r>
      <w:r w:rsidR="000D4344">
        <w:t xml:space="preserve"> </w:t>
      </w:r>
      <w:bookmarkStart w:id="2" w:name="_Hlk132694290"/>
    </w:p>
    <w:p w14:paraId="4F7CBDC7" w14:textId="164D50A1" w:rsidR="00B51AE3" w:rsidRDefault="00402E01" w:rsidP="00B51AE3">
      <w:r>
        <w:t xml:space="preserve">MSAC </w:t>
      </w:r>
      <w:r w:rsidR="00097F41">
        <w:t xml:space="preserve">considered that </w:t>
      </w:r>
      <w:r w:rsidR="00E02729">
        <w:t xml:space="preserve">it was important for </w:t>
      </w:r>
      <w:r w:rsidR="00F509B4">
        <w:t xml:space="preserve">the health service </w:t>
      </w:r>
      <w:r w:rsidR="003B493E">
        <w:t xml:space="preserve">to be supported by a GP </w:t>
      </w:r>
      <w:proofErr w:type="gramStart"/>
      <w:r w:rsidR="003B493E">
        <w:t>in order to</w:t>
      </w:r>
      <w:proofErr w:type="gramEnd"/>
      <w:r w:rsidR="003B493E">
        <w:t xml:space="preserve"> achieve the integrated, collaborative </w:t>
      </w:r>
      <w:r w:rsidR="00A946AC">
        <w:t>patient centred care intended by the program</w:t>
      </w:r>
      <w:r>
        <w:t>. However, MSAC also considered that</w:t>
      </w:r>
      <w:r w:rsidR="00A946AC">
        <w:t xml:space="preserve"> </w:t>
      </w:r>
      <w:r w:rsidR="007345F6">
        <w:t xml:space="preserve">for </w:t>
      </w:r>
      <w:r w:rsidR="00CA0DC2">
        <w:t xml:space="preserve">small health services in </w:t>
      </w:r>
      <w:r w:rsidR="007345F6">
        <w:t>remote and very remote</w:t>
      </w:r>
      <w:r w:rsidR="00CA0DC2">
        <w:t xml:space="preserve"> regions </w:t>
      </w:r>
      <w:r w:rsidR="00A946AC">
        <w:t>that this did not necessarily require a minimum of 1 FTE</w:t>
      </w:r>
      <w:r w:rsidR="00BD1156">
        <w:t xml:space="preserve"> GP (i.e.</w:t>
      </w:r>
      <w:r w:rsidR="00030AD8">
        <w:t>,</w:t>
      </w:r>
      <w:r w:rsidR="00BD1156">
        <w:t xml:space="preserve"> </w:t>
      </w:r>
      <w:r w:rsidR="00BD179C">
        <w:t>can be less than 1 FTE GP</w:t>
      </w:r>
      <w:r w:rsidR="00BC2991">
        <w:t xml:space="preserve"> but must be more than 0 FTE GP</w:t>
      </w:r>
      <w:r w:rsidR="00BD179C">
        <w:t>)</w:t>
      </w:r>
      <w:r w:rsidR="00424356">
        <w:t xml:space="preserve"> and that the support did not necessarily require </w:t>
      </w:r>
      <w:r w:rsidR="002327CD">
        <w:t>face-to-face GP</w:t>
      </w:r>
      <w:r w:rsidR="00030AD8">
        <w:t xml:space="preserve"> </w:t>
      </w:r>
      <w:r w:rsidR="002327CD">
        <w:t>support</w:t>
      </w:r>
      <w:r w:rsidR="006F53F0">
        <w:t xml:space="preserve"> (</w:t>
      </w:r>
      <w:proofErr w:type="gramStart"/>
      <w:r w:rsidR="006F53F0">
        <w:t>e.g.</w:t>
      </w:r>
      <w:proofErr w:type="gramEnd"/>
      <w:r w:rsidR="006F53F0">
        <w:t xml:space="preserve"> </w:t>
      </w:r>
      <w:r w:rsidR="009E5F78">
        <w:t>fly-in-fly out, telehealth consult</w:t>
      </w:r>
      <w:r w:rsidR="001A3837">
        <w:t>ation</w:t>
      </w:r>
      <w:r w:rsidR="009E5F78">
        <w:t xml:space="preserve"> etc.)</w:t>
      </w:r>
      <w:r w:rsidR="00BD179C">
        <w:t>.</w:t>
      </w:r>
      <w:bookmarkEnd w:id="2"/>
      <w:r w:rsidR="00F61931">
        <w:t xml:space="preserve"> </w:t>
      </w:r>
    </w:p>
    <w:p w14:paraId="08487DAC" w14:textId="7C7180ED" w:rsidR="008A1C92" w:rsidRPr="008A1C92" w:rsidRDefault="006F12F8" w:rsidP="008A1C92">
      <w:pPr>
        <w:spacing w:line="257" w:lineRule="auto"/>
      </w:pPr>
      <w:r>
        <w:t xml:space="preserve">MSAC discussed that </w:t>
      </w:r>
      <w:r w:rsidR="00DF4445">
        <w:t xml:space="preserve">the three Department models proposed removing the requirement for the health service to be </w:t>
      </w:r>
      <w:r w:rsidR="00B5232C" w:rsidRPr="00B5232C">
        <w:rPr>
          <w:rFonts w:eastAsia="Segoe UI" w:cs="Segoe UI"/>
        </w:rPr>
        <w:t xml:space="preserve">an accredited practice in accordance with the Royal Australian College of General Practitioners </w:t>
      </w:r>
      <w:r w:rsidR="006B045A">
        <w:rPr>
          <w:rFonts w:eastAsia="Segoe UI" w:cs="Segoe UI"/>
        </w:rPr>
        <w:t xml:space="preserve">(RACGP) </w:t>
      </w:r>
      <w:r w:rsidR="00B5232C" w:rsidRPr="00B5232C">
        <w:rPr>
          <w:rFonts w:eastAsia="Segoe UI" w:cs="Segoe UI"/>
        </w:rPr>
        <w:t>Practice Standards.</w:t>
      </w:r>
      <w:r w:rsidR="00B5232C">
        <w:rPr>
          <w:rFonts w:eastAsia="Segoe UI" w:cs="Segoe UI"/>
        </w:rPr>
        <w:t xml:space="preserve"> </w:t>
      </w:r>
      <w:r w:rsidR="00C94622">
        <w:t xml:space="preserve">MSAC </w:t>
      </w:r>
      <w:r w:rsidR="00B5232C">
        <w:t>expressed</w:t>
      </w:r>
      <w:r w:rsidR="00C94622">
        <w:t xml:space="preserve"> concern about removing this requirement</w:t>
      </w:r>
      <w:r w:rsidR="00A81E4B">
        <w:t xml:space="preserve"> but acknowledged </w:t>
      </w:r>
      <w:r w:rsidR="007B4872">
        <w:t>the requirement</w:t>
      </w:r>
      <w:r w:rsidR="00A81E4B">
        <w:t xml:space="preserve"> </w:t>
      </w:r>
      <w:r w:rsidR="00F94FC7">
        <w:t>could</w:t>
      </w:r>
      <w:r w:rsidR="00E66C01">
        <w:t xml:space="preserve"> create an access barrier for</w:t>
      </w:r>
      <w:r w:rsidR="00A81E4B">
        <w:t xml:space="preserve"> small health services support</w:t>
      </w:r>
      <w:r w:rsidR="00FE2971">
        <w:t>ing patients in very remote regions</w:t>
      </w:r>
      <w:r w:rsidR="00785C17">
        <w:t xml:space="preserve">. </w:t>
      </w:r>
      <w:r w:rsidR="0043193A">
        <w:t xml:space="preserve">Overall, </w:t>
      </w:r>
      <w:r w:rsidR="00785C17">
        <w:t xml:space="preserve">MSAC considered that RACGP accreditation should be a requirement but that the Department </w:t>
      </w:r>
      <w:r w:rsidR="00B71C29">
        <w:t>could</w:t>
      </w:r>
      <w:r w:rsidR="00785C17">
        <w:t xml:space="preserve"> </w:t>
      </w:r>
      <w:r w:rsidR="00944F04">
        <w:t>design some</w:t>
      </w:r>
      <w:r w:rsidR="00215EC2">
        <w:t xml:space="preserve"> flexibility in the program policy that </w:t>
      </w:r>
      <w:r w:rsidR="00944F04">
        <w:t>could provide</w:t>
      </w:r>
      <w:r w:rsidR="00215EC2">
        <w:t xml:space="preserve"> </w:t>
      </w:r>
      <w:r w:rsidR="00104818">
        <w:t xml:space="preserve">the </w:t>
      </w:r>
      <w:r w:rsidR="00104818" w:rsidRPr="00E44E9E">
        <w:t xml:space="preserve">ability for </w:t>
      </w:r>
      <w:r w:rsidR="00B71C29" w:rsidRPr="00E44E9E">
        <w:t xml:space="preserve">small, </w:t>
      </w:r>
      <w:proofErr w:type="gramStart"/>
      <w:r w:rsidR="00B56142" w:rsidRPr="00E44E9E">
        <w:t>remote</w:t>
      </w:r>
      <w:proofErr w:type="gramEnd"/>
      <w:r w:rsidR="00B56142" w:rsidRPr="00E44E9E">
        <w:t xml:space="preserve"> or </w:t>
      </w:r>
      <w:r w:rsidR="00B71C29" w:rsidRPr="00E44E9E">
        <w:t xml:space="preserve">very remote health services to seek </w:t>
      </w:r>
      <w:r w:rsidR="00944F04" w:rsidRPr="00E44E9E">
        <w:t xml:space="preserve">an </w:t>
      </w:r>
      <w:r w:rsidR="00B71C29" w:rsidRPr="00E44E9E">
        <w:t xml:space="preserve">exemption </w:t>
      </w:r>
      <w:r w:rsidR="00944F04" w:rsidRPr="00330096">
        <w:t>from this requirement.</w:t>
      </w:r>
      <w:r w:rsidR="00431173" w:rsidRPr="00330096">
        <w:t xml:space="preserve"> </w:t>
      </w:r>
      <w:r w:rsidR="00166438" w:rsidRPr="00E44E9E">
        <w:fldChar w:fldCharType="begin"/>
      </w:r>
      <w:r w:rsidR="00166438" w:rsidRPr="00E44E9E">
        <w:instrText xml:space="preserve"> REF _Ref132615279 \h </w:instrText>
      </w:r>
      <w:r w:rsidR="00E44E9E">
        <w:instrText xml:space="preserve"> \* MERGEFORMAT </w:instrText>
      </w:r>
      <w:r w:rsidR="00166438" w:rsidRPr="00E44E9E">
        <w:fldChar w:fldCharType="separate"/>
      </w:r>
      <w:r w:rsidR="00166438" w:rsidRPr="00E44E9E">
        <w:t xml:space="preserve">Table </w:t>
      </w:r>
      <w:r w:rsidR="00166438" w:rsidRPr="00E44E9E">
        <w:rPr>
          <w:noProof/>
        </w:rPr>
        <w:t>1</w:t>
      </w:r>
      <w:r w:rsidR="00166438" w:rsidRPr="00E44E9E">
        <w:fldChar w:fldCharType="end"/>
      </w:r>
      <w:r w:rsidR="00166438" w:rsidRPr="00E44E9E">
        <w:t xml:space="preserve"> summarises</w:t>
      </w:r>
      <w:r w:rsidR="00166438">
        <w:t xml:space="preserve"> the </w:t>
      </w:r>
      <w:r w:rsidR="00950639">
        <w:t>model criteria suppo</w:t>
      </w:r>
      <w:r w:rsidR="007B3C5B">
        <w:t xml:space="preserve">rted by MSAC for implementing </w:t>
      </w:r>
      <w:r w:rsidR="00E44E9E">
        <w:t>non-dispensing pharmacists in AHS.</w:t>
      </w:r>
      <w:bookmarkStart w:id="3" w:name="_Ref132615279"/>
      <w:bookmarkStart w:id="4" w:name="_Toc69491416"/>
      <w:r w:rsidR="008A1C92">
        <w:rPr>
          <w:sz w:val="20"/>
        </w:rPr>
        <w:br w:type="page"/>
      </w:r>
    </w:p>
    <w:p w14:paraId="6D3D2470" w14:textId="752ADC0B" w:rsidR="00B851CC" w:rsidRPr="00956785" w:rsidRDefault="00B851CC" w:rsidP="00B851CC">
      <w:pPr>
        <w:pStyle w:val="Caption"/>
        <w:rPr>
          <w:sz w:val="20"/>
        </w:rPr>
      </w:pPr>
      <w:r w:rsidRPr="00956785">
        <w:rPr>
          <w:sz w:val="20"/>
        </w:rPr>
        <w:lastRenderedPageBreak/>
        <w:t xml:space="preserve">Table </w:t>
      </w:r>
      <w:bookmarkEnd w:id="3"/>
      <w:r w:rsidR="00E44E9E">
        <w:rPr>
          <w:sz w:val="20"/>
        </w:rPr>
        <w:fldChar w:fldCharType="begin"/>
      </w:r>
      <w:r w:rsidR="00E44E9E">
        <w:rPr>
          <w:sz w:val="20"/>
        </w:rPr>
        <w:instrText xml:space="preserve"> SEQ Table \* ARABIC \* MERGEFORMAT </w:instrText>
      </w:r>
      <w:r w:rsidR="00E44E9E">
        <w:rPr>
          <w:sz w:val="20"/>
        </w:rPr>
        <w:fldChar w:fldCharType="separate"/>
      </w:r>
      <w:r w:rsidR="00E44E9E">
        <w:rPr>
          <w:noProof/>
          <w:sz w:val="20"/>
        </w:rPr>
        <w:t>1</w:t>
      </w:r>
      <w:r w:rsidR="00E44E9E">
        <w:rPr>
          <w:sz w:val="20"/>
        </w:rPr>
        <w:fldChar w:fldCharType="end"/>
      </w:r>
      <w:r w:rsidRPr="00956785">
        <w:rPr>
          <w:sz w:val="20"/>
        </w:rPr>
        <w:tab/>
        <w:t xml:space="preserve">Summary of </w:t>
      </w:r>
      <w:r w:rsidR="00AE5DC5">
        <w:rPr>
          <w:sz w:val="20"/>
        </w:rPr>
        <w:t xml:space="preserve">MSAC supported model </w:t>
      </w:r>
      <w:r w:rsidR="00800597">
        <w:rPr>
          <w:sz w:val="20"/>
        </w:rPr>
        <w:t>for integrating non-dispensing pharmacists in Aboriginal Health Services</w:t>
      </w:r>
    </w:p>
    <w:tbl>
      <w:tblPr>
        <w:tblStyle w:val="TableGrid"/>
        <w:tblW w:w="9067" w:type="dxa"/>
        <w:tblLook w:val="04A0" w:firstRow="1" w:lastRow="0" w:firstColumn="1" w:lastColumn="0" w:noHBand="0" w:noVBand="1"/>
      </w:tblPr>
      <w:tblGrid>
        <w:gridCol w:w="3823"/>
        <w:gridCol w:w="5244"/>
      </w:tblGrid>
      <w:tr w:rsidR="00D74727" w14:paraId="44AE843B" w14:textId="77777777" w:rsidTr="007B0DCF">
        <w:tc>
          <w:tcPr>
            <w:tcW w:w="3823" w:type="dxa"/>
          </w:tcPr>
          <w:p w14:paraId="5DABD8C4" w14:textId="77777777" w:rsidR="00D74727" w:rsidRPr="000524F5" w:rsidRDefault="00D74727" w:rsidP="00771DCE">
            <w:pPr>
              <w:pStyle w:val="Tabletext0"/>
              <w:jc w:val="left"/>
              <w:rPr>
                <w:b/>
                <w:bCs/>
              </w:rPr>
            </w:pPr>
            <w:r w:rsidRPr="000524F5">
              <w:rPr>
                <w:b/>
                <w:bCs/>
              </w:rPr>
              <w:t xml:space="preserve">Component </w:t>
            </w:r>
          </w:p>
        </w:tc>
        <w:tc>
          <w:tcPr>
            <w:tcW w:w="5244" w:type="dxa"/>
            <w:vAlign w:val="center"/>
          </w:tcPr>
          <w:p w14:paraId="54D48FE7" w14:textId="35A504A6" w:rsidR="00D74727" w:rsidRPr="00EA2942" w:rsidRDefault="00D74727" w:rsidP="00771DCE">
            <w:pPr>
              <w:pStyle w:val="Tabletext0"/>
              <w:jc w:val="center"/>
              <w:rPr>
                <w:b/>
                <w:bCs/>
              </w:rPr>
            </w:pPr>
            <w:r>
              <w:rPr>
                <w:b/>
                <w:bCs/>
              </w:rPr>
              <w:t xml:space="preserve">MSAC supported </w:t>
            </w:r>
            <w:r w:rsidR="004F23A5">
              <w:rPr>
                <w:b/>
                <w:bCs/>
              </w:rPr>
              <w:t>m</w:t>
            </w:r>
            <w:r>
              <w:rPr>
                <w:b/>
                <w:bCs/>
              </w:rPr>
              <w:t>ode</w:t>
            </w:r>
            <w:r w:rsidR="004F23A5">
              <w:rPr>
                <w:b/>
                <w:bCs/>
              </w:rPr>
              <w:t>l</w:t>
            </w:r>
          </w:p>
        </w:tc>
      </w:tr>
      <w:tr w:rsidR="00D74727" w14:paraId="0B22840F" w14:textId="77777777" w:rsidTr="007B0DCF">
        <w:tc>
          <w:tcPr>
            <w:tcW w:w="3823" w:type="dxa"/>
          </w:tcPr>
          <w:p w14:paraId="76139203" w14:textId="345A77C8" w:rsidR="00D74727" w:rsidRPr="00B02E51" w:rsidRDefault="00D74727" w:rsidP="00771DCE">
            <w:pPr>
              <w:pStyle w:val="Tabletext0"/>
              <w:jc w:val="left"/>
            </w:pPr>
            <w:r>
              <w:t>Pharmacist FTE</w:t>
            </w:r>
            <w:r w:rsidR="00452169">
              <w:t>: client ratio</w:t>
            </w:r>
          </w:p>
        </w:tc>
        <w:tc>
          <w:tcPr>
            <w:tcW w:w="5244" w:type="dxa"/>
            <w:vAlign w:val="center"/>
          </w:tcPr>
          <w:p w14:paraId="04CFB103" w14:textId="77777777" w:rsidR="00D74727" w:rsidRPr="000524F5" w:rsidRDefault="00D74727" w:rsidP="00771DCE">
            <w:pPr>
              <w:pStyle w:val="Tabletext0"/>
              <w:jc w:val="center"/>
            </w:pPr>
            <w:r>
              <w:t>1:6,000</w:t>
            </w:r>
          </w:p>
        </w:tc>
      </w:tr>
      <w:tr w:rsidR="00D74727" w14:paraId="6DB95D62" w14:textId="77777777" w:rsidTr="007B0DCF">
        <w:tc>
          <w:tcPr>
            <w:tcW w:w="3823" w:type="dxa"/>
          </w:tcPr>
          <w:p w14:paraId="4630FBC1" w14:textId="39B25E05" w:rsidR="00D74727" w:rsidRPr="00912178" w:rsidRDefault="00D74727" w:rsidP="00771DCE">
            <w:pPr>
              <w:pStyle w:val="Tabletext0"/>
              <w:jc w:val="left"/>
            </w:pPr>
            <w:r>
              <w:t xml:space="preserve">Minimum </w:t>
            </w:r>
            <w:r w:rsidR="00452169">
              <w:t xml:space="preserve">pharmacist </w:t>
            </w:r>
            <w:r>
              <w:t>FTE</w:t>
            </w:r>
          </w:p>
        </w:tc>
        <w:tc>
          <w:tcPr>
            <w:tcW w:w="5244" w:type="dxa"/>
            <w:vAlign w:val="center"/>
          </w:tcPr>
          <w:p w14:paraId="3900D390" w14:textId="77777777" w:rsidR="00D74727" w:rsidRDefault="00D74727" w:rsidP="00771DCE">
            <w:pPr>
              <w:pStyle w:val="Tabletext0"/>
              <w:jc w:val="center"/>
            </w:pPr>
            <w:r>
              <w:t>Minimum 0.2 FTE</w:t>
            </w:r>
          </w:p>
          <w:p w14:paraId="6FC0FE98" w14:textId="4987F17F" w:rsidR="00D74727" w:rsidRDefault="00D74727" w:rsidP="00771DCE">
            <w:pPr>
              <w:pStyle w:val="Tabletext0"/>
              <w:jc w:val="center"/>
            </w:pPr>
            <w:r w:rsidRPr="00A516F9">
              <w:t>Minimum 1 FTE</w:t>
            </w:r>
            <w:r w:rsidR="00901C8D">
              <w:t xml:space="preserve"> </w:t>
            </w:r>
            <w:r w:rsidR="006E3B75">
              <w:t>pharmacist</w:t>
            </w:r>
            <w:r w:rsidRPr="00A516F9">
              <w:t xml:space="preserve"> for</w:t>
            </w:r>
            <w:r>
              <w:t xml:space="preserve"> clinics</w:t>
            </w:r>
            <w:r w:rsidRPr="00A516F9">
              <w:t xml:space="preserve"> </w:t>
            </w:r>
            <w:r>
              <w:t>in remote areas (</w:t>
            </w:r>
            <w:r w:rsidRPr="00A516F9">
              <w:t>MMR 6 and 7</w:t>
            </w:r>
            <w:r>
              <w:t>)</w:t>
            </w:r>
          </w:p>
          <w:p w14:paraId="59F411C4" w14:textId="77777777" w:rsidR="00D74727" w:rsidRDefault="00D74727" w:rsidP="00771DCE">
            <w:pPr>
              <w:pStyle w:val="Tabletext0"/>
              <w:jc w:val="center"/>
            </w:pPr>
            <w:r w:rsidRPr="00A516F9">
              <w:t>NT Gov</w:t>
            </w:r>
            <w:r>
              <w:t>t</w:t>
            </w:r>
            <w:r w:rsidRPr="00A516F9">
              <w:t xml:space="preserve"> consortium </w:t>
            </w:r>
            <w:r>
              <w:t>of</w:t>
            </w:r>
            <w:r w:rsidRPr="00A516F9">
              <w:t xml:space="preserve"> 10 FTE</w:t>
            </w:r>
            <w:r>
              <w:t xml:space="preserve"> across all clinics</w:t>
            </w:r>
          </w:p>
          <w:p w14:paraId="035A727C" w14:textId="5CD49C19" w:rsidR="00D74727" w:rsidRPr="00806CD0" w:rsidRDefault="00D74727" w:rsidP="00771DCE">
            <w:pPr>
              <w:pStyle w:val="Tabletext0"/>
              <w:jc w:val="center"/>
              <w:rPr>
                <w:vertAlign w:val="superscript"/>
              </w:rPr>
            </w:pPr>
            <w:r w:rsidRPr="00A516F9">
              <w:t>Option to develop consortiums</w:t>
            </w:r>
          </w:p>
        </w:tc>
      </w:tr>
      <w:tr w:rsidR="00D74727" w14:paraId="56005C84" w14:textId="77777777" w:rsidTr="007B0DCF">
        <w:tc>
          <w:tcPr>
            <w:tcW w:w="3823" w:type="dxa"/>
          </w:tcPr>
          <w:p w14:paraId="7B4079A0" w14:textId="77777777" w:rsidR="00D74727" w:rsidRPr="00912178" w:rsidRDefault="00D74727" w:rsidP="00771DCE">
            <w:pPr>
              <w:pStyle w:val="Tabletext0"/>
              <w:jc w:val="left"/>
            </w:pPr>
            <w:r w:rsidRPr="00912178">
              <w:t xml:space="preserve">Pharmacist salary </w:t>
            </w:r>
          </w:p>
        </w:tc>
        <w:tc>
          <w:tcPr>
            <w:tcW w:w="5244" w:type="dxa"/>
            <w:vAlign w:val="center"/>
          </w:tcPr>
          <w:p w14:paraId="1961C93B" w14:textId="747FF49F" w:rsidR="00D74727" w:rsidRPr="000147BB" w:rsidRDefault="00D74727" w:rsidP="00771DCE">
            <w:pPr>
              <w:pStyle w:val="Tabletext0"/>
              <w:jc w:val="center"/>
              <w:rPr>
                <w:vertAlign w:val="superscript"/>
              </w:rPr>
            </w:pPr>
            <w:r w:rsidRPr="005E3EED">
              <w:t>$112,940</w:t>
            </w:r>
            <w:r>
              <w:t xml:space="preserve"> </w:t>
            </w:r>
            <w:r w:rsidR="00310812">
              <w:rPr>
                <w:vertAlign w:val="superscript"/>
              </w:rPr>
              <w:t>a</w:t>
            </w:r>
          </w:p>
        </w:tc>
      </w:tr>
      <w:tr w:rsidR="00D74727" w14:paraId="0D81DADA" w14:textId="77777777" w:rsidTr="007B0DCF">
        <w:tc>
          <w:tcPr>
            <w:tcW w:w="3823" w:type="dxa"/>
          </w:tcPr>
          <w:p w14:paraId="6E3BB8E4" w14:textId="2FB8D46D" w:rsidR="00D74727" w:rsidRPr="00912178" w:rsidRDefault="00243DE3" w:rsidP="00022EA5">
            <w:pPr>
              <w:pStyle w:val="Tabletext0"/>
              <w:jc w:val="left"/>
            </w:pPr>
            <w:r>
              <w:t>I</w:t>
            </w:r>
            <w:r w:rsidRPr="00243DE3">
              <w:t xml:space="preserve">s funded by the Department of Health and Aged Care’s </w:t>
            </w:r>
            <w:r w:rsidR="005133CC">
              <w:t>First Nations</w:t>
            </w:r>
            <w:r w:rsidR="005133CC" w:rsidRPr="00243DE3">
              <w:t xml:space="preserve"> </w:t>
            </w:r>
            <w:r w:rsidRPr="00243DE3">
              <w:t>Health Division for the provision of primary healthcare services to First Nations people</w:t>
            </w:r>
          </w:p>
        </w:tc>
        <w:tc>
          <w:tcPr>
            <w:tcW w:w="5244" w:type="dxa"/>
            <w:vAlign w:val="center"/>
          </w:tcPr>
          <w:p w14:paraId="64FB1659" w14:textId="5910CC71" w:rsidR="00D74727" w:rsidRPr="00912178" w:rsidRDefault="00D74727" w:rsidP="00771DCE">
            <w:pPr>
              <w:pStyle w:val="Tabletext0"/>
              <w:jc w:val="center"/>
            </w:pPr>
            <w:r>
              <w:t>Ye</w:t>
            </w:r>
            <w:r w:rsidR="00310812">
              <w:t>s</w:t>
            </w:r>
          </w:p>
        </w:tc>
      </w:tr>
      <w:tr w:rsidR="00D74727" w14:paraId="6CD928D8" w14:textId="77777777" w:rsidTr="007B0DCF">
        <w:tc>
          <w:tcPr>
            <w:tcW w:w="3823" w:type="dxa"/>
          </w:tcPr>
          <w:p w14:paraId="49B589C7" w14:textId="13F753F0" w:rsidR="00D74727" w:rsidRPr="00912178" w:rsidRDefault="0021759E" w:rsidP="00771DCE">
            <w:pPr>
              <w:pStyle w:val="Tabletext0"/>
              <w:jc w:val="left"/>
            </w:pPr>
            <w:r>
              <w:t xml:space="preserve">The health service is </w:t>
            </w:r>
            <w:r w:rsidR="00565105">
              <w:t>required to be a</w:t>
            </w:r>
            <w:r>
              <w:t xml:space="preserve"> m</w:t>
            </w:r>
            <w:r w:rsidR="008F56B7">
              <w:t>ember of</w:t>
            </w:r>
            <w:r w:rsidR="00114448">
              <w:t xml:space="preserve"> </w:t>
            </w:r>
            <w:r w:rsidR="00D74727">
              <w:t xml:space="preserve">NACCHO and </w:t>
            </w:r>
            <w:r w:rsidR="00B532E9" w:rsidRPr="00B532E9">
              <w:t>relevant NACCHO State/Territory Affiliate</w:t>
            </w:r>
          </w:p>
        </w:tc>
        <w:tc>
          <w:tcPr>
            <w:tcW w:w="5244" w:type="dxa"/>
            <w:vAlign w:val="center"/>
          </w:tcPr>
          <w:p w14:paraId="6C3811FA" w14:textId="77777777" w:rsidR="00D74727" w:rsidRPr="00912178" w:rsidRDefault="00D74727" w:rsidP="00771DCE">
            <w:pPr>
              <w:pStyle w:val="Tabletext0"/>
              <w:jc w:val="center"/>
            </w:pPr>
            <w:r>
              <w:t>No</w:t>
            </w:r>
          </w:p>
        </w:tc>
      </w:tr>
      <w:tr w:rsidR="00D74727" w14:paraId="0E035E65" w14:textId="77777777" w:rsidTr="007B0DCF">
        <w:tc>
          <w:tcPr>
            <w:tcW w:w="3823" w:type="dxa"/>
          </w:tcPr>
          <w:p w14:paraId="6200DAD5" w14:textId="77777777" w:rsidR="00D74727" w:rsidRPr="00912178" w:rsidRDefault="00D74727" w:rsidP="00771DCE">
            <w:pPr>
              <w:pStyle w:val="Tabletext0"/>
              <w:jc w:val="left"/>
            </w:pPr>
            <w:r>
              <w:t>Minimum GP FTE</w:t>
            </w:r>
          </w:p>
        </w:tc>
        <w:tc>
          <w:tcPr>
            <w:tcW w:w="5244" w:type="dxa"/>
            <w:vAlign w:val="center"/>
          </w:tcPr>
          <w:p w14:paraId="59B82B11" w14:textId="0D5025AA" w:rsidR="00D74727" w:rsidRPr="00912178" w:rsidRDefault="00B23D6C" w:rsidP="00771DCE">
            <w:pPr>
              <w:pStyle w:val="Tabletext0"/>
              <w:jc w:val="center"/>
            </w:pPr>
            <w:r>
              <w:t xml:space="preserve">GP-supported (i.e. </w:t>
            </w:r>
            <w:r w:rsidR="00D74727">
              <w:t>&gt;0</w:t>
            </w:r>
            <w:r>
              <w:t xml:space="preserve"> </w:t>
            </w:r>
            <w:proofErr w:type="gramStart"/>
            <w:r>
              <w:t>FTE)</w:t>
            </w:r>
            <w:r w:rsidR="0090114E">
              <w:t>*</w:t>
            </w:r>
            <w:proofErr w:type="gramEnd"/>
          </w:p>
        </w:tc>
      </w:tr>
      <w:tr w:rsidR="00D74727" w14:paraId="6E5BD716" w14:textId="77777777" w:rsidTr="007B0DCF">
        <w:tc>
          <w:tcPr>
            <w:tcW w:w="3823" w:type="dxa"/>
            <w:shd w:val="clear" w:color="auto" w:fill="auto"/>
          </w:tcPr>
          <w:p w14:paraId="3248F98C" w14:textId="77777777" w:rsidR="00D74727" w:rsidRPr="00912178" w:rsidRDefault="00D74727" w:rsidP="00771DCE">
            <w:pPr>
              <w:pStyle w:val="Tabletext0"/>
              <w:jc w:val="left"/>
            </w:pPr>
            <w:r>
              <w:t>RACGP accredited practice</w:t>
            </w:r>
          </w:p>
        </w:tc>
        <w:tc>
          <w:tcPr>
            <w:tcW w:w="5244" w:type="dxa"/>
            <w:shd w:val="clear" w:color="auto" w:fill="auto"/>
            <w:vAlign w:val="center"/>
          </w:tcPr>
          <w:p w14:paraId="1AC2CF77" w14:textId="56C1B3BD" w:rsidR="00D74727" w:rsidRPr="00912178" w:rsidRDefault="00D74727" w:rsidP="00771DCE">
            <w:pPr>
              <w:pStyle w:val="Tabletext0"/>
              <w:jc w:val="center"/>
            </w:pPr>
            <w:r>
              <w:t>Yes*</w:t>
            </w:r>
            <w:r w:rsidR="0090114E">
              <w:t>*</w:t>
            </w:r>
          </w:p>
        </w:tc>
      </w:tr>
      <w:tr w:rsidR="00D74727" w14:paraId="71D89732" w14:textId="77777777" w:rsidTr="007B0DCF">
        <w:tc>
          <w:tcPr>
            <w:tcW w:w="3823" w:type="dxa"/>
            <w:shd w:val="clear" w:color="auto" w:fill="auto"/>
          </w:tcPr>
          <w:p w14:paraId="5457530A" w14:textId="77777777" w:rsidR="00D74727" w:rsidRPr="00912178" w:rsidRDefault="00D74727" w:rsidP="00771DCE">
            <w:pPr>
              <w:pStyle w:val="Tabletext0"/>
              <w:jc w:val="left"/>
            </w:pPr>
            <w:r>
              <w:t xml:space="preserve">Eligible for CTG </w:t>
            </w:r>
            <w:r w:rsidRPr="00CD7596">
              <w:t xml:space="preserve">PBS co-payment measure </w:t>
            </w:r>
            <w:r>
              <w:t>or s100 PBS supply in remote areas</w:t>
            </w:r>
          </w:p>
        </w:tc>
        <w:tc>
          <w:tcPr>
            <w:tcW w:w="5244" w:type="dxa"/>
            <w:shd w:val="clear" w:color="auto" w:fill="auto"/>
            <w:vAlign w:val="center"/>
          </w:tcPr>
          <w:p w14:paraId="2DFAF849" w14:textId="77777777" w:rsidR="00D74727" w:rsidRPr="00912178" w:rsidRDefault="00D74727" w:rsidP="00771DCE">
            <w:pPr>
              <w:pStyle w:val="Tabletext0"/>
              <w:jc w:val="center"/>
            </w:pPr>
            <w:r>
              <w:t>Yes</w:t>
            </w:r>
          </w:p>
        </w:tc>
      </w:tr>
      <w:tr w:rsidR="00D74727" w14:paraId="0679D5C4" w14:textId="77777777" w:rsidTr="007B0DCF">
        <w:tc>
          <w:tcPr>
            <w:tcW w:w="3823" w:type="dxa"/>
            <w:shd w:val="clear" w:color="auto" w:fill="auto"/>
          </w:tcPr>
          <w:p w14:paraId="1D2D5865" w14:textId="77777777" w:rsidR="00D74727" w:rsidRPr="00912178" w:rsidRDefault="00D74727" w:rsidP="00771DCE">
            <w:pPr>
              <w:pStyle w:val="Tabletext0"/>
              <w:jc w:val="left"/>
            </w:pPr>
            <w:r>
              <w:t>Private consulting room</w:t>
            </w:r>
          </w:p>
        </w:tc>
        <w:tc>
          <w:tcPr>
            <w:tcW w:w="5244" w:type="dxa"/>
            <w:shd w:val="clear" w:color="auto" w:fill="auto"/>
            <w:vAlign w:val="center"/>
          </w:tcPr>
          <w:p w14:paraId="22FE7CD8" w14:textId="77777777" w:rsidR="00D74727" w:rsidRPr="00912178" w:rsidRDefault="00D74727" w:rsidP="00771DCE">
            <w:pPr>
              <w:pStyle w:val="Tabletext0"/>
              <w:jc w:val="center"/>
            </w:pPr>
            <w:r>
              <w:t>Yes</w:t>
            </w:r>
          </w:p>
        </w:tc>
      </w:tr>
      <w:tr w:rsidR="00D74727" w14:paraId="1E50F46C" w14:textId="77777777" w:rsidTr="007B0DCF">
        <w:tc>
          <w:tcPr>
            <w:tcW w:w="3823" w:type="dxa"/>
            <w:shd w:val="clear" w:color="auto" w:fill="auto"/>
          </w:tcPr>
          <w:p w14:paraId="0B0A86A4" w14:textId="3D23ADF2" w:rsidR="00D74727" w:rsidRPr="008E71C0" w:rsidRDefault="00D74727" w:rsidP="00771DCE">
            <w:pPr>
              <w:pStyle w:val="Tabletext0"/>
              <w:jc w:val="left"/>
              <w:rPr>
                <w:vertAlign w:val="superscript"/>
              </w:rPr>
            </w:pPr>
            <w:r>
              <w:t xml:space="preserve">Eligible to claim HMRs and </w:t>
            </w:r>
            <w:proofErr w:type="spellStart"/>
            <w:r>
              <w:t>MedsChecks</w:t>
            </w:r>
            <w:r w:rsidR="001A3C38">
              <w:rPr>
                <w:vertAlign w:val="superscript"/>
              </w:rPr>
              <w:t>b</w:t>
            </w:r>
            <w:proofErr w:type="spellEnd"/>
          </w:p>
        </w:tc>
        <w:tc>
          <w:tcPr>
            <w:tcW w:w="5244" w:type="dxa"/>
            <w:shd w:val="clear" w:color="auto" w:fill="auto"/>
            <w:vAlign w:val="center"/>
          </w:tcPr>
          <w:p w14:paraId="68D97CD4" w14:textId="77777777" w:rsidR="00D74727" w:rsidRPr="00912178" w:rsidRDefault="00D74727" w:rsidP="00771DCE">
            <w:pPr>
              <w:pStyle w:val="Tabletext0"/>
              <w:jc w:val="center"/>
            </w:pPr>
            <w:r>
              <w:t>No</w:t>
            </w:r>
          </w:p>
        </w:tc>
      </w:tr>
      <w:tr w:rsidR="00D74727" w14:paraId="342F7920" w14:textId="77777777" w:rsidTr="007B0DCF">
        <w:tc>
          <w:tcPr>
            <w:tcW w:w="3823" w:type="dxa"/>
            <w:shd w:val="clear" w:color="auto" w:fill="auto"/>
          </w:tcPr>
          <w:p w14:paraId="22BD9B52" w14:textId="77777777" w:rsidR="00D74727" w:rsidRPr="00912178" w:rsidRDefault="00D74727" w:rsidP="00771DCE">
            <w:pPr>
              <w:pStyle w:val="Tabletext0"/>
              <w:jc w:val="left"/>
            </w:pPr>
            <w:r>
              <w:t>Overlap with IHSPS</w:t>
            </w:r>
          </w:p>
        </w:tc>
        <w:tc>
          <w:tcPr>
            <w:tcW w:w="5244" w:type="dxa"/>
            <w:shd w:val="clear" w:color="auto" w:fill="auto"/>
            <w:vAlign w:val="center"/>
          </w:tcPr>
          <w:p w14:paraId="11F7E801" w14:textId="77777777" w:rsidR="00D74727" w:rsidRPr="00912178" w:rsidRDefault="00D74727" w:rsidP="00771DCE">
            <w:pPr>
              <w:pStyle w:val="Tabletext0"/>
              <w:jc w:val="center"/>
            </w:pPr>
            <w:r>
              <w:t>Yes</w:t>
            </w:r>
          </w:p>
        </w:tc>
      </w:tr>
    </w:tbl>
    <w:p w14:paraId="4BC8FEF6" w14:textId="64F74894" w:rsidR="00B851CC" w:rsidRDefault="001F743F" w:rsidP="00B851CC">
      <w:pPr>
        <w:pStyle w:val="TableFooter"/>
      </w:pPr>
      <w:r>
        <w:t xml:space="preserve">Abbreviations: </w:t>
      </w:r>
      <w:r w:rsidR="00FB7F3D">
        <w:t xml:space="preserve">CTG = </w:t>
      </w:r>
      <w:r w:rsidR="00E969E1">
        <w:t xml:space="preserve">Closing </w:t>
      </w:r>
      <w:r w:rsidR="00FB7F3D">
        <w:t xml:space="preserve">the gap; </w:t>
      </w:r>
      <w:r w:rsidR="00B851CC">
        <w:t xml:space="preserve">FTE = full time equivalent; GP = general practitioner; HMR = Home </w:t>
      </w:r>
      <w:r w:rsidR="00904AE5">
        <w:t>Medicines Review</w:t>
      </w:r>
      <w:r w:rsidR="00B851CC">
        <w:t xml:space="preserve">; IHSPS = </w:t>
      </w:r>
      <w:r w:rsidR="00B851CC" w:rsidRPr="009A772C">
        <w:t>Indigenous Health Services Pharmacy Support</w:t>
      </w:r>
      <w:r w:rsidR="00B851CC">
        <w:t xml:space="preserve">; </w:t>
      </w:r>
      <w:r w:rsidR="003D6BC2">
        <w:t xml:space="preserve">MMR </w:t>
      </w:r>
      <w:r w:rsidR="00B851CC">
        <w:t xml:space="preserve">= Modified Monash </w:t>
      </w:r>
      <w:r w:rsidR="003D6BC2">
        <w:t xml:space="preserve">Model </w:t>
      </w:r>
      <w:r w:rsidR="00B851CC">
        <w:t>remoteness classification</w:t>
      </w:r>
      <w:r w:rsidR="00EF3724">
        <w:t xml:space="preserve">. </w:t>
      </w:r>
      <w:r w:rsidR="00B851CC">
        <w:t xml:space="preserve">NACCHO = </w:t>
      </w:r>
      <w:r w:rsidR="00B851CC" w:rsidRPr="001A39FA">
        <w:t>National Aboriginal Community Controlled Health Organisation</w:t>
      </w:r>
      <w:r w:rsidR="00B851CC">
        <w:t>;</w:t>
      </w:r>
      <w:r w:rsidR="00E31D67">
        <w:t xml:space="preserve"> NT Govt = Northern Territory Government;</w:t>
      </w:r>
      <w:r w:rsidR="00B851CC" w:rsidRPr="001A39FA">
        <w:t xml:space="preserve"> </w:t>
      </w:r>
      <w:r w:rsidR="00B851CC">
        <w:t>PBS = Pharmaceutical Benefits Scheme</w:t>
      </w:r>
    </w:p>
    <w:p w14:paraId="422DFCBD" w14:textId="3AAF8288" w:rsidR="00B851CC" w:rsidRPr="000147BB" w:rsidRDefault="001A3C38" w:rsidP="00B851CC">
      <w:pPr>
        <w:pStyle w:val="TableFooter"/>
      </w:pPr>
      <w:proofErr w:type="spellStart"/>
      <w:r>
        <w:rPr>
          <w:vertAlign w:val="superscript"/>
        </w:rPr>
        <w:t>a</w:t>
      </w:r>
      <w:proofErr w:type="spellEnd"/>
      <w:r w:rsidR="00B851CC">
        <w:rPr>
          <w:vertAlign w:val="superscript"/>
        </w:rPr>
        <w:t xml:space="preserve"> </w:t>
      </w:r>
      <w:r w:rsidR="00B851CC" w:rsidRPr="000147BB">
        <w:t>Includes on-costs. Department proposed salary rate for pharmacist grade 2 salary in 2019-2020, accounting for inflation estimated at 1.8% annually, per PPA report Community and Hospital Pharmacists Employment and Remuneration Report 2019-2020) with 17% on-costs ($16,410).</w:t>
      </w:r>
    </w:p>
    <w:p w14:paraId="027EDB48" w14:textId="3970725A" w:rsidR="00B851CC" w:rsidRDefault="001A3C38" w:rsidP="00B851CC">
      <w:pPr>
        <w:pStyle w:val="TableFooter"/>
      </w:pPr>
      <w:r>
        <w:rPr>
          <w:vertAlign w:val="superscript"/>
        </w:rPr>
        <w:t>b</w:t>
      </w:r>
      <w:r w:rsidR="00B851CC">
        <w:t xml:space="preserve"> </w:t>
      </w:r>
      <w:r w:rsidR="00B851CC" w:rsidRPr="008E71C0">
        <w:t xml:space="preserve">Current HMR program rules would not exclude an IPAC salaried pharmacist from claiming under this service, </w:t>
      </w:r>
      <w:r w:rsidR="00731DBD">
        <w:t xml:space="preserve">the Department </w:t>
      </w:r>
      <w:r w:rsidR="00A25D7A">
        <w:t>has advised</w:t>
      </w:r>
      <w:r w:rsidR="00731DBD">
        <w:t xml:space="preserve"> that </w:t>
      </w:r>
      <w:r w:rsidR="00B851CC" w:rsidRPr="008E71C0">
        <w:t>program rules would be amended accordingly</w:t>
      </w:r>
      <w:r w:rsidR="00F832EC">
        <w:t>.</w:t>
      </w:r>
    </w:p>
    <w:p w14:paraId="4EE21495" w14:textId="6DF644F4" w:rsidR="0090114E" w:rsidRDefault="0090114E" w:rsidP="00844D11">
      <w:pPr>
        <w:pStyle w:val="TableFooter"/>
      </w:pPr>
      <w:r>
        <w:t xml:space="preserve">* </w:t>
      </w:r>
      <w:r w:rsidRPr="0090114E">
        <w:t xml:space="preserve">MSAC considered that </w:t>
      </w:r>
      <w:r w:rsidR="00F55331">
        <w:t>eligible health services should be</w:t>
      </w:r>
      <w:r w:rsidRPr="0090114E">
        <w:t xml:space="preserve"> supported by a GP </w:t>
      </w:r>
      <w:r w:rsidR="00E13001">
        <w:t>but</w:t>
      </w:r>
      <w:r w:rsidR="00FF6EE2">
        <w:t xml:space="preserve"> for </w:t>
      </w:r>
      <w:r w:rsidRPr="0090114E">
        <w:t>small</w:t>
      </w:r>
      <w:r w:rsidR="00E95E24">
        <w:t>,</w:t>
      </w:r>
      <w:r w:rsidRPr="0090114E">
        <w:t xml:space="preserve"> </w:t>
      </w:r>
      <w:proofErr w:type="gramStart"/>
      <w:r w:rsidRPr="0090114E">
        <w:t>remote</w:t>
      </w:r>
      <w:proofErr w:type="gramEnd"/>
      <w:r w:rsidRPr="0090114E">
        <w:t xml:space="preserve"> and very remote </w:t>
      </w:r>
      <w:r w:rsidR="00EF1D29">
        <w:t>health services</w:t>
      </w:r>
      <w:r w:rsidR="005C38E8">
        <w:t xml:space="preserve"> </w:t>
      </w:r>
      <w:r w:rsidR="007E5C82">
        <w:t xml:space="preserve">this may mean </w:t>
      </w:r>
      <w:r w:rsidR="009934C2">
        <w:t xml:space="preserve">less than 1 FTE GP </w:t>
      </w:r>
      <w:r w:rsidR="00E176D8">
        <w:t>(</w:t>
      </w:r>
      <w:r w:rsidR="009934C2">
        <w:t>but more than 0 FTE GP</w:t>
      </w:r>
      <w:r w:rsidR="00E176D8">
        <w:t>)</w:t>
      </w:r>
      <w:r w:rsidR="009934C2">
        <w:t xml:space="preserve"> </w:t>
      </w:r>
      <w:r w:rsidR="00191D02">
        <w:t xml:space="preserve">and </w:t>
      </w:r>
      <w:r w:rsidRPr="0090114E">
        <w:t xml:space="preserve">not necessarily </w:t>
      </w:r>
      <w:r w:rsidR="001D2E39">
        <w:t>mean</w:t>
      </w:r>
      <w:r w:rsidRPr="0090114E">
        <w:t xml:space="preserve"> face-to-face GP support.</w:t>
      </w:r>
    </w:p>
    <w:p w14:paraId="3BAC9FC3" w14:textId="39961CF7" w:rsidR="00EB4AFE" w:rsidRDefault="001D15F5" w:rsidP="00844D11">
      <w:pPr>
        <w:pStyle w:val="TableFooter"/>
      </w:pPr>
      <w:r>
        <w:t>*</w:t>
      </w:r>
      <w:r w:rsidR="0090114E">
        <w:t>*</w:t>
      </w:r>
      <w:r>
        <w:t xml:space="preserve"> MSAC considered RACGP accreditation should be a </w:t>
      </w:r>
      <w:r w:rsidR="00B52416">
        <w:t>requirement,</w:t>
      </w:r>
      <w:r>
        <w:t xml:space="preserve"> but</w:t>
      </w:r>
      <w:r w:rsidR="00B52416">
        <w:t xml:space="preserve"> it may be reasonable fo</w:t>
      </w:r>
      <w:r w:rsidRPr="001D15F5">
        <w:t xml:space="preserve">r small, </w:t>
      </w:r>
      <w:proofErr w:type="gramStart"/>
      <w:r w:rsidRPr="001D15F5">
        <w:t>remote</w:t>
      </w:r>
      <w:proofErr w:type="gramEnd"/>
      <w:r w:rsidRPr="001D15F5">
        <w:t xml:space="preserve"> or very remote health services to seek an exemption from this requirement.</w:t>
      </w:r>
    </w:p>
    <w:p w14:paraId="6710B69D" w14:textId="294781CD" w:rsidR="00772829" w:rsidRPr="00CE28E3" w:rsidRDefault="0039393C" w:rsidP="002A18BE">
      <w:pPr>
        <w:pStyle w:val="Heading2"/>
        <w:numPr>
          <w:ilvl w:val="0"/>
          <w:numId w:val="0"/>
        </w:numPr>
      </w:pPr>
      <w:r>
        <w:t>4</w:t>
      </w:r>
      <w:r w:rsidR="00C36633">
        <w:t>.</w:t>
      </w:r>
      <w:r w:rsidR="00C36633">
        <w:tab/>
      </w:r>
      <w:r w:rsidR="00772829" w:rsidRPr="00CE28E3">
        <w:t>Background</w:t>
      </w:r>
      <w:bookmarkEnd w:id="4"/>
    </w:p>
    <w:p w14:paraId="5A24158F" w14:textId="5EB5B944" w:rsidR="00BC31B4" w:rsidRDefault="00BC31B4" w:rsidP="00BC31B4">
      <w:bookmarkStart w:id="5" w:name="_Hlk69734494"/>
      <w:r>
        <w:t>At its March-April 2022 meeting, MSAC</w:t>
      </w:r>
      <w:r w:rsidRPr="00BC31B4">
        <w:t xml:space="preserve"> deferred providing its advice on the IPAC Project.</w:t>
      </w:r>
      <w:r w:rsidR="00B80581">
        <w:t xml:space="preserve"> </w:t>
      </w:r>
      <w:r>
        <w:t xml:space="preserve">MSAC considered additional information </w:t>
      </w:r>
      <w:r w:rsidR="00B77764">
        <w:t xml:space="preserve">was </w:t>
      </w:r>
      <w:r>
        <w:t>required to interpret</w:t>
      </w:r>
      <w:r w:rsidR="00B80581">
        <w:t xml:space="preserve"> </w:t>
      </w:r>
      <w:r>
        <w:t>the clinical significance of the biomedical outcomes, assessment of the qualitative feedback,</w:t>
      </w:r>
      <w:r w:rsidR="00B80581">
        <w:t xml:space="preserve"> </w:t>
      </w:r>
      <w:r>
        <w:t>revised economic analysis and presentation of the financial implications in the context of other</w:t>
      </w:r>
      <w:r w:rsidR="00B80581">
        <w:t xml:space="preserve"> </w:t>
      </w:r>
      <w:r>
        <w:t>relevant funding programs. MSAC considered a stakeholder meeting would be informative ahead</w:t>
      </w:r>
      <w:r w:rsidR="00B80581">
        <w:t xml:space="preserve"> </w:t>
      </w:r>
      <w:r>
        <w:t>of its further consideration.</w:t>
      </w:r>
    </w:p>
    <w:p w14:paraId="25C153BB" w14:textId="43F718A6" w:rsidR="00BC31B4" w:rsidRDefault="00B80581" w:rsidP="00B80581">
      <w:r>
        <w:t xml:space="preserve">MSAC noted the positive narrative assessments and considered a formal appraisal and synthesis of the qualitative assessments should be performed. MSAC advised that the economic evaluation needed to be revised to reflect clinically meaningful outcomes. MSAC requested updated financial implications considering programmatic funding including consideration of fixed and variable costs of the program, potential economies of scale, and needs of different geographic locations. MSAC considered the revised financial implications should present the full context of similar services, include an analysis of the extent to which the IPAC model is expected to replace </w:t>
      </w:r>
      <w:r>
        <w:lastRenderedPageBreak/>
        <w:t xml:space="preserve">services provided by other programs (such as HMRs, </w:t>
      </w:r>
      <w:r w:rsidR="00485959" w:rsidRPr="00925A39">
        <w:rPr>
          <w:rFonts w:eastAsia="Arial Narrow" w:cs="Arial Narrow"/>
          <w:lang w:val="en-US"/>
        </w:rPr>
        <w:t xml:space="preserve">Indigenous Health Services Pharmacy Support </w:t>
      </w:r>
      <w:r w:rsidR="00485959">
        <w:rPr>
          <w:rFonts w:eastAsia="Arial Narrow" w:cs="Arial Narrow"/>
          <w:lang w:val="en-US"/>
        </w:rPr>
        <w:t>[</w:t>
      </w:r>
      <w:r w:rsidR="00485959" w:rsidRPr="00925A39">
        <w:rPr>
          <w:rFonts w:eastAsia="Arial Narrow" w:cs="Arial Narrow"/>
          <w:lang w:val="en-US"/>
        </w:rPr>
        <w:t>IHSPS</w:t>
      </w:r>
      <w:r w:rsidR="00485959">
        <w:rPr>
          <w:rFonts w:eastAsia="Arial Narrow" w:cs="Arial Narrow"/>
          <w:lang w:val="en-US"/>
        </w:rPr>
        <w:t>]</w:t>
      </w:r>
      <w:r w:rsidR="00485959" w:rsidRPr="00925A39">
        <w:rPr>
          <w:rFonts w:eastAsia="Arial Narrow" w:cs="Arial Narrow"/>
          <w:lang w:val="en-US"/>
        </w:rPr>
        <w:t xml:space="preserve">, Workforce Incentive Program- Practice Stream </w:t>
      </w:r>
      <w:r w:rsidR="00485959">
        <w:rPr>
          <w:rFonts w:eastAsia="Arial Narrow" w:cs="Arial Narrow"/>
          <w:lang w:val="en-US"/>
        </w:rPr>
        <w:t>[</w:t>
      </w:r>
      <w:r w:rsidR="00485959" w:rsidRPr="00925A39">
        <w:rPr>
          <w:rFonts w:eastAsia="Arial Narrow" w:cs="Arial Narrow"/>
          <w:lang w:val="en-US"/>
        </w:rPr>
        <w:t>WIP</w:t>
      </w:r>
      <w:r w:rsidR="00485959">
        <w:rPr>
          <w:rFonts w:eastAsia="Arial Narrow" w:cs="Arial Narrow"/>
          <w:lang w:val="en-US"/>
        </w:rPr>
        <w:t>]</w:t>
      </w:r>
      <w:r>
        <w:t xml:space="preserve">) and where IPAC would provide a service to people not accessing existing programs. Refer to the MSAC Public Summary Document (PSD) </w:t>
      </w:r>
      <w:hyperlink r:id="rId12" w:history="1">
        <w:r w:rsidRPr="00B80581">
          <w:rPr>
            <w:rStyle w:val="Hyperlink"/>
          </w:rPr>
          <w:t>Application No. 1678</w:t>
        </w:r>
      </w:hyperlink>
      <w:r>
        <w:t xml:space="preserve"> for further information. </w:t>
      </w:r>
    </w:p>
    <w:p w14:paraId="14ACBAE5" w14:textId="7C915950" w:rsidR="00B80581" w:rsidRPr="00163A34" w:rsidRDefault="00824C88" w:rsidP="4EBA7D1E">
      <w:r w:rsidRPr="00163A34">
        <w:t xml:space="preserve">The </w:t>
      </w:r>
      <w:hyperlink r:id="rId13" w:history="1">
        <w:r w:rsidRPr="00837673">
          <w:rPr>
            <w:rStyle w:val="Hyperlink"/>
          </w:rPr>
          <w:t>stakeholder meeting</w:t>
        </w:r>
      </w:hyperlink>
      <w:r w:rsidRPr="00163A34">
        <w:t xml:space="preserve"> held on </w:t>
      </w:r>
      <w:r w:rsidR="00B80581" w:rsidRPr="00163A34">
        <w:t xml:space="preserve">10 October 2022, </w:t>
      </w:r>
      <w:r w:rsidRPr="00163A34">
        <w:t>included representatives of the applicant</w:t>
      </w:r>
      <w:r w:rsidR="00466856" w:rsidRPr="00163A34">
        <w:t xml:space="preserve"> from PSA</w:t>
      </w:r>
      <w:r w:rsidR="00721AE8" w:rsidRPr="00163A34">
        <w:t>,</w:t>
      </w:r>
      <w:r w:rsidR="00466856" w:rsidRPr="00163A34">
        <w:t xml:space="preserve"> NACCHO and </w:t>
      </w:r>
      <w:r w:rsidR="003A039C">
        <w:t>James Cook University</w:t>
      </w:r>
      <w:r w:rsidR="00686E13" w:rsidRPr="00163A34">
        <w:t xml:space="preserve">, representatives from </w:t>
      </w:r>
      <w:r w:rsidR="00B915B9" w:rsidRPr="00163A34">
        <w:t>Aboriginal Health Services (AHS)</w:t>
      </w:r>
      <w:r w:rsidR="001018FE" w:rsidRPr="00163A34">
        <w:t>,</w:t>
      </w:r>
      <w:r w:rsidR="00B915B9" w:rsidRPr="00163A34">
        <w:t xml:space="preserve"> Aboriginal Community Controlled Health Services (ACCHS)</w:t>
      </w:r>
      <w:r w:rsidR="001018FE" w:rsidRPr="00163A34">
        <w:t>,</w:t>
      </w:r>
      <w:r w:rsidR="007F4066" w:rsidRPr="00163A34">
        <w:t xml:space="preserve"> Northern Territory (NT) Health Department</w:t>
      </w:r>
      <w:r w:rsidR="001018FE" w:rsidRPr="00163A34">
        <w:t xml:space="preserve"> and </w:t>
      </w:r>
      <w:r w:rsidR="008B6A47" w:rsidRPr="00163A34">
        <w:t xml:space="preserve">the </w:t>
      </w:r>
      <w:r w:rsidR="001018FE" w:rsidRPr="00163A34">
        <w:t>Department of Health</w:t>
      </w:r>
      <w:r w:rsidR="00942248" w:rsidRPr="00163A34">
        <w:t xml:space="preserve"> and Aged Care</w:t>
      </w:r>
      <w:r w:rsidR="001018FE" w:rsidRPr="00163A34">
        <w:t xml:space="preserve">. </w:t>
      </w:r>
      <w:r w:rsidR="0050763A" w:rsidRPr="00163A34">
        <w:t xml:space="preserve">The aim of the </w:t>
      </w:r>
      <w:r w:rsidR="00B80581" w:rsidRPr="00163A34">
        <w:t xml:space="preserve">stakeholder meeting was to inform MSAC’s future deliberations and advice to the Minister for Health and Aged Care by providing a better understanding of issues raised during its March-April 2022 consideration of </w:t>
      </w:r>
      <w:r w:rsidR="0056495D" w:rsidRPr="00163A34">
        <w:t xml:space="preserve">the </w:t>
      </w:r>
      <w:r w:rsidR="00976FDC" w:rsidRPr="00163A34">
        <w:t>a</w:t>
      </w:r>
      <w:r w:rsidR="00B80581" w:rsidRPr="00163A34">
        <w:t xml:space="preserve">pplication. </w:t>
      </w:r>
    </w:p>
    <w:p w14:paraId="3296C470" w14:textId="2E1C5A8D" w:rsidR="71FB92E3" w:rsidRPr="00925A39" w:rsidRDefault="00FD50D8" w:rsidP="4EBA7D1E">
      <w:pPr>
        <w:pStyle w:val="Instructionaltext"/>
        <w:rPr>
          <w:rFonts w:eastAsia="Arial Narrow" w:cs="Arial Narrow"/>
          <w:color w:val="auto"/>
          <w:lang w:val="en-US"/>
        </w:rPr>
      </w:pPr>
      <w:r w:rsidRPr="00925A39">
        <w:rPr>
          <w:rFonts w:eastAsia="Arial Narrow" w:cs="Arial Narrow"/>
          <w:color w:val="auto"/>
          <w:lang w:val="en-US"/>
        </w:rPr>
        <w:t>Stakeholders</w:t>
      </w:r>
      <w:r w:rsidR="00211FD8" w:rsidRPr="00925A39">
        <w:rPr>
          <w:rFonts w:eastAsia="Arial Narrow" w:cs="Arial Narrow"/>
          <w:color w:val="auto"/>
          <w:lang w:val="en-US"/>
        </w:rPr>
        <w:t xml:space="preserve"> </w:t>
      </w:r>
      <w:r w:rsidR="00DD257E" w:rsidRPr="00925A39">
        <w:rPr>
          <w:rFonts w:eastAsia="Arial Narrow" w:cs="Arial Narrow"/>
          <w:color w:val="auto"/>
          <w:lang w:val="en-US"/>
        </w:rPr>
        <w:t xml:space="preserve">were </w:t>
      </w:r>
      <w:r w:rsidR="00C00C15" w:rsidRPr="00925A39">
        <w:rPr>
          <w:rFonts w:eastAsia="Arial Narrow" w:cs="Arial Narrow"/>
          <w:color w:val="auto"/>
          <w:lang w:val="en-US"/>
        </w:rPr>
        <w:t>unanimous</w:t>
      </w:r>
      <w:r w:rsidR="00877A79" w:rsidRPr="00925A39">
        <w:rPr>
          <w:rFonts w:eastAsia="Arial Narrow" w:cs="Arial Narrow"/>
          <w:color w:val="auto"/>
          <w:lang w:val="en-US"/>
        </w:rPr>
        <w:t xml:space="preserve"> </w:t>
      </w:r>
      <w:r w:rsidR="007242A7" w:rsidRPr="00925A39">
        <w:rPr>
          <w:rFonts w:eastAsia="Arial Narrow" w:cs="Arial Narrow"/>
          <w:color w:val="auto"/>
          <w:lang w:val="en-US"/>
        </w:rPr>
        <w:t>in</w:t>
      </w:r>
      <w:r w:rsidR="700F7587" w:rsidRPr="00925A39" w:rsidDel="00877A79">
        <w:rPr>
          <w:rFonts w:eastAsia="Arial Narrow" w:cs="Arial Narrow"/>
          <w:color w:val="auto"/>
          <w:lang w:val="en-US"/>
        </w:rPr>
        <w:t xml:space="preserve"> the </w:t>
      </w:r>
      <w:r w:rsidR="007242A7" w:rsidRPr="00925A39">
        <w:rPr>
          <w:rFonts w:eastAsia="Arial Narrow" w:cs="Arial Narrow"/>
          <w:color w:val="auto"/>
          <w:lang w:val="en-US"/>
        </w:rPr>
        <w:t xml:space="preserve">view </w:t>
      </w:r>
      <w:r w:rsidR="71FB92E3" w:rsidRPr="00925A39">
        <w:rPr>
          <w:rFonts w:eastAsia="Arial Narrow" w:cs="Arial Narrow"/>
          <w:color w:val="auto"/>
          <w:lang w:val="en-US"/>
        </w:rPr>
        <w:t>that integrating pharmacists within ACCHSs w</w:t>
      </w:r>
      <w:r w:rsidR="4E7B0794" w:rsidRPr="00925A39">
        <w:rPr>
          <w:rFonts w:eastAsia="Arial Narrow" w:cs="Arial Narrow"/>
          <w:color w:val="auto"/>
          <w:lang w:val="en-US"/>
        </w:rPr>
        <w:t>ould</w:t>
      </w:r>
      <w:r w:rsidR="71FB92E3" w:rsidRPr="00925A39">
        <w:rPr>
          <w:rFonts w:eastAsia="Arial Narrow" w:cs="Arial Narrow"/>
          <w:color w:val="auto"/>
          <w:lang w:val="en-US"/>
        </w:rPr>
        <w:t xml:space="preserve"> provide </w:t>
      </w:r>
      <w:r w:rsidR="00796607" w:rsidRPr="00925A39">
        <w:rPr>
          <w:rFonts w:eastAsia="Arial Narrow" w:cs="Arial Narrow"/>
          <w:color w:val="auto"/>
          <w:lang w:val="en-US"/>
        </w:rPr>
        <w:t>integrated and collaborative healthcare</w:t>
      </w:r>
      <w:r w:rsidR="00D55D65" w:rsidRPr="00925A39">
        <w:rPr>
          <w:rFonts w:eastAsia="Arial Narrow" w:cs="Arial Narrow"/>
          <w:color w:val="auto"/>
          <w:lang w:val="en-US"/>
        </w:rPr>
        <w:t>,</w:t>
      </w:r>
      <w:r w:rsidR="71FB92E3" w:rsidRPr="00925A39">
        <w:rPr>
          <w:rFonts w:eastAsia="Arial Narrow" w:cs="Arial Narrow"/>
          <w:color w:val="auto"/>
          <w:lang w:val="en-US"/>
        </w:rPr>
        <w:t xml:space="preserve"> improving health outcomes for First Nations peoples</w:t>
      </w:r>
      <w:r w:rsidR="0045410D" w:rsidRPr="00925A39">
        <w:rPr>
          <w:rFonts w:eastAsia="Arial Narrow" w:cs="Arial Narrow"/>
          <w:color w:val="auto"/>
          <w:lang w:val="en-US"/>
        </w:rPr>
        <w:t xml:space="preserve"> and </w:t>
      </w:r>
      <w:r w:rsidR="003D79DF" w:rsidRPr="00925A39">
        <w:rPr>
          <w:rFonts w:eastAsia="Arial Narrow" w:cs="Arial Narrow"/>
          <w:color w:val="auto"/>
          <w:lang w:val="en-US"/>
        </w:rPr>
        <w:t xml:space="preserve">suggested that </w:t>
      </w:r>
      <w:r w:rsidR="0045410D" w:rsidRPr="00925A39">
        <w:rPr>
          <w:rFonts w:eastAsia="Arial Narrow" w:cs="Arial Narrow"/>
          <w:color w:val="auto"/>
          <w:lang w:val="en-US"/>
        </w:rPr>
        <w:t>the</w:t>
      </w:r>
      <w:r w:rsidR="008579D7" w:rsidRPr="00925A39">
        <w:rPr>
          <w:rFonts w:eastAsia="Arial Narrow" w:cs="Arial Narrow"/>
          <w:color w:val="auto"/>
          <w:lang w:val="en-US"/>
        </w:rPr>
        <w:t xml:space="preserve"> </w:t>
      </w:r>
      <w:r w:rsidR="007677DC">
        <w:rPr>
          <w:rFonts w:eastAsia="Arial Narrow" w:cs="Arial Narrow"/>
          <w:color w:val="auto"/>
          <w:lang w:val="en-US"/>
        </w:rPr>
        <w:t>IPAC study</w:t>
      </w:r>
      <w:r w:rsidR="007677DC" w:rsidRPr="00925A39">
        <w:rPr>
          <w:rFonts w:eastAsia="Arial Narrow" w:cs="Arial Narrow"/>
          <w:color w:val="auto"/>
          <w:lang w:val="en-US"/>
        </w:rPr>
        <w:t xml:space="preserve"> </w:t>
      </w:r>
      <w:r w:rsidR="003D79DF" w:rsidRPr="00925A39">
        <w:rPr>
          <w:rFonts w:eastAsia="Arial Narrow" w:cs="Arial Narrow"/>
          <w:color w:val="auto"/>
          <w:lang w:val="en-US"/>
        </w:rPr>
        <w:t xml:space="preserve">results potentially </w:t>
      </w:r>
      <w:r w:rsidR="008579D7" w:rsidRPr="00925A39">
        <w:rPr>
          <w:rFonts w:eastAsia="Arial Narrow" w:cs="Arial Narrow"/>
          <w:color w:val="auto"/>
          <w:lang w:val="en-US"/>
        </w:rPr>
        <w:t>underreported</w:t>
      </w:r>
      <w:r w:rsidR="003D79DF" w:rsidRPr="00925A39">
        <w:rPr>
          <w:rFonts w:eastAsia="Arial Narrow" w:cs="Arial Narrow"/>
          <w:color w:val="auto"/>
          <w:lang w:val="en-US"/>
        </w:rPr>
        <w:t xml:space="preserve"> the benefits</w:t>
      </w:r>
      <w:r w:rsidR="008579D7" w:rsidRPr="00925A39">
        <w:rPr>
          <w:rFonts w:eastAsia="Arial Narrow" w:cs="Arial Narrow"/>
          <w:color w:val="auto"/>
          <w:lang w:val="en-US"/>
        </w:rPr>
        <w:t xml:space="preserve"> </w:t>
      </w:r>
      <w:r w:rsidR="00372C98" w:rsidRPr="00925A39">
        <w:rPr>
          <w:rFonts w:eastAsia="Arial Narrow" w:cs="Arial Narrow"/>
          <w:color w:val="auto"/>
          <w:lang w:val="en-US"/>
        </w:rPr>
        <w:t>due</w:t>
      </w:r>
      <w:r w:rsidR="008579D7" w:rsidRPr="00925A39">
        <w:rPr>
          <w:rFonts w:eastAsia="Arial Narrow" w:cs="Arial Narrow"/>
          <w:color w:val="auto"/>
          <w:lang w:val="en-US"/>
        </w:rPr>
        <w:t xml:space="preserve"> to the short duration of the </w:t>
      </w:r>
      <w:r w:rsidR="007677DC">
        <w:rPr>
          <w:rFonts w:eastAsia="Arial Narrow" w:cs="Arial Narrow"/>
          <w:color w:val="auto"/>
          <w:lang w:val="en-US"/>
        </w:rPr>
        <w:t>study</w:t>
      </w:r>
      <w:r w:rsidR="008579D7" w:rsidRPr="00925A39">
        <w:rPr>
          <w:rFonts w:eastAsia="Arial Narrow" w:cs="Arial Narrow"/>
          <w:color w:val="auto"/>
          <w:lang w:val="en-US"/>
        </w:rPr>
        <w:t>.</w:t>
      </w:r>
    </w:p>
    <w:p w14:paraId="57D35BD4" w14:textId="10CA96E3" w:rsidR="00D9264C" w:rsidRPr="00925A39" w:rsidRDefault="71FB92E3" w:rsidP="4EBA7D1E">
      <w:pPr>
        <w:pStyle w:val="Instructionaltext"/>
        <w:rPr>
          <w:rFonts w:eastAsia="Arial Narrow" w:cs="Arial Narrow"/>
          <w:color w:val="auto"/>
          <w:lang w:val="en-US"/>
        </w:rPr>
      </w:pPr>
      <w:r w:rsidRPr="00925A39">
        <w:rPr>
          <w:rFonts w:eastAsia="Arial Narrow" w:cs="Arial Narrow"/>
          <w:color w:val="auto"/>
          <w:lang w:val="en-US"/>
        </w:rPr>
        <w:t xml:space="preserve">Stakeholders </w:t>
      </w:r>
      <w:r w:rsidR="0035388F" w:rsidRPr="00925A39">
        <w:rPr>
          <w:rFonts w:eastAsia="Arial Narrow" w:cs="Arial Narrow"/>
          <w:color w:val="auto"/>
          <w:lang w:val="en-US"/>
        </w:rPr>
        <w:t>also agreed that</w:t>
      </w:r>
      <w:r w:rsidR="00734626" w:rsidRPr="00925A39">
        <w:rPr>
          <w:rFonts w:eastAsia="Arial Narrow" w:cs="Arial Narrow"/>
          <w:color w:val="auto"/>
          <w:lang w:val="en-US"/>
        </w:rPr>
        <w:t xml:space="preserve"> funding programs</w:t>
      </w:r>
      <w:r w:rsidR="00CC3B2D" w:rsidRPr="00925A39">
        <w:rPr>
          <w:rFonts w:eastAsia="Arial Narrow" w:cs="Arial Narrow"/>
          <w:color w:val="auto"/>
          <w:lang w:val="en-US"/>
        </w:rPr>
        <w:t xml:space="preserve"> currently</w:t>
      </w:r>
      <w:r w:rsidR="00734626" w:rsidRPr="00925A39">
        <w:rPr>
          <w:rFonts w:eastAsia="Arial Narrow" w:cs="Arial Narrow"/>
          <w:color w:val="auto"/>
          <w:lang w:val="en-US"/>
        </w:rPr>
        <w:t xml:space="preserve"> available to First Nation</w:t>
      </w:r>
      <w:r w:rsidR="00C404AC" w:rsidRPr="00925A39">
        <w:rPr>
          <w:rFonts w:eastAsia="Arial Narrow" w:cs="Arial Narrow"/>
          <w:color w:val="auto"/>
          <w:lang w:val="en-US"/>
        </w:rPr>
        <w:t>s peoples</w:t>
      </w:r>
      <w:r w:rsidR="00B00B78" w:rsidRPr="00925A39">
        <w:rPr>
          <w:rFonts w:eastAsia="Arial Narrow" w:cs="Arial Narrow"/>
          <w:color w:val="auto"/>
          <w:lang w:val="en-US"/>
        </w:rPr>
        <w:t xml:space="preserve"> such as </w:t>
      </w:r>
      <w:r w:rsidR="00E44D78" w:rsidRPr="00925A39">
        <w:rPr>
          <w:rFonts w:eastAsia="Arial Narrow" w:cs="Arial Narrow"/>
          <w:color w:val="auto"/>
          <w:lang w:val="en-US"/>
        </w:rPr>
        <w:t>the IHSPS</w:t>
      </w:r>
      <w:r w:rsidR="00AB542B" w:rsidRPr="00925A39">
        <w:rPr>
          <w:rFonts w:eastAsia="Arial Narrow" w:cs="Arial Narrow"/>
          <w:color w:val="auto"/>
          <w:lang w:val="en-US"/>
        </w:rPr>
        <w:t xml:space="preserve">, </w:t>
      </w:r>
      <w:r w:rsidR="00BB69B9" w:rsidRPr="00925A39">
        <w:rPr>
          <w:rFonts w:eastAsia="Arial Narrow" w:cs="Arial Narrow"/>
          <w:color w:val="auto"/>
          <w:lang w:val="en-US"/>
        </w:rPr>
        <w:t>WI</w:t>
      </w:r>
      <w:r w:rsidR="00AB542B" w:rsidRPr="00925A39">
        <w:rPr>
          <w:rFonts w:eastAsia="Arial Narrow" w:cs="Arial Narrow"/>
          <w:color w:val="auto"/>
          <w:lang w:val="en-US"/>
        </w:rPr>
        <w:t>P</w:t>
      </w:r>
      <w:r w:rsidR="00015DBA">
        <w:rPr>
          <w:rFonts w:eastAsia="Arial Narrow" w:cs="Arial Narrow"/>
          <w:color w:val="auto"/>
          <w:lang w:val="en-US"/>
        </w:rPr>
        <w:t>-</w:t>
      </w:r>
      <w:r w:rsidR="00D15B81">
        <w:rPr>
          <w:rFonts w:eastAsia="Arial Narrow" w:cs="Arial Narrow"/>
          <w:color w:val="auto"/>
          <w:lang w:val="en-US"/>
        </w:rPr>
        <w:t xml:space="preserve"> Practice Stream</w:t>
      </w:r>
      <w:r w:rsidR="007C0C08" w:rsidRPr="00925A39">
        <w:rPr>
          <w:rFonts w:eastAsia="Arial Narrow" w:cs="Arial Narrow"/>
          <w:color w:val="auto"/>
          <w:lang w:val="en-US"/>
        </w:rPr>
        <w:t xml:space="preserve">, </w:t>
      </w:r>
      <w:r w:rsidR="004570C7" w:rsidRPr="00925A39">
        <w:rPr>
          <w:rFonts w:eastAsia="Arial Narrow" w:cs="Arial Narrow"/>
          <w:color w:val="auto"/>
          <w:lang w:val="en-US"/>
        </w:rPr>
        <w:t xml:space="preserve">Medical Outreach for </w:t>
      </w:r>
      <w:r w:rsidR="00FC71E8" w:rsidRPr="00925A39">
        <w:rPr>
          <w:rFonts w:eastAsia="Arial Narrow" w:cs="Arial Narrow"/>
          <w:color w:val="auto"/>
          <w:lang w:val="en-US"/>
        </w:rPr>
        <w:t>Indigenous Chronic Disease Program (MOICDP)</w:t>
      </w:r>
      <w:r w:rsidR="00173E24" w:rsidRPr="00925A39">
        <w:rPr>
          <w:rFonts w:eastAsia="Arial Narrow" w:cs="Arial Narrow"/>
          <w:color w:val="auto"/>
          <w:lang w:val="en-US"/>
        </w:rPr>
        <w:t xml:space="preserve"> and Primary Health Networks – Integrated Team Care</w:t>
      </w:r>
      <w:r w:rsidR="000B1A5E" w:rsidRPr="00925A39">
        <w:rPr>
          <w:rFonts w:eastAsia="Arial Narrow" w:cs="Arial Narrow"/>
          <w:color w:val="auto"/>
          <w:lang w:val="en-US"/>
        </w:rPr>
        <w:t xml:space="preserve"> </w:t>
      </w:r>
      <w:r w:rsidR="00C404AC" w:rsidRPr="00925A39">
        <w:rPr>
          <w:rFonts w:eastAsia="Arial Narrow" w:cs="Arial Narrow"/>
          <w:color w:val="auto"/>
          <w:lang w:val="en-US"/>
        </w:rPr>
        <w:t>were</w:t>
      </w:r>
      <w:r w:rsidR="2714E36A" w:rsidRPr="00925A39">
        <w:rPr>
          <w:rFonts w:eastAsia="Arial Narrow" w:cs="Arial Narrow"/>
          <w:color w:val="auto"/>
          <w:lang w:val="en-US"/>
        </w:rPr>
        <w:t xml:space="preserve"> inadequate to support </w:t>
      </w:r>
      <w:r w:rsidR="00751357" w:rsidRPr="00925A39">
        <w:rPr>
          <w:rFonts w:eastAsia="Arial Narrow" w:cs="Arial Narrow"/>
          <w:color w:val="auto"/>
          <w:lang w:val="en-US"/>
        </w:rPr>
        <w:t xml:space="preserve">continued </w:t>
      </w:r>
      <w:r w:rsidR="2714E36A" w:rsidRPr="00925A39">
        <w:rPr>
          <w:rFonts w:eastAsia="Arial Narrow" w:cs="Arial Narrow"/>
          <w:color w:val="auto"/>
          <w:lang w:val="en-US"/>
        </w:rPr>
        <w:t xml:space="preserve">funding </w:t>
      </w:r>
      <w:r w:rsidR="00A73A21" w:rsidRPr="00925A39">
        <w:rPr>
          <w:rFonts w:eastAsia="Arial Narrow" w:cs="Arial Narrow"/>
          <w:color w:val="auto"/>
          <w:lang w:val="en-US"/>
        </w:rPr>
        <w:t xml:space="preserve">for </w:t>
      </w:r>
      <w:r w:rsidR="2714E36A" w:rsidRPr="00925A39">
        <w:rPr>
          <w:rFonts w:eastAsia="Arial Narrow" w:cs="Arial Narrow"/>
          <w:color w:val="auto"/>
          <w:lang w:val="en-US"/>
        </w:rPr>
        <w:t>an integrated pharmacist.</w:t>
      </w:r>
      <w:r w:rsidR="325CAA2A" w:rsidRPr="00925A39">
        <w:rPr>
          <w:rFonts w:eastAsia="Arial Narrow" w:cs="Arial Narrow"/>
          <w:color w:val="auto"/>
          <w:lang w:val="en-US"/>
        </w:rPr>
        <w:t xml:space="preserve"> </w:t>
      </w:r>
      <w:r w:rsidR="00C73CC6" w:rsidRPr="00925A39">
        <w:rPr>
          <w:rFonts w:eastAsia="Arial Narrow" w:cs="Arial Narrow"/>
          <w:color w:val="auto"/>
          <w:lang w:val="en-US"/>
        </w:rPr>
        <w:t xml:space="preserve">Most of these programs were already being used to </w:t>
      </w:r>
      <w:r w:rsidR="009C4EA0" w:rsidRPr="00925A39">
        <w:rPr>
          <w:rFonts w:eastAsia="Arial Narrow" w:cs="Arial Narrow"/>
          <w:color w:val="auto"/>
          <w:lang w:val="en-US"/>
        </w:rPr>
        <w:t>support services from other allied health professions</w:t>
      </w:r>
      <w:r w:rsidR="004B33A4" w:rsidRPr="00925A39">
        <w:rPr>
          <w:rFonts w:eastAsia="Arial Narrow" w:cs="Arial Narrow"/>
          <w:color w:val="auto"/>
          <w:lang w:val="en-US"/>
        </w:rPr>
        <w:t xml:space="preserve"> or </w:t>
      </w:r>
      <w:r w:rsidR="00A73A21" w:rsidRPr="00925A39">
        <w:rPr>
          <w:rFonts w:eastAsia="Arial Narrow" w:cs="Arial Narrow"/>
          <w:color w:val="auto"/>
          <w:lang w:val="en-US"/>
        </w:rPr>
        <w:t xml:space="preserve">for </w:t>
      </w:r>
      <w:r w:rsidR="004B33A4" w:rsidRPr="00925A39">
        <w:rPr>
          <w:rFonts w:eastAsia="Arial Narrow" w:cs="Arial Narrow"/>
          <w:color w:val="auto"/>
          <w:lang w:val="en-US"/>
        </w:rPr>
        <w:t xml:space="preserve">other </w:t>
      </w:r>
      <w:r w:rsidR="00473E25">
        <w:rPr>
          <w:rFonts w:eastAsia="Arial Narrow" w:cs="Arial Narrow"/>
          <w:color w:val="auto"/>
          <w:lang w:val="en-US"/>
        </w:rPr>
        <w:t>q</w:t>
      </w:r>
      <w:r w:rsidR="00485959">
        <w:rPr>
          <w:rFonts w:eastAsia="Arial Narrow" w:cs="Arial Narrow"/>
          <w:color w:val="auto"/>
          <w:lang w:val="en-US"/>
        </w:rPr>
        <w:t xml:space="preserve">uality use of </w:t>
      </w:r>
      <w:r w:rsidR="00473E25">
        <w:rPr>
          <w:rFonts w:eastAsia="Arial Narrow" w:cs="Arial Narrow"/>
          <w:color w:val="auto"/>
          <w:lang w:val="en-US"/>
        </w:rPr>
        <w:t>medicine (</w:t>
      </w:r>
      <w:r w:rsidR="004B33A4" w:rsidRPr="00925A39">
        <w:rPr>
          <w:rFonts w:eastAsia="Arial Narrow" w:cs="Arial Narrow"/>
          <w:color w:val="auto"/>
          <w:lang w:val="en-US"/>
        </w:rPr>
        <w:t>QUM</w:t>
      </w:r>
      <w:r w:rsidR="00473E25">
        <w:rPr>
          <w:rFonts w:eastAsia="Arial Narrow" w:cs="Arial Narrow"/>
          <w:color w:val="auto"/>
          <w:lang w:val="en-US"/>
        </w:rPr>
        <w:t>)</w:t>
      </w:r>
      <w:r w:rsidR="004B33A4" w:rsidRPr="00925A39">
        <w:rPr>
          <w:rFonts w:eastAsia="Arial Narrow" w:cs="Arial Narrow"/>
          <w:color w:val="auto"/>
          <w:lang w:val="en-US"/>
        </w:rPr>
        <w:t xml:space="preserve"> activities</w:t>
      </w:r>
      <w:r w:rsidR="002610ED" w:rsidRPr="00925A39">
        <w:rPr>
          <w:rFonts w:eastAsia="Arial Narrow" w:cs="Arial Narrow"/>
          <w:color w:val="auto"/>
          <w:lang w:val="en-US"/>
        </w:rPr>
        <w:t>, leaving little or no funds for a</w:t>
      </w:r>
      <w:r w:rsidR="003B5391" w:rsidRPr="00925A39">
        <w:rPr>
          <w:rFonts w:eastAsia="Arial Narrow" w:cs="Arial Narrow"/>
          <w:color w:val="auto"/>
          <w:lang w:val="en-US"/>
        </w:rPr>
        <w:t>n integrated pharmacist</w:t>
      </w:r>
      <w:r w:rsidR="00072219" w:rsidRPr="00925A39">
        <w:rPr>
          <w:rFonts w:eastAsia="Arial Narrow" w:cs="Arial Narrow"/>
          <w:color w:val="auto"/>
          <w:lang w:val="en-US"/>
        </w:rPr>
        <w:t>.</w:t>
      </w:r>
      <w:r w:rsidR="003B5391" w:rsidRPr="00925A39">
        <w:rPr>
          <w:rFonts w:eastAsia="Arial Narrow" w:cs="Arial Narrow"/>
          <w:color w:val="auto"/>
          <w:lang w:val="en-US"/>
        </w:rPr>
        <w:t xml:space="preserve"> </w:t>
      </w:r>
      <w:r w:rsidR="006B7D5B" w:rsidRPr="00925A39">
        <w:rPr>
          <w:rFonts w:eastAsia="Arial Narrow" w:cs="Arial Narrow"/>
          <w:color w:val="auto"/>
          <w:lang w:val="en-US"/>
        </w:rPr>
        <w:t xml:space="preserve">Additionally, </w:t>
      </w:r>
      <w:r w:rsidR="0003643B" w:rsidRPr="00925A39">
        <w:rPr>
          <w:rFonts w:eastAsia="Arial Narrow" w:cs="Arial Narrow"/>
          <w:color w:val="auto"/>
          <w:lang w:val="en-US"/>
        </w:rPr>
        <w:t xml:space="preserve">other allied health professionals </w:t>
      </w:r>
      <w:r w:rsidR="00AE723F" w:rsidRPr="00925A39">
        <w:rPr>
          <w:rFonts w:eastAsia="Arial Narrow" w:cs="Arial Narrow"/>
          <w:color w:val="auto"/>
          <w:lang w:val="en-US"/>
        </w:rPr>
        <w:t>were</w:t>
      </w:r>
      <w:r w:rsidR="0003643B" w:rsidRPr="00925A39">
        <w:rPr>
          <w:rFonts w:eastAsia="Arial Narrow" w:cs="Arial Narrow"/>
          <w:color w:val="auto"/>
          <w:lang w:val="en-US"/>
        </w:rPr>
        <w:t xml:space="preserve"> eligible to claim MBS </w:t>
      </w:r>
      <w:r w:rsidR="006B7D5B" w:rsidRPr="00925A39">
        <w:rPr>
          <w:rFonts w:eastAsia="Arial Narrow" w:cs="Arial Narrow"/>
          <w:color w:val="auto"/>
          <w:lang w:val="en-US"/>
        </w:rPr>
        <w:t xml:space="preserve">services, </w:t>
      </w:r>
      <w:r w:rsidR="00810CC1" w:rsidRPr="00925A39">
        <w:rPr>
          <w:rFonts w:eastAsia="Arial Narrow" w:cs="Arial Narrow"/>
          <w:color w:val="auto"/>
          <w:lang w:val="en-US"/>
        </w:rPr>
        <w:t xml:space="preserve">often used </w:t>
      </w:r>
      <w:r w:rsidR="00304932" w:rsidRPr="00925A39">
        <w:rPr>
          <w:rFonts w:eastAsia="Arial Narrow" w:cs="Arial Narrow"/>
          <w:color w:val="auto"/>
          <w:lang w:val="en-US"/>
        </w:rPr>
        <w:t>to</w:t>
      </w:r>
      <w:r w:rsidR="00FD76B9" w:rsidRPr="00925A39">
        <w:rPr>
          <w:rFonts w:eastAsia="Arial Narrow" w:cs="Arial Narrow"/>
          <w:color w:val="auto"/>
          <w:lang w:val="en-US"/>
        </w:rPr>
        <w:t xml:space="preserve"> supplement funding</w:t>
      </w:r>
      <w:r w:rsidR="004C7018" w:rsidRPr="00925A39">
        <w:rPr>
          <w:rFonts w:eastAsia="Arial Narrow" w:cs="Arial Narrow"/>
          <w:color w:val="auto"/>
          <w:lang w:val="en-US"/>
        </w:rPr>
        <w:t xml:space="preserve"> for other services</w:t>
      </w:r>
      <w:r w:rsidR="00FD76B9" w:rsidRPr="00925A39">
        <w:rPr>
          <w:rFonts w:eastAsia="Arial Narrow" w:cs="Arial Narrow"/>
          <w:color w:val="auto"/>
          <w:lang w:val="en-US"/>
        </w:rPr>
        <w:t xml:space="preserve"> in these</w:t>
      </w:r>
      <w:r w:rsidR="00810CC1" w:rsidRPr="00925A39">
        <w:rPr>
          <w:rFonts w:eastAsia="Arial Narrow" w:cs="Arial Narrow"/>
          <w:color w:val="auto"/>
          <w:lang w:val="en-US"/>
        </w:rPr>
        <w:t xml:space="preserve"> ACCHSs</w:t>
      </w:r>
      <w:r w:rsidR="006B7D5B" w:rsidRPr="00925A39">
        <w:rPr>
          <w:rFonts w:eastAsia="Arial Narrow" w:cs="Arial Narrow"/>
          <w:color w:val="auto"/>
          <w:lang w:val="en-US"/>
        </w:rPr>
        <w:t>, while</w:t>
      </w:r>
      <w:r w:rsidR="004C7018" w:rsidRPr="00925A39">
        <w:rPr>
          <w:rFonts w:eastAsia="Arial Narrow" w:cs="Arial Narrow"/>
          <w:color w:val="auto"/>
          <w:lang w:val="en-US"/>
        </w:rPr>
        <w:t xml:space="preserve"> this was not possible with a pharmacist</w:t>
      </w:r>
      <w:r w:rsidR="00132A85" w:rsidRPr="00925A39">
        <w:rPr>
          <w:rFonts w:eastAsia="Arial Narrow" w:cs="Arial Narrow"/>
          <w:color w:val="auto"/>
          <w:lang w:val="en-US"/>
        </w:rPr>
        <w:t>.</w:t>
      </w:r>
      <w:r w:rsidR="006B7D5B" w:rsidRPr="00925A39">
        <w:rPr>
          <w:rFonts w:eastAsia="Arial Narrow" w:cs="Arial Narrow"/>
          <w:color w:val="auto"/>
          <w:lang w:val="en-US"/>
        </w:rPr>
        <w:t xml:space="preserve"> </w:t>
      </w:r>
      <w:r w:rsidR="001344B4" w:rsidRPr="00925A39">
        <w:rPr>
          <w:rFonts w:eastAsia="Arial Narrow" w:cs="Arial Narrow"/>
          <w:color w:val="auto"/>
          <w:lang w:val="en-US"/>
        </w:rPr>
        <w:t xml:space="preserve">Many ACCHSs needed to use a </w:t>
      </w:r>
      <w:r w:rsidR="0069385B" w:rsidRPr="00925A39">
        <w:rPr>
          <w:rFonts w:eastAsia="Arial Narrow" w:cs="Arial Narrow"/>
          <w:color w:val="auto"/>
          <w:lang w:val="en-US"/>
        </w:rPr>
        <w:t xml:space="preserve">variety of funding sources to </w:t>
      </w:r>
      <w:r w:rsidR="009F4BEF" w:rsidRPr="00925A39">
        <w:rPr>
          <w:rFonts w:eastAsia="Arial Narrow" w:cs="Arial Narrow"/>
          <w:color w:val="auto"/>
          <w:lang w:val="en-US"/>
        </w:rPr>
        <w:t>fund an integrated pharmacist</w:t>
      </w:r>
      <w:r w:rsidR="00191D19" w:rsidRPr="00925A39">
        <w:rPr>
          <w:rFonts w:eastAsia="Arial Narrow" w:cs="Arial Narrow"/>
          <w:color w:val="auto"/>
          <w:lang w:val="en-US"/>
        </w:rPr>
        <w:t xml:space="preserve"> creat</w:t>
      </w:r>
      <w:r w:rsidR="00132A85" w:rsidRPr="00925A39">
        <w:rPr>
          <w:rFonts w:eastAsia="Arial Narrow" w:cs="Arial Narrow"/>
          <w:color w:val="auto"/>
          <w:lang w:val="en-US"/>
        </w:rPr>
        <w:t>ing</w:t>
      </w:r>
      <w:r w:rsidR="00191D19" w:rsidRPr="00925A39">
        <w:rPr>
          <w:rFonts w:eastAsia="Arial Narrow" w:cs="Arial Narrow"/>
          <w:color w:val="auto"/>
          <w:lang w:val="en-US"/>
        </w:rPr>
        <w:t xml:space="preserve"> a lot of administrative burden and potential income loss for the ACCHS</w:t>
      </w:r>
      <w:r w:rsidR="00277735" w:rsidRPr="00925A39">
        <w:rPr>
          <w:rFonts w:eastAsia="Arial Narrow" w:cs="Arial Narrow"/>
          <w:color w:val="auto"/>
          <w:lang w:val="en-US"/>
        </w:rPr>
        <w:t>, making the prospect of continuing service</w:t>
      </w:r>
      <w:r w:rsidR="000735E7" w:rsidRPr="00925A39">
        <w:rPr>
          <w:rFonts w:eastAsia="Arial Narrow" w:cs="Arial Narrow"/>
          <w:color w:val="auto"/>
          <w:lang w:val="en-US"/>
        </w:rPr>
        <w:t xml:space="preserve"> untenable. </w:t>
      </w:r>
    </w:p>
    <w:p w14:paraId="0A795944" w14:textId="6073DC32" w:rsidR="02AE2A12" w:rsidRPr="000A10A7" w:rsidRDefault="02AE2A12" w:rsidP="4EBA7D1E">
      <w:pPr>
        <w:pStyle w:val="Instructionaltext"/>
        <w:rPr>
          <w:rFonts w:eastAsia="Arial Narrow" w:cs="Arial Narrow"/>
          <w:color w:val="auto"/>
          <w:lang w:val="en-US"/>
        </w:rPr>
      </w:pPr>
      <w:r w:rsidRPr="000A10A7">
        <w:rPr>
          <w:rFonts w:eastAsia="Arial Narrow" w:cs="Arial Narrow"/>
          <w:color w:val="auto"/>
          <w:lang w:val="en-US"/>
        </w:rPr>
        <w:t xml:space="preserve">Barriers and enablers to implementation were discussed with key issues being adequate ongoing funding, </w:t>
      </w:r>
      <w:proofErr w:type="gramStart"/>
      <w:r w:rsidRPr="000A10A7">
        <w:rPr>
          <w:rFonts w:eastAsia="Arial Narrow" w:cs="Arial Narrow"/>
          <w:color w:val="auto"/>
          <w:lang w:val="en-US"/>
        </w:rPr>
        <w:t>workforce</w:t>
      </w:r>
      <w:proofErr w:type="gramEnd"/>
      <w:r w:rsidR="60599870" w:rsidRPr="000A10A7">
        <w:rPr>
          <w:rFonts w:eastAsia="Arial Narrow" w:cs="Arial Narrow"/>
          <w:color w:val="auto"/>
          <w:lang w:val="en-US"/>
        </w:rPr>
        <w:t xml:space="preserve"> and support mechanisms.</w:t>
      </w:r>
      <w:r w:rsidR="005D1D23" w:rsidRPr="000A10A7">
        <w:rPr>
          <w:rFonts w:eastAsia="Arial Narrow" w:cs="Arial Narrow"/>
          <w:color w:val="auto"/>
          <w:lang w:val="en-US"/>
        </w:rPr>
        <w:t xml:space="preserve"> </w:t>
      </w:r>
    </w:p>
    <w:p w14:paraId="42C9D09C" w14:textId="7E3C43D4" w:rsidR="00980D21" w:rsidRDefault="00980D21" w:rsidP="00980D21">
      <w:pPr>
        <w:pStyle w:val="Heading3"/>
      </w:pPr>
      <w:r w:rsidRPr="00980D21">
        <w:t>MSAC review of Medication Management Review (MMR) Programs</w:t>
      </w:r>
      <w:r w:rsidR="00FC0270">
        <w:t xml:space="preserve"> </w:t>
      </w:r>
    </w:p>
    <w:p w14:paraId="7E7D9BE0" w14:textId="154A60E6" w:rsidR="00B80581" w:rsidRDefault="00980D21" w:rsidP="4EBA7D1E">
      <w:pPr>
        <w:rPr>
          <w:rFonts w:eastAsia="Arial Narrow" w:cs="Arial Narrow"/>
        </w:rPr>
      </w:pPr>
      <w:r>
        <w:t xml:space="preserve">In 2017, MSAC appraised the evidence for </w:t>
      </w:r>
      <w:hyperlink r:id="rId14">
        <w:r w:rsidRPr="4EBA7D1E">
          <w:rPr>
            <w:rStyle w:val="Hyperlink"/>
          </w:rPr>
          <w:t>Medication Management Review Programs</w:t>
        </w:r>
      </w:hyperlink>
      <w:r>
        <w:t>: Home Medicines Review (HMRs), Residential Medication Management Review</w:t>
      </w:r>
      <w:r w:rsidR="00473E25">
        <w:t xml:space="preserve"> (RMMR)</w:t>
      </w:r>
      <w:r>
        <w:t xml:space="preserve">, </w:t>
      </w:r>
      <w:proofErr w:type="spellStart"/>
      <w:r>
        <w:t>MedsCheck</w:t>
      </w:r>
      <w:proofErr w:type="spellEnd"/>
      <w:r>
        <w:t xml:space="preserve"> and Diabetes </w:t>
      </w:r>
      <w:proofErr w:type="spellStart"/>
      <w:r>
        <w:t>MedsCheck</w:t>
      </w:r>
      <w:proofErr w:type="spellEnd"/>
      <w:r>
        <w:t xml:space="preserve"> programs. MSAC advised that there was insufficient evidence to determine the clinical and cost-effectiveness of the continuing 6CPA MMR programs, and thus a weak basis upon which to recommend that funding should be supported or ceased. MSAC advised that further research would be required to make a more robust assessment of the comparative clinical and cost</w:t>
      </w:r>
      <w:r w:rsidR="00FC0270">
        <w:t>-</w:t>
      </w:r>
      <w:r>
        <w:t>effectiveness of the MMR programs. With respect to HMRs, MSAC advised that there is no clear evidence that HMR</w:t>
      </w:r>
      <w:r w:rsidR="008F5506">
        <w:t>s</w:t>
      </w:r>
      <w:r>
        <w:t xml:space="preserve"> reduce hospitalisations and mortality or improves quality of life. MSAC also advised that there is low level of evidence to suggest that HMR</w:t>
      </w:r>
      <w:r w:rsidR="008F5506">
        <w:t>s</w:t>
      </w:r>
      <w:r>
        <w:t xml:space="preserve"> increased time to next hospitalisation, although the evidence on the effect of HMR</w:t>
      </w:r>
      <w:r w:rsidR="008F5506">
        <w:t>s</w:t>
      </w:r>
      <w:r>
        <w:t xml:space="preserve"> on reduction in health care resource use is conflicting. There is also insufficient evidence to assess patient satisfaction with pharmacist</w:t>
      </w:r>
      <w:r w:rsidR="7244689F">
        <w:t xml:space="preserve"> </w:t>
      </w:r>
      <w:r>
        <w:t>led HMRs. MSAC considered that the design and value of these pharmacy service programs could be improved by including formal collaboration with GPs and other healthcare networks, by being targeted to more appropriate patient populations, and by a reduction in the unit cost of providing each type of pharmacy service coupled with an incentive to increase this unit cost if adequate new evidence can be furnished to justify an increase. Further enh</w:t>
      </w:r>
      <w:r w:rsidRPr="4EBA7D1E">
        <w:rPr>
          <w:rFonts w:eastAsia="Arial Narrow" w:cs="Arial Narrow"/>
        </w:rPr>
        <w:t>ancement of these programs might better justify the provision of continued funding of these services.</w:t>
      </w:r>
    </w:p>
    <w:p w14:paraId="09814DDC" w14:textId="64F9DDF1" w:rsidR="779D6AFB" w:rsidRDefault="00FB7066" w:rsidP="4EBA7D1E">
      <w:pPr>
        <w:rPr>
          <w:rFonts w:eastAsia="Arial Narrow" w:cs="Arial Narrow"/>
          <w:color w:val="333333"/>
        </w:rPr>
      </w:pPr>
      <w:r>
        <w:rPr>
          <w:rFonts w:eastAsia="Arial Narrow" w:cs="Arial Narrow"/>
          <w:color w:val="333333"/>
        </w:rPr>
        <w:lastRenderedPageBreak/>
        <w:t>The Department did not implement changes to these programs</w:t>
      </w:r>
      <w:r w:rsidR="779D6AFB" w:rsidRPr="4EBA7D1E">
        <w:rPr>
          <w:rFonts w:eastAsia="Arial Narrow" w:cs="Arial Narrow"/>
          <w:color w:val="333333"/>
        </w:rPr>
        <w:t xml:space="preserve"> </w:t>
      </w:r>
      <w:proofErr w:type="gramStart"/>
      <w:r w:rsidR="2FDBB9C9" w:rsidRPr="4EBA7D1E">
        <w:rPr>
          <w:rFonts w:eastAsia="Arial Narrow" w:cs="Arial Narrow"/>
          <w:color w:val="333333"/>
        </w:rPr>
        <w:t>as a result of</w:t>
      </w:r>
      <w:proofErr w:type="gramEnd"/>
      <w:r w:rsidR="2FDBB9C9" w:rsidRPr="4EBA7D1E">
        <w:rPr>
          <w:rFonts w:eastAsia="Arial Narrow" w:cs="Arial Narrow"/>
          <w:color w:val="333333"/>
        </w:rPr>
        <w:t xml:space="preserve"> </w:t>
      </w:r>
      <w:r w:rsidR="00756574">
        <w:rPr>
          <w:rFonts w:eastAsia="Arial Narrow" w:cs="Arial Narrow"/>
          <w:color w:val="333333"/>
        </w:rPr>
        <w:t>MSAC’s</w:t>
      </w:r>
      <w:r w:rsidR="2FDBB9C9" w:rsidRPr="4EBA7D1E">
        <w:rPr>
          <w:rFonts w:eastAsia="Arial Narrow" w:cs="Arial Narrow"/>
          <w:color w:val="333333"/>
        </w:rPr>
        <w:t xml:space="preserve"> 2017 review. </w:t>
      </w:r>
      <w:proofErr w:type="gramStart"/>
      <w:r w:rsidR="653B0469" w:rsidRPr="4EBA7D1E">
        <w:rPr>
          <w:rFonts w:eastAsia="Arial Narrow" w:cs="Arial Narrow"/>
          <w:color w:val="333333"/>
        </w:rPr>
        <w:t>A number of</w:t>
      </w:r>
      <w:proofErr w:type="gramEnd"/>
      <w:r w:rsidR="653B0469" w:rsidRPr="4EBA7D1E">
        <w:rPr>
          <w:rFonts w:eastAsia="Arial Narrow" w:cs="Arial Narrow"/>
          <w:color w:val="333333"/>
        </w:rPr>
        <w:t xml:space="preserve"> </w:t>
      </w:r>
      <w:r w:rsidR="779D6AFB" w:rsidRPr="4EBA7D1E">
        <w:rPr>
          <w:rFonts w:eastAsia="Arial Narrow" w:cs="Arial Narrow"/>
          <w:color w:val="333333"/>
        </w:rPr>
        <w:t xml:space="preserve">expansions to HMR and RMMR </w:t>
      </w:r>
      <w:r w:rsidR="4A69194F" w:rsidRPr="4EBA7D1E">
        <w:rPr>
          <w:rFonts w:eastAsia="Arial Narrow" w:cs="Arial Narrow"/>
          <w:color w:val="333333"/>
        </w:rPr>
        <w:t xml:space="preserve">were </w:t>
      </w:r>
      <w:r w:rsidR="779D6AFB" w:rsidRPr="4EBA7D1E">
        <w:rPr>
          <w:rFonts w:eastAsia="Arial Narrow" w:cs="Arial Narrow"/>
          <w:color w:val="333333"/>
        </w:rPr>
        <w:t xml:space="preserve">implemented in April 2020, but not </w:t>
      </w:r>
      <w:r w:rsidR="007412DE">
        <w:rPr>
          <w:rFonts w:eastAsia="Arial Narrow" w:cs="Arial Narrow"/>
          <w:color w:val="333333"/>
        </w:rPr>
        <w:t>as a result of</w:t>
      </w:r>
      <w:r w:rsidR="779D6AFB" w:rsidRPr="4EBA7D1E">
        <w:rPr>
          <w:rFonts w:eastAsia="Arial Narrow" w:cs="Arial Narrow"/>
          <w:color w:val="333333"/>
        </w:rPr>
        <w:t xml:space="preserve"> the MSAC review</w:t>
      </w:r>
      <w:r w:rsidR="2E96DE1B" w:rsidRPr="4EBA7D1E">
        <w:rPr>
          <w:rFonts w:eastAsia="Arial Narrow" w:cs="Arial Narrow"/>
          <w:color w:val="333333"/>
        </w:rPr>
        <w:t>.</w:t>
      </w:r>
      <w:r w:rsidR="779D6AFB" w:rsidRPr="4EBA7D1E">
        <w:rPr>
          <w:rFonts w:eastAsia="Arial Narrow" w:cs="Arial Narrow"/>
          <w:color w:val="333333"/>
        </w:rPr>
        <w:t xml:space="preserve"> </w:t>
      </w:r>
    </w:p>
    <w:p w14:paraId="537CAB7B" w14:textId="5A61DBF0" w:rsidR="00E71790" w:rsidRPr="00E71790" w:rsidRDefault="00E71790" w:rsidP="00870D51">
      <w:pPr>
        <w:pStyle w:val="Heading3"/>
        <w:spacing w:before="240"/>
      </w:pPr>
      <w:r>
        <w:t>Current funded programs to improve medicines use</w:t>
      </w:r>
    </w:p>
    <w:p w14:paraId="54B070D3" w14:textId="17639FC0" w:rsidR="006A537B" w:rsidRDefault="00AE7FB5" w:rsidP="00B80581">
      <w:pPr>
        <w:rPr>
          <w:rFonts w:eastAsia="Arial Narrow" w:cs="Arial Narrow"/>
        </w:rPr>
      </w:pPr>
      <w:r>
        <w:rPr>
          <w:rFonts w:eastAsia="Arial Narrow" w:cs="Arial Narrow"/>
        </w:rPr>
        <w:t xml:space="preserve">The Department funds the following </w:t>
      </w:r>
      <w:r w:rsidR="00AA626B">
        <w:rPr>
          <w:rFonts w:eastAsia="Arial Narrow" w:cs="Arial Narrow"/>
        </w:rPr>
        <w:t xml:space="preserve">programs under </w:t>
      </w:r>
      <w:r w:rsidR="007C332F">
        <w:rPr>
          <w:rFonts w:eastAsia="Arial Narrow" w:cs="Arial Narrow"/>
        </w:rPr>
        <w:t xml:space="preserve">the </w:t>
      </w:r>
      <w:r w:rsidR="00AA626B" w:rsidRPr="00AA626B">
        <w:rPr>
          <w:rFonts w:eastAsia="Arial Narrow" w:cs="Arial Narrow"/>
        </w:rPr>
        <w:t>Seventh Community Pharmacy Agreement (7CPA)</w:t>
      </w:r>
      <w:r w:rsidR="00616F57">
        <w:rPr>
          <w:rFonts w:eastAsia="Arial Narrow" w:cs="Arial Narrow"/>
        </w:rPr>
        <w:t xml:space="preserve"> to improve</w:t>
      </w:r>
      <w:r w:rsidR="000E1134">
        <w:rPr>
          <w:rFonts w:eastAsia="Arial Narrow" w:cs="Arial Narrow"/>
        </w:rPr>
        <w:t xml:space="preserve"> </w:t>
      </w:r>
      <w:r w:rsidR="00616F57">
        <w:rPr>
          <w:rFonts w:eastAsia="Arial Narrow" w:cs="Arial Narrow"/>
        </w:rPr>
        <w:t xml:space="preserve">medicines use. </w:t>
      </w:r>
      <w:r w:rsidR="00CE3F6E">
        <w:rPr>
          <w:rFonts w:eastAsia="Arial Narrow" w:cs="Arial Narrow"/>
        </w:rPr>
        <w:t xml:space="preserve">These are summarised in </w:t>
      </w:r>
      <w:r w:rsidR="009F02B5" w:rsidRPr="00552949">
        <w:rPr>
          <w:rFonts w:eastAsia="Arial Narrow" w:cs="Arial Narrow"/>
        </w:rPr>
        <w:fldChar w:fldCharType="begin"/>
      </w:r>
      <w:r w:rsidR="009F02B5" w:rsidRPr="00552949">
        <w:rPr>
          <w:rFonts w:eastAsia="Arial Narrow" w:cs="Arial Narrow"/>
        </w:rPr>
        <w:instrText xml:space="preserve"> REF _Ref126843887 \h </w:instrText>
      </w:r>
      <w:r w:rsidR="00552949">
        <w:rPr>
          <w:rFonts w:eastAsia="Arial Narrow" w:cs="Arial Narrow"/>
        </w:rPr>
        <w:instrText xml:space="preserve"> \* MERGEFORMAT </w:instrText>
      </w:r>
      <w:r w:rsidR="009F02B5" w:rsidRPr="00552949">
        <w:rPr>
          <w:rFonts w:eastAsia="Arial Narrow" w:cs="Arial Narrow"/>
        </w:rPr>
      </w:r>
      <w:r w:rsidR="009F02B5" w:rsidRPr="00552949">
        <w:rPr>
          <w:rFonts w:eastAsia="Arial Narrow" w:cs="Arial Narrow"/>
        </w:rPr>
        <w:fldChar w:fldCharType="separate"/>
      </w:r>
      <w:r w:rsidR="009713A2" w:rsidRPr="007B0DCF">
        <w:t>Table </w:t>
      </w:r>
      <w:r w:rsidR="009713A2" w:rsidRPr="007B0DCF">
        <w:rPr>
          <w:noProof/>
        </w:rPr>
        <w:t>2</w:t>
      </w:r>
      <w:r w:rsidR="009F02B5" w:rsidRPr="00552949">
        <w:rPr>
          <w:rFonts w:eastAsia="Arial Narrow" w:cs="Arial Narrow"/>
        </w:rPr>
        <w:fldChar w:fldCharType="end"/>
      </w:r>
      <w:r w:rsidR="009F02B5" w:rsidRPr="00552949">
        <w:rPr>
          <w:rFonts w:eastAsia="Arial Narrow" w:cs="Arial Narrow"/>
        </w:rPr>
        <w:t>.</w:t>
      </w:r>
      <w:r w:rsidR="00CE3F6E">
        <w:rPr>
          <w:rFonts w:eastAsia="Arial Narrow" w:cs="Arial Narrow"/>
        </w:rPr>
        <w:t xml:space="preserve"> </w:t>
      </w:r>
    </w:p>
    <w:p w14:paraId="7C5AFD08" w14:textId="63F45639" w:rsidR="00CB4312" w:rsidRPr="00956785" w:rsidRDefault="00CB4312" w:rsidP="00CB4312">
      <w:pPr>
        <w:pStyle w:val="Caption"/>
        <w:rPr>
          <w:sz w:val="20"/>
        </w:rPr>
      </w:pPr>
      <w:bookmarkStart w:id="6" w:name="_Ref126843887"/>
      <w:r w:rsidRPr="00956785">
        <w:rPr>
          <w:sz w:val="20"/>
        </w:rPr>
        <w:t>Table </w:t>
      </w:r>
      <w:r w:rsidRPr="00956785">
        <w:rPr>
          <w:sz w:val="20"/>
        </w:rPr>
        <w:fldChar w:fldCharType="begin"/>
      </w:r>
      <w:r w:rsidRPr="00956785">
        <w:rPr>
          <w:sz w:val="20"/>
        </w:rPr>
        <w:instrText>SEQ Table \* ARABIC</w:instrText>
      </w:r>
      <w:r w:rsidRPr="00956785">
        <w:rPr>
          <w:sz w:val="20"/>
        </w:rPr>
        <w:fldChar w:fldCharType="separate"/>
      </w:r>
      <w:r w:rsidR="00E44E9E">
        <w:rPr>
          <w:noProof/>
          <w:sz w:val="20"/>
        </w:rPr>
        <w:t>2</w:t>
      </w:r>
      <w:r w:rsidRPr="00956785">
        <w:rPr>
          <w:sz w:val="20"/>
        </w:rPr>
        <w:fldChar w:fldCharType="end"/>
      </w:r>
      <w:bookmarkEnd w:id="6"/>
      <w:r w:rsidRPr="00956785">
        <w:rPr>
          <w:sz w:val="20"/>
        </w:rPr>
        <w:tab/>
        <w:t xml:space="preserve">Summary of </w:t>
      </w:r>
      <w:r w:rsidR="00294831" w:rsidRPr="00956785">
        <w:rPr>
          <w:sz w:val="20"/>
        </w:rPr>
        <w:t>pharmacy programs</w:t>
      </w:r>
      <w:r w:rsidR="00CE3F6E" w:rsidRPr="00956785">
        <w:rPr>
          <w:sz w:val="20"/>
        </w:rPr>
        <w:t xml:space="preserve"> </w:t>
      </w:r>
      <w:r w:rsidR="00790213" w:rsidRPr="00956785">
        <w:rPr>
          <w:sz w:val="20"/>
        </w:rPr>
        <w:t>under 7CPA</w:t>
      </w:r>
      <w:r w:rsidR="00CE3F6E" w:rsidRPr="00956785">
        <w:rPr>
          <w:sz w:val="20"/>
        </w:rPr>
        <w:t xml:space="preserve"> aimed at improving use of medicines</w:t>
      </w:r>
    </w:p>
    <w:tbl>
      <w:tblPr>
        <w:tblStyle w:val="TableGrid1"/>
        <w:tblW w:w="5186" w:type="pct"/>
        <w:tblLook w:val="04A0" w:firstRow="1" w:lastRow="0" w:firstColumn="1" w:lastColumn="0" w:noHBand="0" w:noVBand="1"/>
      </w:tblPr>
      <w:tblGrid>
        <w:gridCol w:w="6091"/>
        <w:gridCol w:w="3260"/>
      </w:tblGrid>
      <w:tr w:rsidR="00A05CE8" w:rsidRPr="00956785" w14:paraId="7F5A1886" w14:textId="77777777" w:rsidTr="00F429F5">
        <w:trPr>
          <w:cnfStyle w:val="100000000000" w:firstRow="1" w:lastRow="0" w:firstColumn="0" w:lastColumn="0" w:oddVBand="0" w:evenVBand="0" w:oddHBand="0" w:evenHBand="0" w:firstRowFirstColumn="0" w:firstRowLastColumn="0" w:lastRowFirstColumn="0" w:lastRowLastColumn="0"/>
          <w:cantSplit/>
          <w:tblHeader/>
        </w:trPr>
        <w:tc>
          <w:tcPr>
            <w:tcW w:w="3257" w:type="pct"/>
            <w:shd w:val="clear" w:color="auto" w:fill="auto"/>
          </w:tcPr>
          <w:p w14:paraId="49AA1E82" w14:textId="77777777" w:rsidR="00A05CE8" w:rsidRPr="00956785" w:rsidRDefault="00A05CE8" w:rsidP="005B4ADF">
            <w:pPr>
              <w:pStyle w:val="In-tableHeading"/>
              <w:rPr>
                <w:rFonts w:ascii="Arial Narrow" w:hAnsi="Arial Narrow"/>
                <w:szCs w:val="20"/>
              </w:rPr>
            </w:pPr>
            <w:r w:rsidRPr="00956785">
              <w:rPr>
                <w:rFonts w:ascii="Arial Narrow" w:hAnsi="Arial Narrow"/>
                <w:szCs w:val="20"/>
              </w:rPr>
              <w:t>Component</w:t>
            </w:r>
          </w:p>
        </w:tc>
        <w:tc>
          <w:tcPr>
            <w:tcW w:w="1743" w:type="pct"/>
            <w:shd w:val="clear" w:color="auto" w:fill="auto"/>
          </w:tcPr>
          <w:p w14:paraId="10D9673C" w14:textId="6C1A828C" w:rsidR="00A05CE8" w:rsidRPr="00956785" w:rsidRDefault="00A05CE8" w:rsidP="005B4ADF">
            <w:pPr>
              <w:pStyle w:val="In-tableHeading"/>
              <w:rPr>
                <w:rFonts w:ascii="Arial Narrow" w:hAnsi="Arial Narrow"/>
                <w:szCs w:val="20"/>
              </w:rPr>
            </w:pPr>
            <w:r w:rsidRPr="00956785">
              <w:rPr>
                <w:rFonts w:ascii="Arial Narrow" w:hAnsi="Arial Narrow"/>
                <w:szCs w:val="20"/>
              </w:rPr>
              <w:t>Reimbursement</w:t>
            </w:r>
          </w:p>
        </w:tc>
      </w:tr>
      <w:tr w:rsidR="00A05CE8" w:rsidRPr="00956785" w14:paraId="483EA487" w14:textId="77777777" w:rsidTr="00F429F5">
        <w:trPr>
          <w:cantSplit/>
        </w:trPr>
        <w:tc>
          <w:tcPr>
            <w:tcW w:w="3257" w:type="pct"/>
          </w:tcPr>
          <w:p w14:paraId="08A4536B" w14:textId="3A39ADD9" w:rsidR="00A05CE8" w:rsidRPr="00956785" w:rsidRDefault="00A05CE8" w:rsidP="005B4ADF">
            <w:pPr>
              <w:pStyle w:val="TableText"/>
              <w:rPr>
                <w:b/>
              </w:rPr>
            </w:pPr>
            <w:r w:rsidRPr="00956785">
              <w:rPr>
                <w:b/>
              </w:rPr>
              <w:t>Home Medicines Review</w:t>
            </w:r>
            <w:r w:rsidR="006E162B" w:rsidRPr="00956785">
              <w:rPr>
                <w:b/>
              </w:rPr>
              <w:t xml:space="preserve"> (HMR)</w:t>
            </w:r>
          </w:p>
        </w:tc>
        <w:tc>
          <w:tcPr>
            <w:tcW w:w="1743" w:type="pct"/>
          </w:tcPr>
          <w:p w14:paraId="3E546F4D" w14:textId="77777777" w:rsidR="00A05CE8" w:rsidRPr="00956785" w:rsidRDefault="00A05CE8" w:rsidP="005B4ADF">
            <w:pPr>
              <w:pStyle w:val="TableText"/>
            </w:pPr>
          </w:p>
        </w:tc>
      </w:tr>
      <w:tr w:rsidR="00A05CE8" w:rsidRPr="00956785" w14:paraId="0F91AFE3" w14:textId="77777777" w:rsidTr="00F429F5">
        <w:trPr>
          <w:cantSplit/>
        </w:trPr>
        <w:tc>
          <w:tcPr>
            <w:tcW w:w="3257" w:type="pct"/>
          </w:tcPr>
          <w:p w14:paraId="4850E087" w14:textId="5720DB43" w:rsidR="002D130F" w:rsidRPr="00956785" w:rsidRDefault="002D130F" w:rsidP="00932550">
            <w:pPr>
              <w:pStyle w:val="TableText"/>
              <w:numPr>
                <w:ilvl w:val="0"/>
                <w:numId w:val="26"/>
              </w:numPr>
            </w:pPr>
            <w:r w:rsidRPr="00956785">
              <w:t xml:space="preserve">Medication review service provided at patient’s home. </w:t>
            </w:r>
            <w:r w:rsidR="005A2E09" w:rsidRPr="00956785">
              <w:t>Initial service i</w:t>
            </w:r>
            <w:r w:rsidR="00932550" w:rsidRPr="00956785">
              <w:t xml:space="preserve">ncludes HMR Interview (at patient’s home) with patient and Accredited Pharmacist, HMR Report to referrer and GP (if GP not the referrer). </w:t>
            </w:r>
          </w:p>
          <w:p w14:paraId="43502F00" w14:textId="4993DB4C" w:rsidR="00A05CE8" w:rsidRPr="00956785" w:rsidRDefault="00A05CE8" w:rsidP="00DE23CB">
            <w:pPr>
              <w:pStyle w:val="TableText"/>
              <w:numPr>
                <w:ilvl w:val="0"/>
                <w:numId w:val="26"/>
              </w:numPr>
            </w:pPr>
            <w:r w:rsidRPr="00956785">
              <w:t>Referral from GP Specialist in Pain Medicine, Specialist Physician, Specialist Psychiatrist or Specialist in Palliative Medicine that confirms identifiable clinical need for a HMR Service.</w:t>
            </w:r>
          </w:p>
          <w:p w14:paraId="336B575C" w14:textId="2406591F" w:rsidR="00A05CE8" w:rsidRPr="00956785" w:rsidRDefault="00A05CE8" w:rsidP="00DE23CB">
            <w:pPr>
              <w:pStyle w:val="TableText"/>
              <w:numPr>
                <w:ilvl w:val="0"/>
                <w:numId w:val="26"/>
              </w:numPr>
            </w:pPr>
            <w:r w:rsidRPr="00956785">
              <w:t>Patient at risk of, or experiencing, medication misadventure</w:t>
            </w:r>
          </w:p>
          <w:p w14:paraId="221D4B02" w14:textId="09F30A82" w:rsidR="00A05CE8" w:rsidRPr="00956785" w:rsidRDefault="00A05CE8" w:rsidP="00536061">
            <w:pPr>
              <w:pStyle w:val="TableText"/>
              <w:numPr>
                <w:ilvl w:val="0"/>
                <w:numId w:val="26"/>
              </w:numPr>
            </w:pPr>
            <w:r w:rsidRPr="00956785">
              <w:t>Patient must live in a community setting</w:t>
            </w:r>
          </w:p>
          <w:p w14:paraId="060005DA" w14:textId="3FE7C2CE" w:rsidR="00A05CE8" w:rsidRPr="00956785" w:rsidRDefault="00A05CE8" w:rsidP="00DE23CB">
            <w:pPr>
              <w:pStyle w:val="TableText"/>
              <w:numPr>
                <w:ilvl w:val="0"/>
                <w:numId w:val="26"/>
              </w:numPr>
            </w:pPr>
            <w:r w:rsidRPr="00956785">
              <w:t xml:space="preserve">May include up to two follow-up services provided within one to nine months of initial interview. </w:t>
            </w:r>
          </w:p>
        </w:tc>
        <w:tc>
          <w:tcPr>
            <w:tcW w:w="1743" w:type="pct"/>
          </w:tcPr>
          <w:p w14:paraId="406E7B9E" w14:textId="77777777" w:rsidR="00A05CE8" w:rsidRPr="00956785" w:rsidRDefault="00A05CE8" w:rsidP="005B4ADF">
            <w:pPr>
              <w:pStyle w:val="TableText"/>
              <w:rPr>
                <w:b/>
              </w:rPr>
            </w:pPr>
            <w:r w:rsidRPr="00956785">
              <w:rPr>
                <w:b/>
              </w:rPr>
              <w:t>HMR service provider</w:t>
            </w:r>
          </w:p>
          <w:p w14:paraId="4FC8F438" w14:textId="77777777" w:rsidR="00A05CE8" w:rsidRPr="00956785" w:rsidRDefault="00A05CE8" w:rsidP="005B4ADF">
            <w:pPr>
              <w:pStyle w:val="TableText"/>
            </w:pPr>
            <w:r w:rsidRPr="00956785">
              <w:t>First service $222.77</w:t>
            </w:r>
          </w:p>
          <w:p w14:paraId="518E62EF" w14:textId="77777777" w:rsidR="00A05CE8" w:rsidRPr="00956785" w:rsidRDefault="00A05CE8" w:rsidP="005B4ADF">
            <w:pPr>
              <w:pStyle w:val="TableText"/>
            </w:pPr>
            <w:r w:rsidRPr="00956785">
              <w:t>First follow-up: $111.39</w:t>
            </w:r>
          </w:p>
          <w:p w14:paraId="1C8B49A1" w14:textId="77777777" w:rsidR="00A05CE8" w:rsidRPr="00956785" w:rsidRDefault="00A05CE8" w:rsidP="005B4ADF">
            <w:pPr>
              <w:pStyle w:val="TableText"/>
            </w:pPr>
            <w:r w:rsidRPr="00956785">
              <w:t>Second follow-up: $55.70</w:t>
            </w:r>
          </w:p>
          <w:p w14:paraId="1F638559" w14:textId="609B5C37" w:rsidR="00A05CE8" w:rsidRPr="00956785" w:rsidRDefault="00A05CE8" w:rsidP="005B4ADF">
            <w:pPr>
              <w:pStyle w:val="TableText"/>
            </w:pPr>
            <w:r w:rsidRPr="00956785">
              <w:t>Rural/remote loading up to $125</w:t>
            </w:r>
          </w:p>
          <w:p w14:paraId="51606EE7" w14:textId="3EB9B018" w:rsidR="00A05CE8" w:rsidRPr="00956785" w:rsidRDefault="00A05CE8" w:rsidP="005B4ADF">
            <w:pPr>
              <w:pStyle w:val="TableText"/>
            </w:pPr>
            <w:r w:rsidRPr="00956785">
              <w:t>Maximum 30 claims per month per service provider</w:t>
            </w:r>
          </w:p>
          <w:p w14:paraId="09B8B949" w14:textId="77777777" w:rsidR="00A05CE8" w:rsidRPr="00956785" w:rsidRDefault="00A05CE8" w:rsidP="005B4ADF">
            <w:pPr>
              <w:pStyle w:val="TableText"/>
              <w:rPr>
                <w:b/>
              </w:rPr>
            </w:pPr>
            <w:r w:rsidRPr="00956785">
              <w:rPr>
                <w:b/>
              </w:rPr>
              <w:t>GP referrers:</w:t>
            </w:r>
          </w:p>
          <w:p w14:paraId="17542071" w14:textId="77777777" w:rsidR="00A05CE8" w:rsidRPr="00956785" w:rsidRDefault="003365A4" w:rsidP="005B4ADF">
            <w:pPr>
              <w:pStyle w:val="TableText"/>
            </w:pPr>
            <w:hyperlink r:id="rId15" w:history="1">
              <w:r w:rsidR="00A05CE8" w:rsidRPr="00956785">
                <w:rPr>
                  <w:rStyle w:val="Hyperlink"/>
                </w:rPr>
                <w:t>MBS item 900</w:t>
              </w:r>
            </w:hyperlink>
            <w:r w:rsidR="00A05CE8" w:rsidRPr="00956785">
              <w:t xml:space="preserve">: $163.70 benefit (once per year unless significant change in patient condition or medication regimen) </w:t>
            </w:r>
          </w:p>
          <w:p w14:paraId="116D3BF0" w14:textId="77777777" w:rsidR="003C26B3" w:rsidRPr="00956785" w:rsidRDefault="003C26B3" w:rsidP="003C26B3">
            <w:pPr>
              <w:pStyle w:val="TableText"/>
              <w:rPr>
                <w:b/>
              </w:rPr>
            </w:pPr>
            <w:r w:rsidRPr="00956785">
              <w:rPr>
                <w:b/>
              </w:rPr>
              <w:t>Other medical practitioners:</w:t>
            </w:r>
          </w:p>
          <w:p w14:paraId="2DDCED8B" w14:textId="7A7DB953" w:rsidR="00870D51" w:rsidRPr="00956785" w:rsidRDefault="003365A4" w:rsidP="005B4ADF">
            <w:pPr>
              <w:pStyle w:val="TableText"/>
            </w:pPr>
            <w:hyperlink r:id="rId16" w:history="1">
              <w:r w:rsidR="003C26B3" w:rsidRPr="00956785">
                <w:rPr>
                  <w:rStyle w:val="Hyperlink"/>
                </w:rPr>
                <w:t>MBS item 245</w:t>
              </w:r>
            </w:hyperlink>
            <w:r w:rsidR="00013EC5" w:rsidRPr="00956785">
              <w:t>: $130.95 benefit</w:t>
            </w:r>
          </w:p>
        </w:tc>
      </w:tr>
      <w:tr w:rsidR="00A05CE8" w:rsidRPr="00956785" w14:paraId="2DBCEE2C" w14:textId="77777777" w:rsidTr="00F429F5">
        <w:trPr>
          <w:cantSplit/>
        </w:trPr>
        <w:tc>
          <w:tcPr>
            <w:tcW w:w="3257" w:type="pct"/>
          </w:tcPr>
          <w:p w14:paraId="4972741B" w14:textId="18CF9A6D" w:rsidR="00A05CE8" w:rsidRPr="00956785" w:rsidRDefault="00A05CE8" w:rsidP="005B4ADF">
            <w:pPr>
              <w:pStyle w:val="TableText"/>
              <w:rPr>
                <w:b/>
              </w:rPr>
            </w:pPr>
            <w:proofErr w:type="spellStart"/>
            <w:r w:rsidRPr="00956785">
              <w:rPr>
                <w:b/>
              </w:rPr>
              <w:t>MedsCheck</w:t>
            </w:r>
            <w:proofErr w:type="spellEnd"/>
          </w:p>
        </w:tc>
        <w:tc>
          <w:tcPr>
            <w:tcW w:w="1743" w:type="pct"/>
          </w:tcPr>
          <w:p w14:paraId="2AA241A4" w14:textId="77777777" w:rsidR="00A05CE8" w:rsidRPr="00956785" w:rsidRDefault="00A05CE8" w:rsidP="005B4ADF">
            <w:pPr>
              <w:pStyle w:val="TableText"/>
            </w:pPr>
          </w:p>
        </w:tc>
      </w:tr>
      <w:tr w:rsidR="00A05CE8" w:rsidRPr="00956785" w14:paraId="3F13652C" w14:textId="77777777" w:rsidTr="00F429F5">
        <w:trPr>
          <w:cantSplit/>
        </w:trPr>
        <w:tc>
          <w:tcPr>
            <w:tcW w:w="3257" w:type="pct"/>
          </w:tcPr>
          <w:p w14:paraId="3635B18F" w14:textId="1DFE0DBA" w:rsidR="00A05CE8" w:rsidRPr="00956785" w:rsidRDefault="00A05CE8" w:rsidP="00D133EA">
            <w:pPr>
              <w:pStyle w:val="TableText"/>
              <w:numPr>
                <w:ilvl w:val="0"/>
                <w:numId w:val="26"/>
              </w:numPr>
            </w:pPr>
            <w:r w:rsidRPr="00956785">
              <w:t>Medication review provided at a community pharmacy (note referral required)</w:t>
            </w:r>
          </w:p>
          <w:p w14:paraId="443FEE19" w14:textId="77777777" w:rsidR="00A05CE8" w:rsidRPr="00956785" w:rsidRDefault="00A05CE8" w:rsidP="003D6571">
            <w:pPr>
              <w:pStyle w:val="TableText"/>
              <w:numPr>
                <w:ilvl w:val="0"/>
                <w:numId w:val="26"/>
              </w:numPr>
            </w:pPr>
            <w:r w:rsidRPr="00956785">
              <w:t>Patient using &gt;= 5 prescription medicines or has had a signification medical event or taking a medication associated with a high risk of adverse events</w:t>
            </w:r>
          </w:p>
          <w:p w14:paraId="76F2AAD2" w14:textId="48356A68" w:rsidR="00A05CE8" w:rsidRPr="00956785" w:rsidRDefault="00A05CE8" w:rsidP="003D6571">
            <w:pPr>
              <w:pStyle w:val="TableText"/>
              <w:numPr>
                <w:ilvl w:val="0"/>
                <w:numId w:val="26"/>
              </w:numPr>
            </w:pPr>
            <w:r w:rsidRPr="00956785">
              <w:t>Patient must live in a community setting</w:t>
            </w:r>
          </w:p>
          <w:p w14:paraId="4EDDB2F1" w14:textId="6A5FDBBC" w:rsidR="00870D51" w:rsidRPr="00870D51" w:rsidRDefault="00A05CE8" w:rsidP="00870D51">
            <w:pPr>
              <w:pStyle w:val="TableText"/>
              <w:numPr>
                <w:ilvl w:val="0"/>
                <w:numId w:val="26"/>
              </w:numPr>
            </w:pPr>
            <w:r w:rsidRPr="00956785">
              <w:t xml:space="preserve">Patient has not received a similar service in previous 12 </w:t>
            </w:r>
            <w:r w:rsidR="47478B90" w:rsidRPr="00956785">
              <w:t>months</w:t>
            </w:r>
          </w:p>
        </w:tc>
        <w:tc>
          <w:tcPr>
            <w:tcW w:w="1743" w:type="pct"/>
          </w:tcPr>
          <w:p w14:paraId="0398CA4A" w14:textId="77777777" w:rsidR="00A05CE8" w:rsidRPr="00956785" w:rsidRDefault="00A05CE8" w:rsidP="005B4ADF">
            <w:pPr>
              <w:pStyle w:val="TableText"/>
            </w:pPr>
            <w:r w:rsidRPr="00956785">
              <w:t>$66.53 (once per 12 months)</w:t>
            </w:r>
          </w:p>
          <w:p w14:paraId="27C80277" w14:textId="08A6DB80" w:rsidR="007E236A" w:rsidRPr="00956785" w:rsidRDefault="007E236A" w:rsidP="005B4ADF">
            <w:pPr>
              <w:pStyle w:val="TableText"/>
            </w:pPr>
            <w:r w:rsidRPr="00956785">
              <w:t xml:space="preserve">Maximum 20 </w:t>
            </w:r>
            <w:proofErr w:type="spellStart"/>
            <w:r w:rsidRPr="00956785">
              <w:t>MedsCheck</w:t>
            </w:r>
            <w:proofErr w:type="spellEnd"/>
            <w:r w:rsidRPr="00956785">
              <w:t xml:space="preserve"> and Diabetes </w:t>
            </w:r>
            <w:proofErr w:type="spellStart"/>
            <w:r w:rsidRPr="00956785">
              <w:t>MedsCheck</w:t>
            </w:r>
            <w:proofErr w:type="spellEnd"/>
            <w:r w:rsidRPr="00956785">
              <w:t xml:space="preserve"> Services per pharmacy per month. </w:t>
            </w:r>
          </w:p>
        </w:tc>
      </w:tr>
      <w:tr w:rsidR="00A05CE8" w:rsidRPr="00956785" w14:paraId="333A920D" w14:textId="77777777" w:rsidTr="00F429F5">
        <w:trPr>
          <w:cantSplit/>
        </w:trPr>
        <w:tc>
          <w:tcPr>
            <w:tcW w:w="3257" w:type="pct"/>
          </w:tcPr>
          <w:p w14:paraId="71079534" w14:textId="3E2690B4" w:rsidR="00A05CE8" w:rsidRPr="00956785" w:rsidRDefault="00A05CE8" w:rsidP="005B4ADF">
            <w:pPr>
              <w:pStyle w:val="TableText"/>
            </w:pPr>
            <w:r w:rsidRPr="00956785">
              <w:rPr>
                <w:b/>
              </w:rPr>
              <w:t xml:space="preserve">Diabetes </w:t>
            </w:r>
            <w:proofErr w:type="spellStart"/>
            <w:r w:rsidRPr="00956785">
              <w:rPr>
                <w:b/>
              </w:rPr>
              <w:t>MedsCheck</w:t>
            </w:r>
            <w:proofErr w:type="spellEnd"/>
          </w:p>
        </w:tc>
        <w:tc>
          <w:tcPr>
            <w:tcW w:w="1743" w:type="pct"/>
          </w:tcPr>
          <w:p w14:paraId="0839FA0E" w14:textId="77777777" w:rsidR="00A05CE8" w:rsidRPr="00956785" w:rsidRDefault="00A05CE8" w:rsidP="005B4ADF">
            <w:pPr>
              <w:pStyle w:val="TableText"/>
            </w:pPr>
          </w:p>
        </w:tc>
      </w:tr>
      <w:tr w:rsidR="00A05CE8" w:rsidRPr="00956785" w14:paraId="4A9B7D65" w14:textId="77777777" w:rsidTr="00F429F5">
        <w:trPr>
          <w:cantSplit/>
        </w:trPr>
        <w:tc>
          <w:tcPr>
            <w:tcW w:w="3257" w:type="pct"/>
          </w:tcPr>
          <w:p w14:paraId="2DEF1F6E" w14:textId="7FB4631B" w:rsidR="00A05CE8" w:rsidRPr="00956785" w:rsidRDefault="00A05CE8" w:rsidP="00D14549">
            <w:pPr>
              <w:pStyle w:val="TableText"/>
              <w:numPr>
                <w:ilvl w:val="0"/>
                <w:numId w:val="26"/>
              </w:numPr>
            </w:pPr>
            <w:r w:rsidRPr="00956785">
              <w:t>Medication review focussed on management of type 2 diabetes provided at a community pharmacy (no referral required). May include aim to improve use of self-monitoring devices</w:t>
            </w:r>
          </w:p>
          <w:p w14:paraId="49958B8A" w14:textId="77777777" w:rsidR="00A05CE8" w:rsidRPr="00956785" w:rsidRDefault="00A05CE8" w:rsidP="00D14549">
            <w:pPr>
              <w:pStyle w:val="TableText"/>
              <w:numPr>
                <w:ilvl w:val="0"/>
                <w:numId w:val="26"/>
              </w:numPr>
            </w:pPr>
            <w:r w:rsidRPr="00956785">
              <w:t>Patient using &gt;= 5 prescription medicines or has had a signification medical event or taking a medication associated with a high risk of adverse events</w:t>
            </w:r>
          </w:p>
          <w:p w14:paraId="36EB56F1" w14:textId="77777777" w:rsidR="002119CE" w:rsidRPr="00956785" w:rsidRDefault="00A05CE8" w:rsidP="002119CE">
            <w:pPr>
              <w:pStyle w:val="TableText"/>
              <w:numPr>
                <w:ilvl w:val="0"/>
                <w:numId w:val="26"/>
              </w:numPr>
            </w:pPr>
            <w:r w:rsidRPr="00956785">
              <w:t>Patient must live in a community setting</w:t>
            </w:r>
            <w:r w:rsidR="002119CE" w:rsidRPr="00956785">
              <w:t xml:space="preserve"> </w:t>
            </w:r>
          </w:p>
          <w:p w14:paraId="3E6BC191" w14:textId="6EBB831B" w:rsidR="00870D51" w:rsidRPr="00870D51" w:rsidRDefault="00A05CE8" w:rsidP="00870D51">
            <w:pPr>
              <w:pStyle w:val="TableText"/>
              <w:numPr>
                <w:ilvl w:val="0"/>
                <w:numId w:val="26"/>
              </w:numPr>
              <w:spacing w:after="0"/>
              <w:ind w:left="357" w:hanging="357"/>
            </w:pPr>
            <w:r w:rsidRPr="00956785">
              <w:t xml:space="preserve">Patient has not received a similar service in previous 12 </w:t>
            </w:r>
            <w:r w:rsidR="47478B90" w:rsidRPr="00956785">
              <w:t>month</w:t>
            </w:r>
            <w:r w:rsidR="2E697CDE" w:rsidRPr="00956785">
              <w:t>s</w:t>
            </w:r>
          </w:p>
        </w:tc>
        <w:tc>
          <w:tcPr>
            <w:tcW w:w="1743" w:type="pct"/>
          </w:tcPr>
          <w:p w14:paraId="1337ABA1" w14:textId="77777777" w:rsidR="00A05CE8" w:rsidRPr="00956785" w:rsidRDefault="00A05CE8" w:rsidP="005B4ADF">
            <w:pPr>
              <w:pStyle w:val="TableText"/>
            </w:pPr>
            <w:r w:rsidRPr="00956785">
              <w:t>$99.97 (once per 12 months)</w:t>
            </w:r>
          </w:p>
          <w:p w14:paraId="29D0CED5" w14:textId="28784CAD" w:rsidR="007E236A" w:rsidRPr="00956785" w:rsidRDefault="007E236A" w:rsidP="005B4ADF">
            <w:pPr>
              <w:pStyle w:val="TableText"/>
            </w:pPr>
            <w:r w:rsidRPr="00956785">
              <w:t xml:space="preserve">Maximum 20 </w:t>
            </w:r>
            <w:proofErr w:type="spellStart"/>
            <w:r w:rsidRPr="00956785">
              <w:t>MedsCheck</w:t>
            </w:r>
            <w:proofErr w:type="spellEnd"/>
            <w:r w:rsidRPr="00956785">
              <w:t xml:space="preserve"> and Diabetes </w:t>
            </w:r>
            <w:proofErr w:type="spellStart"/>
            <w:r w:rsidRPr="00956785">
              <w:t>MedsCheck</w:t>
            </w:r>
            <w:proofErr w:type="spellEnd"/>
            <w:r w:rsidRPr="00956785">
              <w:t xml:space="preserve"> Services per pharmacy per month.</w:t>
            </w:r>
          </w:p>
        </w:tc>
      </w:tr>
      <w:tr w:rsidR="002119CE" w:rsidRPr="00956785" w14:paraId="49D05A5A" w14:textId="77777777" w:rsidTr="00F429F5">
        <w:trPr>
          <w:cantSplit/>
        </w:trPr>
        <w:tc>
          <w:tcPr>
            <w:tcW w:w="3257" w:type="pct"/>
          </w:tcPr>
          <w:p w14:paraId="0329F520" w14:textId="1EC502E9" w:rsidR="002119CE" w:rsidRPr="00956785" w:rsidRDefault="00D50016" w:rsidP="00D50016">
            <w:pPr>
              <w:pStyle w:val="TableText"/>
              <w:rPr>
                <w:b/>
              </w:rPr>
            </w:pPr>
            <w:r w:rsidRPr="00956785">
              <w:rPr>
                <w:b/>
              </w:rPr>
              <w:t>Residential Medication Management Review</w:t>
            </w:r>
            <w:r w:rsidR="006E162B" w:rsidRPr="00956785">
              <w:rPr>
                <w:b/>
              </w:rPr>
              <w:t xml:space="preserve"> (RMMR)</w:t>
            </w:r>
          </w:p>
        </w:tc>
        <w:tc>
          <w:tcPr>
            <w:tcW w:w="1743" w:type="pct"/>
          </w:tcPr>
          <w:p w14:paraId="7BAD7E39" w14:textId="77777777" w:rsidR="002119CE" w:rsidRPr="00956785" w:rsidRDefault="002119CE" w:rsidP="005B4ADF">
            <w:pPr>
              <w:pStyle w:val="TableText"/>
            </w:pPr>
          </w:p>
        </w:tc>
      </w:tr>
      <w:tr w:rsidR="002119CE" w:rsidRPr="00956785" w14:paraId="6B372D34" w14:textId="77777777" w:rsidTr="00F429F5">
        <w:trPr>
          <w:cantSplit/>
        </w:trPr>
        <w:tc>
          <w:tcPr>
            <w:tcW w:w="3257" w:type="pct"/>
          </w:tcPr>
          <w:p w14:paraId="69D6E611" w14:textId="34FFD462" w:rsidR="009C1490" w:rsidRPr="00956785" w:rsidRDefault="00394A1F" w:rsidP="00870D51">
            <w:pPr>
              <w:pStyle w:val="TableText"/>
              <w:numPr>
                <w:ilvl w:val="0"/>
                <w:numId w:val="26"/>
              </w:numPr>
              <w:spacing w:before="0" w:after="0"/>
              <w:ind w:left="357" w:hanging="357"/>
            </w:pPr>
            <w:r w:rsidRPr="00956785">
              <w:t xml:space="preserve">Medication review provided to </w:t>
            </w:r>
            <w:r w:rsidR="0092742D" w:rsidRPr="00956785">
              <w:t>patient residing in a residential aged care facility</w:t>
            </w:r>
            <w:r w:rsidR="00191FF4" w:rsidRPr="00956785">
              <w:t xml:space="preserve">. Includes initial face-to-face interview with patient. </w:t>
            </w:r>
            <w:r w:rsidR="005A2E09" w:rsidRPr="00956785">
              <w:t xml:space="preserve">Initial services </w:t>
            </w:r>
            <w:proofErr w:type="gramStart"/>
            <w:r w:rsidR="005A2E09" w:rsidRPr="00956785">
              <w:t>includes</w:t>
            </w:r>
            <w:proofErr w:type="gramEnd"/>
            <w:r w:rsidR="005A2E09" w:rsidRPr="00956785">
              <w:t xml:space="preserve"> patient interview, assessment and report</w:t>
            </w:r>
            <w:r w:rsidR="009C5F82" w:rsidRPr="00956785">
              <w:t xml:space="preserve"> to referrer. </w:t>
            </w:r>
          </w:p>
          <w:p w14:paraId="03C231C9" w14:textId="1453B1C1" w:rsidR="009C1490" w:rsidRPr="00956785" w:rsidRDefault="009C1490" w:rsidP="00870D51">
            <w:pPr>
              <w:pStyle w:val="TableText"/>
              <w:numPr>
                <w:ilvl w:val="0"/>
                <w:numId w:val="26"/>
              </w:numPr>
              <w:spacing w:before="0" w:after="0"/>
              <w:ind w:left="357" w:hanging="357"/>
            </w:pPr>
            <w:r w:rsidRPr="00956785">
              <w:t>May include up to two follow-up services provided within one to nine months of initial interview.</w:t>
            </w:r>
          </w:p>
          <w:p w14:paraId="5FCC9EDA" w14:textId="5B77AA2B" w:rsidR="009D2D0A" w:rsidRPr="00956785" w:rsidRDefault="009D2D0A" w:rsidP="00870D51">
            <w:pPr>
              <w:pStyle w:val="ListParagraph"/>
              <w:numPr>
                <w:ilvl w:val="0"/>
                <w:numId w:val="26"/>
              </w:numPr>
              <w:spacing w:before="0" w:after="0"/>
              <w:ind w:left="357" w:hanging="357"/>
              <w:rPr>
                <w:rFonts w:ascii="Arial Narrow" w:hAnsi="Arial Narrow"/>
              </w:rPr>
            </w:pPr>
            <w:r w:rsidRPr="00956785">
              <w:rPr>
                <w:rFonts w:ascii="Arial Narrow" w:hAnsi="Arial Narrow"/>
              </w:rPr>
              <w:t xml:space="preserve">Referral from GP Specialist in Pain Medicine, Specialist Physician, Specialist Psychiatrist or Specialist in Palliative Medicine that confirms identifiable clinical need for </w:t>
            </w:r>
            <w:r w:rsidR="005446A8" w:rsidRPr="00956785">
              <w:rPr>
                <w:rFonts w:ascii="Arial Narrow" w:hAnsi="Arial Narrow"/>
              </w:rPr>
              <w:t>the service</w:t>
            </w:r>
          </w:p>
          <w:p w14:paraId="240FBBBA" w14:textId="26B5C390" w:rsidR="005446A8" w:rsidRPr="00956785" w:rsidRDefault="005446A8" w:rsidP="00870D51">
            <w:pPr>
              <w:pStyle w:val="ListParagraph"/>
              <w:numPr>
                <w:ilvl w:val="0"/>
                <w:numId w:val="26"/>
              </w:numPr>
              <w:spacing w:before="0" w:after="0"/>
              <w:ind w:left="357" w:hanging="357"/>
              <w:rPr>
                <w:rFonts w:ascii="Arial Narrow" w:hAnsi="Arial Narrow"/>
              </w:rPr>
            </w:pPr>
            <w:r w:rsidRPr="00956785">
              <w:rPr>
                <w:rFonts w:ascii="Arial Narrow" w:hAnsi="Arial Narrow"/>
              </w:rPr>
              <w:t>Patient at risk of, or experiencing, medication misadventure</w:t>
            </w:r>
            <w:r w:rsidR="0036744C" w:rsidRPr="00956785">
              <w:rPr>
                <w:rFonts w:ascii="Arial Narrow" w:hAnsi="Arial Narrow"/>
              </w:rPr>
              <w:t xml:space="preserve">. </w:t>
            </w:r>
          </w:p>
          <w:p w14:paraId="43B7F49F" w14:textId="77777777" w:rsidR="0092742D" w:rsidRPr="00956785" w:rsidRDefault="0036744C" w:rsidP="00870D51">
            <w:pPr>
              <w:pStyle w:val="ListParagraph"/>
              <w:numPr>
                <w:ilvl w:val="0"/>
                <w:numId w:val="26"/>
              </w:numPr>
              <w:spacing w:before="0" w:after="0"/>
              <w:ind w:left="357" w:hanging="357"/>
              <w:rPr>
                <w:rFonts w:ascii="Arial Narrow" w:hAnsi="Arial Narrow"/>
              </w:rPr>
            </w:pPr>
            <w:r w:rsidRPr="00956785">
              <w:rPr>
                <w:rFonts w:ascii="Arial Narrow" w:hAnsi="Arial Narrow"/>
              </w:rPr>
              <w:t xml:space="preserve">Patient must be a resident of an </w:t>
            </w:r>
            <w:r w:rsidR="00E22150" w:rsidRPr="00956785">
              <w:rPr>
                <w:rFonts w:ascii="Arial Narrow" w:hAnsi="Arial Narrow"/>
              </w:rPr>
              <w:t xml:space="preserve">aged care facility or other eligible residential facilities. </w:t>
            </w:r>
          </w:p>
          <w:p w14:paraId="00804E23" w14:textId="7BDD40F8" w:rsidR="00D03F1C" w:rsidRPr="00956785" w:rsidRDefault="00D03F1C" w:rsidP="00870D51">
            <w:pPr>
              <w:pStyle w:val="ListParagraph"/>
              <w:numPr>
                <w:ilvl w:val="0"/>
                <w:numId w:val="26"/>
              </w:numPr>
              <w:spacing w:before="0" w:after="0"/>
              <w:ind w:left="357" w:hanging="357"/>
              <w:rPr>
                <w:rFonts w:ascii="Arial Narrow" w:hAnsi="Arial Narrow"/>
              </w:rPr>
            </w:pPr>
            <w:r w:rsidRPr="00956785">
              <w:rPr>
                <w:rFonts w:ascii="Arial Narrow" w:hAnsi="Arial Narrow"/>
              </w:rPr>
              <w:t>Must not</w:t>
            </w:r>
            <w:r w:rsidR="00355B1C" w:rsidRPr="00956785">
              <w:rPr>
                <w:rFonts w:ascii="Arial Narrow" w:hAnsi="Arial Narrow"/>
              </w:rPr>
              <w:t xml:space="preserve"> have received RMMR service in the previous 24 months</w:t>
            </w:r>
          </w:p>
        </w:tc>
        <w:tc>
          <w:tcPr>
            <w:tcW w:w="1743" w:type="pct"/>
          </w:tcPr>
          <w:p w14:paraId="15723C66" w14:textId="77777777" w:rsidR="009E19C6" w:rsidRPr="00956785" w:rsidRDefault="009E19C6" w:rsidP="00870D51">
            <w:pPr>
              <w:pStyle w:val="TableText"/>
              <w:spacing w:before="0" w:after="0"/>
              <w:rPr>
                <w:b/>
              </w:rPr>
            </w:pPr>
            <w:r w:rsidRPr="00956785">
              <w:rPr>
                <w:b/>
              </w:rPr>
              <w:t>HMR service provider</w:t>
            </w:r>
          </w:p>
          <w:p w14:paraId="5A83CE26" w14:textId="6A8A25C2" w:rsidR="009E19C6" w:rsidRPr="00956785" w:rsidRDefault="009E19C6" w:rsidP="00870D51">
            <w:pPr>
              <w:pStyle w:val="TableText"/>
              <w:spacing w:before="0" w:after="0"/>
            </w:pPr>
            <w:r w:rsidRPr="00956785">
              <w:t xml:space="preserve">First service </w:t>
            </w:r>
            <w:r w:rsidR="004156D9" w:rsidRPr="00956785">
              <w:t>$112.65</w:t>
            </w:r>
          </w:p>
          <w:p w14:paraId="0D887162" w14:textId="4DAEDD32" w:rsidR="009E19C6" w:rsidRPr="00956785" w:rsidRDefault="009E19C6" w:rsidP="00870D51">
            <w:pPr>
              <w:pStyle w:val="TableText"/>
              <w:spacing w:before="0" w:after="0"/>
            </w:pPr>
            <w:r w:rsidRPr="00956785">
              <w:t xml:space="preserve">First follow-up: </w:t>
            </w:r>
            <w:r w:rsidR="00F57732" w:rsidRPr="00956785">
              <w:t>$56.33</w:t>
            </w:r>
          </w:p>
          <w:p w14:paraId="46726D74" w14:textId="5067A010" w:rsidR="009E19C6" w:rsidRPr="00956785" w:rsidRDefault="009E19C6" w:rsidP="00870D51">
            <w:pPr>
              <w:pStyle w:val="TableText"/>
              <w:spacing w:before="0" w:after="0"/>
            </w:pPr>
            <w:r w:rsidRPr="00956785">
              <w:t xml:space="preserve">Second follow-up: </w:t>
            </w:r>
            <w:r w:rsidR="00F57732" w:rsidRPr="00956785">
              <w:t>$28.16</w:t>
            </w:r>
          </w:p>
          <w:p w14:paraId="11B8D668" w14:textId="77777777" w:rsidR="009E19C6" w:rsidRPr="00956785" w:rsidRDefault="009E19C6" w:rsidP="00870D51">
            <w:pPr>
              <w:pStyle w:val="TableText"/>
              <w:spacing w:before="0" w:after="0"/>
            </w:pPr>
            <w:r w:rsidRPr="00956785">
              <w:t>Maximum 30 claims per month per service provider</w:t>
            </w:r>
          </w:p>
          <w:p w14:paraId="7B0614E4" w14:textId="77777777" w:rsidR="009E19C6" w:rsidRPr="00956785" w:rsidRDefault="009E19C6" w:rsidP="00870D51">
            <w:pPr>
              <w:pStyle w:val="TableText"/>
              <w:spacing w:before="0" w:after="0"/>
              <w:rPr>
                <w:b/>
              </w:rPr>
            </w:pPr>
            <w:r w:rsidRPr="00956785">
              <w:rPr>
                <w:b/>
              </w:rPr>
              <w:t>GP referrers:</w:t>
            </w:r>
          </w:p>
          <w:p w14:paraId="69BB606D" w14:textId="77777777" w:rsidR="002119CE" w:rsidRPr="00956785" w:rsidRDefault="003365A4" w:rsidP="00870D51">
            <w:pPr>
              <w:pStyle w:val="TableText"/>
              <w:spacing w:before="0" w:after="0"/>
            </w:pPr>
            <w:hyperlink r:id="rId17" w:history="1">
              <w:r w:rsidR="009E19C6" w:rsidRPr="00956785">
                <w:rPr>
                  <w:rStyle w:val="Hyperlink"/>
                </w:rPr>
                <w:t>MBS item 90</w:t>
              </w:r>
              <w:r w:rsidR="005604DF" w:rsidRPr="00956785">
                <w:rPr>
                  <w:rStyle w:val="Hyperlink"/>
                </w:rPr>
                <w:t>3</w:t>
              </w:r>
            </w:hyperlink>
            <w:r w:rsidR="009E19C6" w:rsidRPr="00956785">
              <w:t>: $</w:t>
            </w:r>
            <w:r w:rsidR="005604DF" w:rsidRPr="00956785">
              <w:t>112.05</w:t>
            </w:r>
            <w:r w:rsidR="009E19C6" w:rsidRPr="00956785">
              <w:t xml:space="preserve"> benefit (once per year unless significant change in patient condition or medication regimen)</w:t>
            </w:r>
          </w:p>
          <w:p w14:paraId="06E942E2" w14:textId="03A34401" w:rsidR="00EC7C9B" w:rsidRPr="00956785" w:rsidRDefault="00EC7C9B" w:rsidP="00870D51">
            <w:pPr>
              <w:pStyle w:val="TableText"/>
              <w:spacing w:before="0" w:after="0"/>
              <w:rPr>
                <w:b/>
              </w:rPr>
            </w:pPr>
            <w:r w:rsidRPr="00956785">
              <w:rPr>
                <w:b/>
              </w:rPr>
              <w:t>Other medical practitioners:</w:t>
            </w:r>
          </w:p>
          <w:p w14:paraId="55424AAA" w14:textId="5BB4C509" w:rsidR="00EC7C9B" w:rsidRPr="00956785" w:rsidRDefault="003365A4" w:rsidP="00870D51">
            <w:pPr>
              <w:pStyle w:val="TableText"/>
              <w:spacing w:before="0" w:after="0"/>
            </w:pPr>
            <w:hyperlink r:id="rId18" w:history="1">
              <w:r w:rsidR="00EC7C9B" w:rsidRPr="00956785">
                <w:rPr>
                  <w:rStyle w:val="Hyperlink"/>
                </w:rPr>
                <w:t xml:space="preserve">MBS item </w:t>
              </w:r>
              <w:r w:rsidR="001F072A" w:rsidRPr="00956785">
                <w:rPr>
                  <w:rStyle w:val="Hyperlink"/>
                </w:rPr>
                <w:t>249</w:t>
              </w:r>
            </w:hyperlink>
            <w:r w:rsidR="001F072A" w:rsidRPr="00956785">
              <w:t xml:space="preserve">: </w:t>
            </w:r>
            <w:r w:rsidR="00593BA6" w:rsidRPr="00956785">
              <w:t>$89.65</w:t>
            </w:r>
          </w:p>
        </w:tc>
      </w:tr>
      <w:tr w:rsidR="00394A1F" w:rsidRPr="00956785" w14:paraId="305F309E" w14:textId="77777777" w:rsidTr="00F429F5">
        <w:trPr>
          <w:cantSplit/>
        </w:trPr>
        <w:tc>
          <w:tcPr>
            <w:tcW w:w="3257" w:type="pct"/>
          </w:tcPr>
          <w:p w14:paraId="5A470123" w14:textId="66E10517" w:rsidR="00394A1F" w:rsidRPr="00956785" w:rsidRDefault="00B03DC6" w:rsidP="00B03DC6">
            <w:pPr>
              <w:pStyle w:val="TableText"/>
              <w:rPr>
                <w:b/>
              </w:rPr>
            </w:pPr>
            <w:r w:rsidRPr="00956785">
              <w:rPr>
                <w:b/>
              </w:rPr>
              <w:lastRenderedPageBreak/>
              <w:t xml:space="preserve">Indigenous Health Services Pharmacy Support (IHSPS) </w:t>
            </w:r>
          </w:p>
        </w:tc>
        <w:tc>
          <w:tcPr>
            <w:tcW w:w="1743" w:type="pct"/>
          </w:tcPr>
          <w:p w14:paraId="71038DAE" w14:textId="77777777" w:rsidR="00394A1F" w:rsidRPr="00956785" w:rsidRDefault="00394A1F" w:rsidP="005B4ADF">
            <w:pPr>
              <w:pStyle w:val="TableText"/>
            </w:pPr>
          </w:p>
        </w:tc>
      </w:tr>
      <w:tr w:rsidR="00394A1F" w:rsidRPr="00956785" w14:paraId="0F8F74B9" w14:textId="77777777" w:rsidTr="00F429F5">
        <w:trPr>
          <w:cantSplit/>
        </w:trPr>
        <w:tc>
          <w:tcPr>
            <w:tcW w:w="3257" w:type="pct"/>
          </w:tcPr>
          <w:p w14:paraId="7655149D" w14:textId="04716687" w:rsidR="00394A1F" w:rsidRPr="00956785" w:rsidRDefault="00536F49" w:rsidP="00D14549">
            <w:pPr>
              <w:pStyle w:val="TableText"/>
              <w:numPr>
                <w:ilvl w:val="0"/>
                <w:numId w:val="26"/>
              </w:numPr>
            </w:pPr>
            <w:r w:rsidRPr="00956785">
              <w:t xml:space="preserve">Supports services provided by </w:t>
            </w:r>
            <w:r w:rsidR="00211921" w:rsidRPr="00956785">
              <w:t>Indigenous Health Services</w:t>
            </w:r>
            <w:r w:rsidRPr="00956785">
              <w:t xml:space="preserve"> </w:t>
            </w:r>
            <w:r w:rsidR="00D117AE" w:rsidRPr="00956785">
              <w:t>(IHS)</w:t>
            </w:r>
            <w:r w:rsidR="00086D73" w:rsidRPr="00956785">
              <w:t xml:space="preserve"> </w:t>
            </w:r>
            <w:r w:rsidRPr="00956785">
              <w:t>and Service Providers that contribute to the improvement of Quality Use of Medicines and health outcomes for Aboriginal and Torres Strait Islander people</w:t>
            </w:r>
            <w:r w:rsidR="00211921" w:rsidRPr="00956785">
              <w:t xml:space="preserve">. </w:t>
            </w:r>
          </w:p>
          <w:p w14:paraId="67824E71" w14:textId="46B10CDF" w:rsidR="00211921" w:rsidRPr="00956785" w:rsidRDefault="00211921" w:rsidP="00AA34BF">
            <w:pPr>
              <w:pStyle w:val="TableText"/>
              <w:numPr>
                <w:ilvl w:val="0"/>
                <w:numId w:val="26"/>
              </w:numPr>
            </w:pPr>
            <w:r w:rsidRPr="00956785">
              <w:t>Types of support include Pharmacist Support</w:t>
            </w:r>
            <w:r w:rsidR="00DB6698" w:rsidRPr="00956785">
              <w:t xml:space="preserve">, </w:t>
            </w:r>
            <w:r w:rsidR="00EE29B3" w:rsidRPr="00956785">
              <w:t>d</w:t>
            </w:r>
            <w:r w:rsidRPr="00956785">
              <w:t>evices</w:t>
            </w:r>
            <w:r w:rsidR="00EE29B3" w:rsidRPr="00956785">
              <w:t xml:space="preserve"> for patient’s personal use to help manage medication for chronic disease (</w:t>
            </w:r>
            <w:proofErr w:type="gramStart"/>
            <w:r w:rsidR="00EE29B3" w:rsidRPr="00956785">
              <w:t>e.g.</w:t>
            </w:r>
            <w:proofErr w:type="gramEnd"/>
            <w:r w:rsidR="00EE29B3" w:rsidRPr="00956785">
              <w:t xml:space="preserve"> asthma spacer)</w:t>
            </w:r>
            <w:r w:rsidR="00D117AE" w:rsidRPr="00956785">
              <w:t xml:space="preserve">, </w:t>
            </w:r>
            <w:r w:rsidR="00AA34BF" w:rsidRPr="00956785">
              <w:t>e</w:t>
            </w:r>
            <w:r w:rsidRPr="00956785">
              <w:t>ducation</w:t>
            </w:r>
            <w:r w:rsidR="00D117AE" w:rsidRPr="00956785">
              <w:t xml:space="preserve"> for IHS </w:t>
            </w:r>
            <w:r w:rsidR="00AA34BF" w:rsidRPr="00956785">
              <w:t>employees and clients, p</w:t>
            </w:r>
            <w:r w:rsidRPr="00956785">
              <w:t xml:space="preserve">atient </w:t>
            </w:r>
            <w:r w:rsidR="00AA34BF" w:rsidRPr="00956785">
              <w:t>t</w:t>
            </w:r>
            <w:r w:rsidRPr="00956785">
              <w:t>ransport (IHS only)</w:t>
            </w:r>
          </w:p>
        </w:tc>
        <w:tc>
          <w:tcPr>
            <w:tcW w:w="1743" w:type="pct"/>
          </w:tcPr>
          <w:p w14:paraId="0D08396B" w14:textId="5D55E469" w:rsidR="00394A1F" w:rsidRPr="00956785" w:rsidRDefault="00536F49" w:rsidP="005B4ADF">
            <w:pPr>
              <w:pStyle w:val="TableText"/>
            </w:pPr>
            <w:r w:rsidRPr="00956785">
              <w:t xml:space="preserve">Not applicable. </w:t>
            </w:r>
          </w:p>
        </w:tc>
      </w:tr>
      <w:tr w:rsidR="006A453B" w:rsidRPr="00956785" w14:paraId="1B7FC0B8" w14:textId="77777777" w:rsidTr="00F429F5">
        <w:trPr>
          <w:cantSplit/>
        </w:trPr>
        <w:tc>
          <w:tcPr>
            <w:tcW w:w="3257" w:type="pct"/>
          </w:tcPr>
          <w:p w14:paraId="0C186B40" w14:textId="71B0EB99" w:rsidR="006A453B" w:rsidRPr="00956785" w:rsidRDefault="006F2949" w:rsidP="007E424E">
            <w:pPr>
              <w:pStyle w:val="TableText"/>
              <w:rPr>
                <w:b/>
              </w:rPr>
            </w:pPr>
            <w:r w:rsidRPr="00956785">
              <w:rPr>
                <w:b/>
              </w:rPr>
              <w:t xml:space="preserve">Quality Use of Medicines (QUM) Program (for aged care facilities) </w:t>
            </w:r>
          </w:p>
        </w:tc>
        <w:tc>
          <w:tcPr>
            <w:tcW w:w="1743" w:type="pct"/>
          </w:tcPr>
          <w:p w14:paraId="1FD723A9" w14:textId="77777777" w:rsidR="006A453B" w:rsidRPr="00956785" w:rsidRDefault="006A453B" w:rsidP="005B4ADF">
            <w:pPr>
              <w:pStyle w:val="TableText"/>
            </w:pPr>
          </w:p>
        </w:tc>
      </w:tr>
      <w:tr w:rsidR="006A453B" w:rsidRPr="00956785" w14:paraId="0DCE6EE7" w14:textId="77777777" w:rsidTr="00F429F5">
        <w:trPr>
          <w:cantSplit/>
        </w:trPr>
        <w:tc>
          <w:tcPr>
            <w:tcW w:w="3257" w:type="pct"/>
          </w:tcPr>
          <w:p w14:paraId="31897F1A" w14:textId="260C93C0" w:rsidR="006A453B" w:rsidRPr="00956785" w:rsidRDefault="009747E2" w:rsidP="00EB457E">
            <w:pPr>
              <w:pStyle w:val="TableText"/>
              <w:numPr>
                <w:ilvl w:val="0"/>
                <w:numId w:val="26"/>
              </w:numPr>
            </w:pPr>
            <w:r w:rsidRPr="00956785">
              <w:t xml:space="preserve">Aim </w:t>
            </w:r>
            <w:r w:rsidR="00B61B4A" w:rsidRPr="00956785">
              <w:t xml:space="preserve">to </w:t>
            </w:r>
            <w:r w:rsidR="00EB457E" w:rsidRPr="00956785">
              <w:t>support Quality Use of Medicines services that are designed to reduce adverse events and associated hospital admissions or medical presentation</w:t>
            </w:r>
            <w:r w:rsidR="004F326F" w:rsidRPr="00956785">
              <w:t>s</w:t>
            </w:r>
            <w:r w:rsidR="00B61B4A" w:rsidRPr="00956785">
              <w:t>. Target population is residents of</w:t>
            </w:r>
            <w:r w:rsidRPr="00956785">
              <w:t xml:space="preserve"> approved Australian Government-funded Aged Care Facilities.</w:t>
            </w:r>
          </w:p>
          <w:p w14:paraId="586E1B27" w14:textId="276B9129" w:rsidR="00857999" w:rsidRPr="00956785" w:rsidRDefault="00B61B4A" w:rsidP="00EB457E">
            <w:pPr>
              <w:pStyle w:val="TableText"/>
              <w:numPr>
                <w:ilvl w:val="0"/>
                <w:numId w:val="26"/>
              </w:numPr>
            </w:pPr>
            <w:r w:rsidRPr="00956785">
              <w:t xml:space="preserve">Types of </w:t>
            </w:r>
            <w:r w:rsidR="087361CB" w:rsidRPr="00956785">
              <w:t xml:space="preserve">funded </w:t>
            </w:r>
            <w:r w:rsidRPr="00956785">
              <w:t>services that can be provided under this program include (but are not limited to) medication advisory activities, education activities, continuous improvement activities.</w:t>
            </w:r>
            <w:r w:rsidR="00857999" w:rsidRPr="00956785">
              <w:t xml:space="preserve"> </w:t>
            </w:r>
          </w:p>
          <w:p w14:paraId="1C2310AA" w14:textId="1859C2BD" w:rsidR="00857999" w:rsidRPr="00956785" w:rsidRDefault="00857999" w:rsidP="00857999">
            <w:pPr>
              <w:pStyle w:val="TableText"/>
              <w:numPr>
                <w:ilvl w:val="0"/>
                <w:numId w:val="26"/>
              </w:numPr>
            </w:pPr>
            <w:r w:rsidRPr="00956785">
              <w:t>No set requirements on the type and frequency of services (but must be documented in service agreement</w:t>
            </w:r>
            <w:r w:rsidR="00D67594" w:rsidRPr="00956785">
              <w:t xml:space="preserve"> with aged care facility</w:t>
            </w:r>
            <w:r w:rsidRPr="00956785">
              <w:t>)</w:t>
            </w:r>
          </w:p>
        </w:tc>
        <w:tc>
          <w:tcPr>
            <w:tcW w:w="1743" w:type="pct"/>
          </w:tcPr>
          <w:p w14:paraId="351C7B99" w14:textId="77777777" w:rsidR="006A453B" w:rsidRPr="00956785" w:rsidRDefault="00D67594" w:rsidP="005B4ADF">
            <w:pPr>
              <w:pStyle w:val="TableText"/>
            </w:pPr>
            <w:r w:rsidRPr="00956785">
              <w:t>Payments are provided as a base annual amount plus an additional amount per eligible aged care bed within the aged care facility.</w:t>
            </w:r>
          </w:p>
          <w:p w14:paraId="393911AA" w14:textId="17ECF3D3" w:rsidR="00765A8B" w:rsidRPr="00956785" w:rsidRDefault="0018752E" w:rsidP="005B4ADF">
            <w:pPr>
              <w:pStyle w:val="TableText"/>
            </w:pPr>
            <w:r w:rsidRPr="00956785">
              <w:t>An external review</w:t>
            </w:r>
            <w:r w:rsidR="00F3485B" w:rsidRPr="00956785">
              <w:rPr>
                <w:rStyle w:val="FootnoteReference"/>
              </w:rPr>
              <w:footnoteReference w:id="3"/>
            </w:r>
            <w:r w:rsidR="009F5EBE" w:rsidRPr="00956785">
              <w:t xml:space="preserve"> </w:t>
            </w:r>
            <w:r w:rsidR="002170B9" w:rsidRPr="00956785">
              <w:t xml:space="preserve">was </w:t>
            </w:r>
            <w:r w:rsidR="009F5EBE" w:rsidRPr="00956785">
              <w:t>commis</w:t>
            </w:r>
            <w:r w:rsidR="00C41093" w:rsidRPr="00956785">
              <w:t>sioned by the Department</w:t>
            </w:r>
            <w:r w:rsidR="00AF5883" w:rsidRPr="00956785">
              <w:t xml:space="preserve"> to assess</w:t>
            </w:r>
            <w:r w:rsidR="009E4296" w:rsidRPr="00956785">
              <w:t xml:space="preserve"> the effectiveness of this program. </w:t>
            </w:r>
            <w:r w:rsidR="00E41C65" w:rsidRPr="00956785">
              <w:t xml:space="preserve">The review acknowledged the </w:t>
            </w:r>
            <w:r w:rsidR="00B675A6" w:rsidRPr="00956785">
              <w:t>national reach of the QUM program</w:t>
            </w:r>
            <w:r w:rsidR="000D022E" w:rsidRPr="00956785">
              <w:t xml:space="preserve"> with services being utilised by </w:t>
            </w:r>
            <w:r w:rsidR="0069041C" w:rsidRPr="00956785">
              <w:t xml:space="preserve">facilities of all sizes and to the full extent of </w:t>
            </w:r>
            <w:r w:rsidR="00DF6979" w:rsidRPr="00956785">
              <w:t>socio-economic status</w:t>
            </w:r>
            <w:r w:rsidR="00A42C5A" w:rsidRPr="00956785">
              <w:t xml:space="preserve"> indicating </w:t>
            </w:r>
            <w:r w:rsidR="003A767B" w:rsidRPr="00956785">
              <w:t>that the design and implementation</w:t>
            </w:r>
            <w:r w:rsidR="00831290" w:rsidRPr="00956785">
              <w:t xml:space="preserve"> has been appropriate and fit-for-purpose</w:t>
            </w:r>
            <w:r w:rsidR="00B02B73" w:rsidRPr="00956785">
              <w:t xml:space="preserve"> in relation to geography</w:t>
            </w:r>
            <w:r w:rsidR="006336E2" w:rsidRPr="00956785">
              <w:t>, Socio-Economic Indexes for Areas (SEIFA)</w:t>
            </w:r>
            <w:r w:rsidR="00D07252" w:rsidRPr="00956785">
              <w:t xml:space="preserve"> and Residential Aged Care Facility (RACF) sizes</w:t>
            </w:r>
          </w:p>
          <w:p w14:paraId="084302C8" w14:textId="3A4B5A91" w:rsidR="00D551E7" w:rsidRPr="00956785" w:rsidRDefault="00C207E6" w:rsidP="005B4ADF">
            <w:pPr>
              <w:pStyle w:val="TableText"/>
            </w:pPr>
            <w:r w:rsidRPr="00956785">
              <w:t xml:space="preserve">However, </w:t>
            </w:r>
            <w:r w:rsidR="00DE7E4D" w:rsidRPr="00956785">
              <w:t>this review</w:t>
            </w:r>
            <w:r w:rsidR="005408D1" w:rsidRPr="00956785">
              <w:t xml:space="preserve"> </w:t>
            </w:r>
            <w:r w:rsidR="00262A23" w:rsidRPr="00956785">
              <w:t xml:space="preserve">also </w:t>
            </w:r>
            <w:r w:rsidR="00F37547" w:rsidRPr="00956785">
              <w:t xml:space="preserve">found that </w:t>
            </w:r>
            <w:r w:rsidR="008D0CD1" w:rsidRPr="00956785">
              <w:t>th</w:t>
            </w:r>
            <w:r w:rsidR="00FB4F0B" w:rsidRPr="00956785">
              <w:t>e</w:t>
            </w:r>
            <w:r w:rsidR="008D0CD1" w:rsidRPr="00956785">
              <w:t xml:space="preserve"> measure</w:t>
            </w:r>
            <w:r w:rsidR="00B53D93" w:rsidRPr="00956785">
              <w:t xml:space="preserve"> in its c</w:t>
            </w:r>
            <w:r w:rsidR="00DD6960" w:rsidRPr="00956785">
              <w:t xml:space="preserve">urrent form is not designed to </w:t>
            </w:r>
            <w:r w:rsidR="00B30A44" w:rsidRPr="00956785">
              <w:t>capture data</w:t>
            </w:r>
            <w:r w:rsidR="00EA0432" w:rsidRPr="00956785">
              <w:t xml:space="preserve"> on program outcomes</w:t>
            </w:r>
            <w:r w:rsidR="00C846F8" w:rsidRPr="00956785">
              <w:t xml:space="preserve">, which made quantifying the </w:t>
            </w:r>
            <w:r w:rsidR="000B3044" w:rsidRPr="00956785">
              <w:t>effectiveness of the program</w:t>
            </w:r>
            <w:r w:rsidR="00DC3621" w:rsidRPr="00956785">
              <w:t xml:space="preserve"> including the impact of service delivery </w:t>
            </w:r>
            <w:r w:rsidR="00DE23C0" w:rsidRPr="00956785">
              <w:t xml:space="preserve">impossible. </w:t>
            </w:r>
          </w:p>
        </w:tc>
      </w:tr>
    </w:tbl>
    <w:p w14:paraId="33BB472D" w14:textId="21704E6D" w:rsidR="00227801" w:rsidRPr="00227801" w:rsidRDefault="004E5871" w:rsidP="00227801">
      <w:pPr>
        <w:pStyle w:val="TableFigureFooter"/>
        <w:rPr>
          <w:rFonts w:eastAsia="Arial Narrow"/>
        </w:rPr>
      </w:pPr>
      <w:r>
        <w:rPr>
          <w:rFonts w:eastAsia="Arial Narrow"/>
        </w:rPr>
        <w:t>Source: MBS Schedule (access</w:t>
      </w:r>
      <w:r w:rsidR="00BA062E">
        <w:rPr>
          <w:rFonts w:eastAsia="Arial Narrow"/>
        </w:rPr>
        <w:t>ed</w:t>
      </w:r>
      <w:r>
        <w:rPr>
          <w:rFonts w:eastAsia="Arial Narrow"/>
        </w:rPr>
        <w:t xml:space="preserve"> 5 February</w:t>
      </w:r>
      <w:r w:rsidR="00BA062E">
        <w:rPr>
          <w:rFonts w:eastAsia="Arial Narrow"/>
        </w:rPr>
        <w:t xml:space="preserve"> 2023</w:t>
      </w:r>
      <w:r>
        <w:rPr>
          <w:rFonts w:eastAsia="Arial Narrow"/>
        </w:rPr>
        <w:t xml:space="preserve">), </w:t>
      </w:r>
      <w:r w:rsidR="00DB05FE">
        <w:rPr>
          <w:rFonts w:eastAsia="Arial Narrow"/>
        </w:rPr>
        <w:t>Pharmacy Programs Administrator (</w:t>
      </w:r>
      <w:hyperlink r:id="rId19" w:history="1">
        <w:r w:rsidR="00DB05FE" w:rsidRPr="006E5568">
          <w:rPr>
            <w:rStyle w:val="Hyperlink"/>
            <w:rFonts w:eastAsia="Arial Narrow"/>
          </w:rPr>
          <w:t>Home Medicines Review</w:t>
        </w:r>
      </w:hyperlink>
      <w:r w:rsidR="00DB05FE">
        <w:rPr>
          <w:rFonts w:eastAsia="Arial Narrow"/>
        </w:rPr>
        <w:t xml:space="preserve">, </w:t>
      </w:r>
      <w:hyperlink r:id="rId20" w:history="1">
        <w:proofErr w:type="spellStart"/>
        <w:r w:rsidR="00972C95" w:rsidRPr="0014632C">
          <w:rPr>
            <w:rStyle w:val="Hyperlink"/>
            <w:rFonts w:eastAsia="Arial Narrow"/>
          </w:rPr>
          <w:t>MedsCheck</w:t>
        </w:r>
        <w:proofErr w:type="spellEnd"/>
        <w:r w:rsidR="00972C95" w:rsidRPr="0014632C">
          <w:rPr>
            <w:rStyle w:val="Hyperlink"/>
            <w:rFonts w:eastAsia="Arial Narrow"/>
          </w:rPr>
          <w:t xml:space="preserve"> and Diabetes </w:t>
        </w:r>
        <w:proofErr w:type="spellStart"/>
        <w:r w:rsidR="00972C95" w:rsidRPr="0014632C">
          <w:rPr>
            <w:rStyle w:val="Hyperlink"/>
            <w:rFonts w:eastAsia="Arial Narrow"/>
          </w:rPr>
          <w:t>MedsCheck</w:t>
        </w:r>
        <w:proofErr w:type="spellEnd"/>
        <w:r w:rsidR="0014632C" w:rsidRPr="0014632C">
          <w:rPr>
            <w:rStyle w:val="Hyperlink"/>
            <w:rFonts w:eastAsia="Arial Narrow"/>
          </w:rPr>
          <w:t>;</w:t>
        </w:r>
      </w:hyperlink>
      <w:r w:rsidR="0014632C">
        <w:rPr>
          <w:rFonts w:eastAsia="Arial Narrow"/>
        </w:rPr>
        <w:t xml:space="preserve"> </w:t>
      </w:r>
      <w:hyperlink r:id="rId21" w:history="1">
        <w:r w:rsidR="00D50016" w:rsidRPr="00D50016">
          <w:rPr>
            <w:rStyle w:val="Hyperlink"/>
            <w:rFonts w:eastAsia="Arial Narrow"/>
          </w:rPr>
          <w:t>Residential Medication Management Review and Quality Use of Medicines</w:t>
        </w:r>
      </w:hyperlink>
      <w:r w:rsidR="00D50016">
        <w:rPr>
          <w:rFonts w:eastAsia="Arial Narrow"/>
        </w:rPr>
        <w:t xml:space="preserve">; </w:t>
      </w:r>
      <w:hyperlink r:id="rId22" w:history="1">
        <w:r w:rsidR="006D72A6" w:rsidRPr="006D72A6">
          <w:rPr>
            <w:rStyle w:val="Hyperlink"/>
            <w:rFonts w:eastAsia="Arial Narrow"/>
          </w:rPr>
          <w:t>Indigenous Health Services Pharmacy Support Program;</w:t>
        </w:r>
      </w:hyperlink>
      <w:r w:rsidR="00697472">
        <w:rPr>
          <w:rFonts w:eastAsia="Arial Narrow"/>
        </w:rPr>
        <w:t xml:space="preserve">). </w:t>
      </w:r>
      <w:r w:rsidR="00227801">
        <w:rPr>
          <w:rFonts w:eastAsia="Arial Narrow" w:cs="Arial Narrow"/>
        </w:rPr>
        <w:br w:type="page"/>
      </w:r>
    </w:p>
    <w:p w14:paraId="64D88FBC" w14:textId="1B76B2EF" w:rsidR="00FC0270" w:rsidRDefault="00675280" w:rsidP="00B80581">
      <w:r w:rsidRPr="4EBA7D1E">
        <w:rPr>
          <w:rFonts w:eastAsia="Arial Narrow" w:cs="Arial Narrow"/>
        </w:rPr>
        <w:lastRenderedPageBreak/>
        <w:t>MMR prog</w:t>
      </w:r>
      <w:r>
        <w:t xml:space="preserve">rams are currently funded under the </w:t>
      </w:r>
      <w:r w:rsidR="00803EB0">
        <w:t xml:space="preserve">7CPA </w:t>
      </w:r>
      <w:r>
        <w:t>in a largely similar manner to the 6CPA.</w:t>
      </w:r>
      <w:r w:rsidR="00741AE0">
        <w:t xml:space="preserve"> The following changes were </w:t>
      </w:r>
      <w:r w:rsidR="0045278F">
        <w:t>made in response to the Interim Report of the Royal Commission into Aged Care Safety and Quality:</w:t>
      </w:r>
    </w:p>
    <w:p w14:paraId="316F1BB8" w14:textId="2F9CC1DE" w:rsidR="0045278F" w:rsidRDefault="0045278F" w:rsidP="00204683">
      <w:pPr>
        <w:pStyle w:val="ListParagraph"/>
        <w:numPr>
          <w:ilvl w:val="0"/>
          <w:numId w:val="16"/>
        </w:numPr>
      </w:pPr>
      <w:r w:rsidRPr="0045278F">
        <w:t xml:space="preserve">allowing up to two remunerated follow-up </w:t>
      </w:r>
      <w:r>
        <w:t xml:space="preserve">HMR or RMMR </w:t>
      </w:r>
      <w:r w:rsidRPr="0045278F">
        <w:t>services within nine months of the initial patient interview</w:t>
      </w:r>
      <w:r>
        <w:rPr>
          <w:rStyle w:val="FootnoteReference"/>
        </w:rPr>
        <w:footnoteReference w:id="4"/>
      </w:r>
      <w:r>
        <w:t xml:space="preserve"> </w:t>
      </w:r>
    </w:p>
    <w:p w14:paraId="4269FA9B" w14:textId="61740389" w:rsidR="0045278F" w:rsidRDefault="0045278F" w:rsidP="00204683">
      <w:pPr>
        <w:pStyle w:val="ListParagraph"/>
        <w:numPr>
          <w:ilvl w:val="0"/>
          <w:numId w:val="16"/>
        </w:numPr>
      </w:pPr>
      <w:r>
        <w:t xml:space="preserve">patients can be </w:t>
      </w:r>
      <w:r w:rsidRPr="0045278F">
        <w:t>referred by other medical practitioners</w:t>
      </w:r>
      <w:r>
        <w:t xml:space="preserve"> (not just GPs)</w:t>
      </w:r>
      <w:r w:rsidR="00BC6C9A">
        <w:t>, H</w:t>
      </w:r>
      <w:r>
        <w:t xml:space="preserve">owever, only GPs </w:t>
      </w:r>
      <w:r w:rsidR="57ADE9B7">
        <w:t>are</w:t>
      </w:r>
      <w:r w:rsidRPr="0045278F">
        <w:t xml:space="preserve"> able to claim MBS Item 900/903</w:t>
      </w:r>
      <w:r>
        <w:t xml:space="preserve">. </w:t>
      </w:r>
    </w:p>
    <w:p w14:paraId="2CBDDFA5" w14:textId="0EBAFF63" w:rsidR="006E31A5" w:rsidRDefault="00A8508E" w:rsidP="00ED6174">
      <w:r w:rsidRPr="00552949">
        <w:fldChar w:fldCharType="begin"/>
      </w:r>
      <w:r w:rsidRPr="00552949">
        <w:instrText xml:space="preserve"> REF _Ref126485423 \h </w:instrText>
      </w:r>
      <w:r w:rsidR="00552949">
        <w:instrText xml:space="preserve"> \* MERGEFORMAT </w:instrText>
      </w:r>
      <w:r w:rsidRPr="00552949">
        <w:fldChar w:fldCharType="separate"/>
      </w:r>
      <w:r w:rsidR="009713A2" w:rsidRPr="007B0DCF">
        <w:t>Table </w:t>
      </w:r>
      <w:r w:rsidR="009713A2" w:rsidRPr="007B0DCF">
        <w:rPr>
          <w:noProof/>
        </w:rPr>
        <w:t>3</w:t>
      </w:r>
      <w:r w:rsidRPr="00552949">
        <w:fldChar w:fldCharType="end"/>
      </w:r>
      <w:r w:rsidRPr="00552949">
        <w:t xml:space="preserve"> </w:t>
      </w:r>
      <w:r w:rsidR="0035391F" w:rsidRPr="00552949">
        <w:t>presents</w:t>
      </w:r>
      <w:r w:rsidRPr="00552949">
        <w:t xml:space="preserve"> </w:t>
      </w:r>
      <w:r>
        <w:t xml:space="preserve">utilisation and expenditure data on </w:t>
      </w:r>
      <w:r w:rsidR="004F326F">
        <w:t xml:space="preserve">the programs aimed at improving medicines use. </w:t>
      </w:r>
    </w:p>
    <w:p w14:paraId="03A719F1" w14:textId="36E43F40" w:rsidR="00A8508E" w:rsidRPr="00956785" w:rsidRDefault="00A8508E" w:rsidP="00A8508E">
      <w:pPr>
        <w:pStyle w:val="Caption"/>
        <w:rPr>
          <w:sz w:val="20"/>
        </w:rPr>
      </w:pPr>
      <w:bookmarkStart w:id="7" w:name="_Ref126485423"/>
      <w:r w:rsidRPr="00956785">
        <w:rPr>
          <w:sz w:val="20"/>
        </w:rPr>
        <w:t>Table </w:t>
      </w:r>
      <w:r w:rsidRPr="00956785">
        <w:rPr>
          <w:sz w:val="20"/>
        </w:rPr>
        <w:fldChar w:fldCharType="begin"/>
      </w:r>
      <w:r w:rsidRPr="00956785">
        <w:rPr>
          <w:sz w:val="20"/>
        </w:rPr>
        <w:instrText>SEQ Table \* ARABIC</w:instrText>
      </w:r>
      <w:r w:rsidRPr="00956785">
        <w:rPr>
          <w:sz w:val="20"/>
        </w:rPr>
        <w:fldChar w:fldCharType="separate"/>
      </w:r>
      <w:r w:rsidR="00FC2B00">
        <w:rPr>
          <w:noProof/>
          <w:sz w:val="20"/>
        </w:rPr>
        <w:t>3</w:t>
      </w:r>
      <w:r w:rsidRPr="00956785">
        <w:rPr>
          <w:sz w:val="20"/>
        </w:rPr>
        <w:fldChar w:fldCharType="end"/>
      </w:r>
      <w:bookmarkEnd w:id="7"/>
      <w:r w:rsidRPr="00956785">
        <w:rPr>
          <w:sz w:val="20"/>
        </w:rPr>
        <w:tab/>
      </w:r>
      <w:r w:rsidR="004A0864" w:rsidRPr="00956785">
        <w:rPr>
          <w:sz w:val="20"/>
        </w:rPr>
        <w:t>Utilisation and expenditure on medication management review programs</w:t>
      </w:r>
    </w:p>
    <w:tbl>
      <w:tblPr>
        <w:tblStyle w:val="TableGrid1"/>
        <w:tblW w:w="5000" w:type="pct"/>
        <w:tblLook w:val="04A0" w:firstRow="1" w:lastRow="0" w:firstColumn="1" w:lastColumn="0" w:noHBand="0" w:noVBand="1"/>
      </w:tblPr>
      <w:tblGrid>
        <w:gridCol w:w="2998"/>
        <w:gridCol w:w="2990"/>
        <w:gridCol w:w="3028"/>
      </w:tblGrid>
      <w:tr w:rsidR="00A8508E" w:rsidRPr="00956785" w14:paraId="7F082196" w14:textId="77777777" w:rsidTr="005B4ADF">
        <w:trPr>
          <w:cnfStyle w:val="100000000000" w:firstRow="1" w:lastRow="0" w:firstColumn="0" w:lastColumn="0" w:oddVBand="0" w:evenVBand="0" w:oddHBand="0" w:evenHBand="0" w:firstRowFirstColumn="0" w:firstRowLastColumn="0" w:lastRowFirstColumn="0" w:lastRowLastColumn="0"/>
          <w:cantSplit/>
          <w:tblHeader/>
        </w:trPr>
        <w:tc>
          <w:tcPr>
            <w:tcW w:w="1663" w:type="pct"/>
            <w:shd w:val="clear" w:color="auto" w:fill="auto"/>
          </w:tcPr>
          <w:p w14:paraId="3C9AF7B6" w14:textId="77777777" w:rsidR="00A8508E" w:rsidRPr="00956785" w:rsidRDefault="00A8508E" w:rsidP="00F45F87">
            <w:pPr>
              <w:pStyle w:val="TableText"/>
              <w:rPr>
                <w:b/>
              </w:rPr>
            </w:pPr>
            <w:r w:rsidRPr="00956785">
              <w:rPr>
                <w:b/>
              </w:rPr>
              <w:t>Component</w:t>
            </w:r>
          </w:p>
        </w:tc>
        <w:tc>
          <w:tcPr>
            <w:tcW w:w="1658" w:type="pct"/>
            <w:shd w:val="clear" w:color="auto" w:fill="auto"/>
          </w:tcPr>
          <w:p w14:paraId="201DCDB2" w14:textId="71493C3D" w:rsidR="00A8508E" w:rsidRPr="00956785" w:rsidRDefault="00281B0C" w:rsidP="00F45F87">
            <w:pPr>
              <w:pStyle w:val="TableText"/>
              <w:rPr>
                <w:b/>
              </w:rPr>
            </w:pPr>
            <w:r w:rsidRPr="00956785">
              <w:rPr>
                <w:b/>
              </w:rPr>
              <w:t>Services</w:t>
            </w:r>
          </w:p>
        </w:tc>
        <w:tc>
          <w:tcPr>
            <w:tcW w:w="1679" w:type="pct"/>
            <w:shd w:val="clear" w:color="auto" w:fill="auto"/>
          </w:tcPr>
          <w:p w14:paraId="3268F191" w14:textId="4FB1A1DB" w:rsidR="00A8508E" w:rsidRPr="00956785" w:rsidRDefault="00281B0C" w:rsidP="00F45F87">
            <w:pPr>
              <w:pStyle w:val="TableText"/>
              <w:rPr>
                <w:b/>
              </w:rPr>
            </w:pPr>
            <w:r w:rsidRPr="00956785">
              <w:rPr>
                <w:b/>
              </w:rPr>
              <w:t>Expenditure</w:t>
            </w:r>
          </w:p>
        </w:tc>
      </w:tr>
      <w:tr w:rsidR="00AA4777" w:rsidRPr="00956785" w14:paraId="62DDE898" w14:textId="77777777" w:rsidTr="00AA4777">
        <w:trPr>
          <w:cantSplit/>
        </w:trPr>
        <w:tc>
          <w:tcPr>
            <w:tcW w:w="5000" w:type="pct"/>
            <w:gridSpan w:val="3"/>
          </w:tcPr>
          <w:p w14:paraId="7EA03353" w14:textId="33D0D34C" w:rsidR="00AA4777" w:rsidRPr="00956785" w:rsidRDefault="00AA4777" w:rsidP="005B4ADF">
            <w:pPr>
              <w:pStyle w:val="TableText"/>
            </w:pPr>
            <w:r w:rsidRPr="00956785">
              <w:rPr>
                <w:b/>
              </w:rPr>
              <w:t>Home Medicines Review Program</w:t>
            </w:r>
          </w:p>
        </w:tc>
      </w:tr>
      <w:tr w:rsidR="00A8508E" w:rsidRPr="00956785" w14:paraId="5477CE33" w14:textId="77777777" w:rsidTr="005B4ADF">
        <w:trPr>
          <w:cantSplit/>
        </w:trPr>
        <w:tc>
          <w:tcPr>
            <w:tcW w:w="1663" w:type="pct"/>
          </w:tcPr>
          <w:p w14:paraId="4D75359A" w14:textId="56297A61" w:rsidR="00A8508E" w:rsidRPr="00956785" w:rsidRDefault="00281B0C" w:rsidP="005B4ADF">
            <w:pPr>
              <w:pStyle w:val="TableText"/>
            </w:pPr>
            <w:r w:rsidRPr="00956785">
              <w:t>2020-21</w:t>
            </w:r>
          </w:p>
        </w:tc>
        <w:tc>
          <w:tcPr>
            <w:tcW w:w="1658" w:type="pct"/>
          </w:tcPr>
          <w:p w14:paraId="2496445E" w14:textId="3AB89083" w:rsidR="00A8508E" w:rsidRPr="00956785" w:rsidRDefault="002E584E" w:rsidP="005B4ADF">
            <w:pPr>
              <w:pStyle w:val="TableText"/>
              <w:rPr>
                <w:rFonts w:eastAsia="Times New Roman" w:cs="Franklin Gothic Book"/>
                <w:snapToGrid w:val="0"/>
              </w:rPr>
            </w:pPr>
            <w:r w:rsidRPr="00956785">
              <w:rPr>
                <w:rFonts w:eastAsia="Times New Roman" w:cs="Franklin Gothic Book"/>
                <w:snapToGrid w:val="0"/>
              </w:rPr>
              <w:t>119,420</w:t>
            </w:r>
          </w:p>
        </w:tc>
        <w:tc>
          <w:tcPr>
            <w:tcW w:w="1679" w:type="pct"/>
          </w:tcPr>
          <w:p w14:paraId="33C98172" w14:textId="2ECA267C" w:rsidR="00A8508E" w:rsidRPr="00956785" w:rsidRDefault="002E584E" w:rsidP="005B4ADF">
            <w:pPr>
              <w:pStyle w:val="TableText"/>
              <w:rPr>
                <w:rFonts w:eastAsia="Times New Roman" w:cs="Franklin Gothic Book"/>
                <w:snapToGrid w:val="0"/>
              </w:rPr>
            </w:pPr>
            <w:r w:rsidRPr="00956785">
              <w:rPr>
                <w:rFonts w:eastAsia="Times New Roman" w:cs="Franklin Gothic Book"/>
                <w:snapToGrid w:val="0"/>
              </w:rPr>
              <w:t>$23,858,714</w:t>
            </w:r>
          </w:p>
        </w:tc>
      </w:tr>
      <w:tr w:rsidR="00A8508E" w:rsidRPr="00956785" w14:paraId="39DA547D" w14:textId="77777777" w:rsidTr="005B4ADF">
        <w:trPr>
          <w:cantSplit/>
        </w:trPr>
        <w:tc>
          <w:tcPr>
            <w:tcW w:w="1663" w:type="pct"/>
          </w:tcPr>
          <w:p w14:paraId="7655AA10" w14:textId="6E5D06A1" w:rsidR="00A8508E" w:rsidRPr="00956785" w:rsidRDefault="002E584E" w:rsidP="005B4ADF">
            <w:pPr>
              <w:pStyle w:val="TableText"/>
            </w:pPr>
            <w:r w:rsidRPr="00956785">
              <w:t>2021-22</w:t>
            </w:r>
          </w:p>
        </w:tc>
        <w:tc>
          <w:tcPr>
            <w:tcW w:w="1658" w:type="pct"/>
          </w:tcPr>
          <w:p w14:paraId="4F6A2624" w14:textId="7D910562" w:rsidR="00A8508E" w:rsidRPr="00956785" w:rsidRDefault="002E584E" w:rsidP="005B4ADF">
            <w:pPr>
              <w:pStyle w:val="TableText"/>
            </w:pPr>
            <w:r w:rsidRPr="00956785">
              <w:t>118,960</w:t>
            </w:r>
          </w:p>
        </w:tc>
        <w:tc>
          <w:tcPr>
            <w:tcW w:w="1679" w:type="pct"/>
          </w:tcPr>
          <w:p w14:paraId="36461682" w14:textId="72F1BA11" w:rsidR="00A8508E" w:rsidRPr="00956785" w:rsidRDefault="008D5AA8" w:rsidP="005B4ADF">
            <w:pPr>
              <w:pStyle w:val="TableText"/>
              <w:rPr>
                <w:rFonts w:eastAsia="Times New Roman" w:cs="Franklin Gothic Book"/>
                <w:snapToGrid w:val="0"/>
              </w:rPr>
            </w:pPr>
            <w:r w:rsidRPr="00956785">
              <w:rPr>
                <w:rFonts w:eastAsia="Times New Roman" w:cs="Franklin Gothic Book"/>
                <w:snapToGrid w:val="0"/>
              </w:rPr>
              <w:t>$22,764,44</w:t>
            </w:r>
            <w:r w:rsidR="005C52FB" w:rsidRPr="00956785">
              <w:rPr>
                <w:rFonts w:eastAsia="Times New Roman" w:cs="Franklin Gothic Book"/>
                <w:snapToGrid w:val="0"/>
              </w:rPr>
              <w:t>3</w:t>
            </w:r>
          </w:p>
        </w:tc>
      </w:tr>
      <w:tr w:rsidR="002E584E" w:rsidRPr="00956785" w14:paraId="38762B37" w14:textId="77777777" w:rsidTr="005B4ADF">
        <w:trPr>
          <w:cantSplit/>
        </w:trPr>
        <w:tc>
          <w:tcPr>
            <w:tcW w:w="1663" w:type="pct"/>
          </w:tcPr>
          <w:p w14:paraId="0743AF2F" w14:textId="22DD2251" w:rsidR="002E584E" w:rsidRPr="00956785" w:rsidRDefault="008D5AA8" w:rsidP="005B4ADF">
            <w:pPr>
              <w:pStyle w:val="TableText"/>
            </w:pPr>
            <w:r w:rsidRPr="00956785">
              <w:t>2022-23 (July to December)</w:t>
            </w:r>
          </w:p>
        </w:tc>
        <w:tc>
          <w:tcPr>
            <w:tcW w:w="1658" w:type="pct"/>
          </w:tcPr>
          <w:p w14:paraId="4AA45E23" w14:textId="65F3B307" w:rsidR="002E584E" w:rsidRPr="00956785" w:rsidRDefault="008D5AA8" w:rsidP="005B4ADF">
            <w:pPr>
              <w:pStyle w:val="TableText"/>
            </w:pPr>
            <w:r w:rsidRPr="00956785">
              <w:t>79,891</w:t>
            </w:r>
          </w:p>
        </w:tc>
        <w:tc>
          <w:tcPr>
            <w:tcW w:w="1679" w:type="pct"/>
          </w:tcPr>
          <w:p w14:paraId="1EBC4A2C" w14:textId="606194D5" w:rsidR="002E584E" w:rsidRPr="00956785" w:rsidRDefault="008D5AA8" w:rsidP="005B4ADF">
            <w:pPr>
              <w:pStyle w:val="TableText"/>
              <w:rPr>
                <w:rFonts w:eastAsia="Times New Roman" w:cs="Franklin Gothic Book"/>
                <w:snapToGrid w:val="0"/>
              </w:rPr>
            </w:pPr>
            <w:r w:rsidRPr="00956785">
              <w:rPr>
                <w:rFonts w:eastAsia="Times New Roman" w:cs="Franklin Gothic Book"/>
                <w:snapToGrid w:val="0"/>
              </w:rPr>
              <w:t>$14,732,760</w:t>
            </w:r>
          </w:p>
        </w:tc>
      </w:tr>
      <w:tr w:rsidR="00AA4777" w:rsidRPr="00956785" w14:paraId="48D30E64" w14:textId="77777777" w:rsidTr="00AA4777">
        <w:trPr>
          <w:cantSplit/>
        </w:trPr>
        <w:tc>
          <w:tcPr>
            <w:tcW w:w="5000" w:type="pct"/>
            <w:gridSpan w:val="3"/>
          </w:tcPr>
          <w:p w14:paraId="6E2CD422" w14:textId="0ADEA870" w:rsidR="00AA4777" w:rsidRPr="00956785" w:rsidRDefault="00AA4777" w:rsidP="005B4ADF">
            <w:pPr>
              <w:pStyle w:val="TableText"/>
              <w:rPr>
                <w:rFonts w:eastAsia="Times New Roman" w:cs="Franklin Gothic Book"/>
                <w:snapToGrid w:val="0"/>
              </w:rPr>
            </w:pPr>
            <w:r w:rsidRPr="00956785">
              <w:rPr>
                <w:b/>
              </w:rPr>
              <w:t>Residential Medication Management Review Program</w:t>
            </w:r>
          </w:p>
        </w:tc>
      </w:tr>
      <w:tr w:rsidR="0090795B" w:rsidRPr="00956785" w14:paraId="09A82CE6" w14:textId="77777777" w:rsidTr="005B4ADF">
        <w:trPr>
          <w:cantSplit/>
        </w:trPr>
        <w:tc>
          <w:tcPr>
            <w:tcW w:w="1663" w:type="pct"/>
          </w:tcPr>
          <w:p w14:paraId="4FC5604B" w14:textId="718361D3" w:rsidR="0090795B" w:rsidRPr="00956785" w:rsidRDefault="0090795B" w:rsidP="0090795B">
            <w:pPr>
              <w:pStyle w:val="TableText"/>
            </w:pPr>
            <w:r w:rsidRPr="00956785">
              <w:t>2020-21</w:t>
            </w:r>
          </w:p>
        </w:tc>
        <w:tc>
          <w:tcPr>
            <w:tcW w:w="1658" w:type="pct"/>
          </w:tcPr>
          <w:p w14:paraId="620BF5E2" w14:textId="5B82BBDF" w:rsidR="0090795B" w:rsidRPr="00956785" w:rsidRDefault="0090795B" w:rsidP="0090795B">
            <w:pPr>
              <w:pStyle w:val="TableText"/>
            </w:pPr>
            <w:r w:rsidRPr="00956785">
              <w:t>129,269</w:t>
            </w:r>
          </w:p>
        </w:tc>
        <w:tc>
          <w:tcPr>
            <w:tcW w:w="1679" w:type="pct"/>
          </w:tcPr>
          <w:p w14:paraId="7FE4DABB" w14:textId="2F0E9182" w:rsidR="0090795B" w:rsidRPr="00956785" w:rsidRDefault="0090795B" w:rsidP="0090795B">
            <w:pPr>
              <w:pStyle w:val="TableText"/>
              <w:rPr>
                <w:rFonts w:eastAsia="Times New Roman" w:cs="Franklin Gothic Book"/>
                <w:snapToGrid w:val="0"/>
              </w:rPr>
            </w:pPr>
            <w:r w:rsidRPr="00956785">
              <w:rPr>
                <w:rFonts w:eastAsia="Times New Roman" w:cs="Franklin Gothic Book"/>
                <w:snapToGrid w:val="0"/>
              </w:rPr>
              <w:t>$13,189,034</w:t>
            </w:r>
          </w:p>
        </w:tc>
      </w:tr>
      <w:tr w:rsidR="0090795B" w:rsidRPr="00956785" w14:paraId="4971138D" w14:textId="77777777" w:rsidTr="005B4ADF">
        <w:trPr>
          <w:cantSplit/>
        </w:trPr>
        <w:tc>
          <w:tcPr>
            <w:tcW w:w="1663" w:type="pct"/>
          </w:tcPr>
          <w:p w14:paraId="230F36C7" w14:textId="584CBDBB" w:rsidR="0090795B" w:rsidRPr="00956785" w:rsidRDefault="0090795B" w:rsidP="0090795B">
            <w:pPr>
              <w:pStyle w:val="TableText"/>
            </w:pPr>
            <w:r w:rsidRPr="00956785">
              <w:t>2021-22</w:t>
            </w:r>
          </w:p>
        </w:tc>
        <w:tc>
          <w:tcPr>
            <w:tcW w:w="1658" w:type="pct"/>
          </w:tcPr>
          <w:p w14:paraId="19B523C5" w14:textId="0E938771" w:rsidR="0090795B" w:rsidRPr="00956785" w:rsidRDefault="0090795B" w:rsidP="0090795B">
            <w:pPr>
              <w:pStyle w:val="TableText"/>
            </w:pPr>
            <w:r w:rsidRPr="00956785">
              <w:t>146,430</w:t>
            </w:r>
          </w:p>
        </w:tc>
        <w:tc>
          <w:tcPr>
            <w:tcW w:w="1679" w:type="pct"/>
          </w:tcPr>
          <w:p w14:paraId="552A0E3D" w14:textId="78B02571" w:rsidR="0090795B" w:rsidRPr="00956785" w:rsidRDefault="0090795B" w:rsidP="0090795B">
            <w:pPr>
              <w:pStyle w:val="TableText"/>
              <w:rPr>
                <w:rFonts w:eastAsia="Times New Roman" w:cs="Franklin Gothic Book"/>
                <w:snapToGrid w:val="0"/>
              </w:rPr>
            </w:pPr>
            <w:r w:rsidRPr="00956785">
              <w:rPr>
                <w:rFonts w:eastAsia="Times New Roman" w:cs="Franklin Gothic Book"/>
                <w:snapToGrid w:val="0"/>
              </w:rPr>
              <w:t>$14,557,878</w:t>
            </w:r>
          </w:p>
        </w:tc>
      </w:tr>
      <w:tr w:rsidR="0090795B" w:rsidRPr="00956785" w14:paraId="0304C3DF" w14:textId="77777777" w:rsidTr="005B4ADF">
        <w:trPr>
          <w:cantSplit/>
        </w:trPr>
        <w:tc>
          <w:tcPr>
            <w:tcW w:w="1663" w:type="pct"/>
          </w:tcPr>
          <w:p w14:paraId="6CEC967B" w14:textId="1317A64C" w:rsidR="0090795B" w:rsidRPr="00956785" w:rsidRDefault="0090795B" w:rsidP="0090795B">
            <w:pPr>
              <w:pStyle w:val="TableText"/>
            </w:pPr>
            <w:r w:rsidRPr="00956785">
              <w:t>2022-23 (July to December)</w:t>
            </w:r>
          </w:p>
        </w:tc>
        <w:tc>
          <w:tcPr>
            <w:tcW w:w="1658" w:type="pct"/>
          </w:tcPr>
          <w:p w14:paraId="4B55E791" w14:textId="65E7DE5B" w:rsidR="0090795B" w:rsidRPr="00956785" w:rsidRDefault="00F20A20" w:rsidP="0090795B">
            <w:pPr>
              <w:pStyle w:val="TableText"/>
            </w:pPr>
            <w:r w:rsidRPr="00956785">
              <w:t>80,010</w:t>
            </w:r>
          </w:p>
        </w:tc>
        <w:tc>
          <w:tcPr>
            <w:tcW w:w="1679" w:type="pct"/>
          </w:tcPr>
          <w:p w14:paraId="39A17B52" w14:textId="51568D3D" w:rsidR="0090795B" w:rsidRPr="00956785" w:rsidRDefault="00F20A20" w:rsidP="0090795B">
            <w:pPr>
              <w:pStyle w:val="TableText"/>
              <w:rPr>
                <w:rFonts w:eastAsia="Times New Roman" w:cs="Franklin Gothic Book"/>
                <w:snapToGrid w:val="0"/>
              </w:rPr>
            </w:pPr>
            <w:r w:rsidRPr="00956785">
              <w:rPr>
                <w:rFonts w:eastAsia="Times New Roman" w:cs="Franklin Gothic Book"/>
                <w:snapToGrid w:val="0"/>
              </w:rPr>
              <w:t>$7,857,906</w:t>
            </w:r>
          </w:p>
        </w:tc>
      </w:tr>
      <w:tr w:rsidR="00AA4777" w:rsidRPr="00956785" w14:paraId="5FA7580B" w14:textId="77777777" w:rsidTr="00AA4777">
        <w:trPr>
          <w:cantSplit/>
        </w:trPr>
        <w:tc>
          <w:tcPr>
            <w:tcW w:w="5000" w:type="pct"/>
            <w:gridSpan w:val="3"/>
          </w:tcPr>
          <w:p w14:paraId="599FB9CA" w14:textId="528E8B16" w:rsidR="00AA4777" w:rsidRPr="00956785" w:rsidRDefault="00AA4777" w:rsidP="005B4ADF">
            <w:pPr>
              <w:pStyle w:val="TableText"/>
              <w:rPr>
                <w:rFonts w:eastAsia="Times New Roman" w:cs="Franklin Gothic Book"/>
                <w:snapToGrid w:val="0"/>
              </w:rPr>
            </w:pPr>
            <w:r w:rsidRPr="00956785">
              <w:rPr>
                <w:b/>
              </w:rPr>
              <w:t>Quality Use of Medicines Program</w:t>
            </w:r>
          </w:p>
        </w:tc>
      </w:tr>
      <w:tr w:rsidR="005916A7" w:rsidRPr="00956785" w14:paraId="3A7502F7" w14:textId="77777777" w:rsidTr="005B4ADF">
        <w:trPr>
          <w:cantSplit/>
        </w:trPr>
        <w:tc>
          <w:tcPr>
            <w:tcW w:w="1663" w:type="pct"/>
          </w:tcPr>
          <w:p w14:paraId="302E5720" w14:textId="2053CD02" w:rsidR="005916A7" w:rsidRPr="00956785" w:rsidRDefault="005916A7" w:rsidP="00ED16CE">
            <w:pPr>
              <w:pStyle w:val="TableText"/>
            </w:pPr>
            <w:r w:rsidRPr="00956785">
              <w:t>2020-21</w:t>
            </w:r>
          </w:p>
        </w:tc>
        <w:tc>
          <w:tcPr>
            <w:tcW w:w="1658" w:type="pct"/>
            <w:vMerge w:val="restart"/>
          </w:tcPr>
          <w:p w14:paraId="5D33C247" w14:textId="77777777" w:rsidR="005916A7" w:rsidRPr="00956785" w:rsidRDefault="005916A7" w:rsidP="00ED16CE">
            <w:pPr>
              <w:pStyle w:val="TableText"/>
            </w:pPr>
            <w:r w:rsidRPr="00956785">
              <w:t xml:space="preserve">Not applicable. </w:t>
            </w:r>
          </w:p>
          <w:p w14:paraId="7CD144CE" w14:textId="72E8BDEE" w:rsidR="005916A7" w:rsidRPr="00956785" w:rsidRDefault="003D7D1E" w:rsidP="00ED16CE">
            <w:pPr>
              <w:pStyle w:val="TableText"/>
            </w:pPr>
            <w:r w:rsidRPr="00956785">
              <w:t xml:space="preserve">Approximately 191,000 aged care residents (2021) </w:t>
            </w:r>
          </w:p>
        </w:tc>
        <w:tc>
          <w:tcPr>
            <w:tcW w:w="1679" w:type="pct"/>
          </w:tcPr>
          <w:p w14:paraId="03499F68" w14:textId="4536CB96" w:rsidR="005916A7" w:rsidRPr="00956785" w:rsidRDefault="005916A7" w:rsidP="00ED16CE">
            <w:pPr>
              <w:pStyle w:val="TableText"/>
              <w:rPr>
                <w:rFonts w:cs="Franklin Gothic Medium"/>
                <w:snapToGrid w:val="0"/>
              </w:rPr>
            </w:pPr>
            <w:r w:rsidRPr="00956785">
              <w:rPr>
                <w:rFonts w:cs="Franklin Gothic Medium"/>
                <w:snapToGrid w:val="0"/>
              </w:rPr>
              <w:t>$11,084,434</w:t>
            </w:r>
          </w:p>
        </w:tc>
      </w:tr>
      <w:tr w:rsidR="005916A7" w:rsidRPr="00956785" w14:paraId="388442DF" w14:textId="77777777" w:rsidTr="005B4ADF">
        <w:trPr>
          <w:cantSplit/>
        </w:trPr>
        <w:tc>
          <w:tcPr>
            <w:tcW w:w="1663" w:type="pct"/>
          </w:tcPr>
          <w:p w14:paraId="509E0F95" w14:textId="49EC7C6D" w:rsidR="005916A7" w:rsidRPr="00956785" w:rsidRDefault="005916A7" w:rsidP="00ED16CE">
            <w:pPr>
              <w:pStyle w:val="TableText"/>
            </w:pPr>
            <w:r w:rsidRPr="00956785">
              <w:t>2021-22</w:t>
            </w:r>
          </w:p>
        </w:tc>
        <w:tc>
          <w:tcPr>
            <w:tcW w:w="1658" w:type="pct"/>
            <w:vMerge/>
          </w:tcPr>
          <w:p w14:paraId="5AC8B605" w14:textId="77777777" w:rsidR="005916A7" w:rsidRPr="00956785" w:rsidRDefault="005916A7" w:rsidP="00ED16CE">
            <w:pPr>
              <w:pStyle w:val="TableText"/>
            </w:pPr>
          </w:p>
        </w:tc>
        <w:tc>
          <w:tcPr>
            <w:tcW w:w="1679" w:type="pct"/>
          </w:tcPr>
          <w:p w14:paraId="60FBD76C" w14:textId="3BC57497" w:rsidR="005916A7" w:rsidRPr="00956785" w:rsidRDefault="005916A7" w:rsidP="00ED16CE">
            <w:pPr>
              <w:pStyle w:val="TableText"/>
              <w:rPr>
                <w:rFonts w:cs="Franklin Gothic Medium"/>
                <w:snapToGrid w:val="0"/>
              </w:rPr>
            </w:pPr>
            <w:r w:rsidRPr="00956785">
              <w:rPr>
                <w:rFonts w:cs="Franklin Gothic Medium"/>
                <w:snapToGrid w:val="0"/>
              </w:rPr>
              <w:t>$11,483,595</w:t>
            </w:r>
          </w:p>
        </w:tc>
      </w:tr>
      <w:tr w:rsidR="005916A7" w:rsidRPr="00956785" w14:paraId="5A939F5C" w14:textId="77777777" w:rsidTr="005B4ADF">
        <w:trPr>
          <w:cantSplit/>
        </w:trPr>
        <w:tc>
          <w:tcPr>
            <w:tcW w:w="1663" w:type="pct"/>
          </w:tcPr>
          <w:p w14:paraId="66D32BDD" w14:textId="106E2C01" w:rsidR="005916A7" w:rsidRPr="00956785" w:rsidRDefault="005916A7" w:rsidP="00ED16CE">
            <w:pPr>
              <w:pStyle w:val="TableText"/>
            </w:pPr>
            <w:r w:rsidRPr="00956785">
              <w:t>2022-23 (July to December)</w:t>
            </w:r>
          </w:p>
        </w:tc>
        <w:tc>
          <w:tcPr>
            <w:tcW w:w="1658" w:type="pct"/>
            <w:vMerge/>
          </w:tcPr>
          <w:p w14:paraId="4E46B924" w14:textId="77777777" w:rsidR="005916A7" w:rsidRPr="00956785" w:rsidRDefault="005916A7" w:rsidP="00ED16CE">
            <w:pPr>
              <w:pStyle w:val="TableText"/>
            </w:pPr>
          </w:p>
        </w:tc>
        <w:tc>
          <w:tcPr>
            <w:tcW w:w="1679" w:type="pct"/>
          </w:tcPr>
          <w:p w14:paraId="0A397D96" w14:textId="37D72A4F" w:rsidR="005916A7" w:rsidRPr="00956785" w:rsidRDefault="005916A7" w:rsidP="00ED16CE">
            <w:pPr>
              <w:pStyle w:val="TableText"/>
              <w:rPr>
                <w:rFonts w:cs="Franklin Gothic Medium"/>
                <w:snapToGrid w:val="0"/>
              </w:rPr>
            </w:pPr>
            <w:r w:rsidRPr="00956785">
              <w:rPr>
                <w:rFonts w:cs="Franklin Gothic Medium"/>
                <w:snapToGrid w:val="0"/>
              </w:rPr>
              <w:t>$5,694,451</w:t>
            </w:r>
          </w:p>
        </w:tc>
      </w:tr>
      <w:tr w:rsidR="006F229B" w:rsidRPr="00956785" w14:paraId="65217660" w14:textId="77777777" w:rsidTr="006F229B">
        <w:trPr>
          <w:cantSplit/>
        </w:trPr>
        <w:tc>
          <w:tcPr>
            <w:tcW w:w="5000" w:type="pct"/>
            <w:gridSpan w:val="3"/>
          </w:tcPr>
          <w:p w14:paraId="5A1EA80A" w14:textId="67F314E1" w:rsidR="006F229B" w:rsidRPr="00956785" w:rsidRDefault="000B7E0F" w:rsidP="005B4ADF">
            <w:pPr>
              <w:pStyle w:val="TableText"/>
              <w:rPr>
                <w:rFonts w:cs="Franklin Gothic Medium"/>
                <w:b/>
                <w:snapToGrid w:val="0"/>
              </w:rPr>
            </w:pPr>
            <w:proofErr w:type="spellStart"/>
            <w:r w:rsidRPr="00956785">
              <w:rPr>
                <w:rFonts w:cs="Franklin Gothic Medium"/>
                <w:b/>
                <w:snapToGrid w:val="0"/>
              </w:rPr>
              <w:t>MedsCheck</w:t>
            </w:r>
            <w:proofErr w:type="spellEnd"/>
            <w:r w:rsidRPr="00956785">
              <w:rPr>
                <w:rFonts w:cs="Franklin Gothic Medium"/>
                <w:b/>
                <w:snapToGrid w:val="0"/>
              </w:rPr>
              <w:t xml:space="preserve">/Diabetes </w:t>
            </w:r>
            <w:proofErr w:type="spellStart"/>
            <w:r w:rsidRPr="00956785">
              <w:rPr>
                <w:rFonts w:cs="Franklin Gothic Medium"/>
                <w:b/>
                <w:snapToGrid w:val="0"/>
              </w:rPr>
              <w:t>MedsCheck</w:t>
            </w:r>
            <w:proofErr w:type="spellEnd"/>
          </w:p>
        </w:tc>
      </w:tr>
      <w:tr w:rsidR="00CD01B5" w:rsidRPr="00956785" w14:paraId="2F36F094" w14:textId="77777777" w:rsidTr="005B4ADF">
        <w:trPr>
          <w:cantSplit/>
        </w:trPr>
        <w:tc>
          <w:tcPr>
            <w:tcW w:w="1663" w:type="pct"/>
          </w:tcPr>
          <w:p w14:paraId="2CD2BEB8" w14:textId="525DBEB4" w:rsidR="00CD01B5" w:rsidRPr="00956785" w:rsidRDefault="00CD01B5" w:rsidP="00CD01B5">
            <w:pPr>
              <w:pStyle w:val="TableText"/>
            </w:pPr>
            <w:r w:rsidRPr="00956785">
              <w:t>2020-21</w:t>
            </w:r>
          </w:p>
        </w:tc>
        <w:tc>
          <w:tcPr>
            <w:tcW w:w="1658" w:type="pct"/>
          </w:tcPr>
          <w:p w14:paraId="2BEB5E9B" w14:textId="66BAD807" w:rsidR="00CD01B5" w:rsidRPr="00956785" w:rsidRDefault="00CD01B5" w:rsidP="00CD01B5">
            <w:pPr>
              <w:pStyle w:val="TableText"/>
            </w:pPr>
            <w:r w:rsidRPr="00956785">
              <w:t>539,088</w:t>
            </w:r>
          </w:p>
        </w:tc>
        <w:tc>
          <w:tcPr>
            <w:tcW w:w="1679" w:type="pct"/>
          </w:tcPr>
          <w:p w14:paraId="7F9917E7" w14:textId="5EB57DD5" w:rsidR="00CD01B5" w:rsidRPr="00956785" w:rsidRDefault="005C28F1" w:rsidP="00CD01B5">
            <w:pPr>
              <w:pStyle w:val="TableText"/>
              <w:rPr>
                <w:rFonts w:cs="Franklin Gothic Medium"/>
                <w:snapToGrid w:val="0"/>
              </w:rPr>
            </w:pPr>
            <w:r w:rsidRPr="00956785">
              <w:rPr>
                <w:rFonts w:cs="Franklin Gothic Medium"/>
                <w:snapToGrid w:val="0"/>
              </w:rPr>
              <w:t>$40,406,84</w:t>
            </w:r>
            <w:r w:rsidR="00AE29C7" w:rsidRPr="00956785">
              <w:rPr>
                <w:rFonts w:cs="Franklin Gothic Medium"/>
                <w:snapToGrid w:val="0"/>
              </w:rPr>
              <w:t>5</w:t>
            </w:r>
          </w:p>
        </w:tc>
      </w:tr>
      <w:tr w:rsidR="00CD01B5" w:rsidRPr="00956785" w14:paraId="217CA099" w14:textId="77777777" w:rsidTr="005B4ADF">
        <w:trPr>
          <w:cantSplit/>
        </w:trPr>
        <w:tc>
          <w:tcPr>
            <w:tcW w:w="1663" w:type="pct"/>
          </w:tcPr>
          <w:p w14:paraId="757D9224" w14:textId="7169E2D1" w:rsidR="00CD01B5" w:rsidRPr="00956785" w:rsidRDefault="00CD01B5" w:rsidP="00CD01B5">
            <w:pPr>
              <w:pStyle w:val="TableText"/>
            </w:pPr>
            <w:r w:rsidRPr="00956785">
              <w:t>2021-22</w:t>
            </w:r>
          </w:p>
        </w:tc>
        <w:tc>
          <w:tcPr>
            <w:tcW w:w="1658" w:type="pct"/>
          </w:tcPr>
          <w:p w14:paraId="6D5C66E3" w14:textId="5E538D24" w:rsidR="00CD01B5" w:rsidRPr="00956785" w:rsidRDefault="005C28F1" w:rsidP="00CD01B5">
            <w:pPr>
              <w:pStyle w:val="TableText"/>
            </w:pPr>
            <w:r w:rsidRPr="00956785">
              <w:t>537,720</w:t>
            </w:r>
          </w:p>
        </w:tc>
        <w:tc>
          <w:tcPr>
            <w:tcW w:w="1679" w:type="pct"/>
          </w:tcPr>
          <w:p w14:paraId="0CE3FD64" w14:textId="57A4D54F" w:rsidR="00CD01B5" w:rsidRPr="00956785" w:rsidRDefault="005C28F1" w:rsidP="00CD01B5">
            <w:pPr>
              <w:pStyle w:val="TableText"/>
              <w:rPr>
                <w:rFonts w:cs="Franklin Gothic Medium"/>
                <w:snapToGrid w:val="0"/>
              </w:rPr>
            </w:pPr>
            <w:r w:rsidRPr="00956785">
              <w:rPr>
                <w:rFonts w:cs="Franklin Gothic Medium"/>
                <w:snapToGrid w:val="0"/>
              </w:rPr>
              <w:t>$40,714,619</w:t>
            </w:r>
          </w:p>
        </w:tc>
      </w:tr>
      <w:tr w:rsidR="00CD01B5" w:rsidRPr="00956785" w14:paraId="6FAE8861" w14:textId="77777777" w:rsidTr="005B4ADF">
        <w:trPr>
          <w:cantSplit/>
        </w:trPr>
        <w:tc>
          <w:tcPr>
            <w:tcW w:w="1663" w:type="pct"/>
          </w:tcPr>
          <w:p w14:paraId="1A9F6F41" w14:textId="062F6D8E" w:rsidR="00CD01B5" w:rsidRPr="00956785" w:rsidRDefault="00CD01B5" w:rsidP="00CD01B5">
            <w:pPr>
              <w:pStyle w:val="TableText"/>
            </w:pPr>
            <w:r w:rsidRPr="00956785">
              <w:t>2022-23 (July to December)</w:t>
            </w:r>
          </w:p>
        </w:tc>
        <w:tc>
          <w:tcPr>
            <w:tcW w:w="1658" w:type="pct"/>
          </w:tcPr>
          <w:p w14:paraId="717BE1FC" w14:textId="585519AF" w:rsidR="00CD01B5" w:rsidRPr="00956785" w:rsidRDefault="005C28F1" w:rsidP="00CD01B5">
            <w:pPr>
              <w:pStyle w:val="TableText"/>
            </w:pPr>
            <w:r w:rsidRPr="00956785">
              <w:t>296,938</w:t>
            </w:r>
          </w:p>
        </w:tc>
        <w:tc>
          <w:tcPr>
            <w:tcW w:w="1679" w:type="pct"/>
          </w:tcPr>
          <w:p w14:paraId="3899646D" w14:textId="2977CEF7" w:rsidR="00CD01B5" w:rsidRPr="00956785" w:rsidRDefault="005C28F1" w:rsidP="00CD01B5">
            <w:pPr>
              <w:pStyle w:val="TableText"/>
              <w:rPr>
                <w:rFonts w:cs="Franklin Gothic Medium"/>
                <w:snapToGrid w:val="0"/>
              </w:rPr>
            </w:pPr>
            <w:r w:rsidRPr="00956785">
              <w:rPr>
                <w:rFonts w:cs="Franklin Gothic Medium"/>
                <w:snapToGrid w:val="0"/>
              </w:rPr>
              <w:t>$22,762,893</w:t>
            </w:r>
          </w:p>
        </w:tc>
      </w:tr>
      <w:tr w:rsidR="00AA4777" w:rsidRPr="00956785" w14:paraId="78569128" w14:textId="77777777" w:rsidTr="00AA4777">
        <w:trPr>
          <w:cantSplit/>
        </w:trPr>
        <w:tc>
          <w:tcPr>
            <w:tcW w:w="5000" w:type="pct"/>
            <w:gridSpan w:val="3"/>
          </w:tcPr>
          <w:p w14:paraId="78A54BB7" w14:textId="7474ACF7" w:rsidR="00AA4777" w:rsidRPr="00956785" w:rsidRDefault="00AA4777" w:rsidP="00CD01B5">
            <w:pPr>
              <w:pStyle w:val="TableText"/>
              <w:rPr>
                <w:rFonts w:cs="Franklin Gothic Medium"/>
                <w:b/>
                <w:snapToGrid w:val="0"/>
              </w:rPr>
            </w:pPr>
            <w:r w:rsidRPr="00956785">
              <w:rPr>
                <w:rFonts w:cs="Franklin Gothic Medium"/>
                <w:b/>
                <w:snapToGrid w:val="0"/>
              </w:rPr>
              <w:t>Indigenous Health Services Pharmacy Support</w:t>
            </w:r>
          </w:p>
        </w:tc>
      </w:tr>
      <w:tr w:rsidR="00AA4777" w:rsidRPr="00956785" w14:paraId="3C9B9216" w14:textId="77777777" w:rsidTr="005B4ADF">
        <w:trPr>
          <w:cantSplit/>
        </w:trPr>
        <w:tc>
          <w:tcPr>
            <w:tcW w:w="1663" w:type="pct"/>
          </w:tcPr>
          <w:p w14:paraId="3AB2CB0A" w14:textId="3D01AF91" w:rsidR="00AA4777" w:rsidRPr="00956785" w:rsidRDefault="00D43975" w:rsidP="00CD01B5">
            <w:pPr>
              <w:pStyle w:val="TableText"/>
            </w:pPr>
            <w:r w:rsidRPr="00956785">
              <w:t xml:space="preserve">2021-22 </w:t>
            </w:r>
            <w:r w:rsidR="006F556D" w:rsidRPr="00956785">
              <w:t>to 2025-26</w:t>
            </w:r>
          </w:p>
        </w:tc>
        <w:tc>
          <w:tcPr>
            <w:tcW w:w="1658" w:type="pct"/>
          </w:tcPr>
          <w:p w14:paraId="76CE96F7" w14:textId="77777777" w:rsidR="00AA4777" w:rsidRPr="00956785" w:rsidRDefault="00AA4777" w:rsidP="00CD01B5">
            <w:pPr>
              <w:pStyle w:val="TableText"/>
            </w:pPr>
            <w:r w:rsidRPr="00956785">
              <w:t xml:space="preserve">Not applicable. </w:t>
            </w:r>
          </w:p>
          <w:p w14:paraId="78240CC8" w14:textId="3420808C" w:rsidR="004765B2" w:rsidRPr="00956785" w:rsidRDefault="00A7253F" w:rsidP="00CD01B5">
            <w:pPr>
              <w:pStyle w:val="TableText"/>
            </w:pPr>
            <w:r w:rsidRPr="00956785">
              <w:t>Indigenous– specific primary health care organisations provided care to 586,000 clients in 2021-222</w:t>
            </w:r>
          </w:p>
        </w:tc>
        <w:tc>
          <w:tcPr>
            <w:tcW w:w="1679" w:type="pct"/>
          </w:tcPr>
          <w:p w14:paraId="36D71548" w14:textId="77777777" w:rsidR="0057798B" w:rsidRPr="00956785" w:rsidRDefault="0057798B" w:rsidP="00CD01B5">
            <w:pPr>
              <w:pStyle w:val="TableText"/>
              <w:rPr>
                <w:rFonts w:cs="Franklin Gothic Medium"/>
                <w:snapToGrid w:val="0"/>
              </w:rPr>
            </w:pPr>
            <w:r w:rsidRPr="00956785">
              <w:rPr>
                <w:rFonts w:cs="Franklin Gothic Medium"/>
                <w:snapToGrid w:val="0"/>
              </w:rPr>
              <w:t xml:space="preserve">$20 million over 4 years </w:t>
            </w:r>
          </w:p>
          <w:p w14:paraId="1A0B3FCE" w14:textId="77D1EE06" w:rsidR="00AA4777" w:rsidRPr="00956785" w:rsidRDefault="0057798B" w:rsidP="00CD01B5">
            <w:pPr>
              <w:pStyle w:val="TableText"/>
              <w:rPr>
                <w:rFonts w:cs="Franklin Gothic Medium"/>
                <w:snapToGrid w:val="0"/>
              </w:rPr>
            </w:pPr>
            <w:r w:rsidRPr="00956785">
              <w:rPr>
                <w:rFonts w:cs="Franklin Gothic Medium"/>
                <w:snapToGrid w:val="0"/>
              </w:rPr>
              <w:t>(</w:t>
            </w:r>
            <w:r w:rsidR="00A7253F" w:rsidRPr="00956785">
              <w:rPr>
                <w:rFonts w:cs="Franklin Gothic Medium"/>
                <w:snapToGrid w:val="0"/>
              </w:rPr>
              <w:t>$4</w:t>
            </w:r>
            <w:r w:rsidR="005D04A8" w:rsidRPr="00956785">
              <w:rPr>
                <w:rFonts w:cs="Franklin Gothic Medium"/>
                <w:snapToGrid w:val="0"/>
              </w:rPr>
              <w:t>,000,0000 per year</w:t>
            </w:r>
            <w:r w:rsidRPr="00956785">
              <w:rPr>
                <w:rFonts w:cs="Franklin Gothic Medium"/>
                <w:snapToGrid w:val="0"/>
              </w:rPr>
              <w:t>)</w:t>
            </w:r>
          </w:p>
        </w:tc>
      </w:tr>
    </w:tbl>
    <w:p w14:paraId="219B233B" w14:textId="469FB383" w:rsidR="00227801" w:rsidRDefault="00AE29C7" w:rsidP="00227801">
      <w:pPr>
        <w:pStyle w:val="TableFooter"/>
        <w:spacing w:after="240"/>
        <w:contextualSpacing w:val="0"/>
      </w:pPr>
      <w:r w:rsidRPr="00731ED8">
        <w:t xml:space="preserve">Source: </w:t>
      </w:r>
      <w:hyperlink r:id="rId23" w:history="1">
        <w:r w:rsidR="00894A63" w:rsidRPr="00731ED8">
          <w:rPr>
            <w:rStyle w:val="Hyperlink"/>
          </w:rPr>
          <w:t>Seventh Community Pharmacy Agreement (7CPA) – Pharmacy programs data</w:t>
        </w:r>
      </w:hyperlink>
      <w:r w:rsidR="00894A63" w:rsidRPr="00731ED8">
        <w:t>, updated 1 February 2023</w:t>
      </w:r>
      <w:r w:rsidR="003D7D1E" w:rsidRPr="00731ED8">
        <w:t xml:space="preserve">. </w:t>
      </w:r>
      <w:r w:rsidR="00456F26" w:rsidRPr="00731ED8">
        <w:t xml:space="preserve">Australian Institute of Health and </w:t>
      </w:r>
      <w:r w:rsidR="00D32886">
        <w:t>We</w:t>
      </w:r>
      <w:r w:rsidR="00E76D25">
        <w:t>l</w:t>
      </w:r>
      <w:r w:rsidR="00D32886">
        <w:t>fare</w:t>
      </w:r>
      <w:r w:rsidR="00456F26" w:rsidRPr="00731ED8">
        <w:t xml:space="preserve"> – </w:t>
      </w:r>
      <w:hyperlink r:id="rId24" w:history="1">
        <w:r w:rsidR="00456F26" w:rsidRPr="00731ED8">
          <w:rPr>
            <w:rStyle w:val="Hyperlink"/>
          </w:rPr>
          <w:t>People using Aged Care</w:t>
        </w:r>
      </w:hyperlink>
      <w:r w:rsidR="00456F26" w:rsidRPr="00731ED8">
        <w:t xml:space="preserve">. </w:t>
      </w:r>
      <w:hyperlink r:id="rId25" w:history="1">
        <w:r w:rsidR="00882D09" w:rsidRPr="00731ED8">
          <w:rPr>
            <w:rStyle w:val="Hyperlink"/>
          </w:rPr>
          <w:t xml:space="preserve">Aboriginal and Torres Strait Islander specific primary health care: results from the </w:t>
        </w:r>
        <w:proofErr w:type="spellStart"/>
        <w:r w:rsidR="00882D09" w:rsidRPr="00731ED8">
          <w:rPr>
            <w:rStyle w:val="Hyperlink"/>
          </w:rPr>
          <w:t>nKPI</w:t>
        </w:r>
        <w:proofErr w:type="spellEnd"/>
        <w:r w:rsidR="00882D09" w:rsidRPr="00731ED8">
          <w:rPr>
            <w:rStyle w:val="Hyperlink"/>
          </w:rPr>
          <w:t xml:space="preserve"> and OSR collections</w:t>
        </w:r>
      </w:hyperlink>
      <w:r w:rsidR="00882D09" w:rsidRPr="00731ED8">
        <w:t xml:space="preserve"> (updated January 2023). </w:t>
      </w:r>
      <w:r w:rsidR="00227801">
        <w:br w:type="page"/>
      </w:r>
    </w:p>
    <w:p w14:paraId="0D39DF59" w14:textId="6C7D6511" w:rsidR="009B203E" w:rsidRDefault="00A8109A" w:rsidP="00FE427A">
      <w:r>
        <w:lastRenderedPageBreak/>
        <w:t xml:space="preserve">It is </w:t>
      </w:r>
      <w:r w:rsidR="00AB7426">
        <w:t xml:space="preserve">important to note that </w:t>
      </w:r>
      <w:r w:rsidR="00833904">
        <w:t xml:space="preserve">the above </w:t>
      </w:r>
      <w:r w:rsidR="00743407">
        <w:t>medication management programs</w:t>
      </w:r>
      <w:r w:rsidR="00E04AB7">
        <w:t xml:space="preserve"> </w:t>
      </w:r>
      <w:r w:rsidR="4DA6EE4B">
        <w:t xml:space="preserve">currently </w:t>
      </w:r>
      <w:r w:rsidR="00D02D27">
        <w:t xml:space="preserve">exist </w:t>
      </w:r>
      <w:r w:rsidR="001718E1">
        <w:t>u</w:t>
      </w:r>
      <w:r w:rsidR="00D02D27">
        <w:t>nder the umbre</w:t>
      </w:r>
      <w:r w:rsidR="001718E1">
        <w:t>lla of a</w:t>
      </w:r>
      <w:r w:rsidR="00F10BAD">
        <w:t xml:space="preserve"> </w:t>
      </w:r>
      <w:r w:rsidR="2A99CF33">
        <w:t xml:space="preserve">(time limited) </w:t>
      </w:r>
      <w:r w:rsidR="00F10BAD">
        <w:t>Community Pharmacy Agreement (CPA)</w:t>
      </w:r>
      <w:r w:rsidR="006D6CD4">
        <w:t xml:space="preserve">. </w:t>
      </w:r>
      <w:r w:rsidR="0064322A">
        <w:t xml:space="preserve">In addition to </w:t>
      </w:r>
      <w:r w:rsidR="00CF64D2">
        <w:t>the above</w:t>
      </w:r>
      <w:r w:rsidR="0064322A">
        <w:t xml:space="preserve"> </w:t>
      </w:r>
      <w:r w:rsidR="00941A1E">
        <w:t xml:space="preserve">programs, the government has committed </w:t>
      </w:r>
      <w:r w:rsidR="00F148FC" w:rsidRPr="00F148FC">
        <w:t>$345.7 million</w:t>
      </w:r>
      <w:r w:rsidR="0001076B">
        <w:rPr>
          <w:rStyle w:val="FootnoteReference"/>
        </w:rPr>
        <w:footnoteReference w:id="5"/>
      </w:r>
      <w:r w:rsidR="00F148FC" w:rsidRPr="00F148FC">
        <w:t xml:space="preserve"> for </w:t>
      </w:r>
      <w:r w:rsidR="00F309DF">
        <w:t>the</w:t>
      </w:r>
      <w:r w:rsidR="00596B3E">
        <w:t xml:space="preserve"> new</w:t>
      </w:r>
      <w:r w:rsidR="00F309DF">
        <w:t xml:space="preserve"> </w:t>
      </w:r>
      <w:r w:rsidR="002874BF">
        <w:t xml:space="preserve">Aged Care </w:t>
      </w:r>
      <w:r w:rsidR="00AB7E50">
        <w:t>o</w:t>
      </w:r>
      <w:r w:rsidR="00951C93">
        <w:t>n</w:t>
      </w:r>
      <w:r w:rsidR="007900CE">
        <w:t>-</w:t>
      </w:r>
      <w:r w:rsidR="00AB7E50">
        <w:t>s</w:t>
      </w:r>
      <w:r w:rsidR="00951C93">
        <w:t>ite</w:t>
      </w:r>
      <w:r w:rsidR="007900CE">
        <w:t xml:space="preserve"> </w:t>
      </w:r>
      <w:r w:rsidR="00AB7E50">
        <w:t xml:space="preserve">pharmacist measure </w:t>
      </w:r>
      <w:r w:rsidR="00C40A98">
        <w:t>intending to embed</w:t>
      </w:r>
      <w:r w:rsidR="00D57E8E">
        <w:t xml:space="preserve"> </w:t>
      </w:r>
      <w:r w:rsidR="00F148FC" w:rsidRPr="00F148FC">
        <w:t xml:space="preserve">pharmacists in residential aged care </w:t>
      </w:r>
      <w:r w:rsidR="00C40A98">
        <w:t>homes to improve medication</w:t>
      </w:r>
      <w:r w:rsidR="00BF78EC">
        <w:t xml:space="preserve"> management and safety</w:t>
      </w:r>
      <w:r w:rsidR="00E5674A">
        <w:t>.</w:t>
      </w:r>
      <w:r w:rsidR="00671D85">
        <w:rPr>
          <w:rStyle w:val="FootnoteReference"/>
        </w:rPr>
        <w:footnoteReference w:id="6"/>
      </w:r>
    </w:p>
    <w:p w14:paraId="6F52500A" w14:textId="2C220EA9" w:rsidR="00772829" w:rsidRPr="00CE28E3" w:rsidRDefault="0039393C" w:rsidP="002A18BE">
      <w:pPr>
        <w:pStyle w:val="Heading2"/>
        <w:numPr>
          <w:ilvl w:val="1"/>
          <w:numId w:val="0"/>
        </w:numPr>
      </w:pPr>
      <w:bookmarkStart w:id="8" w:name="_Toc69491417"/>
      <w:bookmarkEnd w:id="5"/>
      <w:r>
        <w:t>5</w:t>
      </w:r>
      <w:r w:rsidR="00C36633">
        <w:t>.</w:t>
      </w:r>
      <w:r w:rsidR="00C36633">
        <w:tab/>
      </w:r>
      <w:r w:rsidR="00772829">
        <w:t>Prerequisites to implementation of any funding advice</w:t>
      </w:r>
      <w:bookmarkEnd w:id="8"/>
    </w:p>
    <w:p w14:paraId="7AA536ED" w14:textId="20C916E4" w:rsidR="002A5838" w:rsidRDefault="00BA1C4E" w:rsidP="00A2790C">
      <w:pPr>
        <w:spacing w:line="257" w:lineRule="auto"/>
        <w:rPr>
          <w:rFonts w:eastAsia="Segoe UI" w:cs="Segoe UI"/>
        </w:rPr>
      </w:pPr>
      <w:r w:rsidRPr="6C7899DA">
        <w:rPr>
          <w:rFonts w:eastAsia="Segoe UI" w:cs="Segoe UI"/>
        </w:rPr>
        <w:t>Pharmacists employed within ACCHSs require experience and training</w:t>
      </w:r>
      <w:r w:rsidR="002A5838">
        <w:rPr>
          <w:rFonts w:eastAsia="Segoe UI" w:cs="Segoe UI"/>
        </w:rPr>
        <w:t xml:space="preserve"> </w:t>
      </w:r>
      <w:r w:rsidRPr="6C7899DA">
        <w:rPr>
          <w:rFonts w:eastAsia="Segoe UI" w:cs="Segoe UI"/>
        </w:rPr>
        <w:t>consistent with those required to be a general practice pharmacist.</w:t>
      </w:r>
    </w:p>
    <w:p w14:paraId="115ADFC1" w14:textId="5FB425E3" w:rsidR="00A2790C" w:rsidRDefault="00781186" w:rsidP="00A2790C">
      <w:pPr>
        <w:spacing w:line="257" w:lineRule="auto"/>
        <w:rPr>
          <w:rFonts w:eastAsia="Segoe UI" w:cs="Segoe UI"/>
        </w:rPr>
      </w:pPr>
      <w:r>
        <w:rPr>
          <w:rFonts w:eastAsia="Segoe UI" w:cs="Segoe UI"/>
        </w:rPr>
        <w:t xml:space="preserve">Pharmacists participating in the </w:t>
      </w:r>
      <w:r w:rsidR="006E3898">
        <w:rPr>
          <w:rFonts w:eastAsia="Segoe UI" w:cs="Segoe UI"/>
        </w:rPr>
        <w:t>IPAC project</w:t>
      </w:r>
      <w:r w:rsidR="009D3111">
        <w:rPr>
          <w:rFonts w:eastAsia="Segoe UI" w:cs="Segoe UI"/>
        </w:rPr>
        <w:t xml:space="preserve"> </w:t>
      </w:r>
      <w:r w:rsidR="74892210" w:rsidRPr="6C7899DA">
        <w:rPr>
          <w:rFonts w:eastAsia="Segoe UI" w:cs="Segoe UI"/>
        </w:rPr>
        <w:t>were required to have at least 2 years post-registration experience along with a post-graduate clinical qualification or demonstration of clinical experience (e.g</w:t>
      </w:r>
      <w:r w:rsidR="008B2217" w:rsidRPr="6C7899DA">
        <w:rPr>
          <w:rFonts w:eastAsia="Franklin Gothic Book" w:cs="Franklin Gothic Book"/>
        </w:rPr>
        <w:t>.,</w:t>
      </w:r>
      <w:r w:rsidR="74892210" w:rsidRPr="6C7899DA">
        <w:rPr>
          <w:rFonts w:eastAsia="Segoe UI" w:cs="Segoe UI"/>
        </w:rPr>
        <w:t xml:space="preserve"> hospital or HMRs).</w:t>
      </w:r>
      <w:r w:rsidR="00824C76">
        <w:rPr>
          <w:rFonts w:eastAsia="Segoe UI" w:cs="Segoe UI"/>
        </w:rPr>
        <w:t xml:space="preserve"> </w:t>
      </w:r>
      <w:r w:rsidR="00A2790C" w:rsidRPr="6C7899DA">
        <w:rPr>
          <w:rFonts w:eastAsia="Segoe UI" w:cs="Segoe UI"/>
        </w:rPr>
        <w:t>The ADAR d</w:t>
      </w:r>
      <w:r w:rsidR="008F2C39">
        <w:rPr>
          <w:rFonts w:eastAsia="Segoe UI" w:cs="Segoe UI"/>
        </w:rPr>
        <w:t>id</w:t>
      </w:r>
      <w:r w:rsidR="00A2790C" w:rsidRPr="6C7899DA">
        <w:rPr>
          <w:rFonts w:eastAsia="Segoe UI" w:cs="Segoe UI"/>
        </w:rPr>
        <w:t xml:space="preserve"> not </w:t>
      </w:r>
      <w:r w:rsidR="004F2E0B">
        <w:rPr>
          <w:rFonts w:eastAsia="Segoe UI" w:cs="Segoe UI"/>
        </w:rPr>
        <w:t xml:space="preserve">specify a </w:t>
      </w:r>
      <w:r w:rsidR="00A2790C" w:rsidRPr="6C7899DA">
        <w:rPr>
          <w:rFonts w:eastAsia="Segoe UI" w:cs="Segoe UI"/>
        </w:rPr>
        <w:t>require</w:t>
      </w:r>
      <w:r w:rsidR="004F2E0B">
        <w:rPr>
          <w:rFonts w:eastAsia="Segoe UI" w:cs="Segoe UI"/>
        </w:rPr>
        <w:t>ment for</w:t>
      </w:r>
      <w:r w:rsidR="00A2790C" w:rsidRPr="6C7899DA">
        <w:rPr>
          <w:rFonts w:eastAsia="Segoe UI" w:cs="Segoe UI"/>
        </w:rPr>
        <w:t xml:space="preserve"> pharmacists </w:t>
      </w:r>
      <w:r w:rsidR="008F2C39">
        <w:rPr>
          <w:rFonts w:eastAsia="Segoe UI" w:cs="Segoe UI"/>
        </w:rPr>
        <w:t xml:space="preserve">to </w:t>
      </w:r>
      <w:r w:rsidR="00A2790C" w:rsidRPr="6C7899DA">
        <w:rPr>
          <w:rFonts w:eastAsia="Segoe UI" w:cs="Segoe UI"/>
        </w:rPr>
        <w:t>have cultural awareness training to be eligible</w:t>
      </w:r>
      <w:r w:rsidR="004F2E0B">
        <w:rPr>
          <w:rFonts w:eastAsia="Segoe UI" w:cs="Segoe UI"/>
        </w:rPr>
        <w:t xml:space="preserve"> for the proposed IPAC funding</w:t>
      </w:r>
      <w:r w:rsidR="00FD063C">
        <w:rPr>
          <w:rFonts w:eastAsia="Segoe UI" w:cs="Segoe UI"/>
        </w:rPr>
        <w:t>. H</w:t>
      </w:r>
      <w:r w:rsidR="006E3B75">
        <w:rPr>
          <w:rFonts w:eastAsia="Segoe UI" w:cs="Segoe UI"/>
        </w:rPr>
        <w:t>owever</w:t>
      </w:r>
      <w:r w:rsidR="004F2E0B">
        <w:rPr>
          <w:rFonts w:eastAsia="Segoe UI" w:cs="Segoe UI"/>
        </w:rPr>
        <w:t>,</w:t>
      </w:r>
      <w:r w:rsidR="006E3B75">
        <w:rPr>
          <w:rFonts w:eastAsia="Segoe UI" w:cs="Segoe UI"/>
        </w:rPr>
        <w:t xml:space="preserve"> cultural awareness </w:t>
      </w:r>
      <w:r w:rsidR="004F2E0B">
        <w:rPr>
          <w:rFonts w:eastAsia="Segoe UI" w:cs="Segoe UI"/>
        </w:rPr>
        <w:t>training</w:t>
      </w:r>
      <w:r w:rsidR="006E3B75">
        <w:rPr>
          <w:rFonts w:eastAsia="Segoe UI" w:cs="Segoe UI"/>
        </w:rPr>
        <w:t xml:space="preserve"> was provided for all pharmacists who participated in the IPAC trial</w:t>
      </w:r>
      <w:r w:rsidR="00A2790C" w:rsidRPr="6C7899DA">
        <w:rPr>
          <w:rFonts w:eastAsia="Segoe UI" w:cs="Segoe UI"/>
        </w:rPr>
        <w:t>.</w:t>
      </w:r>
    </w:p>
    <w:p w14:paraId="6956F513" w14:textId="565B273C" w:rsidR="002840DE" w:rsidRDefault="00061CF7" w:rsidP="6C7899DA">
      <w:pPr>
        <w:spacing w:line="257" w:lineRule="auto"/>
        <w:rPr>
          <w:rFonts w:eastAsia="Segoe UI" w:cs="Segoe UI"/>
        </w:rPr>
      </w:pPr>
      <w:r>
        <w:rPr>
          <w:rFonts w:eastAsia="Segoe UI" w:cs="Segoe UI"/>
        </w:rPr>
        <w:t xml:space="preserve">Though not mandated by the ADAR, pharmacists </w:t>
      </w:r>
      <w:r w:rsidR="00A513C1">
        <w:rPr>
          <w:rFonts w:eastAsia="Segoe UI" w:cs="Segoe UI"/>
        </w:rPr>
        <w:t>intending to practice in general practice</w:t>
      </w:r>
      <w:r w:rsidR="00FB6978">
        <w:rPr>
          <w:rFonts w:eastAsia="Segoe UI" w:cs="Segoe UI"/>
        </w:rPr>
        <w:t xml:space="preserve"> or ACCHs, needed to under</w:t>
      </w:r>
      <w:r w:rsidR="00182031">
        <w:rPr>
          <w:rFonts w:eastAsia="Segoe UI" w:cs="Segoe UI"/>
        </w:rPr>
        <w:t xml:space="preserve">take training such as the </w:t>
      </w:r>
      <w:r w:rsidR="00182031" w:rsidRPr="4EBA7D1E">
        <w:rPr>
          <w:rFonts w:eastAsia="Segoe UI" w:cs="Segoe UI"/>
        </w:rPr>
        <w:t xml:space="preserve">General Practice Pharmacist Foundation Training course (see </w:t>
      </w:r>
      <w:hyperlink r:id="rId26" w:history="1">
        <w:r w:rsidR="00442231" w:rsidRPr="00442231">
          <w:rPr>
            <w:rStyle w:val="Hyperlink"/>
            <w:rFonts w:eastAsia="Segoe UI" w:cs="Segoe UI"/>
          </w:rPr>
          <w:t>General Practice Pharmacist Training</w:t>
        </w:r>
      </w:hyperlink>
      <w:r w:rsidR="00442231">
        <w:rPr>
          <w:rFonts w:eastAsia="Segoe UI" w:cs="Segoe UI"/>
        </w:rPr>
        <w:t>)</w:t>
      </w:r>
      <w:r w:rsidR="00225475">
        <w:rPr>
          <w:rFonts w:eastAsia="Segoe UI" w:cs="Segoe UI"/>
        </w:rPr>
        <w:t xml:space="preserve"> </w:t>
      </w:r>
      <w:r w:rsidR="00F30E60" w:rsidRPr="00CC71C4">
        <w:rPr>
          <w:rFonts w:eastAsia="Segoe UI" w:cs="Segoe UI"/>
        </w:rPr>
        <w:t xml:space="preserve">in addition to </w:t>
      </w:r>
      <w:r w:rsidR="003730DF" w:rsidRPr="00CC71C4">
        <w:rPr>
          <w:rFonts w:eastAsia="Segoe UI" w:cs="Segoe UI"/>
        </w:rPr>
        <w:t>trai</w:t>
      </w:r>
      <w:r w:rsidR="007A522A" w:rsidRPr="00CC71C4">
        <w:rPr>
          <w:rFonts w:eastAsia="Segoe UI" w:cs="Segoe UI"/>
        </w:rPr>
        <w:t xml:space="preserve">ning specific to working in ACCHs. </w:t>
      </w:r>
      <w:r w:rsidR="00856FBB" w:rsidRPr="00CC71C4">
        <w:rPr>
          <w:rFonts w:eastAsia="Segoe UI" w:cs="Segoe UI"/>
        </w:rPr>
        <w:t>An Aboriginal Health Service Pharmacist Foundation Training Cour</w:t>
      </w:r>
      <w:r w:rsidR="00025663" w:rsidRPr="00CC71C4">
        <w:rPr>
          <w:rFonts w:eastAsia="Segoe UI" w:cs="Segoe UI"/>
        </w:rPr>
        <w:t xml:space="preserve">se titled “Deadly Pharmacists” </w:t>
      </w:r>
      <w:r w:rsidR="00820413">
        <w:rPr>
          <w:rFonts w:eastAsia="Segoe UI" w:cs="Segoe UI"/>
        </w:rPr>
        <w:t xml:space="preserve">was </w:t>
      </w:r>
      <w:r w:rsidR="00025663" w:rsidRPr="00CC71C4">
        <w:rPr>
          <w:rFonts w:eastAsia="Segoe UI" w:cs="Segoe UI"/>
        </w:rPr>
        <w:t xml:space="preserve">co-designed by </w:t>
      </w:r>
      <w:r w:rsidR="00960A85" w:rsidRPr="00CC71C4">
        <w:rPr>
          <w:rFonts w:eastAsia="Segoe UI" w:cs="Segoe UI"/>
        </w:rPr>
        <w:t>PSA and</w:t>
      </w:r>
      <w:r w:rsidR="00025663" w:rsidRPr="00CC71C4">
        <w:rPr>
          <w:rFonts w:eastAsia="Segoe UI" w:cs="Segoe UI"/>
        </w:rPr>
        <w:t xml:space="preserve"> NACCHO</w:t>
      </w:r>
      <w:r w:rsidR="00820413">
        <w:rPr>
          <w:rFonts w:eastAsia="Segoe UI" w:cs="Segoe UI"/>
        </w:rPr>
        <w:t xml:space="preserve"> after the completion of the IPAC </w:t>
      </w:r>
      <w:r w:rsidR="007677DC">
        <w:rPr>
          <w:rFonts w:eastAsia="Segoe UI" w:cs="Segoe UI"/>
        </w:rPr>
        <w:t>study</w:t>
      </w:r>
      <w:r w:rsidR="0029471D">
        <w:rPr>
          <w:rFonts w:eastAsia="Segoe UI" w:cs="Segoe UI"/>
        </w:rPr>
        <w:t xml:space="preserve">, building on learnings from the IPAC </w:t>
      </w:r>
      <w:r w:rsidR="007677DC">
        <w:rPr>
          <w:rFonts w:eastAsia="Segoe UI" w:cs="Segoe UI"/>
        </w:rPr>
        <w:t>study</w:t>
      </w:r>
      <w:r w:rsidR="0029471D">
        <w:rPr>
          <w:rFonts w:eastAsia="Segoe UI" w:cs="Segoe UI"/>
        </w:rPr>
        <w:t>, along with further stakeholder consultation and review of literature</w:t>
      </w:r>
      <w:r w:rsidR="0060603C" w:rsidRPr="00CC71C4">
        <w:rPr>
          <w:rFonts w:eastAsia="Segoe UI" w:cs="Segoe UI"/>
        </w:rPr>
        <w:t>.</w:t>
      </w:r>
      <w:r w:rsidR="00960A85" w:rsidRPr="00CC71C4">
        <w:rPr>
          <w:rFonts w:eastAsia="Segoe UI" w:cs="Segoe UI"/>
        </w:rPr>
        <w:t xml:space="preserve"> The</w:t>
      </w:r>
      <w:r w:rsidR="00960A85" w:rsidRPr="00722BB6">
        <w:rPr>
          <w:rFonts w:eastAsia="Segoe UI" w:cs="Segoe UI"/>
          <w:color w:val="0070C0"/>
        </w:rPr>
        <w:t xml:space="preserve"> </w:t>
      </w:r>
      <w:r w:rsidR="00734E09">
        <w:rPr>
          <w:rFonts w:eastAsia="Segoe UI" w:cs="Segoe UI"/>
        </w:rPr>
        <w:t xml:space="preserve">ADAR did not mandate </w:t>
      </w:r>
      <w:r w:rsidR="00234543">
        <w:rPr>
          <w:rFonts w:eastAsia="Segoe UI" w:cs="Segoe UI"/>
        </w:rPr>
        <w:t xml:space="preserve">additional </w:t>
      </w:r>
      <w:r w:rsidR="00AA01EF">
        <w:rPr>
          <w:rFonts w:eastAsia="Segoe UI" w:cs="Segoe UI"/>
        </w:rPr>
        <w:t xml:space="preserve">qualifications </w:t>
      </w:r>
      <w:r w:rsidR="00234543">
        <w:rPr>
          <w:rFonts w:eastAsia="Segoe UI" w:cs="Segoe UI"/>
        </w:rPr>
        <w:t xml:space="preserve">such as </w:t>
      </w:r>
      <w:r w:rsidR="00AA01EF">
        <w:rPr>
          <w:rFonts w:eastAsia="Segoe UI" w:cs="Segoe UI"/>
        </w:rPr>
        <w:t xml:space="preserve">HMR accreditation for the </w:t>
      </w:r>
      <w:r w:rsidR="00722BB6">
        <w:rPr>
          <w:rFonts w:eastAsia="Segoe UI" w:cs="Segoe UI"/>
        </w:rPr>
        <w:t>IPAC pharmacists</w:t>
      </w:r>
      <w:r w:rsidR="115EA1AA" w:rsidRPr="5A969B83">
        <w:rPr>
          <w:rFonts w:eastAsia="Segoe UI" w:cs="Segoe UI"/>
        </w:rPr>
        <w:t>,</w:t>
      </w:r>
      <w:r w:rsidR="00722BB6">
        <w:rPr>
          <w:rFonts w:eastAsia="Segoe UI" w:cs="Segoe UI"/>
        </w:rPr>
        <w:t xml:space="preserve"> </w:t>
      </w:r>
      <w:r w:rsidR="0031493D">
        <w:rPr>
          <w:rFonts w:eastAsia="Segoe UI" w:cs="Segoe UI"/>
        </w:rPr>
        <w:t xml:space="preserve">though this was considered a desirable qualification. </w:t>
      </w:r>
    </w:p>
    <w:p w14:paraId="631FEE0F" w14:textId="29EEE1C5" w:rsidR="00E32F7D" w:rsidRDefault="006B68E5" w:rsidP="6C7899DA">
      <w:pPr>
        <w:spacing w:line="257" w:lineRule="auto"/>
        <w:rPr>
          <w:rFonts w:eastAsia="Segoe UI" w:cs="Segoe UI"/>
        </w:rPr>
      </w:pPr>
      <w:r>
        <w:rPr>
          <w:rFonts w:eastAsia="Segoe UI" w:cs="Segoe UI"/>
        </w:rPr>
        <w:t xml:space="preserve">The Department </w:t>
      </w:r>
      <w:r w:rsidR="00705420">
        <w:rPr>
          <w:rFonts w:eastAsia="Segoe UI" w:cs="Segoe UI"/>
        </w:rPr>
        <w:t xml:space="preserve">proposes that all </w:t>
      </w:r>
      <w:r w:rsidR="00AE5FA7">
        <w:rPr>
          <w:rFonts w:eastAsia="Segoe UI" w:cs="Segoe UI"/>
        </w:rPr>
        <w:t xml:space="preserve">IPAC pharmacists undertake the </w:t>
      </w:r>
      <w:r w:rsidR="00D4136A">
        <w:rPr>
          <w:rFonts w:eastAsia="Segoe UI" w:cs="Segoe UI"/>
        </w:rPr>
        <w:t xml:space="preserve">PSA’s Deadly Pharmacists </w:t>
      </w:r>
      <w:r w:rsidR="00CA1CF7">
        <w:rPr>
          <w:rFonts w:eastAsia="Segoe UI" w:cs="Segoe UI"/>
        </w:rPr>
        <w:t xml:space="preserve">Foundation training course. </w:t>
      </w:r>
      <w:r w:rsidR="00D91CCD">
        <w:rPr>
          <w:rFonts w:eastAsia="Segoe UI" w:cs="Segoe UI"/>
        </w:rPr>
        <w:t>W</w:t>
      </w:r>
      <w:r>
        <w:rPr>
          <w:rFonts w:eastAsia="Segoe UI" w:cs="Segoe UI"/>
        </w:rPr>
        <w:t xml:space="preserve">hile accreditation </w:t>
      </w:r>
      <w:r w:rsidR="00812C1F">
        <w:rPr>
          <w:rFonts w:eastAsia="Segoe UI" w:cs="Segoe UI"/>
        </w:rPr>
        <w:t>to perform medication management reviews is ideal</w:t>
      </w:r>
      <w:r w:rsidR="00F30FE8">
        <w:rPr>
          <w:rFonts w:eastAsia="Segoe UI" w:cs="Segoe UI"/>
        </w:rPr>
        <w:t xml:space="preserve">, </w:t>
      </w:r>
      <w:r w:rsidR="000C3F19">
        <w:rPr>
          <w:rFonts w:eastAsia="Segoe UI" w:cs="Segoe UI"/>
        </w:rPr>
        <w:t>inclusion</w:t>
      </w:r>
      <w:r w:rsidR="00012C88">
        <w:rPr>
          <w:rFonts w:eastAsia="Segoe UI" w:cs="Segoe UI"/>
        </w:rPr>
        <w:t xml:space="preserve"> of this </w:t>
      </w:r>
      <w:r w:rsidR="00C350EE">
        <w:rPr>
          <w:rFonts w:eastAsia="Segoe UI" w:cs="Segoe UI"/>
        </w:rPr>
        <w:t>as a prerequisite could pose</w:t>
      </w:r>
      <w:r w:rsidR="0052544D">
        <w:rPr>
          <w:rFonts w:eastAsia="Segoe UI" w:cs="Segoe UI"/>
        </w:rPr>
        <w:t xml:space="preserve"> a risk</w:t>
      </w:r>
      <w:r w:rsidR="00127D2B">
        <w:rPr>
          <w:rFonts w:eastAsia="Segoe UI" w:cs="Segoe UI"/>
        </w:rPr>
        <w:t xml:space="preserve"> to engaging an NDP</w:t>
      </w:r>
      <w:r w:rsidR="00D04F5B">
        <w:rPr>
          <w:rFonts w:eastAsia="Segoe UI" w:cs="Segoe UI"/>
        </w:rPr>
        <w:t xml:space="preserve">. The Department </w:t>
      </w:r>
      <w:r w:rsidR="00BE5266">
        <w:rPr>
          <w:rFonts w:eastAsia="Segoe UI" w:cs="Segoe UI"/>
        </w:rPr>
        <w:t xml:space="preserve">proposes that services that engage </w:t>
      </w:r>
      <w:r w:rsidR="00121B0F">
        <w:rPr>
          <w:rFonts w:eastAsia="Segoe UI" w:cs="Segoe UI"/>
        </w:rPr>
        <w:t>non-accredited NDPs</w:t>
      </w:r>
      <w:r w:rsidR="002310A2">
        <w:rPr>
          <w:rFonts w:eastAsia="Segoe UI" w:cs="Segoe UI"/>
        </w:rPr>
        <w:t xml:space="preserve"> should support the</w:t>
      </w:r>
      <w:r w:rsidR="0007429D">
        <w:rPr>
          <w:rFonts w:eastAsia="Segoe UI" w:cs="Segoe UI"/>
        </w:rPr>
        <w:t xml:space="preserve">m to complete their accreditation training. </w:t>
      </w:r>
      <w:r w:rsidR="00BE5266">
        <w:rPr>
          <w:rFonts w:eastAsia="Segoe UI" w:cs="Segoe UI"/>
        </w:rPr>
        <w:t xml:space="preserve"> </w:t>
      </w:r>
    </w:p>
    <w:p w14:paraId="2559C163" w14:textId="019F379A" w:rsidR="00B51C2C" w:rsidRDefault="0059714D" w:rsidP="6C7899DA">
      <w:pPr>
        <w:spacing w:line="257" w:lineRule="auto"/>
        <w:rPr>
          <w:rFonts w:eastAsia="Segoe UI" w:cs="Segoe UI"/>
        </w:rPr>
      </w:pPr>
      <w:r>
        <w:rPr>
          <w:rFonts w:eastAsia="Segoe UI" w:cs="Segoe UI"/>
        </w:rPr>
        <w:t xml:space="preserve">The proposal for funding presented in the ADAR </w:t>
      </w:r>
      <w:r w:rsidR="009D749C">
        <w:rPr>
          <w:rFonts w:eastAsia="Segoe UI" w:cs="Segoe UI"/>
        </w:rPr>
        <w:t xml:space="preserve">was limited to ACCHSs </w:t>
      </w:r>
      <w:r w:rsidR="003D4694">
        <w:rPr>
          <w:rFonts w:eastAsia="Segoe UI" w:cs="Segoe UI"/>
        </w:rPr>
        <w:t>who met the following criteria:</w:t>
      </w:r>
    </w:p>
    <w:p w14:paraId="2CB16756" w14:textId="23541895" w:rsidR="008E790B" w:rsidRDefault="00EA5FCA" w:rsidP="008E790B">
      <w:pPr>
        <w:pStyle w:val="ListParagraph"/>
        <w:numPr>
          <w:ilvl w:val="0"/>
          <w:numId w:val="25"/>
        </w:numPr>
        <w:spacing w:line="257" w:lineRule="auto"/>
        <w:rPr>
          <w:rFonts w:eastAsia="Segoe UI" w:cs="Segoe UI"/>
        </w:rPr>
      </w:pPr>
      <w:r>
        <w:rPr>
          <w:rFonts w:eastAsia="Segoe UI" w:cs="Segoe UI"/>
        </w:rPr>
        <w:t>e</w:t>
      </w:r>
      <w:r w:rsidR="008E790B" w:rsidRPr="6CC87F5F">
        <w:rPr>
          <w:rFonts w:eastAsia="Segoe UI" w:cs="Segoe UI"/>
        </w:rPr>
        <w:t>mploy at least 1 FTE GP</w:t>
      </w:r>
      <w:r w:rsidR="431999A0" w:rsidRPr="6CC87F5F">
        <w:rPr>
          <w:rFonts w:eastAsia="Segoe UI" w:cs="Segoe UI"/>
        </w:rPr>
        <w:t xml:space="preserve"> who is eligible to prescribe medicines to patients of that organisation</w:t>
      </w:r>
    </w:p>
    <w:p w14:paraId="64128526" w14:textId="6C3FD5A2" w:rsidR="00AB0D61" w:rsidRPr="00DD2B7A" w:rsidRDefault="00EA5FCA" w:rsidP="00AB0D61">
      <w:pPr>
        <w:pStyle w:val="ListParagraph"/>
        <w:numPr>
          <w:ilvl w:val="0"/>
          <w:numId w:val="25"/>
        </w:numPr>
        <w:spacing w:line="257" w:lineRule="auto"/>
        <w:rPr>
          <w:rFonts w:eastAsia="Segoe UI" w:cs="Segoe UI"/>
        </w:rPr>
      </w:pPr>
      <w:r>
        <w:rPr>
          <w:rFonts w:eastAsia="Segoe UI" w:cs="Segoe UI"/>
        </w:rPr>
        <w:t>p</w:t>
      </w:r>
      <w:r w:rsidR="00AB0D61" w:rsidRPr="00AB0D61">
        <w:rPr>
          <w:rFonts w:eastAsia="Segoe UI" w:cs="Segoe UI"/>
        </w:rPr>
        <w:t>articipate in continuing quality improvement and reporting on the national Key Performance</w:t>
      </w:r>
      <w:r w:rsidR="00AB0D61" w:rsidRPr="00DD2B7A">
        <w:rPr>
          <w:rFonts w:eastAsia="Segoe UI" w:cs="Segoe UI"/>
        </w:rPr>
        <w:t xml:space="preserve"> Indicators through the use of electronic data extraction </w:t>
      </w:r>
      <w:proofErr w:type="gramStart"/>
      <w:r w:rsidR="00AB0D61" w:rsidRPr="00DD2B7A">
        <w:rPr>
          <w:rFonts w:eastAsia="Segoe UI" w:cs="Segoe UI"/>
        </w:rPr>
        <w:t>tools</w:t>
      </w:r>
      <w:r w:rsidR="404F7BFF" w:rsidRPr="2410CDDA">
        <w:rPr>
          <w:rFonts w:eastAsia="Segoe UI" w:cs="Segoe UI"/>
        </w:rPr>
        <w:t>;</w:t>
      </w:r>
      <w:proofErr w:type="gramEnd"/>
    </w:p>
    <w:p w14:paraId="17E58B59" w14:textId="04DA086F" w:rsidR="003A78CE" w:rsidRDefault="00EA5FCA" w:rsidP="008E790B">
      <w:pPr>
        <w:pStyle w:val="ListParagraph"/>
        <w:numPr>
          <w:ilvl w:val="0"/>
          <w:numId w:val="25"/>
        </w:numPr>
        <w:spacing w:line="257" w:lineRule="auto"/>
        <w:rPr>
          <w:rFonts w:eastAsia="Segoe UI" w:cs="Segoe UI"/>
        </w:rPr>
      </w:pPr>
      <w:r>
        <w:rPr>
          <w:rFonts w:eastAsia="Segoe UI" w:cs="Segoe UI"/>
        </w:rPr>
        <w:t>u</w:t>
      </w:r>
      <w:r w:rsidR="003A78CE" w:rsidRPr="003A78CE">
        <w:rPr>
          <w:rFonts w:eastAsia="Segoe UI" w:cs="Segoe UI"/>
        </w:rPr>
        <w:t>se an electronic clinical information system</w:t>
      </w:r>
    </w:p>
    <w:p w14:paraId="4D6E92FD" w14:textId="0C0E6FBB" w:rsidR="00AB0D61" w:rsidRPr="002171C0" w:rsidRDefault="00EA5FCA" w:rsidP="002171C0">
      <w:pPr>
        <w:pStyle w:val="ListParagraph"/>
        <w:numPr>
          <w:ilvl w:val="0"/>
          <w:numId w:val="25"/>
        </w:numPr>
        <w:spacing w:line="257" w:lineRule="auto"/>
        <w:rPr>
          <w:rFonts w:eastAsia="Segoe UI" w:cs="Segoe UI"/>
        </w:rPr>
      </w:pPr>
      <w:r>
        <w:rPr>
          <w:rFonts w:eastAsia="Segoe UI" w:cs="Segoe UI"/>
        </w:rPr>
        <w:t>p</w:t>
      </w:r>
      <w:r w:rsidR="00AB0D61" w:rsidRPr="002171C0">
        <w:rPr>
          <w:rFonts w:eastAsia="Segoe UI" w:cs="Segoe UI"/>
        </w:rPr>
        <w:t>rovide the integrated pharmacist access to a private consulting room on the clinic premises</w:t>
      </w:r>
      <w:r w:rsidR="002171C0">
        <w:rPr>
          <w:rFonts w:eastAsia="Segoe UI" w:cs="Segoe UI"/>
        </w:rPr>
        <w:t xml:space="preserve"> </w:t>
      </w:r>
      <w:r w:rsidR="00AB0D61" w:rsidRPr="002171C0">
        <w:rPr>
          <w:rFonts w:eastAsia="Segoe UI" w:cs="Segoe UI"/>
        </w:rPr>
        <w:t>that has access to the clinical information system</w:t>
      </w:r>
      <w:r>
        <w:rPr>
          <w:rFonts w:eastAsia="Segoe UI" w:cs="Segoe UI"/>
        </w:rPr>
        <w:t>,</w:t>
      </w:r>
      <w:r w:rsidR="02F5E014" w:rsidRPr="2410CDDA">
        <w:rPr>
          <w:rFonts w:eastAsia="Segoe UI" w:cs="Segoe UI"/>
        </w:rPr>
        <w:t xml:space="preserve"> and</w:t>
      </w:r>
    </w:p>
    <w:p w14:paraId="1860AF55" w14:textId="77FBAC79" w:rsidR="00AB0D61" w:rsidRPr="00B94D7B" w:rsidRDefault="00C223EF" w:rsidP="00B94D7B">
      <w:pPr>
        <w:pStyle w:val="ListParagraph"/>
        <w:numPr>
          <w:ilvl w:val="0"/>
          <w:numId w:val="25"/>
        </w:numPr>
        <w:spacing w:line="257" w:lineRule="auto"/>
        <w:rPr>
          <w:rFonts w:eastAsia="Segoe UI" w:cs="Segoe UI"/>
        </w:rPr>
      </w:pPr>
      <w:r>
        <w:rPr>
          <w:rFonts w:eastAsia="Segoe UI" w:cs="Segoe UI"/>
        </w:rPr>
        <w:t>are</w:t>
      </w:r>
      <w:r w:rsidR="00AB0D61" w:rsidRPr="00AB0D61">
        <w:rPr>
          <w:rFonts w:eastAsia="Segoe UI" w:cs="Segoe UI"/>
        </w:rPr>
        <w:t xml:space="preserve"> an accredited practice in accordance with the Royal Australian College of General</w:t>
      </w:r>
      <w:r w:rsidR="00AB0D61" w:rsidRPr="002171C0">
        <w:rPr>
          <w:rFonts w:eastAsia="Segoe UI" w:cs="Segoe UI"/>
        </w:rPr>
        <w:t xml:space="preserve"> </w:t>
      </w:r>
      <w:r w:rsidR="00AB0D61" w:rsidRPr="00E136A4">
        <w:rPr>
          <w:rFonts w:eastAsia="Segoe UI" w:cs="Segoe UI"/>
        </w:rPr>
        <w:t>Practitioners Practice Standards.</w:t>
      </w:r>
    </w:p>
    <w:p w14:paraId="64206B40" w14:textId="77777777" w:rsidR="00175945" w:rsidRDefault="002171C0" w:rsidP="6C7899DA">
      <w:pPr>
        <w:spacing w:line="257" w:lineRule="auto"/>
        <w:rPr>
          <w:rFonts w:eastAsia="Segoe UI" w:cs="Segoe UI"/>
          <w:i/>
        </w:rPr>
      </w:pPr>
      <w:r>
        <w:rPr>
          <w:rFonts w:eastAsia="Segoe UI" w:cs="Segoe UI"/>
        </w:rPr>
        <w:lastRenderedPageBreak/>
        <w:t>The</w:t>
      </w:r>
      <w:r w:rsidR="00E136A4">
        <w:rPr>
          <w:rFonts w:eastAsia="Segoe UI" w:cs="Segoe UI"/>
        </w:rPr>
        <w:t xml:space="preserve"> Department’s proposed funding models do not limit funding </w:t>
      </w:r>
      <w:r w:rsidR="00564748">
        <w:rPr>
          <w:rFonts w:eastAsia="Segoe UI" w:cs="Segoe UI"/>
        </w:rPr>
        <w:t xml:space="preserve">based on the </w:t>
      </w:r>
      <w:proofErr w:type="gramStart"/>
      <w:r w:rsidR="00564748">
        <w:rPr>
          <w:rFonts w:eastAsia="Segoe UI" w:cs="Segoe UI"/>
        </w:rPr>
        <w:t>aforementioned criteria</w:t>
      </w:r>
      <w:proofErr w:type="gramEnd"/>
      <w:r w:rsidR="00341696">
        <w:rPr>
          <w:rFonts w:eastAsia="Segoe UI" w:cs="Segoe UI"/>
        </w:rPr>
        <w:t>,</w:t>
      </w:r>
      <w:r w:rsidR="007E3F7D">
        <w:rPr>
          <w:rFonts w:eastAsia="Segoe UI" w:cs="Segoe UI"/>
        </w:rPr>
        <w:t xml:space="preserve"> although it would be reasonable to consider that all </w:t>
      </w:r>
      <w:r w:rsidR="779823CA" w:rsidRPr="093B26B1">
        <w:rPr>
          <w:rFonts w:eastAsia="Segoe UI" w:cs="Segoe UI"/>
        </w:rPr>
        <w:t xml:space="preserve">the </w:t>
      </w:r>
      <w:r w:rsidR="002F4C8D">
        <w:rPr>
          <w:rFonts w:eastAsia="Segoe UI" w:cs="Segoe UI"/>
        </w:rPr>
        <w:t xml:space="preserve">above </w:t>
      </w:r>
      <w:r w:rsidR="007E3F7D">
        <w:rPr>
          <w:rFonts w:eastAsia="Segoe UI" w:cs="Segoe UI"/>
        </w:rPr>
        <w:t>criteria</w:t>
      </w:r>
      <w:r w:rsidR="002F4C8D">
        <w:rPr>
          <w:rFonts w:eastAsia="Segoe UI" w:cs="Segoe UI"/>
        </w:rPr>
        <w:t xml:space="preserve">, </w:t>
      </w:r>
      <w:r w:rsidR="00FF0C9E">
        <w:rPr>
          <w:rFonts w:eastAsia="Segoe UI" w:cs="Segoe UI"/>
        </w:rPr>
        <w:t>with the exception of the first</w:t>
      </w:r>
      <w:r w:rsidR="00D12A82">
        <w:rPr>
          <w:rFonts w:eastAsia="Segoe UI" w:cs="Segoe UI"/>
        </w:rPr>
        <w:t xml:space="preserve"> (relating to the level of GP engagement</w:t>
      </w:r>
      <w:r w:rsidR="00E6700E">
        <w:rPr>
          <w:rFonts w:eastAsia="Segoe UI" w:cs="Segoe UI"/>
        </w:rPr>
        <w:t>)</w:t>
      </w:r>
      <w:r w:rsidR="00124C30">
        <w:rPr>
          <w:rFonts w:eastAsia="Segoe UI" w:cs="Segoe UI"/>
        </w:rPr>
        <w:t xml:space="preserve"> are relevant</w:t>
      </w:r>
      <w:r w:rsidR="00564748">
        <w:rPr>
          <w:rFonts w:eastAsia="Segoe UI" w:cs="Segoe UI"/>
        </w:rPr>
        <w:t xml:space="preserve">. </w:t>
      </w:r>
      <w:r w:rsidR="00CA14DE" w:rsidRPr="00AD3CEB">
        <w:rPr>
          <w:rFonts w:eastAsia="Segoe UI" w:cs="Segoe UI"/>
        </w:rPr>
        <w:t xml:space="preserve">This is in keeping with the </w:t>
      </w:r>
      <w:r w:rsidR="003743FE" w:rsidRPr="00AD3CEB">
        <w:rPr>
          <w:rFonts w:eastAsia="Segoe UI" w:cs="Segoe UI"/>
        </w:rPr>
        <w:t>Strengthening Medicare Taskforce Report – December 2022 recommendation that new funding models developed to support increased access to primary care should not disadvantage people who live in communities with little or no access to regular GP care.</w:t>
      </w:r>
    </w:p>
    <w:p w14:paraId="44C3B242" w14:textId="5DB85D5C" w:rsidR="00772829" w:rsidRPr="00CE28E3" w:rsidRDefault="0039393C" w:rsidP="002A18BE">
      <w:pPr>
        <w:pStyle w:val="Heading2"/>
        <w:numPr>
          <w:ilvl w:val="1"/>
          <w:numId w:val="0"/>
        </w:numPr>
      </w:pPr>
      <w:bookmarkStart w:id="9" w:name="_Toc69491418"/>
      <w:bookmarkStart w:id="10" w:name="_Ref126844890"/>
      <w:r>
        <w:t>6</w:t>
      </w:r>
      <w:r w:rsidR="00C36633">
        <w:t>.</w:t>
      </w:r>
      <w:r w:rsidR="00C36633">
        <w:tab/>
      </w:r>
      <w:r w:rsidR="00772829" w:rsidRPr="00CE28E3">
        <w:t>Proposal for public funding</w:t>
      </w:r>
      <w:bookmarkEnd w:id="9"/>
      <w:bookmarkEnd w:id="10"/>
    </w:p>
    <w:p w14:paraId="472C0C2D" w14:textId="086F04C5" w:rsidR="003623DD" w:rsidRDefault="009055C8" w:rsidP="00CB2671">
      <w:r w:rsidRPr="009055C8">
        <w:t>The proposed service i</w:t>
      </w:r>
      <w:r w:rsidR="00897B57">
        <w:t xml:space="preserve">nvolves </w:t>
      </w:r>
      <w:r w:rsidRPr="009055C8">
        <w:t xml:space="preserve">the </w:t>
      </w:r>
      <w:r w:rsidR="0051053E">
        <w:t xml:space="preserve">integration of a </w:t>
      </w:r>
      <w:r w:rsidRPr="009055C8">
        <w:t xml:space="preserve">non-dispensing pharmacist </w:t>
      </w:r>
      <w:r w:rsidR="0051053E">
        <w:t xml:space="preserve">in </w:t>
      </w:r>
      <w:r w:rsidRPr="009055C8">
        <w:t>the primary health care team of Aboriginal Community Controlled Health Services (ACCHSs) to provide care to Aboriginal and/or Torres Strait Islander patients, with chronic disease</w:t>
      </w:r>
      <w:r w:rsidR="00E85130">
        <w:t>.</w:t>
      </w:r>
      <w:r w:rsidR="004132F1">
        <w:t xml:space="preserve"> The NDP would provide both </w:t>
      </w:r>
      <w:r w:rsidR="0040373A">
        <w:t>patient</w:t>
      </w:r>
      <w:r w:rsidR="007B70E2">
        <w:t>- and</w:t>
      </w:r>
      <w:r w:rsidR="00EF21C5">
        <w:t xml:space="preserve"> practice- related</w:t>
      </w:r>
      <w:r w:rsidR="003177A2">
        <w:t xml:space="preserve"> </w:t>
      </w:r>
      <w:r w:rsidR="007B70E2">
        <w:t>activities</w:t>
      </w:r>
      <w:r w:rsidR="000516FC">
        <w:t>,</w:t>
      </w:r>
      <w:r w:rsidR="007B70E2">
        <w:t xml:space="preserve"> </w:t>
      </w:r>
      <w:r w:rsidR="002C6678">
        <w:t>including:</w:t>
      </w:r>
    </w:p>
    <w:p w14:paraId="1A48227D" w14:textId="1A001374" w:rsidR="007A3B46" w:rsidRDefault="00791E14" w:rsidP="00BC5A70">
      <w:pPr>
        <w:pStyle w:val="ListParagraph"/>
        <w:numPr>
          <w:ilvl w:val="0"/>
          <w:numId w:val="31"/>
        </w:numPr>
        <w:ind w:left="720"/>
      </w:pPr>
      <w:r>
        <w:t xml:space="preserve">medication reviews and </w:t>
      </w:r>
      <w:r w:rsidR="00606AA0">
        <w:t>supporting medication adherence for patients</w:t>
      </w:r>
    </w:p>
    <w:p w14:paraId="6228F872" w14:textId="0FF71B7D" w:rsidR="007A3B46" w:rsidRDefault="00F85950" w:rsidP="00BC5A70">
      <w:pPr>
        <w:pStyle w:val="ListParagraph"/>
        <w:numPr>
          <w:ilvl w:val="0"/>
          <w:numId w:val="31"/>
        </w:numPr>
        <w:ind w:left="720"/>
      </w:pPr>
      <w:r>
        <w:t>delivering preventative</w:t>
      </w:r>
      <w:r w:rsidR="004872A7">
        <w:t xml:space="preserve"> and transitional </w:t>
      </w:r>
      <w:r>
        <w:t>care</w:t>
      </w:r>
    </w:p>
    <w:p w14:paraId="6F2DF700" w14:textId="15E655CA" w:rsidR="00E85130" w:rsidRDefault="00B75FC1" w:rsidP="00BC5A70">
      <w:pPr>
        <w:pStyle w:val="ListParagraph"/>
        <w:numPr>
          <w:ilvl w:val="0"/>
          <w:numId w:val="31"/>
        </w:numPr>
        <w:ind w:left="720"/>
      </w:pPr>
      <w:r>
        <w:t>medicines information and education</w:t>
      </w:r>
      <w:r w:rsidR="00681420">
        <w:t xml:space="preserve"> to both patients and healthcare</w:t>
      </w:r>
      <w:r w:rsidR="00CA3EAF">
        <w:t xml:space="preserve"> teams</w:t>
      </w:r>
    </w:p>
    <w:p w14:paraId="7BA91DBD" w14:textId="4075F5E2" w:rsidR="001C07E4" w:rsidRDefault="006C2B75" w:rsidP="00BC5A70">
      <w:pPr>
        <w:pStyle w:val="ListParagraph"/>
        <w:numPr>
          <w:ilvl w:val="0"/>
          <w:numId w:val="30"/>
        </w:numPr>
        <w:ind w:left="720"/>
      </w:pPr>
      <w:r>
        <w:t>collaborating</w:t>
      </w:r>
      <w:r w:rsidR="002D3FCE">
        <w:t xml:space="preserve"> with </w:t>
      </w:r>
      <w:r w:rsidR="00D86CB4">
        <w:t>healthcare teams</w:t>
      </w:r>
    </w:p>
    <w:p w14:paraId="408703C4" w14:textId="0866AE3B" w:rsidR="0050132A" w:rsidRDefault="00ED68C4" w:rsidP="00BC5A70">
      <w:pPr>
        <w:pStyle w:val="ListParagraph"/>
        <w:numPr>
          <w:ilvl w:val="0"/>
          <w:numId w:val="30"/>
        </w:numPr>
        <w:ind w:left="720"/>
      </w:pPr>
      <w:r>
        <w:t>liaising</w:t>
      </w:r>
      <w:r w:rsidR="0050132A">
        <w:t xml:space="preserve"> with external </w:t>
      </w:r>
      <w:r w:rsidR="00A2249E">
        <w:t>healthcare providers such as community pharmacy</w:t>
      </w:r>
      <w:r w:rsidR="006772ED">
        <w:t>,</w:t>
      </w:r>
      <w:r w:rsidR="580C8F08">
        <w:t xml:space="preserve"> and</w:t>
      </w:r>
    </w:p>
    <w:p w14:paraId="20BFB3C4" w14:textId="01129E2B" w:rsidR="002B27FD" w:rsidRDefault="0034705B" w:rsidP="00BC5A70">
      <w:pPr>
        <w:pStyle w:val="ListParagraph"/>
        <w:numPr>
          <w:ilvl w:val="0"/>
          <w:numId w:val="30"/>
        </w:numPr>
        <w:ind w:left="720"/>
      </w:pPr>
      <w:r>
        <w:t xml:space="preserve">undertaking </w:t>
      </w:r>
      <w:r w:rsidR="00BB4510">
        <w:t>quality improvement activities such as drug utilisation reviews.</w:t>
      </w:r>
    </w:p>
    <w:p w14:paraId="7FA192EA" w14:textId="4B61F4AF" w:rsidR="009A36EC" w:rsidRDefault="00EE2E12" w:rsidP="00CB2671">
      <w:r w:rsidRPr="00BE0AC7">
        <w:t>Th</w:t>
      </w:r>
      <w:r w:rsidR="00570996">
        <w:t xml:space="preserve">e </w:t>
      </w:r>
      <w:r w:rsidR="006772ED">
        <w:t xml:space="preserve">ADAR </w:t>
      </w:r>
      <w:r w:rsidR="00570996">
        <w:t xml:space="preserve">proposed </w:t>
      </w:r>
      <w:r w:rsidR="00FA71B8">
        <w:t xml:space="preserve">a </w:t>
      </w:r>
      <w:r>
        <w:t xml:space="preserve">baseline </w:t>
      </w:r>
      <w:r w:rsidR="00841A58">
        <w:t xml:space="preserve">block funding </w:t>
      </w:r>
      <w:r w:rsidR="792CEAEF">
        <w:t xml:space="preserve">over five years, </w:t>
      </w:r>
      <w:r>
        <w:t xml:space="preserve">plus pro-rata </w:t>
      </w:r>
      <w:r w:rsidR="00460E5A">
        <w:t xml:space="preserve">fee-for-service </w:t>
      </w:r>
      <w:r>
        <w:t>public funding (depending on the health service client load and episodes of care) f</w:t>
      </w:r>
      <w:r w:rsidR="00794EE2">
        <w:t>or</w:t>
      </w:r>
      <w:r>
        <w:t xml:space="preserve"> a non-dispensing pharmacist </w:t>
      </w:r>
      <w:r w:rsidR="00CA2086">
        <w:t>(NDP)</w:t>
      </w:r>
      <w:r>
        <w:t xml:space="preserve"> </w:t>
      </w:r>
      <w:r w:rsidR="00047E4C">
        <w:t xml:space="preserve">within ACCHs to provide </w:t>
      </w:r>
      <w:r w:rsidR="00A4285A">
        <w:t>these services in</w:t>
      </w:r>
      <w:r w:rsidR="00924B7C">
        <w:t xml:space="preserve"> an</w:t>
      </w:r>
      <w:r>
        <w:t xml:space="preserve"> integrated model of care.</w:t>
      </w:r>
      <w:r w:rsidR="00266E20">
        <w:t xml:space="preserve"> </w:t>
      </w:r>
    </w:p>
    <w:p w14:paraId="6AB4837E" w14:textId="6B96F61E" w:rsidR="00D36CFD" w:rsidRPr="00D36CFD" w:rsidRDefault="000E79F4" w:rsidP="00D36CFD">
      <w:pPr>
        <w:rPr>
          <w:lang w:val="en-GB"/>
        </w:rPr>
      </w:pPr>
      <w:r>
        <w:t xml:space="preserve">The total funding requested </w:t>
      </w:r>
      <w:r w:rsidR="00BD3F0F">
        <w:t xml:space="preserve">by the applicant </w:t>
      </w:r>
      <w:r w:rsidR="00ED2CDD">
        <w:t>was</w:t>
      </w:r>
      <w:r>
        <w:t xml:space="preserve"> $13,316,142 in Year 1, decreasing to </w:t>
      </w:r>
      <w:r w:rsidR="005948C6">
        <w:t>$</w:t>
      </w:r>
      <w:r w:rsidR="003A4C9B">
        <w:t>1</w:t>
      </w:r>
      <w:r>
        <w:t>2,851,292 in Year 5</w:t>
      </w:r>
      <w:r w:rsidR="00583BA2">
        <w:t xml:space="preserve">. </w:t>
      </w:r>
      <w:r w:rsidR="00D37A21">
        <w:t xml:space="preserve">The proposed </w:t>
      </w:r>
      <w:r w:rsidR="00BF5438">
        <w:t>funding</w:t>
      </w:r>
      <w:r w:rsidR="00D37A21">
        <w:t xml:space="preserve"> include</w:t>
      </w:r>
      <w:r w:rsidR="005207A6">
        <w:t>d</w:t>
      </w:r>
      <w:r w:rsidR="00CB2671">
        <w:t xml:space="preserve"> </w:t>
      </w:r>
      <w:r w:rsidR="00C230BD">
        <w:t xml:space="preserve">salary of the </w:t>
      </w:r>
      <w:r w:rsidR="00FB346C">
        <w:t>non-dispensing pharmacist</w:t>
      </w:r>
      <w:r w:rsidR="0029724F">
        <w:t>, program establishment a</w:t>
      </w:r>
      <w:r w:rsidR="004518F1">
        <w:t>n</w:t>
      </w:r>
      <w:r w:rsidR="0029724F">
        <w:t>d</w:t>
      </w:r>
      <w:r w:rsidR="00AB1A98">
        <w:t xml:space="preserve"> </w:t>
      </w:r>
      <w:r w:rsidR="0029724F">
        <w:t>support/administrative costs</w:t>
      </w:r>
      <w:r w:rsidR="003E53BD">
        <w:t>,</w:t>
      </w:r>
      <w:r w:rsidR="00F73A1A">
        <w:t xml:space="preserve"> pharmacists support</w:t>
      </w:r>
      <w:r w:rsidR="003E53BD">
        <w:t xml:space="preserve"> and program</w:t>
      </w:r>
      <w:r w:rsidR="007A064D">
        <w:t xml:space="preserve"> monitoring and evaluation.</w:t>
      </w:r>
      <w:r w:rsidR="00D36CFD">
        <w:t xml:space="preserve"> </w:t>
      </w:r>
      <w:r w:rsidR="00D36CFD" w:rsidRPr="00D36CFD">
        <w:rPr>
          <w:lang w:val="en-GB"/>
        </w:rPr>
        <w:t>The Applicant’s proposal estimates costs at approximately $83,823 per participating ACCHS</w:t>
      </w:r>
      <w:r w:rsidR="78EBBC7E" w:rsidRPr="2B108901">
        <w:rPr>
          <w:lang w:val="en-GB"/>
        </w:rPr>
        <w:t xml:space="preserve"> </w:t>
      </w:r>
      <w:r w:rsidR="00D36CFD" w:rsidRPr="00D36CFD">
        <w:rPr>
          <w:lang w:val="en-GB"/>
        </w:rPr>
        <w:t>variable according to practice size. Pharmacist costs have been estimated against FTE pharmacist salaries of $151,618</w:t>
      </w:r>
      <w:r w:rsidR="00F559F2">
        <w:rPr>
          <w:lang w:val="en-GB"/>
        </w:rPr>
        <w:t xml:space="preserve"> (including on-costs)</w:t>
      </w:r>
      <w:r w:rsidR="00D36CFD" w:rsidRPr="00D36CFD">
        <w:rPr>
          <w:lang w:val="en-GB"/>
        </w:rPr>
        <w:t xml:space="preserve">. </w:t>
      </w:r>
    </w:p>
    <w:p w14:paraId="714F6B3C" w14:textId="1599CB76" w:rsidR="00EE2E12" w:rsidRDefault="00E94EF8" w:rsidP="005C71F5">
      <w:pPr>
        <w:tabs>
          <w:tab w:val="left" w:pos="7635"/>
        </w:tabs>
      </w:pPr>
      <w:r>
        <w:t xml:space="preserve">The proposed </w:t>
      </w:r>
      <w:r w:rsidR="00F334CA">
        <w:t xml:space="preserve">new </w:t>
      </w:r>
      <w:r>
        <w:t xml:space="preserve">service </w:t>
      </w:r>
      <w:r w:rsidR="008A3186">
        <w:t xml:space="preserve">is not </w:t>
      </w:r>
      <w:r w:rsidR="006616F2">
        <w:t>seek</w:t>
      </w:r>
      <w:r w:rsidR="00F334CA">
        <w:t>ing</w:t>
      </w:r>
      <w:r w:rsidR="006616F2">
        <w:t xml:space="preserve"> MBS item funding. </w:t>
      </w:r>
    </w:p>
    <w:p w14:paraId="7C456F1F" w14:textId="5DFE9347" w:rsidR="00381164" w:rsidRDefault="00BE4B02" w:rsidP="00381164">
      <w:pPr>
        <w:spacing w:after="120" w:line="240" w:lineRule="auto"/>
        <w:rPr>
          <w:rFonts w:eastAsiaTheme="minorEastAsia"/>
          <w:lang w:val="en-GB"/>
        </w:rPr>
      </w:pPr>
      <w:r w:rsidRPr="00BE4B02">
        <w:rPr>
          <w:rFonts w:eastAsiaTheme="minorEastAsia"/>
        </w:rPr>
        <w:t xml:space="preserve">The </w:t>
      </w:r>
      <w:r w:rsidR="006772ED">
        <w:rPr>
          <w:rFonts w:eastAsiaTheme="minorEastAsia"/>
        </w:rPr>
        <w:t xml:space="preserve">ADAR </w:t>
      </w:r>
      <w:r w:rsidRPr="00BE4B02">
        <w:rPr>
          <w:rFonts w:eastAsiaTheme="minorEastAsia"/>
        </w:rPr>
        <w:t xml:space="preserve">only proposed funding </w:t>
      </w:r>
      <w:r w:rsidR="00C61D97">
        <w:rPr>
          <w:rFonts w:eastAsiaTheme="minorEastAsia"/>
        </w:rPr>
        <w:t xml:space="preserve">for </w:t>
      </w:r>
      <w:r w:rsidRPr="00BE4B02">
        <w:rPr>
          <w:rFonts w:eastAsiaTheme="minorEastAsia"/>
        </w:rPr>
        <w:t>NDP</w:t>
      </w:r>
      <w:r w:rsidR="00C61D97">
        <w:rPr>
          <w:rFonts w:eastAsiaTheme="minorEastAsia"/>
        </w:rPr>
        <w:t>s</w:t>
      </w:r>
      <w:r w:rsidRPr="00BE4B02">
        <w:rPr>
          <w:rFonts w:eastAsiaTheme="minorEastAsia"/>
        </w:rPr>
        <w:t xml:space="preserve"> for ACCHSs, therefore the ADAR </w:t>
      </w:r>
      <w:r w:rsidR="000259E7">
        <w:rPr>
          <w:rFonts w:eastAsiaTheme="minorEastAsia"/>
        </w:rPr>
        <w:t xml:space="preserve">has </w:t>
      </w:r>
      <w:r w:rsidRPr="00BE4B02">
        <w:rPr>
          <w:rFonts w:eastAsiaTheme="minorEastAsia"/>
        </w:rPr>
        <w:t>only costed for 147 services.</w:t>
      </w:r>
      <w:r w:rsidR="002D2238">
        <w:rPr>
          <w:rFonts w:eastAsiaTheme="minorEastAsia"/>
        </w:rPr>
        <w:t xml:space="preserve"> H</w:t>
      </w:r>
      <w:proofErr w:type="spellStart"/>
      <w:r w:rsidR="002D2238" w:rsidRPr="002D2238">
        <w:rPr>
          <w:rFonts w:eastAsiaTheme="minorEastAsia"/>
          <w:lang w:val="en-GB"/>
        </w:rPr>
        <w:t>owever</w:t>
      </w:r>
      <w:proofErr w:type="spellEnd"/>
      <w:r w:rsidR="002D2238">
        <w:rPr>
          <w:rFonts w:eastAsiaTheme="minorEastAsia"/>
          <w:lang w:val="en-GB"/>
        </w:rPr>
        <w:t>,</w:t>
      </w:r>
      <w:r w:rsidR="002D2238" w:rsidRPr="002D2238">
        <w:rPr>
          <w:rFonts w:eastAsiaTheme="minorEastAsia"/>
          <w:lang w:val="en-GB"/>
        </w:rPr>
        <w:t xml:space="preserve"> there are </w:t>
      </w:r>
      <w:bookmarkStart w:id="11" w:name="_Int_C5B4E7KH"/>
      <w:proofErr w:type="gramStart"/>
      <w:r w:rsidR="002D2238" w:rsidRPr="002D2238">
        <w:rPr>
          <w:rFonts w:eastAsiaTheme="minorEastAsia"/>
          <w:lang w:val="en-GB"/>
        </w:rPr>
        <w:t>a number of</w:t>
      </w:r>
      <w:bookmarkEnd w:id="11"/>
      <w:proofErr w:type="gramEnd"/>
      <w:r w:rsidR="002D2238" w:rsidRPr="002D2238">
        <w:rPr>
          <w:rFonts w:eastAsiaTheme="minorEastAsia"/>
          <w:lang w:val="en-GB"/>
        </w:rPr>
        <w:t xml:space="preserve"> non</w:t>
      </w:r>
      <w:r w:rsidR="5AF444D2" w:rsidRPr="77210860">
        <w:rPr>
          <w:rFonts w:eastAsiaTheme="minorEastAsia"/>
          <w:lang w:val="en-GB"/>
        </w:rPr>
        <w:t>-</w:t>
      </w:r>
      <w:r w:rsidR="002D2238" w:rsidRPr="002D2238">
        <w:rPr>
          <w:rFonts w:eastAsiaTheme="minorEastAsia"/>
          <w:lang w:val="en-GB"/>
        </w:rPr>
        <w:t xml:space="preserve">ACCHS AHSs that support First Nations people in accessing healthcare. </w:t>
      </w:r>
      <w:proofErr w:type="gramStart"/>
      <w:r w:rsidR="00AC535F" w:rsidRPr="002D2238">
        <w:rPr>
          <w:rFonts w:eastAsiaTheme="minorEastAsia"/>
          <w:lang w:val="en-GB"/>
        </w:rPr>
        <w:t>e.g</w:t>
      </w:r>
      <w:r w:rsidR="002D2238" w:rsidRPr="002D2238">
        <w:rPr>
          <w:rFonts w:eastAsiaTheme="minorEastAsia"/>
          <w:lang w:val="en-GB"/>
        </w:rPr>
        <w:t>.</w:t>
      </w:r>
      <w:proofErr w:type="gramEnd"/>
      <w:r w:rsidR="002D2238" w:rsidRPr="002D2238">
        <w:rPr>
          <w:rFonts w:eastAsiaTheme="minorEastAsia"/>
          <w:lang w:val="en-GB"/>
        </w:rPr>
        <w:t xml:space="preserve"> the N</w:t>
      </w:r>
      <w:r w:rsidR="00462DFF">
        <w:rPr>
          <w:rFonts w:eastAsiaTheme="minorEastAsia"/>
          <w:lang w:val="en-GB"/>
        </w:rPr>
        <w:t xml:space="preserve">orthern Territory Department of Health </w:t>
      </w:r>
      <w:bookmarkStart w:id="12" w:name="_Int_MI3z1jpM"/>
      <w:r w:rsidR="005133CC">
        <w:rPr>
          <w:rFonts w:eastAsiaTheme="minorEastAsia"/>
          <w:lang w:val="en-GB"/>
        </w:rPr>
        <w:t>operates</w:t>
      </w:r>
      <w:r w:rsidR="005133CC" w:rsidRPr="002D2238">
        <w:rPr>
          <w:rFonts w:eastAsiaTheme="minorEastAsia"/>
          <w:lang w:val="en-GB"/>
        </w:rPr>
        <w:t xml:space="preserve"> </w:t>
      </w:r>
      <w:r w:rsidR="00AF5EB9">
        <w:rPr>
          <w:rFonts w:eastAsiaTheme="minorEastAsia"/>
          <w:lang w:val="en-GB"/>
        </w:rPr>
        <w:t>49</w:t>
      </w:r>
      <w:bookmarkEnd w:id="12"/>
      <w:r w:rsidR="002D2238" w:rsidRPr="002D2238">
        <w:rPr>
          <w:rFonts w:eastAsiaTheme="minorEastAsia"/>
          <w:lang w:val="en-GB"/>
        </w:rPr>
        <w:t xml:space="preserve"> AHSs in the </w:t>
      </w:r>
      <w:r w:rsidR="00381164" w:rsidRPr="002D2238">
        <w:rPr>
          <w:rFonts w:eastAsiaTheme="minorEastAsia"/>
          <w:lang w:val="en-GB"/>
        </w:rPr>
        <w:t>N</w:t>
      </w:r>
      <w:r w:rsidR="00381164">
        <w:rPr>
          <w:rFonts w:eastAsiaTheme="minorEastAsia"/>
          <w:lang w:val="en-GB"/>
        </w:rPr>
        <w:t xml:space="preserve">T. </w:t>
      </w:r>
    </w:p>
    <w:p w14:paraId="575E7777" w14:textId="41950EE7" w:rsidR="00381164" w:rsidRPr="00381164" w:rsidRDefault="00BC41DB" w:rsidP="00381164">
      <w:pPr>
        <w:spacing w:after="120" w:line="240" w:lineRule="auto"/>
        <w:rPr>
          <w:rFonts w:eastAsiaTheme="minorEastAsia"/>
          <w:lang w:val="en-GB"/>
        </w:rPr>
      </w:pPr>
      <w:r>
        <w:t xml:space="preserve">In keeping with </w:t>
      </w:r>
      <w:r w:rsidR="00381164">
        <w:t xml:space="preserve">Commonwealth </w:t>
      </w:r>
      <w:r>
        <w:t xml:space="preserve">policy regarding access to </w:t>
      </w:r>
      <w:r w:rsidR="00381164">
        <w:t xml:space="preserve">programs </w:t>
      </w:r>
      <w:r>
        <w:t xml:space="preserve">for </w:t>
      </w:r>
      <w:r w:rsidR="00381164">
        <w:t>First Nations people, the Department proposes</w:t>
      </w:r>
      <w:r w:rsidR="00381164" w:rsidRPr="00381164">
        <w:rPr>
          <w:rFonts w:eastAsiaTheme="minorEastAsia"/>
          <w:lang w:val="en-GB"/>
        </w:rPr>
        <w:t xml:space="preserve"> </w:t>
      </w:r>
      <w:r w:rsidR="00E602E8">
        <w:rPr>
          <w:rFonts w:eastAsiaTheme="minorEastAsia"/>
          <w:lang w:val="en-GB"/>
        </w:rPr>
        <w:t xml:space="preserve">that </w:t>
      </w:r>
      <w:r w:rsidR="00381164" w:rsidRPr="00381164">
        <w:rPr>
          <w:rFonts w:eastAsiaTheme="minorEastAsia"/>
          <w:lang w:val="en-GB"/>
        </w:rPr>
        <w:t>eligibility for IPAC is aligned with the eligibility for the IHSPS</w:t>
      </w:r>
      <w:r w:rsidR="00381164" w:rsidRPr="00381164">
        <w:rPr>
          <w:rFonts w:eastAsiaTheme="minorEastAsia"/>
          <w:vertAlign w:val="superscript"/>
          <w:lang w:val="en-GB"/>
        </w:rPr>
        <w:footnoteReference w:id="7"/>
      </w:r>
      <w:r w:rsidR="00381164" w:rsidRPr="00381164">
        <w:rPr>
          <w:rFonts w:eastAsiaTheme="minorEastAsia"/>
          <w:lang w:val="en-GB"/>
        </w:rPr>
        <w:t xml:space="preserve">. </w:t>
      </w:r>
    </w:p>
    <w:p w14:paraId="5E19FE86" w14:textId="0E63568E" w:rsidR="00381164" w:rsidRPr="00381164" w:rsidRDefault="00381164" w:rsidP="00381164">
      <w:pPr>
        <w:spacing w:after="120" w:line="240" w:lineRule="auto"/>
        <w:rPr>
          <w:rFonts w:eastAsiaTheme="minorEastAsia"/>
          <w:lang w:val="en-GB"/>
        </w:rPr>
      </w:pPr>
      <w:r w:rsidRPr="00381164">
        <w:rPr>
          <w:rFonts w:eastAsiaTheme="minorEastAsia"/>
          <w:lang w:val="en-GB"/>
        </w:rPr>
        <w:t xml:space="preserve">A service </w:t>
      </w:r>
      <w:r w:rsidR="6D58E77C" w:rsidRPr="3FE16CA5">
        <w:rPr>
          <w:rFonts w:eastAsiaTheme="minorEastAsia"/>
          <w:lang w:val="en-GB"/>
        </w:rPr>
        <w:t>would</w:t>
      </w:r>
      <w:r w:rsidRPr="00381164">
        <w:rPr>
          <w:rFonts w:eastAsiaTheme="minorEastAsia"/>
          <w:lang w:val="en-GB"/>
        </w:rPr>
        <w:t xml:space="preserve"> be eligible for IPAC if:</w:t>
      </w:r>
    </w:p>
    <w:p w14:paraId="264642E8" w14:textId="0A64F605" w:rsidR="00381164" w:rsidRPr="00381164" w:rsidRDefault="003D35E3" w:rsidP="005C71F5">
      <w:pPr>
        <w:numPr>
          <w:ilvl w:val="0"/>
          <w:numId w:val="32"/>
        </w:numPr>
        <w:spacing w:after="120" w:line="240" w:lineRule="auto"/>
        <w:rPr>
          <w:rFonts w:eastAsiaTheme="minorEastAsia"/>
          <w:lang w:val="en-GB"/>
        </w:rPr>
      </w:pPr>
      <w:r>
        <w:rPr>
          <w:rFonts w:eastAsiaTheme="minorEastAsia"/>
          <w:lang w:val="en-GB"/>
        </w:rPr>
        <w:t>i</w:t>
      </w:r>
      <w:r w:rsidR="00381164" w:rsidRPr="00381164">
        <w:rPr>
          <w:rFonts w:eastAsiaTheme="minorEastAsia"/>
          <w:lang w:val="en-GB"/>
        </w:rPr>
        <w:t xml:space="preserve">t is funded by the Department of Health and Aged Care’s </w:t>
      </w:r>
      <w:r w:rsidR="005133CC">
        <w:rPr>
          <w:rFonts w:eastAsiaTheme="minorEastAsia"/>
          <w:lang w:val="en-GB"/>
        </w:rPr>
        <w:t>First Nations</w:t>
      </w:r>
      <w:r w:rsidR="005133CC" w:rsidRPr="00381164">
        <w:rPr>
          <w:rFonts w:eastAsiaTheme="minorEastAsia"/>
          <w:lang w:val="en-GB"/>
        </w:rPr>
        <w:t xml:space="preserve"> </w:t>
      </w:r>
      <w:r w:rsidR="00381164" w:rsidRPr="00381164">
        <w:rPr>
          <w:rFonts w:eastAsiaTheme="minorEastAsia"/>
          <w:lang w:val="en-GB"/>
        </w:rPr>
        <w:t>Health Division for the provision of primary healthcare services to First Nations people</w:t>
      </w:r>
      <w:r>
        <w:rPr>
          <w:rFonts w:eastAsiaTheme="minorEastAsia"/>
          <w:lang w:val="en-GB"/>
        </w:rPr>
        <w:t>,</w:t>
      </w:r>
      <w:r w:rsidR="00381164" w:rsidRPr="00381164">
        <w:rPr>
          <w:rFonts w:eastAsiaTheme="minorEastAsia"/>
          <w:lang w:val="en-GB"/>
        </w:rPr>
        <w:t xml:space="preserve"> OR</w:t>
      </w:r>
    </w:p>
    <w:p w14:paraId="6EE0E10B" w14:textId="00BB30CF" w:rsidR="00F46FC2" w:rsidRPr="005C71F5" w:rsidRDefault="003D35E3" w:rsidP="005C71F5">
      <w:pPr>
        <w:pStyle w:val="ListParagraph"/>
        <w:numPr>
          <w:ilvl w:val="0"/>
          <w:numId w:val="32"/>
        </w:numPr>
        <w:spacing w:after="120" w:line="240" w:lineRule="auto"/>
        <w:rPr>
          <w:rFonts w:eastAsiaTheme="minorEastAsia"/>
        </w:rPr>
      </w:pPr>
      <w:r>
        <w:rPr>
          <w:rFonts w:eastAsiaTheme="minorEastAsia"/>
          <w:lang w:val="en-GB"/>
        </w:rPr>
        <w:t>a</w:t>
      </w:r>
      <w:r w:rsidR="00381164" w:rsidRPr="005C71F5">
        <w:rPr>
          <w:rFonts w:eastAsiaTheme="minorEastAsia"/>
          <w:lang w:val="en-GB"/>
        </w:rPr>
        <w:t xml:space="preserve">pproved to participate in the </w:t>
      </w:r>
      <w:r w:rsidR="4B3C6F96" w:rsidRPr="0AC8B193">
        <w:rPr>
          <w:rFonts w:eastAsiaTheme="minorEastAsia"/>
          <w:lang w:val="en-GB"/>
        </w:rPr>
        <w:t xml:space="preserve">s100 </w:t>
      </w:r>
      <w:r w:rsidR="00381164" w:rsidRPr="005C71F5">
        <w:rPr>
          <w:rFonts w:eastAsiaTheme="minorEastAsia"/>
          <w:lang w:val="en-GB"/>
        </w:rPr>
        <w:t>Remote Area Aboriginal Health Services (</w:t>
      </w:r>
      <w:r w:rsidR="38EA7B3B" w:rsidRPr="3FE16CA5">
        <w:rPr>
          <w:rFonts w:eastAsiaTheme="minorEastAsia"/>
          <w:lang w:val="en-GB"/>
        </w:rPr>
        <w:t>RA</w:t>
      </w:r>
      <w:r w:rsidR="68DC9384" w:rsidRPr="3FE16CA5">
        <w:rPr>
          <w:rFonts w:eastAsiaTheme="minorEastAsia"/>
          <w:lang w:val="en-GB"/>
        </w:rPr>
        <w:t>A</w:t>
      </w:r>
      <w:r w:rsidR="38EA7B3B" w:rsidRPr="3FE16CA5">
        <w:rPr>
          <w:rFonts w:eastAsiaTheme="minorEastAsia"/>
          <w:lang w:val="en-GB"/>
        </w:rPr>
        <w:t>HS</w:t>
      </w:r>
      <w:r w:rsidR="00381164" w:rsidRPr="005C71F5">
        <w:rPr>
          <w:rFonts w:eastAsiaTheme="minorEastAsia"/>
          <w:lang w:val="en-GB"/>
        </w:rPr>
        <w:t>) program.</w:t>
      </w:r>
    </w:p>
    <w:p w14:paraId="678EB2A5" w14:textId="0E92F193" w:rsidR="00BE4B02" w:rsidRPr="00BE4B02" w:rsidRDefault="00F00704" w:rsidP="00956785">
      <w:pPr>
        <w:spacing w:after="120" w:line="240" w:lineRule="auto"/>
        <w:rPr>
          <w:rFonts w:eastAsiaTheme="minorEastAsia"/>
        </w:rPr>
      </w:pPr>
      <w:r>
        <w:rPr>
          <w:rFonts w:eastAsiaTheme="minorEastAsia"/>
        </w:rPr>
        <w:t>U</w:t>
      </w:r>
      <w:r w:rsidR="00BE4B02" w:rsidRPr="00BE4B02">
        <w:rPr>
          <w:rFonts w:eastAsiaTheme="minorEastAsia"/>
        </w:rPr>
        <w:t>nder the Department’s proposal</w:t>
      </w:r>
      <w:r w:rsidR="0039710A">
        <w:rPr>
          <w:rFonts w:eastAsiaTheme="minorEastAsia"/>
        </w:rPr>
        <w:t xml:space="preserve">, </w:t>
      </w:r>
      <w:r w:rsidR="00BE4B02" w:rsidRPr="00BE4B02">
        <w:rPr>
          <w:rFonts w:eastAsiaTheme="minorEastAsia"/>
        </w:rPr>
        <w:t>the total services to be funded has increased significantly</w:t>
      </w:r>
      <w:r w:rsidR="0039710A">
        <w:rPr>
          <w:rFonts w:eastAsiaTheme="minorEastAsia"/>
        </w:rPr>
        <w:t xml:space="preserve"> as shown in </w:t>
      </w:r>
      <w:r w:rsidR="00B112D5" w:rsidRPr="00552949">
        <w:rPr>
          <w:rFonts w:eastAsiaTheme="minorEastAsia"/>
        </w:rPr>
        <w:fldChar w:fldCharType="begin"/>
      </w:r>
      <w:r w:rsidR="00B112D5" w:rsidRPr="00552949">
        <w:rPr>
          <w:rFonts w:eastAsiaTheme="minorEastAsia"/>
        </w:rPr>
        <w:instrText xml:space="preserve"> REF _Ref128042110 \h </w:instrText>
      </w:r>
      <w:r w:rsidR="00552949">
        <w:rPr>
          <w:rFonts w:eastAsiaTheme="minorEastAsia"/>
        </w:rPr>
        <w:instrText xml:space="preserve"> \* MERGEFORMAT </w:instrText>
      </w:r>
      <w:r w:rsidR="00B112D5" w:rsidRPr="00552949">
        <w:rPr>
          <w:rFonts w:eastAsiaTheme="minorEastAsia"/>
        </w:rPr>
      </w:r>
      <w:r w:rsidR="00B112D5" w:rsidRPr="00552949">
        <w:rPr>
          <w:rFonts w:eastAsiaTheme="minorEastAsia"/>
        </w:rPr>
        <w:fldChar w:fldCharType="separate"/>
      </w:r>
      <w:r w:rsidR="00552949" w:rsidRPr="007B0DCF">
        <w:t>Table </w:t>
      </w:r>
      <w:r w:rsidR="00552949" w:rsidRPr="007B0DCF">
        <w:rPr>
          <w:noProof/>
        </w:rPr>
        <w:t>4</w:t>
      </w:r>
      <w:r w:rsidR="00B112D5" w:rsidRPr="00552949">
        <w:rPr>
          <w:rFonts w:eastAsiaTheme="minorEastAsia"/>
        </w:rPr>
        <w:fldChar w:fldCharType="end"/>
      </w:r>
      <w:r w:rsidR="00BE4B02" w:rsidRPr="00552949">
        <w:rPr>
          <w:rFonts w:eastAsiaTheme="minorEastAsia"/>
        </w:rPr>
        <w:t>.</w:t>
      </w:r>
      <w:r w:rsidR="00BE4B02" w:rsidRPr="00BE4B02">
        <w:rPr>
          <w:rFonts w:eastAsiaTheme="minorEastAsia"/>
        </w:rPr>
        <w:t xml:space="preserve"> </w:t>
      </w:r>
    </w:p>
    <w:p w14:paraId="427B1EAF" w14:textId="364A437F" w:rsidR="003A3E62" w:rsidRPr="00D217E8" w:rsidRDefault="003A3E62" w:rsidP="00A96413">
      <w:pPr>
        <w:pStyle w:val="Caption"/>
        <w:spacing w:before="240" w:after="0"/>
        <w:rPr>
          <w:rFonts w:eastAsiaTheme="minorEastAsia"/>
          <w:b w:val="0"/>
          <w:color w:val="000000" w:themeColor="text1"/>
          <w:sz w:val="20"/>
        </w:rPr>
      </w:pPr>
      <w:bookmarkStart w:id="13" w:name="_Ref128042110"/>
      <w:bookmarkStart w:id="14" w:name="_Ref128042096"/>
      <w:r w:rsidRPr="00D217E8">
        <w:rPr>
          <w:sz w:val="20"/>
        </w:rPr>
        <w:lastRenderedPageBreak/>
        <w:t>Table</w:t>
      </w:r>
      <w:r w:rsidR="003B42E6" w:rsidRPr="00D217E8">
        <w:rPr>
          <w:b w:val="0"/>
          <w:sz w:val="20"/>
        </w:rPr>
        <w:t> </w:t>
      </w:r>
      <w:r w:rsidR="00EF4077" w:rsidRPr="00D217E8">
        <w:rPr>
          <w:sz w:val="20"/>
        </w:rPr>
        <w:fldChar w:fldCharType="begin"/>
      </w:r>
      <w:r w:rsidR="00EF4077" w:rsidRPr="00D217E8">
        <w:rPr>
          <w:sz w:val="20"/>
        </w:rPr>
        <w:instrText xml:space="preserve"> SEQ Table \* ARABIC </w:instrText>
      </w:r>
      <w:r w:rsidR="00EF4077" w:rsidRPr="00D217E8">
        <w:rPr>
          <w:sz w:val="20"/>
        </w:rPr>
        <w:fldChar w:fldCharType="separate"/>
      </w:r>
      <w:r w:rsidR="00FC2B00">
        <w:rPr>
          <w:noProof/>
          <w:sz w:val="20"/>
        </w:rPr>
        <w:t>4</w:t>
      </w:r>
      <w:r w:rsidR="00EF4077" w:rsidRPr="00D217E8">
        <w:rPr>
          <w:noProof/>
          <w:sz w:val="20"/>
        </w:rPr>
        <w:fldChar w:fldCharType="end"/>
      </w:r>
      <w:bookmarkEnd w:id="13"/>
      <w:r w:rsidR="003B42E6" w:rsidRPr="00D217E8">
        <w:rPr>
          <w:sz w:val="20"/>
        </w:rPr>
        <w:tab/>
      </w:r>
      <w:r w:rsidRPr="00D217E8">
        <w:rPr>
          <w:rFonts w:eastAsiaTheme="minorEastAsia"/>
          <w:sz w:val="20"/>
        </w:rPr>
        <w:t xml:space="preserve">Number of </w:t>
      </w:r>
      <w:r w:rsidRPr="00D217E8">
        <w:rPr>
          <w:sz w:val="20"/>
        </w:rPr>
        <w:t>Services per Governance Model</w:t>
      </w:r>
      <w:bookmarkEnd w:id="14"/>
    </w:p>
    <w:tbl>
      <w:tblPr>
        <w:tblStyle w:val="TableGrid"/>
        <w:tblW w:w="0" w:type="auto"/>
        <w:tblLook w:val="06A0" w:firstRow="1" w:lastRow="0" w:firstColumn="1" w:lastColumn="0" w:noHBand="1" w:noVBand="1"/>
      </w:tblPr>
      <w:tblGrid>
        <w:gridCol w:w="3087"/>
        <w:gridCol w:w="1218"/>
        <w:gridCol w:w="2517"/>
        <w:gridCol w:w="2194"/>
      </w:tblGrid>
      <w:tr w:rsidR="003A3E62" w:rsidRPr="00D217E8" w14:paraId="563B0229" w14:textId="77777777" w:rsidTr="005B4ADF">
        <w:trPr>
          <w:trHeight w:val="300"/>
        </w:trPr>
        <w:tc>
          <w:tcPr>
            <w:tcW w:w="0" w:type="auto"/>
          </w:tcPr>
          <w:p w14:paraId="0854FD77" w14:textId="77777777" w:rsidR="003A3E62" w:rsidRPr="00D217E8" w:rsidRDefault="003A3E62" w:rsidP="00A96413">
            <w:pPr>
              <w:pStyle w:val="TableHeading0"/>
              <w:spacing w:before="0" w:after="0"/>
              <w:rPr>
                <w:szCs w:val="20"/>
              </w:rPr>
            </w:pPr>
            <w:r w:rsidRPr="00D217E8">
              <w:rPr>
                <w:szCs w:val="20"/>
              </w:rPr>
              <w:t>Governance model</w:t>
            </w:r>
          </w:p>
        </w:tc>
        <w:tc>
          <w:tcPr>
            <w:tcW w:w="0" w:type="auto"/>
          </w:tcPr>
          <w:p w14:paraId="3F8C6232" w14:textId="77777777" w:rsidR="003A3E62" w:rsidRPr="00D217E8" w:rsidRDefault="003A3E62" w:rsidP="00A96413">
            <w:pPr>
              <w:pStyle w:val="TableHeading0"/>
              <w:spacing w:before="0" w:after="0"/>
              <w:rPr>
                <w:szCs w:val="20"/>
              </w:rPr>
            </w:pPr>
            <w:r w:rsidRPr="00D217E8">
              <w:rPr>
                <w:szCs w:val="20"/>
              </w:rPr>
              <w:t>Number of services</w:t>
            </w:r>
          </w:p>
        </w:tc>
        <w:tc>
          <w:tcPr>
            <w:tcW w:w="0" w:type="auto"/>
          </w:tcPr>
          <w:p w14:paraId="079FF933" w14:textId="77777777" w:rsidR="003A3E62" w:rsidRPr="00D217E8" w:rsidRDefault="003A3E62" w:rsidP="00A96413">
            <w:pPr>
              <w:pStyle w:val="TableHeading0"/>
              <w:spacing w:before="0" w:after="0"/>
              <w:rPr>
                <w:szCs w:val="20"/>
              </w:rPr>
            </w:pPr>
            <w:r w:rsidRPr="00D217E8">
              <w:rPr>
                <w:szCs w:val="20"/>
              </w:rPr>
              <w:t>Remoteness Classification (Modified Monash Model)</w:t>
            </w:r>
            <w:r w:rsidRPr="00D217E8">
              <w:rPr>
                <w:rStyle w:val="FootnoteReference"/>
                <w:rFonts w:eastAsiaTheme="minorEastAsia"/>
                <w:b w:val="0"/>
                <w:szCs w:val="20"/>
              </w:rPr>
              <w:footnoteReference w:id="8"/>
            </w:r>
          </w:p>
        </w:tc>
        <w:tc>
          <w:tcPr>
            <w:tcW w:w="0" w:type="auto"/>
          </w:tcPr>
          <w:p w14:paraId="1F27D59F" w14:textId="77777777" w:rsidR="003A3E62" w:rsidRPr="00D217E8" w:rsidRDefault="003A3E62" w:rsidP="00A96413">
            <w:pPr>
              <w:pStyle w:val="TableHeading0"/>
              <w:spacing w:before="0" w:after="0"/>
              <w:rPr>
                <w:szCs w:val="20"/>
              </w:rPr>
            </w:pPr>
            <w:r w:rsidRPr="00D217E8">
              <w:rPr>
                <w:szCs w:val="20"/>
              </w:rPr>
              <w:t>Estimated services/episodes of care</w:t>
            </w:r>
          </w:p>
        </w:tc>
      </w:tr>
      <w:tr w:rsidR="003A3E62" w:rsidRPr="00D217E8" w14:paraId="251E2F1C" w14:textId="77777777" w:rsidTr="005B4ADF">
        <w:trPr>
          <w:trHeight w:val="300"/>
        </w:trPr>
        <w:tc>
          <w:tcPr>
            <w:tcW w:w="0" w:type="auto"/>
          </w:tcPr>
          <w:p w14:paraId="30CED116" w14:textId="77777777" w:rsidR="003A3E62" w:rsidRPr="00D217E8" w:rsidRDefault="003A3E62" w:rsidP="00A96413">
            <w:pPr>
              <w:pStyle w:val="Tabletext0"/>
              <w:spacing w:before="0" w:after="0"/>
              <w:rPr>
                <w:b/>
                <w:bCs/>
              </w:rPr>
            </w:pPr>
            <w:r w:rsidRPr="00D217E8">
              <w:rPr>
                <w:b/>
                <w:bCs/>
              </w:rPr>
              <w:t>ACCHSs</w:t>
            </w:r>
          </w:p>
        </w:tc>
        <w:tc>
          <w:tcPr>
            <w:tcW w:w="0" w:type="auto"/>
          </w:tcPr>
          <w:p w14:paraId="09380BF1" w14:textId="1B4F0F3D" w:rsidR="003A3E62" w:rsidRPr="00D217E8" w:rsidRDefault="003A3E62" w:rsidP="00A96413">
            <w:pPr>
              <w:pStyle w:val="Tabletext0"/>
              <w:spacing w:before="0" w:after="0"/>
            </w:pPr>
            <w:r w:rsidRPr="00D217E8">
              <w:t>147</w:t>
            </w:r>
          </w:p>
        </w:tc>
        <w:tc>
          <w:tcPr>
            <w:tcW w:w="0" w:type="auto"/>
          </w:tcPr>
          <w:p w14:paraId="462ED2F3" w14:textId="12EF6185" w:rsidR="003A3E62" w:rsidRPr="00D217E8" w:rsidRDefault="003A3E62" w:rsidP="00A96413">
            <w:pPr>
              <w:pStyle w:val="Tabletext0"/>
              <w:spacing w:before="0" w:after="0"/>
            </w:pPr>
            <w:r w:rsidRPr="00D217E8">
              <w:t>10</w:t>
            </w:r>
            <w:r w:rsidR="00012B82" w:rsidRPr="00D217E8">
              <w:t>8</w:t>
            </w:r>
            <w:r w:rsidRPr="00D217E8">
              <w:t xml:space="preserve"> in MMM</w:t>
            </w:r>
            <w:r w:rsidR="00EB6B45">
              <w:t xml:space="preserve"> </w:t>
            </w:r>
            <w:r w:rsidRPr="00D217E8">
              <w:t>3-7</w:t>
            </w:r>
          </w:p>
        </w:tc>
        <w:tc>
          <w:tcPr>
            <w:tcW w:w="0" w:type="auto"/>
          </w:tcPr>
          <w:p w14:paraId="0D5F892D" w14:textId="77777777" w:rsidR="003A3E62" w:rsidRPr="00D217E8" w:rsidRDefault="003A3E62" w:rsidP="00A96413">
            <w:pPr>
              <w:pStyle w:val="Tabletext0"/>
              <w:spacing w:before="0" w:after="0"/>
            </w:pPr>
            <w:r w:rsidRPr="00D217E8">
              <w:t>3.6 million</w:t>
            </w:r>
          </w:p>
        </w:tc>
      </w:tr>
      <w:tr w:rsidR="003A3E62" w:rsidRPr="00D217E8" w14:paraId="1FDF9EEE" w14:textId="77777777" w:rsidTr="005B4ADF">
        <w:trPr>
          <w:trHeight w:val="300"/>
        </w:trPr>
        <w:tc>
          <w:tcPr>
            <w:tcW w:w="0" w:type="auto"/>
          </w:tcPr>
          <w:p w14:paraId="1201FBA6" w14:textId="77777777" w:rsidR="003A3E62" w:rsidRPr="00D217E8" w:rsidRDefault="003A3E62" w:rsidP="00A96413">
            <w:pPr>
              <w:pStyle w:val="Tabletext0"/>
              <w:spacing w:before="0" w:after="0"/>
              <w:rPr>
                <w:b/>
                <w:bCs/>
              </w:rPr>
            </w:pPr>
            <w:r w:rsidRPr="00D217E8">
              <w:rPr>
                <w:b/>
                <w:bCs/>
              </w:rPr>
              <w:t xml:space="preserve">AHS/AMS </w:t>
            </w:r>
          </w:p>
        </w:tc>
        <w:tc>
          <w:tcPr>
            <w:tcW w:w="0" w:type="auto"/>
          </w:tcPr>
          <w:p w14:paraId="711FC4CD" w14:textId="77777777" w:rsidR="003A3E62" w:rsidRPr="00D217E8" w:rsidRDefault="003A3E62" w:rsidP="00A96413">
            <w:pPr>
              <w:pStyle w:val="Tabletext0"/>
              <w:spacing w:before="0" w:after="0"/>
              <w:rPr>
                <w:color w:val="000000" w:themeColor="text1"/>
              </w:rPr>
            </w:pPr>
            <w:r w:rsidRPr="00D217E8">
              <w:rPr>
                <w:color w:val="000000" w:themeColor="text1"/>
              </w:rPr>
              <w:t>53</w:t>
            </w:r>
          </w:p>
        </w:tc>
        <w:tc>
          <w:tcPr>
            <w:tcW w:w="0" w:type="auto"/>
          </w:tcPr>
          <w:p w14:paraId="6ACDE0D6" w14:textId="047CE923" w:rsidR="003A3E62" w:rsidRPr="00D217E8" w:rsidRDefault="003A3E62" w:rsidP="00A96413">
            <w:pPr>
              <w:pStyle w:val="Tabletext0"/>
              <w:spacing w:before="0" w:after="0"/>
              <w:rPr>
                <w:color w:val="000000" w:themeColor="text1"/>
              </w:rPr>
            </w:pPr>
            <w:r w:rsidRPr="00D217E8">
              <w:rPr>
                <w:color w:val="000000" w:themeColor="text1"/>
              </w:rPr>
              <w:t>52 in MMM</w:t>
            </w:r>
            <w:r w:rsidR="00EB6B45">
              <w:rPr>
                <w:color w:val="000000" w:themeColor="text1"/>
              </w:rPr>
              <w:t xml:space="preserve"> </w:t>
            </w:r>
            <w:r w:rsidRPr="00D217E8">
              <w:rPr>
                <w:color w:val="000000" w:themeColor="text1"/>
              </w:rPr>
              <w:t>3-7</w:t>
            </w:r>
          </w:p>
        </w:tc>
        <w:tc>
          <w:tcPr>
            <w:tcW w:w="0" w:type="auto"/>
          </w:tcPr>
          <w:p w14:paraId="77374F06" w14:textId="77777777" w:rsidR="003A3E62" w:rsidRPr="00D217E8" w:rsidRDefault="003A3E62" w:rsidP="00A96413">
            <w:pPr>
              <w:pStyle w:val="Tabletext0"/>
              <w:spacing w:before="0" w:after="0"/>
              <w:rPr>
                <w:color w:val="000000" w:themeColor="text1"/>
              </w:rPr>
            </w:pPr>
            <w:r w:rsidRPr="00D217E8">
              <w:rPr>
                <w:color w:val="000000" w:themeColor="text1"/>
              </w:rPr>
              <w:t>317,356</w:t>
            </w:r>
          </w:p>
        </w:tc>
      </w:tr>
      <w:tr w:rsidR="003A3E62" w:rsidRPr="00D217E8" w14:paraId="19987128" w14:textId="77777777" w:rsidTr="005B4ADF">
        <w:trPr>
          <w:trHeight w:val="300"/>
        </w:trPr>
        <w:tc>
          <w:tcPr>
            <w:tcW w:w="0" w:type="auto"/>
          </w:tcPr>
          <w:p w14:paraId="60E0CCC7" w14:textId="77777777" w:rsidR="003A3E62" w:rsidRPr="00D217E8" w:rsidRDefault="003A3E62" w:rsidP="00A96413">
            <w:pPr>
              <w:pStyle w:val="Tabletext0"/>
              <w:spacing w:before="0" w:after="0"/>
              <w:rPr>
                <w:b/>
                <w:bCs/>
                <w:color w:val="000000" w:themeColor="text1"/>
              </w:rPr>
            </w:pPr>
            <w:r w:rsidRPr="00D217E8">
              <w:rPr>
                <w:b/>
                <w:bCs/>
                <w:color w:val="000000" w:themeColor="text1"/>
              </w:rPr>
              <w:t>Non-AHS funded to provide primary care services to First Nations people*</w:t>
            </w:r>
          </w:p>
        </w:tc>
        <w:tc>
          <w:tcPr>
            <w:tcW w:w="0" w:type="auto"/>
          </w:tcPr>
          <w:p w14:paraId="2B1CD09A" w14:textId="77777777" w:rsidR="003A3E62" w:rsidRPr="00D217E8" w:rsidRDefault="003A3E62" w:rsidP="00A96413">
            <w:pPr>
              <w:pStyle w:val="Tabletext0"/>
              <w:spacing w:before="0" w:after="0"/>
              <w:rPr>
                <w:color w:val="000000" w:themeColor="text1"/>
              </w:rPr>
            </w:pPr>
            <w:r w:rsidRPr="00D217E8">
              <w:rPr>
                <w:color w:val="000000" w:themeColor="text1"/>
              </w:rPr>
              <w:t>33</w:t>
            </w:r>
          </w:p>
        </w:tc>
        <w:tc>
          <w:tcPr>
            <w:tcW w:w="0" w:type="auto"/>
          </w:tcPr>
          <w:p w14:paraId="0B7B636A" w14:textId="47089192" w:rsidR="003A3E62" w:rsidRPr="00D217E8" w:rsidRDefault="003A3E62" w:rsidP="00A96413">
            <w:pPr>
              <w:pStyle w:val="Tabletext0"/>
              <w:spacing w:before="0" w:after="0"/>
            </w:pPr>
            <w:r w:rsidRPr="00D217E8">
              <w:t>1</w:t>
            </w:r>
            <w:r w:rsidR="007E0219" w:rsidRPr="00D217E8">
              <w:t>8</w:t>
            </w:r>
            <w:r w:rsidRPr="00D217E8">
              <w:t xml:space="preserve"> in MMM</w:t>
            </w:r>
            <w:r w:rsidR="00EB6B45">
              <w:t xml:space="preserve"> </w:t>
            </w:r>
            <w:r w:rsidRPr="00D217E8">
              <w:t>3-7</w:t>
            </w:r>
            <w:r w:rsidRPr="00D217E8">
              <w:rPr>
                <w:vertAlign w:val="superscript"/>
              </w:rPr>
              <w:t>#</w:t>
            </w:r>
          </w:p>
        </w:tc>
        <w:tc>
          <w:tcPr>
            <w:tcW w:w="0" w:type="auto"/>
          </w:tcPr>
          <w:p w14:paraId="17A18738" w14:textId="77777777" w:rsidR="003A3E62" w:rsidRPr="00D217E8" w:rsidRDefault="003A3E62" w:rsidP="00A96413">
            <w:pPr>
              <w:pStyle w:val="Tabletext0"/>
              <w:spacing w:before="0" w:after="0"/>
            </w:pPr>
            <w:r w:rsidRPr="00D217E8">
              <w:t>184,275</w:t>
            </w:r>
          </w:p>
          <w:p w14:paraId="2ACD1B2E" w14:textId="77777777" w:rsidR="003A3E62" w:rsidRPr="00D217E8" w:rsidRDefault="003A3E62" w:rsidP="00A96413">
            <w:pPr>
              <w:pStyle w:val="Tabletext0"/>
              <w:spacing w:before="0" w:after="0"/>
            </w:pPr>
          </w:p>
        </w:tc>
      </w:tr>
      <w:tr w:rsidR="003A3E62" w:rsidRPr="00D217E8" w14:paraId="6AFB7EFF" w14:textId="77777777" w:rsidTr="005B4ADF">
        <w:trPr>
          <w:trHeight w:val="300"/>
        </w:trPr>
        <w:tc>
          <w:tcPr>
            <w:tcW w:w="0" w:type="auto"/>
          </w:tcPr>
          <w:p w14:paraId="0839BCEA" w14:textId="77777777" w:rsidR="003A3E62" w:rsidRPr="00D217E8" w:rsidRDefault="003A3E62" w:rsidP="00A96413">
            <w:pPr>
              <w:pStyle w:val="Tabletext0"/>
              <w:spacing w:before="0" w:after="0"/>
              <w:rPr>
                <w:b/>
                <w:bCs/>
              </w:rPr>
            </w:pPr>
            <w:r w:rsidRPr="00D217E8">
              <w:rPr>
                <w:b/>
                <w:bCs/>
              </w:rPr>
              <w:t>Total</w:t>
            </w:r>
          </w:p>
        </w:tc>
        <w:tc>
          <w:tcPr>
            <w:tcW w:w="0" w:type="auto"/>
          </w:tcPr>
          <w:p w14:paraId="2A110505" w14:textId="46E01D39" w:rsidR="003A3E62" w:rsidRPr="00D217E8" w:rsidRDefault="00373E3E" w:rsidP="00A96413">
            <w:pPr>
              <w:pStyle w:val="Tabletext0"/>
              <w:spacing w:before="0" w:after="0"/>
              <w:rPr>
                <w:vertAlign w:val="superscript"/>
              </w:rPr>
            </w:pPr>
            <w:r w:rsidRPr="00D217E8">
              <w:t>233</w:t>
            </w:r>
            <w:r w:rsidR="00493483" w:rsidRPr="00D217E8">
              <w:rPr>
                <w:rFonts w:cs="Segoe UI"/>
                <w:vertAlign w:val="superscript"/>
              </w:rPr>
              <w:t>§</w:t>
            </w:r>
          </w:p>
        </w:tc>
        <w:tc>
          <w:tcPr>
            <w:tcW w:w="0" w:type="auto"/>
          </w:tcPr>
          <w:p w14:paraId="69FA6A81" w14:textId="4015C586" w:rsidR="003A3E62" w:rsidRPr="00D217E8" w:rsidRDefault="003A3E62" w:rsidP="00A96413">
            <w:pPr>
              <w:pStyle w:val="Tabletext0"/>
              <w:spacing w:before="0" w:after="0"/>
            </w:pPr>
            <w:r w:rsidRPr="00D217E8">
              <w:t>17</w:t>
            </w:r>
            <w:r w:rsidR="002A33E3" w:rsidRPr="00D217E8">
              <w:t>8</w:t>
            </w:r>
          </w:p>
        </w:tc>
        <w:tc>
          <w:tcPr>
            <w:tcW w:w="0" w:type="auto"/>
          </w:tcPr>
          <w:p w14:paraId="46D4C0F6" w14:textId="77777777" w:rsidR="003A3E62" w:rsidRPr="00D217E8" w:rsidDel="00703C66" w:rsidRDefault="003A3E62" w:rsidP="00A96413">
            <w:pPr>
              <w:pStyle w:val="Tabletext0"/>
              <w:spacing w:before="0" w:after="0"/>
            </w:pPr>
          </w:p>
        </w:tc>
      </w:tr>
    </w:tbl>
    <w:p w14:paraId="4D43F07A" w14:textId="77777777" w:rsidR="003A3E62" w:rsidRDefault="003A3E62" w:rsidP="00A96413">
      <w:pPr>
        <w:pStyle w:val="TableFigureFooter"/>
        <w:spacing w:before="0"/>
      </w:pPr>
      <w:r>
        <w:t>* Includes local government, non-government health service other than an AHS, non-Government service other than a Health Service, state government health service other than an AHS</w:t>
      </w:r>
    </w:p>
    <w:p w14:paraId="1E8668E2" w14:textId="77777777" w:rsidR="00562616" w:rsidRDefault="003A3E62" w:rsidP="00C70E67">
      <w:pPr>
        <w:pStyle w:val="TableFigureFooter"/>
      </w:pPr>
      <w:r w:rsidRPr="55595228">
        <w:t># Service may have clinical sites situated in MMM areas ranging from 1-7</w:t>
      </w:r>
    </w:p>
    <w:p w14:paraId="31E2D1E9" w14:textId="145487CF" w:rsidR="00562616" w:rsidRDefault="00493483" w:rsidP="00C70E67">
      <w:pPr>
        <w:pStyle w:val="TableFigureFooter"/>
      </w:pPr>
      <w:r>
        <w:rPr>
          <w:rFonts w:cs="Segoe UI"/>
        </w:rPr>
        <w:t>§</w:t>
      </w:r>
      <w:r>
        <w:t xml:space="preserve"> This </w:t>
      </w:r>
      <w:r w:rsidR="00432072">
        <w:t xml:space="preserve">is inclusive of services </w:t>
      </w:r>
      <w:r w:rsidR="00534468">
        <w:t>showing</w:t>
      </w:r>
      <w:r w:rsidR="00432072">
        <w:t xml:space="preserve"> </w:t>
      </w:r>
      <w:r w:rsidR="00B24F66">
        <w:t>zero client</w:t>
      </w:r>
      <w:r w:rsidR="00895241">
        <w:t xml:space="preserve"> numbers.</w:t>
      </w:r>
    </w:p>
    <w:p w14:paraId="193DB126" w14:textId="6380AA6E" w:rsidR="000F19D6" w:rsidRDefault="00FF22D3" w:rsidP="00BF74FF">
      <w:pPr>
        <w:contextualSpacing/>
        <w:sectPr w:rsidR="000F19D6" w:rsidSect="00784341">
          <w:headerReference w:type="even" r:id="rId27"/>
          <w:headerReference w:type="default" r:id="rId28"/>
          <w:footerReference w:type="even" r:id="rId29"/>
          <w:footerReference w:type="default" r:id="rId30"/>
          <w:headerReference w:type="first" r:id="rId31"/>
          <w:footerReference w:type="first" r:id="rId32"/>
          <w:type w:val="oddPage"/>
          <w:pgSz w:w="11906" w:h="16838"/>
          <w:pgMar w:top="1440" w:right="1440" w:bottom="1440" w:left="1440" w:header="708" w:footer="708" w:gutter="0"/>
          <w:cols w:space="708"/>
          <w:docGrid w:linePitch="360"/>
        </w:sectPr>
      </w:pPr>
      <w:r>
        <w:t xml:space="preserve">A </w:t>
      </w:r>
      <w:r w:rsidRPr="00552949">
        <w:t xml:space="preserve">comparison of the funding models proposed by the applicant and </w:t>
      </w:r>
      <w:r w:rsidR="00891B2A" w:rsidRPr="00552949">
        <w:t xml:space="preserve">the Department has been provided in </w:t>
      </w:r>
      <w:r w:rsidR="003B42E6" w:rsidRPr="00552949">
        <w:fldChar w:fldCharType="begin"/>
      </w:r>
      <w:r w:rsidR="003B42E6" w:rsidRPr="00552949">
        <w:instrText xml:space="preserve"> REF _Ref128042259 \h </w:instrText>
      </w:r>
      <w:r w:rsidR="00552949">
        <w:instrText xml:space="preserve"> \* MERGEFORMAT </w:instrText>
      </w:r>
      <w:r w:rsidR="003B42E6" w:rsidRPr="00552949">
        <w:fldChar w:fldCharType="separate"/>
      </w:r>
      <w:r w:rsidR="00552949" w:rsidRPr="007B0DCF">
        <w:t xml:space="preserve">Table </w:t>
      </w:r>
      <w:r w:rsidR="00552949" w:rsidRPr="007B0DCF">
        <w:rPr>
          <w:noProof/>
        </w:rPr>
        <w:t>5</w:t>
      </w:r>
      <w:r w:rsidR="003B42E6" w:rsidRPr="00552949">
        <w:fldChar w:fldCharType="end"/>
      </w:r>
      <w:r w:rsidR="00891B2A" w:rsidRPr="00552949">
        <w:t>.</w:t>
      </w:r>
      <w:r w:rsidR="00891B2A">
        <w:t xml:space="preserve"> </w:t>
      </w:r>
      <w:bookmarkStart w:id="15" w:name="_Hlk125028545"/>
    </w:p>
    <w:p w14:paraId="1BCD5730" w14:textId="5A172B21" w:rsidR="006F37A2" w:rsidRPr="00956785" w:rsidRDefault="006F37A2" w:rsidP="003B42E6">
      <w:pPr>
        <w:pStyle w:val="Caption"/>
        <w:rPr>
          <w:sz w:val="20"/>
        </w:rPr>
      </w:pPr>
      <w:bookmarkStart w:id="16" w:name="_Ref128042259"/>
      <w:r w:rsidRPr="00956785">
        <w:rPr>
          <w:sz w:val="20"/>
        </w:rPr>
        <w:lastRenderedPageBreak/>
        <w:t xml:space="preserve">Table </w:t>
      </w:r>
      <w:r w:rsidR="00EF4077" w:rsidRPr="00956785">
        <w:rPr>
          <w:sz w:val="20"/>
        </w:rPr>
        <w:fldChar w:fldCharType="begin"/>
      </w:r>
      <w:r w:rsidR="00EF4077" w:rsidRPr="00956785">
        <w:rPr>
          <w:sz w:val="20"/>
        </w:rPr>
        <w:instrText xml:space="preserve"> SEQ Table \* ARABIC </w:instrText>
      </w:r>
      <w:r w:rsidR="00EF4077" w:rsidRPr="00956785">
        <w:rPr>
          <w:sz w:val="20"/>
        </w:rPr>
        <w:fldChar w:fldCharType="separate"/>
      </w:r>
      <w:r w:rsidR="00FC2B00">
        <w:rPr>
          <w:noProof/>
          <w:sz w:val="20"/>
        </w:rPr>
        <w:t>5</w:t>
      </w:r>
      <w:r w:rsidR="00EF4077" w:rsidRPr="00956785">
        <w:rPr>
          <w:noProof/>
          <w:sz w:val="20"/>
        </w:rPr>
        <w:fldChar w:fldCharType="end"/>
      </w:r>
      <w:bookmarkEnd w:id="16"/>
      <w:r w:rsidR="003B42E6" w:rsidRPr="00956785">
        <w:rPr>
          <w:sz w:val="20"/>
        </w:rPr>
        <w:tab/>
      </w:r>
      <w:r w:rsidR="00D018ED" w:rsidRPr="00956785">
        <w:rPr>
          <w:sz w:val="20"/>
        </w:rPr>
        <w:t xml:space="preserve">Comparison of </w:t>
      </w:r>
      <w:r w:rsidR="00901840" w:rsidRPr="00956785">
        <w:rPr>
          <w:sz w:val="20"/>
        </w:rPr>
        <w:t xml:space="preserve">Proposed </w:t>
      </w:r>
      <w:r w:rsidR="00B93DEE" w:rsidRPr="00956785">
        <w:rPr>
          <w:sz w:val="20"/>
        </w:rPr>
        <w:t>Funding Models</w:t>
      </w:r>
      <w:r w:rsidR="00D018ED" w:rsidRPr="00956785">
        <w:rPr>
          <w:sz w:val="20"/>
        </w:rPr>
        <w:t xml:space="preserve"> </w:t>
      </w:r>
    </w:p>
    <w:tbl>
      <w:tblPr>
        <w:tblStyle w:val="TableGrid"/>
        <w:tblpPr w:leftFromText="180" w:rightFromText="180" w:vertAnchor="page" w:horzAnchor="margin" w:tblpX="-431" w:tblpY="2071"/>
        <w:tblW w:w="15446" w:type="dxa"/>
        <w:tblLook w:val="04A0" w:firstRow="1" w:lastRow="0" w:firstColumn="1" w:lastColumn="0" w:noHBand="0" w:noVBand="1"/>
      </w:tblPr>
      <w:tblGrid>
        <w:gridCol w:w="1696"/>
        <w:gridCol w:w="6148"/>
        <w:gridCol w:w="7602"/>
      </w:tblGrid>
      <w:tr w:rsidR="00D02C60" w:rsidRPr="00960E72" w14:paraId="73364AE0" w14:textId="77777777" w:rsidTr="00901840">
        <w:tc>
          <w:tcPr>
            <w:tcW w:w="1696" w:type="dxa"/>
          </w:tcPr>
          <w:p w14:paraId="6C5E0CCD" w14:textId="77777777" w:rsidR="00122F5F" w:rsidRPr="009A6CDF" w:rsidRDefault="00122F5F" w:rsidP="00BE12D3">
            <w:pPr>
              <w:pStyle w:val="TableHeading0"/>
              <w:rPr>
                <w:szCs w:val="20"/>
              </w:rPr>
            </w:pPr>
            <w:bookmarkStart w:id="17" w:name="_Hlk125028564"/>
            <w:bookmarkEnd w:id="15"/>
            <w:r w:rsidRPr="00BE12D3">
              <w:rPr>
                <w:szCs w:val="20"/>
              </w:rPr>
              <w:t>Characteristic</w:t>
            </w:r>
          </w:p>
        </w:tc>
        <w:tc>
          <w:tcPr>
            <w:tcW w:w="6148" w:type="dxa"/>
          </w:tcPr>
          <w:p w14:paraId="6F1E08D5" w14:textId="77777777" w:rsidR="00122F5F" w:rsidRPr="009A6CDF" w:rsidRDefault="00122F5F" w:rsidP="00BE12D3">
            <w:pPr>
              <w:pStyle w:val="TableHeading0"/>
              <w:rPr>
                <w:szCs w:val="20"/>
              </w:rPr>
            </w:pPr>
            <w:r w:rsidRPr="00BE12D3">
              <w:rPr>
                <w:szCs w:val="20"/>
              </w:rPr>
              <w:t>Applicant’s Model</w:t>
            </w:r>
          </w:p>
        </w:tc>
        <w:tc>
          <w:tcPr>
            <w:tcW w:w="7602" w:type="dxa"/>
          </w:tcPr>
          <w:p w14:paraId="6E45D707" w14:textId="77777777" w:rsidR="00122F5F" w:rsidRPr="009A6CDF" w:rsidRDefault="00122F5F" w:rsidP="00BE12D3">
            <w:pPr>
              <w:pStyle w:val="TableHeading0"/>
              <w:rPr>
                <w:szCs w:val="20"/>
              </w:rPr>
            </w:pPr>
            <w:r w:rsidRPr="00BE12D3">
              <w:rPr>
                <w:szCs w:val="20"/>
              </w:rPr>
              <w:t>Department’s Proposed model</w:t>
            </w:r>
          </w:p>
        </w:tc>
      </w:tr>
      <w:tr w:rsidR="00D02C60" w:rsidRPr="00960E72" w14:paraId="6EACDD1E" w14:textId="77777777" w:rsidTr="00901840">
        <w:tc>
          <w:tcPr>
            <w:tcW w:w="1696" w:type="dxa"/>
          </w:tcPr>
          <w:p w14:paraId="0DB194C8" w14:textId="77777777" w:rsidR="00122F5F" w:rsidRPr="009A6CDF" w:rsidRDefault="00122F5F" w:rsidP="00BE12D3">
            <w:pPr>
              <w:pStyle w:val="Tabletext0"/>
            </w:pPr>
            <w:r w:rsidRPr="00BE12D3">
              <w:t xml:space="preserve">Funding </w:t>
            </w:r>
          </w:p>
        </w:tc>
        <w:tc>
          <w:tcPr>
            <w:tcW w:w="6148" w:type="dxa"/>
          </w:tcPr>
          <w:p w14:paraId="70A57899" w14:textId="77777777" w:rsidR="00122F5F" w:rsidRPr="00BE12D3" w:rsidRDefault="00122F5F" w:rsidP="00D02C60">
            <w:pPr>
              <w:pStyle w:val="ListParagraph"/>
              <w:numPr>
                <w:ilvl w:val="0"/>
                <w:numId w:val="19"/>
              </w:numPr>
              <w:spacing w:before="0"/>
              <w:rPr>
                <w:rFonts w:ascii="Arial Narrow" w:hAnsi="Arial Narrow"/>
                <w:sz w:val="20"/>
                <w:szCs w:val="20"/>
              </w:rPr>
            </w:pPr>
            <w:r w:rsidRPr="00BE12D3">
              <w:rPr>
                <w:rFonts w:ascii="Arial Narrow" w:hAnsi="Arial Narrow"/>
                <w:sz w:val="20"/>
                <w:szCs w:val="20"/>
              </w:rPr>
              <w:t>Proposed full-time pharmacist salary of $151,618 including on-costs.</w:t>
            </w:r>
          </w:p>
          <w:p w14:paraId="17106B6A" w14:textId="1D1E5454" w:rsidR="00122F5F" w:rsidRPr="00BE12D3" w:rsidRDefault="00122F5F" w:rsidP="00D02C60">
            <w:pPr>
              <w:pStyle w:val="ListParagraph"/>
              <w:numPr>
                <w:ilvl w:val="0"/>
                <w:numId w:val="19"/>
              </w:numPr>
              <w:spacing w:before="0"/>
              <w:rPr>
                <w:rFonts w:ascii="Arial Narrow" w:hAnsi="Arial Narrow"/>
                <w:sz w:val="20"/>
                <w:szCs w:val="20"/>
              </w:rPr>
            </w:pPr>
            <w:r w:rsidRPr="00BE12D3">
              <w:rPr>
                <w:rFonts w:ascii="Arial Narrow" w:hAnsi="Arial Narrow"/>
                <w:sz w:val="20"/>
                <w:szCs w:val="20"/>
              </w:rPr>
              <w:t>FTE – baseline 0.2</w:t>
            </w:r>
            <w:r w:rsidR="002D795F">
              <w:rPr>
                <w:rFonts w:ascii="Arial Narrow" w:hAnsi="Arial Narrow"/>
                <w:sz w:val="20"/>
                <w:szCs w:val="20"/>
              </w:rPr>
              <w:t xml:space="preserve"> </w:t>
            </w:r>
            <w:r w:rsidRPr="00BE12D3">
              <w:rPr>
                <w:rFonts w:ascii="Arial Narrow" w:hAnsi="Arial Narrow"/>
                <w:sz w:val="20"/>
                <w:szCs w:val="20"/>
              </w:rPr>
              <w:t xml:space="preserve">FTE pharmacist/ACCHS. </w:t>
            </w:r>
            <w:r w:rsidR="00AC2407">
              <w:rPr>
                <w:rFonts w:ascii="Arial Narrow" w:hAnsi="Arial Narrow"/>
                <w:sz w:val="20"/>
                <w:szCs w:val="20"/>
              </w:rPr>
              <w:t>Additional p</w:t>
            </w:r>
            <w:r w:rsidRPr="00BE12D3">
              <w:rPr>
                <w:rFonts w:ascii="Arial Narrow" w:hAnsi="Arial Narrow"/>
                <w:sz w:val="20"/>
                <w:szCs w:val="20"/>
              </w:rPr>
              <w:t xml:space="preserve">roportional FTE based on </w:t>
            </w:r>
            <w:r w:rsidR="002D795F" w:rsidRPr="00BE12D3">
              <w:rPr>
                <w:rFonts w:ascii="Arial Narrow" w:hAnsi="Arial Narrow"/>
                <w:sz w:val="20"/>
                <w:szCs w:val="20"/>
              </w:rPr>
              <w:t>1</w:t>
            </w:r>
            <w:r w:rsidR="002D795F">
              <w:rPr>
                <w:rFonts w:ascii="Arial Narrow" w:hAnsi="Arial Narrow"/>
                <w:sz w:val="20"/>
                <w:szCs w:val="20"/>
              </w:rPr>
              <w:t> </w:t>
            </w:r>
            <w:r w:rsidR="4BF2CA82" w:rsidRPr="00BE12D3">
              <w:rPr>
                <w:rFonts w:ascii="Arial Narrow" w:hAnsi="Arial Narrow"/>
                <w:sz w:val="20"/>
                <w:szCs w:val="20"/>
              </w:rPr>
              <w:t>FTE</w:t>
            </w:r>
            <w:r w:rsidRPr="00BE12D3">
              <w:rPr>
                <w:rFonts w:ascii="Arial Narrow" w:hAnsi="Arial Narrow"/>
                <w:sz w:val="20"/>
                <w:szCs w:val="20"/>
              </w:rPr>
              <w:t xml:space="preserve"> pharmacist per 8</w:t>
            </w:r>
            <w:r w:rsidR="002D795F">
              <w:rPr>
                <w:rFonts w:ascii="Arial Narrow" w:hAnsi="Arial Narrow"/>
                <w:sz w:val="20"/>
                <w:szCs w:val="20"/>
              </w:rPr>
              <w:t>,</w:t>
            </w:r>
            <w:r w:rsidRPr="00BE12D3">
              <w:rPr>
                <w:rFonts w:ascii="Arial Narrow" w:hAnsi="Arial Narrow"/>
                <w:sz w:val="20"/>
                <w:szCs w:val="20"/>
              </w:rPr>
              <w:t>295 clients (IPAC trial methodology).</w:t>
            </w:r>
          </w:p>
          <w:p w14:paraId="6BF56F49" w14:textId="07CABEBB" w:rsidR="00122F5F" w:rsidRPr="00BE12D3" w:rsidRDefault="00122F5F" w:rsidP="00D02C60">
            <w:pPr>
              <w:pStyle w:val="ListParagraph"/>
              <w:numPr>
                <w:ilvl w:val="0"/>
                <w:numId w:val="19"/>
              </w:numPr>
              <w:spacing w:before="0"/>
              <w:rPr>
                <w:rFonts w:ascii="Arial Narrow" w:hAnsi="Arial Narrow"/>
                <w:sz w:val="20"/>
                <w:szCs w:val="20"/>
              </w:rPr>
            </w:pPr>
            <w:r w:rsidRPr="00BE12D3">
              <w:rPr>
                <w:rFonts w:ascii="Arial Narrow" w:hAnsi="Arial Narrow"/>
                <w:sz w:val="20"/>
                <w:szCs w:val="20"/>
              </w:rPr>
              <w:t xml:space="preserve">Model has not included non-ACCHS AHSs, such as those run by NT </w:t>
            </w:r>
            <w:r w:rsidR="22892105" w:rsidRPr="00BE12D3">
              <w:rPr>
                <w:rFonts w:ascii="Arial Narrow" w:hAnsi="Arial Narrow"/>
                <w:sz w:val="20"/>
                <w:szCs w:val="20"/>
              </w:rPr>
              <w:t>G</w:t>
            </w:r>
            <w:r w:rsidR="4F7FA912" w:rsidRPr="00BE12D3">
              <w:rPr>
                <w:rFonts w:ascii="Arial Narrow" w:hAnsi="Arial Narrow"/>
                <w:sz w:val="20"/>
                <w:szCs w:val="20"/>
              </w:rPr>
              <w:t xml:space="preserve">overnment </w:t>
            </w:r>
            <w:r w:rsidR="21A989B6" w:rsidRPr="00BE12D3">
              <w:rPr>
                <w:rFonts w:ascii="Arial Narrow" w:hAnsi="Arial Narrow"/>
                <w:sz w:val="20"/>
                <w:szCs w:val="20"/>
              </w:rPr>
              <w:t>(NTG)</w:t>
            </w:r>
            <w:r w:rsidRPr="00BE12D3">
              <w:rPr>
                <w:rFonts w:ascii="Arial Narrow" w:hAnsi="Arial Narrow"/>
                <w:sz w:val="20"/>
                <w:szCs w:val="20"/>
              </w:rPr>
              <w:t xml:space="preserve"> to provide healthcare services to First Nations peoples.</w:t>
            </w:r>
          </w:p>
          <w:p w14:paraId="41BB430C" w14:textId="77777777" w:rsidR="00122F5F" w:rsidRPr="00BE12D3" w:rsidRDefault="00122F5F" w:rsidP="00D02C60">
            <w:pPr>
              <w:pStyle w:val="ListParagraph"/>
              <w:numPr>
                <w:ilvl w:val="0"/>
                <w:numId w:val="19"/>
              </w:numPr>
              <w:spacing w:before="0"/>
              <w:rPr>
                <w:rFonts w:ascii="Arial Narrow" w:hAnsi="Arial Narrow"/>
                <w:sz w:val="20"/>
                <w:szCs w:val="20"/>
              </w:rPr>
            </w:pPr>
            <w:r w:rsidRPr="00BE12D3">
              <w:rPr>
                <w:rFonts w:ascii="Arial Narrow" w:hAnsi="Arial Narrow"/>
                <w:sz w:val="20"/>
                <w:szCs w:val="20"/>
              </w:rPr>
              <w:t>Remote loading applied as per WIP-PS model.</w:t>
            </w:r>
          </w:p>
          <w:p w14:paraId="48080331" w14:textId="77777777" w:rsidR="00122F5F" w:rsidRPr="00BE12D3" w:rsidRDefault="00122F5F" w:rsidP="00BE12D3">
            <w:pPr>
              <w:pStyle w:val="ListParagraph"/>
              <w:numPr>
                <w:ilvl w:val="0"/>
                <w:numId w:val="0"/>
              </w:numPr>
              <w:ind w:left="360"/>
              <w:rPr>
                <w:rFonts w:ascii="Arial Narrow" w:hAnsi="Arial Narrow"/>
                <w:sz w:val="20"/>
                <w:szCs w:val="20"/>
              </w:rPr>
            </w:pPr>
          </w:p>
        </w:tc>
        <w:tc>
          <w:tcPr>
            <w:tcW w:w="7602" w:type="dxa"/>
          </w:tcPr>
          <w:p w14:paraId="766F54DA" w14:textId="77777777" w:rsidR="00122F5F" w:rsidRPr="00BE12D3" w:rsidRDefault="00122F5F" w:rsidP="00D02C60">
            <w:pPr>
              <w:pStyle w:val="ListParagraph"/>
              <w:numPr>
                <w:ilvl w:val="0"/>
                <w:numId w:val="20"/>
              </w:numPr>
              <w:spacing w:before="0"/>
              <w:rPr>
                <w:rStyle w:val="normaltextrun"/>
                <w:rFonts w:ascii="Arial Narrow" w:hAnsi="Arial Narrow" w:cs="SimSun"/>
                <w:color w:val="000000"/>
                <w:sz w:val="20"/>
                <w:szCs w:val="20"/>
                <w:shd w:val="clear" w:color="auto" w:fill="FFFFFF"/>
              </w:rPr>
            </w:pPr>
            <w:r w:rsidRPr="00BE12D3">
              <w:rPr>
                <w:rStyle w:val="normaltextrun"/>
                <w:rFonts w:ascii="Arial Narrow" w:hAnsi="Arial Narrow" w:cs="SimSun"/>
                <w:color w:val="000000"/>
                <w:sz w:val="20"/>
                <w:szCs w:val="20"/>
                <w:shd w:val="clear" w:color="auto" w:fill="FFFFFF"/>
              </w:rPr>
              <w:t>The Department proposes a salary of $96,530 (rate for pharmacist grade 2 salary in 2019-2020, accounting for inflation estimated at 1.8% annually, per PPA report Community and Hospital Pharmacists Employment and Remuneration Report 2019-2020) with 17% oncosts ($16,410). Therefore, the total provided per 1 FTE is $112,940, which would be indexed annually.</w:t>
            </w:r>
          </w:p>
          <w:p w14:paraId="2817182C" w14:textId="66D701C7" w:rsidR="00122F5F" w:rsidRPr="00BE12D3" w:rsidRDefault="00122F5F" w:rsidP="00D02C60">
            <w:pPr>
              <w:pStyle w:val="ListParagraph"/>
              <w:numPr>
                <w:ilvl w:val="0"/>
                <w:numId w:val="20"/>
              </w:numPr>
              <w:spacing w:before="0"/>
              <w:rPr>
                <w:rStyle w:val="eop"/>
                <w:rFonts w:ascii="Arial Narrow" w:hAnsi="Arial Narrow" w:cs="SimSun"/>
                <w:color w:val="000000"/>
                <w:sz w:val="20"/>
                <w:szCs w:val="20"/>
                <w:shd w:val="clear" w:color="auto" w:fill="FFFFFF"/>
              </w:rPr>
            </w:pPr>
            <w:r w:rsidRPr="00BE12D3">
              <w:rPr>
                <w:rStyle w:val="normaltextrun"/>
                <w:rFonts w:ascii="Arial Narrow" w:hAnsi="Arial Narrow" w:cs="SimSun"/>
                <w:color w:val="000000"/>
                <w:sz w:val="20"/>
                <w:szCs w:val="20"/>
                <w:shd w:val="clear" w:color="auto" w:fill="FFFFFF"/>
              </w:rPr>
              <w:t xml:space="preserve">The Department proposes that a ratio of 6000 clients per 1 FTE with provisions for service providers unable to support 1 FTE as a sole provider to form a consortium to access </w:t>
            </w:r>
            <w:r w:rsidR="4BF2CA82" w:rsidRPr="00BE12D3">
              <w:rPr>
                <w:rStyle w:val="normaltextrun"/>
                <w:rFonts w:ascii="Arial Narrow" w:hAnsi="Arial Narrow" w:cs="SimSun"/>
                <w:color w:val="000000"/>
                <w:sz w:val="20"/>
                <w:szCs w:val="20"/>
                <w:shd w:val="clear" w:color="auto" w:fill="FFFFFF"/>
              </w:rPr>
              <w:t>1</w:t>
            </w:r>
            <w:r w:rsidR="72CD8F1A" w:rsidRPr="00BE12D3">
              <w:rPr>
                <w:rStyle w:val="normaltextrun"/>
                <w:rFonts w:ascii="Arial Narrow" w:hAnsi="Arial Narrow" w:cs="SimSun"/>
                <w:color w:val="000000"/>
                <w:sz w:val="20"/>
                <w:szCs w:val="20"/>
                <w:shd w:val="clear" w:color="auto" w:fill="FFFFFF"/>
              </w:rPr>
              <w:t xml:space="preserve"> </w:t>
            </w:r>
            <w:r w:rsidR="4BF2CA82" w:rsidRPr="00BE12D3">
              <w:rPr>
                <w:rStyle w:val="normaltextrun"/>
                <w:rFonts w:ascii="Arial Narrow" w:hAnsi="Arial Narrow" w:cs="SimSun"/>
                <w:color w:val="000000"/>
                <w:sz w:val="20"/>
                <w:szCs w:val="20"/>
                <w:shd w:val="clear" w:color="auto" w:fill="FFFFFF"/>
              </w:rPr>
              <w:t>FTE</w:t>
            </w:r>
            <w:r w:rsidRPr="00BE12D3">
              <w:rPr>
                <w:rStyle w:val="normaltextrun"/>
                <w:rFonts w:ascii="Arial Narrow" w:hAnsi="Arial Narrow" w:cs="SimSun"/>
                <w:color w:val="000000"/>
                <w:sz w:val="20"/>
                <w:szCs w:val="20"/>
                <w:shd w:val="clear" w:color="auto" w:fill="FFFFFF"/>
              </w:rPr>
              <w:t xml:space="preserve"> pharmacist. </w:t>
            </w:r>
            <w:r w:rsidRPr="00BE12D3">
              <w:rPr>
                <w:rStyle w:val="normaltextrun"/>
                <w:rFonts w:ascii="Arial Narrow" w:hAnsi="Arial Narrow" w:cs="SimSun"/>
                <w:color w:val="000000"/>
                <w:sz w:val="20"/>
                <w:szCs w:val="20"/>
                <w:shd w:val="clear" w:color="auto" w:fill="FFFFFF"/>
                <w:lang w:val="en-GB"/>
              </w:rPr>
              <w:t>This flexibility will support pharmacists to achieve full-time employment.</w:t>
            </w:r>
            <w:r w:rsidRPr="00BE12D3">
              <w:rPr>
                <w:rStyle w:val="eop"/>
                <w:rFonts w:ascii="Arial Narrow" w:hAnsi="Arial Narrow" w:cs="SimSun"/>
                <w:color w:val="000000"/>
                <w:sz w:val="20"/>
                <w:szCs w:val="20"/>
                <w:shd w:val="clear" w:color="auto" w:fill="FFFFFF"/>
              </w:rPr>
              <w:t> </w:t>
            </w:r>
          </w:p>
          <w:p w14:paraId="190715E5" w14:textId="20FD6679" w:rsidR="00122F5F" w:rsidRPr="00BE12D3" w:rsidRDefault="00122F5F" w:rsidP="00D02C60">
            <w:pPr>
              <w:pStyle w:val="ListParagraph"/>
              <w:numPr>
                <w:ilvl w:val="0"/>
                <w:numId w:val="20"/>
              </w:numPr>
              <w:spacing w:before="0"/>
              <w:rPr>
                <w:rStyle w:val="normaltextrun"/>
                <w:rFonts w:ascii="Arial Narrow" w:hAnsi="Arial Narrow"/>
                <w:sz w:val="20"/>
                <w:szCs w:val="20"/>
              </w:rPr>
            </w:pPr>
            <w:r w:rsidRPr="00BE12D3">
              <w:rPr>
                <w:rStyle w:val="normaltextrun"/>
                <w:rFonts w:ascii="Arial Narrow" w:hAnsi="Arial Narrow" w:cs="SimSun"/>
                <w:color w:val="000000" w:themeColor="text1"/>
                <w:sz w:val="20"/>
                <w:szCs w:val="20"/>
              </w:rPr>
              <w:t xml:space="preserve">The Department proposes that all NTG AHSs are considered as a </w:t>
            </w:r>
            <w:r w:rsidR="005233AD">
              <w:rPr>
                <w:rStyle w:val="normaltextrun"/>
                <w:rFonts w:ascii="Arial Narrow" w:hAnsi="Arial Narrow" w:cs="SimSun"/>
                <w:color w:val="000000" w:themeColor="text1"/>
                <w:sz w:val="20"/>
                <w:szCs w:val="20"/>
              </w:rPr>
              <w:t xml:space="preserve">single </w:t>
            </w:r>
            <w:r w:rsidRPr="00BE12D3">
              <w:rPr>
                <w:rStyle w:val="normaltextrun"/>
                <w:rFonts w:ascii="Arial Narrow" w:hAnsi="Arial Narrow" w:cs="SimSun"/>
                <w:color w:val="000000" w:themeColor="text1"/>
                <w:sz w:val="20"/>
                <w:szCs w:val="20"/>
              </w:rPr>
              <w:t>consortium and allocated FTE in relation to the total active population across all services. This has been discussed with NTG who have proposed a hub and spoke model based on the population, geographical location, and health needs of current NT</w:t>
            </w:r>
            <w:r w:rsidR="01DB939E" w:rsidRPr="00BE12D3">
              <w:rPr>
                <w:rStyle w:val="normaltextrun"/>
                <w:rFonts w:ascii="Arial Narrow" w:hAnsi="Arial Narrow" w:cs="SimSun"/>
                <w:color w:val="000000" w:themeColor="text1"/>
                <w:sz w:val="20"/>
                <w:szCs w:val="20"/>
              </w:rPr>
              <w:t>G</w:t>
            </w:r>
            <w:r w:rsidR="00006903" w:rsidRPr="00BE12D3">
              <w:rPr>
                <w:rStyle w:val="normaltextrun"/>
                <w:rFonts w:ascii="Arial Narrow" w:hAnsi="Arial Narrow" w:cs="SimSun"/>
                <w:color w:val="000000" w:themeColor="text1"/>
                <w:sz w:val="20"/>
                <w:szCs w:val="20"/>
              </w:rPr>
              <w:t xml:space="preserve"> h</w:t>
            </w:r>
            <w:r w:rsidRPr="00BE12D3">
              <w:rPr>
                <w:rStyle w:val="normaltextrun"/>
                <w:rFonts w:ascii="Arial Narrow" w:hAnsi="Arial Narrow" w:cs="SimSun"/>
                <w:color w:val="000000" w:themeColor="text1"/>
                <w:sz w:val="20"/>
                <w:szCs w:val="20"/>
              </w:rPr>
              <w:t>ealth centres. The hub and spoke model would enable a pharmacist to be based within a larger remote health centre but adequately provide NDP services to smaller surrounding communities. NTG have proposed an allocation of 10 FTE across all NTG services to support the proposed model. </w:t>
            </w:r>
          </w:p>
          <w:p w14:paraId="3FDFB7BA" w14:textId="77777777" w:rsidR="00122F5F" w:rsidRPr="00BE12D3" w:rsidRDefault="00122F5F" w:rsidP="00D02C60">
            <w:pPr>
              <w:pStyle w:val="ListParagraph"/>
              <w:numPr>
                <w:ilvl w:val="0"/>
                <w:numId w:val="20"/>
              </w:numPr>
              <w:spacing w:before="0"/>
              <w:rPr>
                <w:rFonts w:ascii="Arial Narrow" w:hAnsi="Arial Narrow"/>
                <w:sz w:val="20"/>
                <w:szCs w:val="20"/>
              </w:rPr>
            </w:pPr>
            <w:r w:rsidRPr="00BE12D3">
              <w:rPr>
                <w:rFonts w:ascii="Arial Narrow" w:hAnsi="Arial Narrow"/>
                <w:sz w:val="20"/>
                <w:szCs w:val="20"/>
              </w:rPr>
              <w:t>Remote loading applied as per WIP-PS model.</w:t>
            </w:r>
          </w:p>
          <w:p w14:paraId="049823A1" w14:textId="77777777" w:rsidR="00122F5F" w:rsidRPr="00BE12D3" w:rsidRDefault="00122F5F" w:rsidP="00BE12D3">
            <w:pPr>
              <w:pStyle w:val="ListParagraph"/>
              <w:numPr>
                <w:ilvl w:val="0"/>
                <w:numId w:val="0"/>
              </w:numPr>
              <w:ind w:left="360"/>
              <w:rPr>
                <w:rFonts w:ascii="Arial Narrow" w:hAnsi="Arial Narrow"/>
                <w:sz w:val="20"/>
                <w:szCs w:val="20"/>
              </w:rPr>
            </w:pPr>
          </w:p>
        </w:tc>
      </w:tr>
      <w:tr w:rsidR="00D02C60" w:rsidRPr="00960E72" w14:paraId="5CAE3596" w14:textId="77777777" w:rsidTr="00901840">
        <w:tc>
          <w:tcPr>
            <w:tcW w:w="1696" w:type="dxa"/>
          </w:tcPr>
          <w:p w14:paraId="79C190CE" w14:textId="77777777" w:rsidR="00122F5F" w:rsidRPr="00BE12D3" w:rsidRDefault="00122F5F" w:rsidP="00D02C60">
            <w:pPr>
              <w:rPr>
                <w:rFonts w:ascii="Arial Narrow" w:hAnsi="Arial Narrow"/>
                <w:sz w:val="20"/>
                <w:szCs w:val="20"/>
              </w:rPr>
            </w:pPr>
            <w:r w:rsidRPr="00BE12D3">
              <w:rPr>
                <w:rFonts w:ascii="Arial Narrow" w:hAnsi="Arial Narrow"/>
                <w:sz w:val="20"/>
                <w:szCs w:val="20"/>
              </w:rPr>
              <w:t>Population criteria</w:t>
            </w:r>
          </w:p>
        </w:tc>
        <w:tc>
          <w:tcPr>
            <w:tcW w:w="6148" w:type="dxa"/>
          </w:tcPr>
          <w:p w14:paraId="11DD1C3C" w14:textId="2731F817" w:rsidR="00122F5F" w:rsidRPr="00BE12D3" w:rsidRDefault="00122F5F" w:rsidP="00D02C60">
            <w:pPr>
              <w:rPr>
                <w:rFonts w:ascii="Arial Narrow" w:hAnsi="Arial Narrow"/>
                <w:sz w:val="20"/>
                <w:szCs w:val="20"/>
              </w:rPr>
            </w:pPr>
            <w:r w:rsidRPr="00BE12D3">
              <w:rPr>
                <w:rFonts w:ascii="Arial Narrow" w:eastAsia="SimSun" w:hAnsi="Arial Narrow" w:cstheme="minorHAnsi"/>
                <w:color w:val="000000"/>
                <w:spacing w:val="-2"/>
                <w:position w:val="1"/>
                <w:sz w:val="20"/>
                <w:szCs w:val="20"/>
                <w:lang w:eastAsia="bg-BG"/>
              </w:rPr>
              <w:t>Aboriginal and Torres Strait Islander</w:t>
            </w:r>
            <w:r w:rsidR="00B67155" w:rsidRPr="00BE12D3">
              <w:rPr>
                <w:rFonts w:ascii="Arial Narrow" w:eastAsia="SimSun" w:hAnsi="Arial Narrow" w:cstheme="minorHAnsi"/>
                <w:color w:val="000000"/>
                <w:spacing w:val="-2"/>
                <w:position w:val="1"/>
                <w:sz w:val="20"/>
                <w:szCs w:val="20"/>
                <w:lang w:eastAsia="bg-BG"/>
              </w:rPr>
              <w:t xml:space="preserve"> people </w:t>
            </w:r>
            <w:r w:rsidRPr="00BE12D3">
              <w:rPr>
                <w:rFonts w:ascii="Arial Narrow" w:hAnsi="Arial Narrow"/>
                <w:sz w:val="20"/>
                <w:szCs w:val="20"/>
              </w:rPr>
              <w:t>with chronic disease (</w:t>
            </w:r>
            <w:proofErr w:type="spellStart"/>
            <w:r w:rsidRPr="00BE12D3">
              <w:rPr>
                <w:rFonts w:ascii="Arial Narrow" w:hAnsi="Arial Narrow"/>
                <w:sz w:val="20"/>
                <w:szCs w:val="20"/>
              </w:rPr>
              <w:t>eg</w:t>
            </w:r>
            <w:proofErr w:type="spellEnd"/>
            <w:r w:rsidRPr="00BE12D3">
              <w:rPr>
                <w:rFonts w:ascii="Arial Narrow" w:hAnsi="Arial Narrow"/>
                <w:sz w:val="20"/>
                <w:szCs w:val="20"/>
              </w:rPr>
              <w:t>: cardiovascular disease, type 2 diabetes, chronic kidney disease) who are known as ‘active’ or ‘regular’ patients receiving services within ACCHSs (at least three times in the past two years).</w:t>
            </w:r>
          </w:p>
        </w:tc>
        <w:tc>
          <w:tcPr>
            <w:tcW w:w="7602" w:type="dxa"/>
          </w:tcPr>
          <w:p w14:paraId="6A90E4C3" w14:textId="77777777" w:rsidR="00122F5F" w:rsidRPr="00BE12D3" w:rsidRDefault="00122F5F" w:rsidP="00D02C60">
            <w:pPr>
              <w:rPr>
                <w:rFonts w:ascii="Arial Narrow" w:hAnsi="Arial Narrow"/>
                <w:sz w:val="20"/>
                <w:szCs w:val="20"/>
              </w:rPr>
            </w:pPr>
            <w:r w:rsidRPr="00BE12D3">
              <w:rPr>
                <w:rFonts w:ascii="Arial Narrow" w:hAnsi="Arial Narrow"/>
                <w:sz w:val="20"/>
                <w:szCs w:val="20"/>
              </w:rPr>
              <w:t>Regular patients of a ACCHS who are at risk of developing medication-related problems due to:</w:t>
            </w:r>
          </w:p>
          <w:p w14:paraId="53A50B2B" w14:textId="77777777" w:rsidR="00122F5F" w:rsidRPr="00BE12D3" w:rsidRDefault="00122F5F" w:rsidP="00D02C60">
            <w:pPr>
              <w:pStyle w:val="ListParagraph"/>
              <w:numPr>
                <w:ilvl w:val="1"/>
                <w:numId w:val="21"/>
              </w:numPr>
              <w:spacing w:before="0" w:line="259" w:lineRule="auto"/>
              <w:ind w:left="284" w:hanging="284"/>
              <w:rPr>
                <w:rFonts w:ascii="Arial Narrow" w:hAnsi="Arial Narrow"/>
                <w:sz w:val="20"/>
                <w:szCs w:val="20"/>
              </w:rPr>
            </w:pPr>
            <w:r w:rsidRPr="00BE12D3">
              <w:rPr>
                <w:rFonts w:ascii="Arial Narrow" w:hAnsi="Arial Narrow"/>
                <w:sz w:val="20"/>
                <w:szCs w:val="20"/>
              </w:rPr>
              <w:t xml:space="preserve">a chronic medical condition, or </w:t>
            </w:r>
          </w:p>
          <w:p w14:paraId="7DAA53E6" w14:textId="77777777" w:rsidR="00122F5F" w:rsidRPr="00BE12D3" w:rsidRDefault="00122F5F" w:rsidP="00D02C60">
            <w:pPr>
              <w:pStyle w:val="ListParagraph"/>
              <w:numPr>
                <w:ilvl w:val="1"/>
                <w:numId w:val="21"/>
              </w:numPr>
              <w:spacing w:line="259" w:lineRule="auto"/>
              <w:ind w:left="284" w:hanging="284"/>
              <w:rPr>
                <w:rFonts w:ascii="Arial Narrow" w:hAnsi="Arial Narrow"/>
                <w:sz w:val="20"/>
                <w:szCs w:val="20"/>
              </w:rPr>
            </w:pPr>
            <w:r w:rsidRPr="00BE12D3">
              <w:rPr>
                <w:rFonts w:ascii="Arial Narrow" w:hAnsi="Arial Narrow"/>
                <w:sz w:val="20"/>
                <w:szCs w:val="20"/>
              </w:rPr>
              <w:t xml:space="preserve">a complex medication regimen </w:t>
            </w:r>
          </w:p>
          <w:p w14:paraId="0A61923F" w14:textId="77777777" w:rsidR="00122F5F" w:rsidRPr="00BE12D3" w:rsidRDefault="00122F5F" w:rsidP="00D02C60">
            <w:pPr>
              <w:rPr>
                <w:rFonts w:ascii="Arial Narrow" w:hAnsi="Arial Narrow"/>
                <w:sz w:val="20"/>
                <w:szCs w:val="20"/>
              </w:rPr>
            </w:pPr>
            <w:r w:rsidRPr="00BE12D3">
              <w:rPr>
                <w:rFonts w:ascii="Arial Narrow" w:hAnsi="Arial Narrow"/>
                <w:sz w:val="20"/>
                <w:szCs w:val="20"/>
              </w:rPr>
              <w:t xml:space="preserve">who require review and assessment of their medication management and follow-up </w:t>
            </w:r>
            <w:proofErr w:type="gramStart"/>
            <w:r w:rsidRPr="00BE12D3">
              <w:rPr>
                <w:rFonts w:ascii="Arial Narrow" w:hAnsi="Arial Narrow"/>
                <w:sz w:val="20"/>
                <w:szCs w:val="20"/>
              </w:rPr>
              <w:t>support.</w:t>
            </w:r>
            <w:proofErr w:type="gramEnd"/>
          </w:p>
          <w:p w14:paraId="5C343FBF" w14:textId="77777777" w:rsidR="00122F5F" w:rsidRPr="00BE12D3" w:rsidRDefault="00122F5F" w:rsidP="00D02C60">
            <w:pPr>
              <w:rPr>
                <w:rFonts w:ascii="Arial Narrow" w:hAnsi="Arial Narrow"/>
                <w:sz w:val="20"/>
                <w:szCs w:val="20"/>
              </w:rPr>
            </w:pPr>
          </w:p>
        </w:tc>
      </w:tr>
      <w:tr w:rsidR="00D02C60" w:rsidRPr="00960E72" w14:paraId="08E36C7B" w14:textId="77777777" w:rsidTr="00901840">
        <w:tc>
          <w:tcPr>
            <w:tcW w:w="1696" w:type="dxa"/>
          </w:tcPr>
          <w:p w14:paraId="193A9388" w14:textId="77777777" w:rsidR="00122F5F" w:rsidRPr="00BE12D3" w:rsidRDefault="00122F5F" w:rsidP="00D02C60">
            <w:pPr>
              <w:rPr>
                <w:rFonts w:ascii="Arial Narrow" w:hAnsi="Arial Narrow"/>
                <w:sz w:val="20"/>
                <w:szCs w:val="20"/>
              </w:rPr>
            </w:pPr>
            <w:r w:rsidRPr="00BE12D3">
              <w:rPr>
                <w:rFonts w:ascii="Arial Narrow" w:hAnsi="Arial Narrow"/>
                <w:sz w:val="20"/>
                <w:szCs w:val="20"/>
              </w:rPr>
              <w:t xml:space="preserve">Health service </w:t>
            </w:r>
          </w:p>
        </w:tc>
        <w:tc>
          <w:tcPr>
            <w:tcW w:w="6148" w:type="dxa"/>
          </w:tcPr>
          <w:p w14:paraId="773A7A75" w14:textId="173A77ED" w:rsidR="00122F5F" w:rsidRPr="00BE12D3" w:rsidRDefault="00122F5F" w:rsidP="00D02C60">
            <w:pPr>
              <w:pStyle w:val="ListParagraph"/>
              <w:numPr>
                <w:ilvl w:val="0"/>
                <w:numId w:val="18"/>
              </w:numPr>
              <w:spacing w:before="0"/>
              <w:rPr>
                <w:rFonts w:ascii="Arial Narrow" w:hAnsi="Arial Narrow"/>
                <w:sz w:val="20"/>
                <w:szCs w:val="20"/>
              </w:rPr>
            </w:pPr>
            <w:r w:rsidRPr="00BE12D3">
              <w:rPr>
                <w:rFonts w:ascii="Arial Narrow" w:hAnsi="Arial Narrow"/>
                <w:sz w:val="20"/>
                <w:szCs w:val="20"/>
              </w:rPr>
              <w:t xml:space="preserve">ACCHOs funded by the Department of Health </w:t>
            </w:r>
            <w:r w:rsidR="003D59BC">
              <w:rPr>
                <w:rFonts w:ascii="Arial Narrow" w:hAnsi="Arial Narrow"/>
                <w:sz w:val="20"/>
                <w:szCs w:val="20"/>
              </w:rPr>
              <w:t xml:space="preserve">and Aged Care </w:t>
            </w:r>
            <w:r w:rsidRPr="00BE12D3">
              <w:rPr>
                <w:rFonts w:ascii="Arial Narrow" w:hAnsi="Arial Narrow"/>
                <w:sz w:val="20"/>
                <w:szCs w:val="20"/>
              </w:rPr>
              <w:t>for provision of primary healthcare services to First Nation peoples</w:t>
            </w:r>
          </w:p>
          <w:p w14:paraId="1978C13C" w14:textId="77777777" w:rsidR="00122F5F" w:rsidRPr="00BE12D3" w:rsidRDefault="00122F5F" w:rsidP="00D02C60">
            <w:pPr>
              <w:pStyle w:val="ListParagraph"/>
              <w:numPr>
                <w:ilvl w:val="0"/>
                <w:numId w:val="18"/>
              </w:numPr>
              <w:spacing w:before="0"/>
              <w:rPr>
                <w:rFonts w:ascii="Arial Narrow" w:hAnsi="Arial Narrow"/>
                <w:sz w:val="20"/>
                <w:szCs w:val="20"/>
              </w:rPr>
            </w:pPr>
            <w:r w:rsidRPr="00BE12D3">
              <w:rPr>
                <w:rFonts w:ascii="Arial Narrow" w:hAnsi="Arial Narrow"/>
                <w:sz w:val="20"/>
                <w:szCs w:val="20"/>
              </w:rPr>
              <w:t>Member of NACCHO and relevant NACCHO State/Territory Affiliate</w:t>
            </w:r>
          </w:p>
          <w:p w14:paraId="4899CF79" w14:textId="77777777" w:rsidR="00122F5F" w:rsidRPr="00BE12D3" w:rsidRDefault="00122F5F" w:rsidP="00D02C60">
            <w:pPr>
              <w:pStyle w:val="ListParagraph"/>
              <w:numPr>
                <w:ilvl w:val="0"/>
                <w:numId w:val="18"/>
              </w:numPr>
              <w:spacing w:before="0"/>
              <w:rPr>
                <w:rFonts w:ascii="Arial Narrow" w:hAnsi="Arial Narrow"/>
                <w:sz w:val="20"/>
                <w:szCs w:val="20"/>
              </w:rPr>
            </w:pPr>
            <w:r w:rsidRPr="00BE12D3">
              <w:rPr>
                <w:rFonts w:ascii="Arial Narrow" w:hAnsi="Arial Narrow"/>
                <w:sz w:val="20"/>
                <w:szCs w:val="20"/>
              </w:rPr>
              <w:t>Be an RACGP accredited practice employing at least 1 full time equivalent GP/clinic.</w:t>
            </w:r>
          </w:p>
        </w:tc>
        <w:tc>
          <w:tcPr>
            <w:tcW w:w="7602" w:type="dxa"/>
          </w:tcPr>
          <w:p w14:paraId="4FB92308" w14:textId="77777777" w:rsidR="00122F5F" w:rsidRPr="00BE12D3" w:rsidRDefault="00122F5F" w:rsidP="00D02C60">
            <w:pPr>
              <w:rPr>
                <w:rFonts w:ascii="Arial Narrow" w:eastAsiaTheme="minorEastAsia" w:hAnsi="Arial Narrow"/>
                <w:sz w:val="20"/>
                <w:szCs w:val="20"/>
              </w:rPr>
            </w:pPr>
            <w:r w:rsidRPr="00BE12D3">
              <w:rPr>
                <w:rFonts w:ascii="Arial Narrow" w:eastAsiaTheme="minorEastAsia" w:hAnsi="Arial Narrow"/>
                <w:sz w:val="20"/>
                <w:szCs w:val="20"/>
              </w:rPr>
              <w:t>A service will be eligible for IPAC if:</w:t>
            </w:r>
          </w:p>
          <w:p w14:paraId="0C81CE17" w14:textId="5E3ECE85" w:rsidR="00122F5F" w:rsidRPr="00BE12D3" w:rsidRDefault="00122F5F" w:rsidP="00D02C60">
            <w:pPr>
              <w:pStyle w:val="ListParagraph"/>
              <w:numPr>
                <w:ilvl w:val="0"/>
                <w:numId w:val="22"/>
              </w:numPr>
              <w:spacing w:before="0"/>
              <w:rPr>
                <w:rFonts w:ascii="Arial Narrow" w:eastAsiaTheme="minorEastAsia" w:hAnsi="Arial Narrow"/>
                <w:sz w:val="20"/>
                <w:szCs w:val="20"/>
              </w:rPr>
            </w:pPr>
            <w:r w:rsidRPr="00BE12D3">
              <w:rPr>
                <w:rFonts w:ascii="Arial Narrow" w:eastAsiaTheme="minorEastAsia" w:hAnsi="Arial Narrow"/>
                <w:sz w:val="20"/>
                <w:szCs w:val="20"/>
              </w:rPr>
              <w:t xml:space="preserve">It is funded by the Department of Health and Aged Care’s </w:t>
            </w:r>
            <w:r w:rsidR="005133CC">
              <w:rPr>
                <w:rFonts w:ascii="Arial Narrow" w:eastAsiaTheme="minorEastAsia" w:hAnsi="Arial Narrow"/>
                <w:sz w:val="20"/>
                <w:szCs w:val="20"/>
              </w:rPr>
              <w:t>First Nations</w:t>
            </w:r>
            <w:r w:rsidR="005133CC" w:rsidRPr="00BE12D3">
              <w:rPr>
                <w:rFonts w:ascii="Arial Narrow" w:eastAsiaTheme="minorEastAsia" w:hAnsi="Arial Narrow"/>
                <w:sz w:val="20"/>
                <w:szCs w:val="20"/>
              </w:rPr>
              <w:t xml:space="preserve"> </w:t>
            </w:r>
            <w:r w:rsidRPr="00BE12D3">
              <w:rPr>
                <w:rFonts w:ascii="Arial Narrow" w:eastAsiaTheme="minorEastAsia" w:hAnsi="Arial Narrow"/>
                <w:sz w:val="20"/>
                <w:szCs w:val="20"/>
              </w:rPr>
              <w:t>Health Division for the provision of primary healthcare services to First Nations people OR</w:t>
            </w:r>
          </w:p>
          <w:p w14:paraId="6ACBF636" w14:textId="0466D6DA" w:rsidR="00122F5F" w:rsidRPr="00BE12D3" w:rsidRDefault="00122F5F" w:rsidP="00D02C60">
            <w:pPr>
              <w:pStyle w:val="ListParagraph"/>
              <w:numPr>
                <w:ilvl w:val="0"/>
                <w:numId w:val="22"/>
              </w:numPr>
              <w:spacing w:before="0"/>
              <w:rPr>
                <w:rFonts w:ascii="Arial Narrow" w:hAnsi="Arial Narrow"/>
                <w:sz w:val="20"/>
                <w:szCs w:val="20"/>
              </w:rPr>
            </w:pPr>
            <w:r w:rsidRPr="00BE12D3">
              <w:rPr>
                <w:rFonts w:ascii="Arial Narrow" w:eastAsiaTheme="minorEastAsia" w:hAnsi="Arial Narrow"/>
                <w:sz w:val="20"/>
                <w:szCs w:val="20"/>
              </w:rPr>
              <w:t xml:space="preserve">Approved to participate in the </w:t>
            </w:r>
            <w:r w:rsidR="7E48E286" w:rsidRPr="00BE12D3">
              <w:rPr>
                <w:rFonts w:ascii="Arial Narrow" w:eastAsiaTheme="minorEastAsia" w:hAnsi="Arial Narrow"/>
                <w:sz w:val="20"/>
                <w:szCs w:val="20"/>
              </w:rPr>
              <w:t xml:space="preserve">s100 </w:t>
            </w:r>
            <w:r w:rsidRPr="00BE12D3">
              <w:rPr>
                <w:rFonts w:ascii="Arial Narrow" w:eastAsiaTheme="minorEastAsia" w:hAnsi="Arial Narrow"/>
                <w:sz w:val="20"/>
                <w:szCs w:val="20"/>
              </w:rPr>
              <w:t>Remote Area Aboriginal Health Services (</w:t>
            </w:r>
            <w:r w:rsidR="5B84499A" w:rsidRPr="00BE12D3">
              <w:rPr>
                <w:rFonts w:ascii="Arial Narrow" w:eastAsiaTheme="minorEastAsia" w:hAnsi="Arial Narrow"/>
                <w:sz w:val="20"/>
                <w:szCs w:val="20"/>
              </w:rPr>
              <w:t>RA</w:t>
            </w:r>
            <w:r w:rsidR="671176D6" w:rsidRPr="00BE12D3">
              <w:rPr>
                <w:rFonts w:ascii="Arial Narrow" w:eastAsiaTheme="minorEastAsia" w:hAnsi="Arial Narrow"/>
                <w:sz w:val="20"/>
                <w:szCs w:val="20"/>
              </w:rPr>
              <w:t>A</w:t>
            </w:r>
            <w:r w:rsidR="5B84499A" w:rsidRPr="00BE12D3">
              <w:rPr>
                <w:rFonts w:ascii="Arial Narrow" w:eastAsiaTheme="minorEastAsia" w:hAnsi="Arial Narrow"/>
                <w:sz w:val="20"/>
                <w:szCs w:val="20"/>
              </w:rPr>
              <w:t>HS</w:t>
            </w:r>
            <w:r w:rsidRPr="00BE12D3">
              <w:rPr>
                <w:rFonts w:ascii="Arial Narrow" w:eastAsiaTheme="minorEastAsia" w:hAnsi="Arial Narrow"/>
                <w:sz w:val="20"/>
                <w:szCs w:val="20"/>
              </w:rPr>
              <w:t>) program.</w:t>
            </w:r>
          </w:p>
        </w:tc>
      </w:tr>
      <w:bookmarkEnd w:id="17"/>
    </w:tbl>
    <w:p w14:paraId="45C84132" w14:textId="77777777" w:rsidR="00B756AF" w:rsidRDefault="00B756AF" w:rsidP="005B1E02">
      <w:pPr>
        <w:sectPr w:rsidR="00B756AF" w:rsidSect="009B77E2">
          <w:pgSz w:w="16838" w:h="11906" w:orient="landscape"/>
          <w:pgMar w:top="1440" w:right="1440" w:bottom="1440" w:left="1440" w:header="708" w:footer="708" w:gutter="0"/>
          <w:cols w:space="708"/>
          <w:docGrid w:linePitch="360"/>
        </w:sectPr>
      </w:pPr>
    </w:p>
    <w:p w14:paraId="58F4C0C3" w14:textId="6762216E" w:rsidR="0083702D" w:rsidRDefault="0083702D" w:rsidP="00536E39">
      <w:pPr>
        <w:pStyle w:val="Heading3"/>
      </w:pPr>
      <w:r>
        <w:lastRenderedPageBreak/>
        <w:t>Department</w:t>
      </w:r>
      <w:r w:rsidR="00B66569">
        <w:t>’s Proposed Model – Alternative Model Options</w:t>
      </w:r>
    </w:p>
    <w:p w14:paraId="1101E44C" w14:textId="2C253C15" w:rsidR="00B66569" w:rsidRDefault="00F45C35" w:rsidP="005B1E02">
      <w:r>
        <w:t xml:space="preserve">Based on the Department’s proposed model, </w:t>
      </w:r>
      <w:r w:rsidR="00E27840">
        <w:t>three different funding options have been proposed for MSAC consideration.</w:t>
      </w:r>
      <w:r w:rsidR="00693A33">
        <w:t xml:space="preserve"> Model 1 proposes funding to all ACCHs</w:t>
      </w:r>
      <w:r w:rsidR="00B27B3E">
        <w:t xml:space="preserve"> </w:t>
      </w:r>
      <w:r w:rsidR="002B017F">
        <w:t>as</w:t>
      </w:r>
      <w:r w:rsidR="00D74C6D">
        <w:t xml:space="preserve"> given in</w:t>
      </w:r>
      <w:r w:rsidR="00552949">
        <w:t xml:space="preserve"> </w:t>
      </w:r>
      <w:r w:rsidR="009F6F06" w:rsidRPr="009F6F06">
        <w:fldChar w:fldCharType="begin"/>
      </w:r>
      <w:r w:rsidR="009F6F06" w:rsidRPr="009F6F06">
        <w:instrText xml:space="preserve"> REF _Ref132378819 \h </w:instrText>
      </w:r>
      <w:r w:rsidR="009F6F06">
        <w:instrText xml:space="preserve"> \* MERGEFORMAT </w:instrText>
      </w:r>
      <w:r w:rsidR="009F6F06" w:rsidRPr="009F6F06">
        <w:fldChar w:fldCharType="separate"/>
      </w:r>
      <w:r w:rsidR="009F6F06" w:rsidRPr="00536E39">
        <w:t xml:space="preserve">Table </w:t>
      </w:r>
      <w:r w:rsidR="009F6F06" w:rsidRPr="00536E39">
        <w:rPr>
          <w:noProof/>
        </w:rPr>
        <w:t>6</w:t>
      </w:r>
      <w:r w:rsidR="009F6F06" w:rsidRPr="009F6F06">
        <w:fldChar w:fldCharType="end"/>
      </w:r>
      <w:r w:rsidR="00D74C6D" w:rsidRPr="009F6F06">
        <w:t>,</w:t>
      </w:r>
      <w:r w:rsidR="00D74C6D">
        <w:t xml:space="preserve"> without any restrictions based on GP FTE numbers. </w:t>
      </w:r>
    </w:p>
    <w:p w14:paraId="50318C58" w14:textId="40679134" w:rsidR="00C03F38" w:rsidRDefault="00D74C6D" w:rsidP="005B1E02">
      <w:r>
        <w:t>Models 2</w:t>
      </w:r>
      <w:r w:rsidR="008D2F0D">
        <w:t xml:space="preserve"> and 3</w:t>
      </w:r>
      <w:r w:rsidR="007F0FBB">
        <w:t xml:space="preserve"> limit funding to those clinics with at least 1 FTE GP.</w:t>
      </w:r>
      <w:r w:rsidR="2F86D904">
        <w:t xml:space="preserve"> Model 3 adopts the higher Pharmacist</w:t>
      </w:r>
      <w:r w:rsidR="002317F8">
        <w:t>:</w:t>
      </w:r>
      <w:r w:rsidR="2F86D904">
        <w:t xml:space="preserve"> Patient ratio </w:t>
      </w:r>
      <w:r w:rsidR="55030D05">
        <w:t>proposed</w:t>
      </w:r>
      <w:r w:rsidR="2F86D904">
        <w:t xml:space="preserve"> in the </w:t>
      </w:r>
      <w:r w:rsidR="5BFD9E28">
        <w:t>ADAR model.</w:t>
      </w:r>
    </w:p>
    <w:p w14:paraId="40F1F47C" w14:textId="603A4045" w:rsidR="00B913E2" w:rsidRPr="00956785" w:rsidRDefault="00B913E2" w:rsidP="00B913E2">
      <w:pPr>
        <w:pStyle w:val="Caption"/>
        <w:rPr>
          <w:sz w:val="20"/>
        </w:rPr>
      </w:pPr>
      <w:bookmarkStart w:id="18" w:name="_Ref126844711"/>
      <w:bookmarkStart w:id="19" w:name="_Ref132378819"/>
      <w:r w:rsidRPr="00956785">
        <w:rPr>
          <w:sz w:val="20"/>
        </w:rPr>
        <w:t xml:space="preserve">Table </w:t>
      </w:r>
      <w:bookmarkEnd w:id="18"/>
      <w:r w:rsidR="00944940" w:rsidRPr="00956785">
        <w:rPr>
          <w:sz w:val="20"/>
        </w:rPr>
        <w:fldChar w:fldCharType="begin"/>
      </w:r>
      <w:r w:rsidR="00944940" w:rsidRPr="00956785">
        <w:rPr>
          <w:sz w:val="20"/>
        </w:rPr>
        <w:instrText>SEQ Table \* ARABIC</w:instrText>
      </w:r>
      <w:r w:rsidR="00944940" w:rsidRPr="00956785">
        <w:rPr>
          <w:sz w:val="20"/>
        </w:rPr>
        <w:fldChar w:fldCharType="separate"/>
      </w:r>
      <w:r w:rsidR="00FC2B00">
        <w:rPr>
          <w:noProof/>
          <w:sz w:val="20"/>
        </w:rPr>
        <w:t>6</w:t>
      </w:r>
      <w:r w:rsidR="00944940" w:rsidRPr="00956785">
        <w:rPr>
          <w:sz w:val="20"/>
        </w:rPr>
        <w:fldChar w:fldCharType="end"/>
      </w:r>
      <w:bookmarkEnd w:id="19"/>
      <w:r w:rsidR="00944940" w:rsidRPr="00956785">
        <w:rPr>
          <w:sz w:val="20"/>
        </w:rPr>
        <w:tab/>
      </w:r>
      <w:r w:rsidRPr="00956785">
        <w:rPr>
          <w:sz w:val="20"/>
        </w:rPr>
        <w:t xml:space="preserve">Summary of </w:t>
      </w:r>
      <w:r w:rsidR="005902B4" w:rsidRPr="00956785">
        <w:rPr>
          <w:sz w:val="20"/>
        </w:rPr>
        <w:t>proposed models</w:t>
      </w:r>
      <w:r w:rsidR="0080002C" w:rsidRPr="00956785">
        <w:rPr>
          <w:sz w:val="20"/>
        </w:rPr>
        <w:t xml:space="preserve"> </w:t>
      </w:r>
    </w:p>
    <w:tbl>
      <w:tblPr>
        <w:tblStyle w:val="TableGrid"/>
        <w:tblW w:w="0" w:type="auto"/>
        <w:tblLook w:val="04A0" w:firstRow="1" w:lastRow="0" w:firstColumn="1" w:lastColumn="0" w:noHBand="0" w:noVBand="1"/>
      </w:tblPr>
      <w:tblGrid>
        <w:gridCol w:w="1629"/>
        <w:gridCol w:w="973"/>
        <w:gridCol w:w="2138"/>
        <w:gridCol w:w="2138"/>
        <w:gridCol w:w="2138"/>
      </w:tblGrid>
      <w:tr w:rsidR="009B4D7E" w14:paraId="2599F955" w14:textId="7658BC7D" w:rsidTr="005C63DB">
        <w:tc>
          <w:tcPr>
            <w:tcW w:w="1629" w:type="dxa"/>
          </w:tcPr>
          <w:p w14:paraId="1D3D003B" w14:textId="1D6979C3" w:rsidR="009B4D7E" w:rsidRPr="000524F5" w:rsidRDefault="009B4D7E" w:rsidP="004C1E15">
            <w:pPr>
              <w:pStyle w:val="Tabletext0"/>
              <w:jc w:val="left"/>
              <w:rPr>
                <w:b/>
                <w:bCs/>
              </w:rPr>
            </w:pPr>
            <w:r w:rsidRPr="000524F5">
              <w:rPr>
                <w:b/>
                <w:bCs/>
              </w:rPr>
              <w:t xml:space="preserve">Component </w:t>
            </w:r>
          </w:p>
        </w:tc>
        <w:tc>
          <w:tcPr>
            <w:tcW w:w="973" w:type="dxa"/>
            <w:vAlign w:val="center"/>
          </w:tcPr>
          <w:p w14:paraId="483EA057" w14:textId="7EDEFBD9" w:rsidR="009B4D7E" w:rsidRPr="00EA2942" w:rsidRDefault="009B4D7E" w:rsidP="00F0122E">
            <w:pPr>
              <w:pStyle w:val="Tabletext0"/>
              <w:jc w:val="center"/>
              <w:rPr>
                <w:b/>
                <w:bCs/>
              </w:rPr>
            </w:pPr>
            <w:r w:rsidRPr="00EA2942">
              <w:rPr>
                <w:b/>
                <w:bCs/>
              </w:rPr>
              <w:t>ADAR</w:t>
            </w:r>
          </w:p>
        </w:tc>
        <w:tc>
          <w:tcPr>
            <w:tcW w:w="2138" w:type="dxa"/>
            <w:vAlign w:val="center"/>
          </w:tcPr>
          <w:p w14:paraId="47B848E9" w14:textId="2E5B0F4C" w:rsidR="009B4D7E" w:rsidRPr="00EA2942" w:rsidRDefault="009B4D7E" w:rsidP="00F0122E">
            <w:pPr>
              <w:pStyle w:val="Tabletext0"/>
              <w:jc w:val="center"/>
              <w:rPr>
                <w:b/>
                <w:bCs/>
              </w:rPr>
            </w:pPr>
            <w:r w:rsidRPr="00EA2942">
              <w:rPr>
                <w:b/>
                <w:bCs/>
              </w:rPr>
              <w:t>Department</w:t>
            </w:r>
            <w:r>
              <w:rPr>
                <w:b/>
                <w:bCs/>
              </w:rPr>
              <w:t xml:space="preserve"> model 1</w:t>
            </w:r>
          </w:p>
        </w:tc>
        <w:tc>
          <w:tcPr>
            <w:tcW w:w="2138" w:type="dxa"/>
            <w:vAlign w:val="center"/>
          </w:tcPr>
          <w:p w14:paraId="11513AA1" w14:textId="67202943" w:rsidR="009B4D7E" w:rsidRPr="009A69A9" w:rsidRDefault="009B4D7E" w:rsidP="00F0122E">
            <w:pPr>
              <w:pStyle w:val="Tabletext0"/>
              <w:jc w:val="center"/>
              <w:rPr>
                <w:b/>
                <w:bCs/>
              </w:rPr>
            </w:pPr>
            <w:r w:rsidRPr="009A69A9">
              <w:rPr>
                <w:b/>
                <w:bCs/>
              </w:rPr>
              <w:t xml:space="preserve">Department model </w:t>
            </w:r>
            <w:r>
              <w:rPr>
                <w:b/>
                <w:bCs/>
              </w:rPr>
              <w:t>2</w:t>
            </w:r>
          </w:p>
        </w:tc>
        <w:tc>
          <w:tcPr>
            <w:tcW w:w="2138" w:type="dxa"/>
          </w:tcPr>
          <w:p w14:paraId="4543F122" w14:textId="6BB096AA" w:rsidR="009B4D7E" w:rsidRPr="009A69A9" w:rsidRDefault="006533E6" w:rsidP="00F0122E">
            <w:pPr>
              <w:pStyle w:val="Tabletext0"/>
              <w:jc w:val="center"/>
              <w:rPr>
                <w:b/>
                <w:bCs/>
              </w:rPr>
            </w:pPr>
            <w:r w:rsidRPr="009A69A9">
              <w:rPr>
                <w:b/>
                <w:bCs/>
              </w:rPr>
              <w:t xml:space="preserve">Department model </w:t>
            </w:r>
            <w:r>
              <w:rPr>
                <w:b/>
                <w:bCs/>
              </w:rPr>
              <w:t>3</w:t>
            </w:r>
          </w:p>
        </w:tc>
      </w:tr>
      <w:tr w:rsidR="009B4D7E" w14:paraId="56981174" w14:textId="09B376BB" w:rsidTr="005C63DB">
        <w:tc>
          <w:tcPr>
            <w:tcW w:w="1629" w:type="dxa"/>
          </w:tcPr>
          <w:p w14:paraId="1EFEEF8C" w14:textId="1AFF7111" w:rsidR="009B4D7E" w:rsidRPr="00B02E51" w:rsidRDefault="009B4D7E" w:rsidP="004C1E15">
            <w:pPr>
              <w:pStyle w:val="Tabletext0"/>
              <w:jc w:val="left"/>
            </w:pPr>
            <w:r>
              <w:t>Pharmacist FTE</w:t>
            </w:r>
            <w:r w:rsidR="00F27D7C">
              <w:t>: client ratio</w:t>
            </w:r>
          </w:p>
        </w:tc>
        <w:tc>
          <w:tcPr>
            <w:tcW w:w="973" w:type="dxa"/>
            <w:vAlign w:val="center"/>
          </w:tcPr>
          <w:p w14:paraId="35389425" w14:textId="168AFC26" w:rsidR="009B4D7E" w:rsidRPr="000524F5" w:rsidRDefault="009B4D7E" w:rsidP="004040F4">
            <w:pPr>
              <w:pStyle w:val="Tabletext0"/>
              <w:jc w:val="center"/>
            </w:pPr>
            <w:r>
              <w:t xml:space="preserve">1:8,295 </w:t>
            </w:r>
          </w:p>
        </w:tc>
        <w:tc>
          <w:tcPr>
            <w:tcW w:w="2138" w:type="dxa"/>
            <w:vAlign w:val="center"/>
          </w:tcPr>
          <w:p w14:paraId="4E7B94C0" w14:textId="6C4D55F9" w:rsidR="009B4D7E" w:rsidRPr="000524F5" w:rsidRDefault="009B4D7E" w:rsidP="004040F4">
            <w:pPr>
              <w:pStyle w:val="Tabletext0"/>
              <w:jc w:val="center"/>
            </w:pPr>
            <w:r>
              <w:t>1:6,000</w:t>
            </w:r>
          </w:p>
        </w:tc>
        <w:tc>
          <w:tcPr>
            <w:tcW w:w="2138" w:type="dxa"/>
            <w:vAlign w:val="center"/>
          </w:tcPr>
          <w:p w14:paraId="66034818" w14:textId="48172824" w:rsidR="009B4D7E" w:rsidRDefault="009B4D7E" w:rsidP="004040F4">
            <w:pPr>
              <w:pStyle w:val="Tabletext0"/>
              <w:jc w:val="center"/>
            </w:pPr>
            <w:r>
              <w:t>1:6,000</w:t>
            </w:r>
          </w:p>
        </w:tc>
        <w:tc>
          <w:tcPr>
            <w:tcW w:w="2138" w:type="dxa"/>
            <w:vAlign w:val="center"/>
          </w:tcPr>
          <w:p w14:paraId="44DE9E74" w14:textId="09515C02" w:rsidR="009B4D7E" w:rsidRDefault="006533E6" w:rsidP="00A250A5">
            <w:pPr>
              <w:pStyle w:val="Tabletext0"/>
              <w:jc w:val="center"/>
            </w:pPr>
            <w:r>
              <w:t>1:8,295</w:t>
            </w:r>
          </w:p>
        </w:tc>
      </w:tr>
      <w:tr w:rsidR="009B4D7E" w14:paraId="384EF08F" w14:textId="0260ABB7" w:rsidTr="005C63DB">
        <w:tc>
          <w:tcPr>
            <w:tcW w:w="1629" w:type="dxa"/>
          </w:tcPr>
          <w:p w14:paraId="2E729A3A" w14:textId="198FF85A" w:rsidR="009B4D7E" w:rsidRPr="00912178" w:rsidRDefault="009B4D7E" w:rsidP="004C1E15">
            <w:pPr>
              <w:pStyle w:val="Tabletext0"/>
              <w:jc w:val="left"/>
            </w:pPr>
            <w:r>
              <w:t xml:space="preserve">Minimum </w:t>
            </w:r>
            <w:r w:rsidR="00F27D7C">
              <w:t xml:space="preserve">pharmacist </w:t>
            </w:r>
            <w:r>
              <w:t>FTE</w:t>
            </w:r>
          </w:p>
        </w:tc>
        <w:tc>
          <w:tcPr>
            <w:tcW w:w="973" w:type="dxa"/>
            <w:vAlign w:val="center"/>
          </w:tcPr>
          <w:p w14:paraId="7D93738A" w14:textId="2D966CF5" w:rsidR="009B4D7E" w:rsidRPr="00912178" w:rsidRDefault="009B4D7E" w:rsidP="004040F4">
            <w:pPr>
              <w:pStyle w:val="Tabletext0"/>
              <w:jc w:val="center"/>
            </w:pPr>
            <w:r>
              <w:t>0.2</w:t>
            </w:r>
          </w:p>
        </w:tc>
        <w:tc>
          <w:tcPr>
            <w:tcW w:w="2138" w:type="dxa"/>
            <w:vAlign w:val="center"/>
          </w:tcPr>
          <w:p w14:paraId="5695674A" w14:textId="55EBEDF2" w:rsidR="009B4D7E" w:rsidRDefault="009B4D7E" w:rsidP="004040F4">
            <w:pPr>
              <w:pStyle w:val="Tabletext0"/>
              <w:jc w:val="center"/>
            </w:pPr>
            <w:r>
              <w:t>Minimum 0.2 FTE</w:t>
            </w:r>
          </w:p>
          <w:p w14:paraId="75D3AE78" w14:textId="4825C079" w:rsidR="009B4D7E" w:rsidRDefault="009B4D7E" w:rsidP="00067FC1">
            <w:pPr>
              <w:pStyle w:val="Tabletext0"/>
              <w:jc w:val="center"/>
            </w:pPr>
            <w:r w:rsidRPr="00A516F9">
              <w:t xml:space="preserve">Minimum 1 FTE </w:t>
            </w:r>
            <w:r w:rsidR="00B57D96">
              <w:t xml:space="preserve">pharmacist </w:t>
            </w:r>
            <w:r w:rsidRPr="00A516F9">
              <w:t>for</w:t>
            </w:r>
            <w:r>
              <w:t xml:space="preserve"> clinics</w:t>
            </w:r>
            <w:r w:rsidRPr="00A516F9">
              <w:t xml:space="preserve"> </w:t>
            </w:r>
            <w:r>
              <w:t>in remote areas (</w:t>
            </w:r>
            <w:r w:rsidR="00995E99" w:rsidRPr="00A516F9">
              <w:t>MM</w:t>
            </w:r>
            <w:r w:rsidR="00995E99">
              <w:t>M</w:t>
            </w:r>
            <w:r w:rsidR="00995E99" w:rsidRPr="00A516F9">
              <w:t xml:space="preserve"> </w:t>
            </w:r>
            <w:r w:rsidRPr="00A516F9">
              <w:t>6 and 7</w:t>
            </w:r>
            <w:r>
              <w:t>)</w:t>
            </w:r>
          </w:p>
          <w:p w14:paraId="661FAE9C" w14:textId="54D9225C" w:rsidR="009B4D7E" w:rsidRDefault="009B4D7E" w:rsidP="00067FC1">
            <w:pPr>
              <w:pStyle w:val="Tabletext0"/>
              <w:jc w:val="center"/>
            </w:pPr>
            <w:r w:rsidRPr="00A516F9">
              <w:t>NT Gov</w:t>
            </w:r>
            <w:r>
              <w:t>t</w:t>
            </w:r>
            <w:r w:rsidRPr="00A516F9">
              <w:t xml:space="preserve"> consortium </w:t>
            </w:r>
            <w:r>
              <w:t>of</w:t>
            </w:r>
            <w:r w:rsidRPr="00A516F9">
              <w:t xml:space="preserve"> 10 FTE</w:t>
            </w:r>
            <w:r>
              <w:t xml:space="preserve"> across all clinics</w:t>
            </w:r>
          </w:p>
          <w:p w14:paraId="1CC4787C" w14:textId="20362A44" w:rsidR="009B4D7E" w:rsidRPr="00806CD0" w:rsidRDefault="009B4D7E" w:rsidP="00067FC1">
            <w:pPr>
              <w:pStyle w:val="Tabletext0"/>
              <w:jc w:val="center"/>
              <w:rPr>
                <w:vertAlign w:val="superscript"/>
              </w:rPr>
            </w:pPr>
            <w:r w:rsidRPr="00A516F9">
              <w:t>Option to develop consortiums</w:t>
            </w:r>
            <w:r>
              <w:t xml:space="preserve"> </w:t>
            </w:r>
            <w:r>
              <w:rPr>
                <w:vertAlign w:val="superscript"/>
              </w:rPr>
              <w:t>a</w:t>
            </w:r>
          </w:p>
        </w:tc>
        <w:tc>
          <w:tcPr>
            <w:tcW w:w="2138" w:type="dxa"/>
            <w:vAlign w:val="center"/>
          </w:tcPr>
          <w:p w14:paraId="3B6BD681" w14:textId="7EA635F4" w:rsidR="009B4D7E" w:rsidRDefault="009B4D7E" w:rsidP="004040F4">
            <w:pPr>
              <w:pStyle w:val="Tabletext0"/>
              <w:jc w:val="center"/>
            </w:pPr>
            <w:r>
              <w:t>Minimum 0.2 FTE</w:t>
            </w:r>
          </w:p>
          <w:p w14:paraId="77A8FB92" w14:textId="77777777" w:rsidR="006533E6" w:rsidRDefault="009B4D7E" w:rsidP="00806CD0">
            <w:pPr>
              <w:pStyle w:val="Tabletext0"/>
              <w:jc w:val="center"/>
            </w:pPr>
            <w:r w:rsidRPr="00806CD0">
              <w:t xml:space="preserve">Minimum 1 FTE for clinics in remote areas </w:t>
            </w:r>
          </w:p>
          <w:p w14:paraId="6E62C148" w14:textId="2427C3D4" w:rsidR="009B4D7E" w:rsidRDefault="009B4D7E" w:rsidP="00806CD0">
            <w:pPr>
              <w:pStyle w:val="Tabletext0"/>
              <w:jc w:val="center"/>
            </w:pPr>
            <w:r w:rsidRPr="00806CD0">
              <w:t>(</w:t>
            </w:r>
            <w:r w:rsidR="00995E99" w:rsidRPr="00806CD0">
              <w:t>MM</w:t>
            </w:r>
            <w:r w:rsidR="00995E99">
              <w:t>M</w:t>
            </w:r>
            <w:r w:rsidR="00995E99" w:rsidRPr="00806CD0">
              <w:t xml:space="preserve"> </w:t>
            </w:r>
            <w:r w:rsidRPr="00806CD0">
              <w:t>6 and 7)</w:t>
            </w:r>
          </w:p>
          <w:p w14:paraId="50266740" w14:textId="090A621E" w:rsidR="009B4D7E" w:rsidRDefault="009B4D7E" w:rsidP="00806CD0">
            <w:pPr>
              <w:pStyle w:val="Tabletext0"/>
              <w:jc w:val="center"/>
            </w:pPr>
            <w:r w:rsidRPr="00A516F9">
              <w:t>NT Gov</w:t>
            </w:r>
            <w:r>
              <w:t>t</w:t>
            </w:r>
            <w:r w:rsidRPr="00A516F9">
              <w:t xml:space="preserve"> consortium </w:t>
            </w:r>
            <w:r>
              <w:t>of</w:t>
            </w:r>
            <w:r w:rsidRPr="00A516F9">
              <w:t xml:space="preserve"> 10 FTE</w:t>
            </w:r>
            <w:r>
              <w:t xml:space="preserve"> across all clinics</w:t>
            </w:r>
          </w:p>
          <w:p w14:paraId="16133135" w14:textId="523A142A" w:rsidR="009B4D7E" w:rsidRDefault="009B4D7E" w:rsidP="00806CD0">
            <w:pPr>
              <w:pStyle w:val="Tabletext0"/>
              <w:jc w:val="center"/>
            </w:pPr>
            <w:r w:rsidRPr="00A516F9">
              <w:t>Option to develop consortiums</w:t>
            </w:r>
            <w:r>
              <w:t xml:space="preserve"> </w:t>
            </w:r>
            <w:r>
              <w:rPr>
                <w:vertAlign w:val="superscript"/>
              </w:rPr>
              <w:t>a</w:t>
            </w:r>
          </w:p>
        </w:tc>
        <w:tc>
          <w:tcPr>
            <w:tcW w:w="2138" w:type="dxa"/>
          </w:tcPr>
          <w:p w14:paraId="110182B1" w14:textId="77777777" w:rsidR="006533E6" w:rsidRDefault="006533E6" w:rsidP="006533E6">
            <w:pPr>
              <w:pStyle w:val="Tabletext0"/>
              <w:jc w:val="center"/>
            </w:pPr>
            <w:r>
              <w:t>Minimum 0.2 FTE</w:t>
            </w:r>
          </w:p>
          <w:p w14:paraId="01FF7FC5" w14:textId="249068C8" w:rsidR="006533E6" w:rsidRDefault="006533E6" w:rsidP="006533E6">
            <w:pPr>
              <w:pStyle w:val="Tabletext0"/>
              <w:jc w:val="center"/>
            </w:pPr>
            <w:r w:rsidRPr="00806CD0">
              <w:t>Minimum 1 FTE for clinics in remote areas (</w:t>
            </w:r>
            <w:r w:rsidR="00995E99" w:rsidRPr="00806CD0">
              <w:t>MM</w:t>
            </w:r>
            <w:r w:rsidR="00995E99">
              <w:t>M</w:t>
            </w:r>
            <w:r w:rsidR="00995E99" w:rsidRPr="00806CD0">
              <w:t xml:space="preserve"> </w:t>
            </w:r>
            <w:r w:rsidRPr="00806CD0">
              <w:t>6 and 7)</w:t>
            </w:r>
          </w:p>
          <w:p w14:paraId="41D55646" w14:textId="77777777" w:rsidR="006533E6" w:rsidRDefault="006533E6" w:rsidP="006533E6">
            <w:pPr>
              <w:pStyle w:val="Tabletext0"/>
              <w:jc w:val="center"/>
            </w:pPr>
            <w:r w:rsidRPr="00A516F9">
              <w:t>NT Gov</w:t>
            </w:r>
            <w:r>
              <w:t>t</w:t>
            </w:r>
            <w:r w:rsidRPr="00A516F9">
              <w:t xml:space="preserve"> consortium </w:t>
            </w:r>
            <w:r>
              <w:t>of</w:t>
            </w:r>
            <w:r w:rsidRPr="00A516F9">
              <w:t xml:space="preserve"> 10 FTE</w:t>
            </w:r>
            <w:r>
              <w:t xml:space="preserve"> across all clinics</w:t>
            </w:r>
          </w:p>
          <w:p w14:paraId="51A83F1B" w14:textId="305B8DA1" w:rsidR="009B4D7E" w:rsidRDefault="006533E6" w:rsidP="006533E6">
            <w:pPr>
              <w:pStyle w:val="Tabletext0"/>
              <w:jc w:val="center"/>
            </w:pPr>
            <w:r w:rsidRPr="00A516F9">
              <w:t>Option to develop consortiums</w:t>
            </w:r>
            <w:r>
              <w:t xml:space="preserve"> </w:t>
            </w:r>
            <w:r>
              <w:rPr>
                <w:vertAlign w:val="superscript"/>
              </w:rPr>
              <w:t>a</w:t>
            </w:r>
          </w:p>
        </w:tc>
      </w:tr>
      <w:tr w:rsidR="009B4D7E" w14:paraId="47CC7FF1" w14:textId="499FF716" w:rsidTr="005C63DB">
        <w:tc>
          <w:tcPr>
            <w:tcW w:w="1629" w:type="dxa"/>
          </w:tcPr>
          <w:p w14:paraId="43438F10" w14:textId="7C55FC50" w:rsidR="009B4D7E" w:rsidRPr="00912178" w:rsidRDefault="009B4D7E" w:rsidP="004C1E15">
            <w:pPr>
              <w:pStyle w:val="Tabletext0"/>
              <w:jc w:val="left"/>
            </w:pPr>
            <w:r w:rsidRPr="00912178">
              <w:t xml:space="preserve">Pharmacist salary </w:t>
            </w:r>
          </w:p>
        </w:tc>
        <w:tc>
          <w:tcPr>
            <w:tcW w:w="973" w:type="dxa"/>
            <w:vAlign w:val="center"/>
          </w:tcPr>
          <w:p w14:paraId="11D4270A" w14:textId="78D2F785" w:rsidR="009B4D7E" w:rsidRPr="00912178" w:rsidRDefault="009B4D7E" w:rsidP="00FE0236">
            <w:pPr>
              <w:pStyle w:val="Tabletext0"/>
              <w:jc w:val="center"/>
            </w:pPr>
            <w:r w:rsidRPr="00912178">
              <w:t>$151,618</w:t>
            </w:r>
            <w:r w:rsidR="002D18F5">
              <w:rPr>
                <w:vertAlign w:val="superscript"/>
              </w:rPr>
              <w:t xml:space="preserve"> b</w:t>
            </w:r>
          </w:p>
        </w:tc>
        <w:tc>
          <w:tcPr>
            <w:tcW w:w="2138" w:type="dxa"/>
            <w:vAlign w:val="center"/>
          </w:tcPr>
          <w:p w14:paraId="12EA7663" w14:textId="1215373C" w:rsidR="009B4D7E" w:rsidRPr="000147BB" w:rsidRDefault="009B4D7E" w:rsidP="00193B63">
            <w:pPr>
              <w:pStyle w:val="Tabletext0"/>
              <w:jc w:val="center"/>
              <w:rPr>
                <w:vertAlign w:val="superscript"/>
              </w:rPr>
            </w:pPr>
            <w:r w:rsidRPr="005E3EED">
              <w:t>$112,940</w:t>
            </w:r>
            <w:r>
              <w:t xml:space="preserve"> </w:t>
            </w:r>
            <w:r w:rsidR="002D18F5">
              <w:rPr>
                <w:vertAlign w:val="superscript"/>
              </w:rPr>
              <w:t>c</w:t>
            </w:r>
          </w:p>
        </w:tc>
        <w:tc>
          <w:tcPr>
            <w:tcW w:w="2138" w:type="dxa"/>
            <w:vAlign w:val="center"/>
          </w:tcPr>
          <w:p w14:paraId="35C5D875" w14:textId="52F4AD2C" w:rsidR="009B4D7E" w:rsidRPr="005E3EED" w:rsidRDefault="009B4D7E" w:rsidP="00193B63">
            <w:pPr>
              <w:pStyle w:val="Tabletext0"/>
              <w:jc w:val="center"/>
            </w:pPr>
            <w:r w:rsidRPr="005E3EED">
              <w:t>$112,940</w:t>
            </w:r>
            <w:r>
              <w:t xml:space="preserve"> </w:t>
            </w:r>
            <w:r w:rsidR="002D18F5">
              <w:rPr>
                <w:vertAlign w:val="superscript"/>
              </w:rPr>
              <w:t>c</w:t>
            </w:r>
          </w:p>
        </w:tc>
        <w:tc>
          <w:tcPr>
            <w:tcW w:w="2138" w:type="dxa"/>
            <w:vAlign w:val="center"/>
          </w:tcPr>
          <w:p w14:paraId="18D6F2E4" w14:textId="0FA4498E" w:rsidR="009B4D7E" w:rsidRPr="005E3EED" w:rsidRDefault="006533E6" w:rsidP="00A250A5">
            <w:pPr>
              <w:pStyle w:val="Tabletext0"/>
              <w:jc w:val="center"/>
            </w:pPr>
            <w:r w:rsidRPr="005E3EED">
              <w:t>$112,940</w:t>
            </w:r>
            <w:r>
              <w:t xml:space="preserve"> </w:t>
            </w:r>
            <w:r w:rsidR="002D18F5">
              <w:rPr>
                <w:vertAlign w:val="superscript"/>
              </w:rPr>
              <w:t>c</w:t>
            </w:r>
          </w:p>
        </w:tc>
      </w:tr>
      <w:tr w:rsidR="006533E6" w14:paraId="3C8F1D8A" w14:textId="186C88A1" w:rsidTr="005C63DB">
        <w:tc>
          <w:tcPr>
            <w:tcW w:w="1629" w:type="dxa"/>
          </w:tcPr>
          <w:p w14:paraId="27159838" w14:textId="1A239456" w:rsidR="006533E6" w:rsidRPr="00912178" w:rsidRDefault="006533E6" w:rsidP="004C1E15">
            <w:pPr>
              <w:pStyle w:val="Tabletext0"/>
              <w:jc w:val="left"/>
            </w:pPr>
            <w:r>
              <w:t xml:space="preserve">FTE pharmacists funded </w:t>
            </w:r>
          </w:p>
        </w:tc>
        <w:tc>
          <w:tcPr>
            <w:tcW w:w="973" w:type="dxa"/>
            <w:vAlign w:val="center"/>
          </w:tcPr>
          <w:p w14:paraId="027D6BD9" w14:textId="11C5920A" w:rsidR="006533E6" w:rsidRPr="00912178" w:rsidRDefault="006533E6" w:rsidP="006533E6">
            <w:pPr>
              <w:pStyle w:val="Tabletext0"/>
              <w:jc w:val="center"/>
            </w:pPr>
            <w:r>
              <w:t>77.4</w:t>
            </w:r>
          </w:p>
        </w:tc>
        <w:tc>
          <w:tcPr>
            <w:tcW w:w="2138" w:type="dxa"/>
            <w:vAlign w:val="center"/>
          </w:tcPr>
          <w:p w14:paraId="6CC3CA5B" w14:textId="77777777" w:rsidR="001C5D20" w:rsidRDefault="006533E6" w:rsidP="006533E6">
            <w:pPr>
              <w:pStyle w:val="Tabletext0"/>
              <w:jc w:val="center"/>
            </w:pPr>
            <w:r>
              <w:t xml:space="preserve">130 </w:t>
            </w:r>
          </w:p>
          <w:p w14:paraId="209F0C98" w14:textId="53E3FF3E" w:rsidR="006533E6" w:rsidRPr="005E3EED" w:rsidRDefault="006533E6" w:rsidP="006533E6">
            <w:pPr>
              <w:pStyle w:val="Tabletext0"/>
              <w:jc w:val="center"/>
            </w:pPr>
            <w:r>
              <w:t>(+10 for NT consortium)</w:t>
            </w:r>
          </w:p>
        </w:tc>
        <w:tc>
          <w:tcPr>
            <w:tcW w:w="2138" w:type="dxa"/>
            <w:vAlign w:val="center"/>
          </w:tcPr>
          <w:p w14:paraId="101F49AC" w14:textId="77777777" w:rsidR="001C5D20" w:rsidRDefault="006533E6" w:rsidP="006533E6">
            <w:pPr>
              <w:pStyle w:val="Tabletext0"/>
              <w:jc w:val="center"/>
            </w:pPr>
            <w:r>
              <w:t xml:space="preserve">101.3 </w:t>
            </w:r>
          </w:p>
          <w:p w14:paraId="10B2F5DF" w14:textId="2E370749" w:rsidR="006533E6" w:rsidRPr="005E3EED" w:rsidRDefault="006533E6" w:rsidP="006533E6">
            <w:pPr>
              <w:pStyle w:val="Tabletext0"/>
              <w:jc w:val="center"/>
            </w:pPr>
            <w:r>
              <w:t>(+10 for NT consortium)</w:t>
            </w:r>
          </w:p>
        </w:tc>
        <w:tc>
          <w:tcPr>
            <w:tcW w:w="2138" w:type="dxa"/>
            <w:vAlign w:val="center"/>
          </w:tcPr>
          <w:p w14:paraId="692EF72A" w14:textId="77777777" w:rsidR="001C5D20" w:rsidRDefault="00D75CF9" w:rsidP="006533E6">
            <w:pPr>
              <w:pStyle w:val="Tabletext0"/>
              <w:jc w:val="center"/>
            </w:pPr>
            <w:r>
              <w:t>82.9</w:t>
            </w:r>
            <w:r w:rsidR="006533E6">
              <w:t xml:space="preserve"> </w:t>
            </w:r>
          </w:p>
          <w:p w14:paraId="16C24F86" w14:textId="1B5A1045" w:rsidR="006533E6" w:rsidRDefault="006533E6" w:rsidP="006533E6">
            <w:pPr>
              <w:pStyle w:val="Tabletext0"/>
              <w:jc w:val="center"/>
            </w:pPr>
            <w:r>
              <w:t>(+10 for NT consortium)</w:t>
            </w:r>
          </w:p>
        </w:tc>
      </w:tr>
      <w:tr w:rsidR="006533E6" w14:paraId="637F2859" w14:textId="64342458" w:rsidTr="005C63DB">
        <w:tc>
          <w:tcPr>
            <w:tcW w:w="1629" w:type="dxa"/>
          </w:tcPr>
          <w:p w14:paraId="528F1C29" w14:textId="5E329F43" w:rsidR="006533E6" w:rsidRPr="00912178" w:rsidRDefault="006533E6" w:rsidP="004C1E15">
            <w:pPr>
              <w:pStyle w:val="Tabletext0"/>
              <w:jc w:val="left"/>
            </w:pPr>
            <w:r>
              <w:t>Health services funded</w:t>
            </w:r>
          </w:p>
        </w:tc>
        <w:tc>
          <w:tcPr>
            <w:tcW w:w="973" w:type="dxa"/>
            <w:vAlign w:val="center"/>
          </w:tcPr>
          <w:p w14:paraId="57382770" w14:textId="613BB4DF" w:rsidR="006533E6" w:rsidRPr="00912178" w:rsidRDefault="006533E6" w:rsidP="006533E6">
            <w:pPr>
              <w:pStyle w:val="Tabletext0"/>
              <w:jc w:val="center"/>
            </w:pPr>
            <w:r>
              <w:t>140</w:t>
            </w:r>
          </w:p>
        </w:tc>
        <w:tc>
          <w:tcPr>
            <w:tcW w:w="2138" w:type="dxa"/>
            <w:vAlign w:val="center"/>
          </w:tcPr>
          <w:p w14:paraId="204DC5A9" w14:textId="2CA67486" w:rsidR="006533E6" w:rsidRPr="00D24D98" w:rsidRDefault="00D24D98" w:rsidP="006533E6">
            <w:pPr>
              <w:pStyle w:val="Tabletext0"/>
              <w:jc w:val="center"/>
              <w:rPr>
                <w:vertAlign w:val="superscript"/>
              </w:rPr>
            </w:pPr>
            <w:r>
              <w:t xml:space="preserve">229 </w:t>
            </w:r>
            <w:r w:rsidR="002D18F5">
              <w:rPr>
                <w:vertAlign w:val="superscript"/>
              </w:rPr>
              <w:t>d</w:t>
            </w:r>
          </w:p>
        </w:tc>
        <w:tc>
          <w:tcPr>
            <w:tcW w:w="2138" w:type="dxa"/>
            <w:vAlign w:val="center"/>
          </w:tcPr>
          <w:p w14:paraId="62A4B34B" w14:textId="08D10B67" w:rsidR="006533E6" w:rsidRPr="005E3EED" w:rsidRDefault="00D24D98" w:rsidP="006533E6">
            <w:pPr>
              <w:pStyle w:val="Tabletext0"/>
              <w:jc w:val="center"/>
            </w:pPr>
            <w:r>
              <w:t xml:space="preserve">171 </w:t>
            </w:r>
            <w:r w:rsidR="002D18F5">
              <w:rPr>
                <w:vertAlign w:val="superscript"/>
              </w:rPr>
              <w:t>d</w:t>
            </w:r>
          </w:p>
        </w:tc>
        <w:tc>
          <w:tcPr>
            <w:tcW w:w="2138" w:type="dxa"/>
            <w:vAlign w:val="center"/>
          </w:tcPr>
          <w:p w14:paraId="3F6337A9" w14:textId="56AF3646" w:rsidR="006533E6" w:rsidRDefault="00D24D98" w:rsidP="006533E6">
            <w:pPr>
              <w:pStyle w:val="Tabletext0"/>
              <w:jc w:val="center"/>
            </w:pPr>
            <w:r>
              <w:t xml:space="preserve">171 </w:t>
            </w:r>
            <w:r w:rsidR="002D18F5">
              <w:rPr>
                <w:vertAlign w:val="superscript"/>
              </w:rPr>
              <w:t>d</w:t>
            </w:r>
          </w:p>
        </w:tc>
      </w:tr>
      <w:tr w:rsidR="005B127F" w14:paraId="04266A89" w14:textId="39DB9E99" w:rsidTr="00AC3CCC">
        <w:tc>
          <w:tcPr>
            <w:tcW w:w="9016" w:type="dxa"/>
            <w:gridSpan w:val="5"/>
          </w:tcPr>
          <w:p w14:paraId="39602C00" w14:textId="64B6C3E3" w:rsidR="005B127F" w:rsidRDefault="005B127F" w:rsidP="00EA2942">
            <w:pPr>
              <w:pStyle w:val="Tabletext0"/>
            </w:pPr>
            <w:r>
              <w:t>Health service eligibility</w:t>
            </w:r>
          </w:p>
        </w:tc>
      </w:tr>
      <w:tr w:rsidR="006533E6" w14:paraId="34F2A987" w14:textId="59E48ADB" w:rsidTr="005C63DB">
        <w:tc>
          <w:tcPr>
            <w:tcW w:w="1629" w:type="dxa"/>
          </w:tcPr>
          <w:p w14:paraId="22E269F5" w14:textId="2A85A0B4" w:rsidR="006533E6" w:rsidRPr="00912178" w:rsidRDefault="00B57D96" w:rsidP="004C1E15">
            <w:pPr>
              <w:pStyle w:val="Tabletext0"/>
              <w:ind w:left="174"/>
              <w:jc w:val="left"/>
            </w:pPr>
            <w:r>
              <w:t>I</w:t>
            </w:r>
            <w:r w:rsidRPr="00243DE3">
              <w:t xml:space="preserve">s funded by the Department of Health and Aged Care’s </w:t>
            </w:r>
            <w:r w:rsidR="005133CC">
              <w:t>First Nations</w:t>
            </w:r>
            <w:r w:rsidR="005133CC" w:rsidRPr="00243DE3">
              <w:t xml:space="preserve"> </w:t>
            </w:r>
            <w:r w:rsidRPr="00243DE3">
              <w:t>Health Division for the provision of primary healthcare services to First Nations people</w:t>
            </w:r>
          </w:p>
        </w:tc>
        <w:tc>
          <w:tcPr>
            <w:tcW w:w="973" w:type="dxa"/>
            <w:vAlign w:val="center"/>
          </w:tcPr>
          <w:p w14:paraId="6307952C" w14:textId="616090DA" w:rsidR="006533E6" w:rsidRPr="00912178" w:rsidRDefault="006533E6" w:rsidP="006533E6">
            <w:pPr>
              <w:pStyle w:val="Tabletext0"/>
              <w:jc w:val="center"/>
            </w:pPr>
            <w:r>
              <w:t>Yes</w:t>
            </w:r>
          </w:p>
        </w:tc>
        <w:tc>
          <w:tcPr>
            <w:tcW w:w="2138" w:type="dxa"/>
            <w:vAlign w:val="center"/>
          </w:tcPr>
          <w:p w14:paraId="7329A7CC" w14:textId="29884D21" w:rsidR="006533E6" w:rsidRPr="00912178" w:rsidRDefault="006533E6" w:rsidP="006533E6">
            <w:pPr>
              <w:pStyle w:val="Tabletext0"/>
              <w:jc w:val="center"/>
            </w:pPr>
            <w:r>
              <w:t>Yes</w:t>
            </w:r>
          </w:p>
        </w:tc>
        <w:tc>
          <w:tcPr>
            <w:tcW w:w="2138" w:type="dxa"/>
            <w:vAlign w:val="center"/>
          </w:tcPr>
          <w:p w14:paraId="207579D4" w14:textId="116683B1" w:rsidR="006533E6" w:rsidRDefault="006533E6" w:rsidP="006533E6">
            <w:pPr>
              <w:pStyle w:val="Tabletext0"/>
              <w:jc w:val="center"/>
            </w:pPr>
            <w:r>
              <w:t>Yes</w:t>
            </w:r>
          </w:p>
        </w:tc>
        <w:tc>
          <w:tcPr>
            <w:tcW w:w="2138" w:type="dxa"/>
            <w:vAlign w:val="center"/>
          </w:tcPr>
          <w:p w14:paraId="2FAFDBDC" w14:textId="6F4356F8" w:rsidR="006533E6" w:rsidRDefault="006533E6" w:rsidP="006533E6">
            <w:pPr>
              <w:pStyle w:val="Tabletext0"/>
              <w:jc w:val="center"/>
            </w:pPr>
            <w:r>
              <w:t>Yes</w:t>
            </w:r>
          </w:p>
        </w:tc>
      </w:tr>
      <w:tr w:rsidR="006533E6" w14:paraId="0DA59107" w14:textId="2CAE65BA" w:rsidTr="005C63DB">
        <w:tc>
          <w:tcPr>
            <w:tcW w:w="1629" w:type="dxa"/>
          </w:tcPr>
          <w:p w14:paraId="638F481B" w14:textId="551E784F" w:rsidR="006533E6" w:rsidRPr="00912178" w:rsidRDefault="00B57D96" w:rsidP="004C1E15">
            <w:pPr>
              <w:pStyle w:val="Tabletext0"/>
              <w:jc w:val="left"/>
            </w:pPr>
            <w:r>
              <w:t xml:space="preserve">The health service is required to be a member of </w:t>
            </w:r>
            <w:r w:rsidR="006533E6">
              <w:t xml:space="preserve">NACCHO and </w:t>
            </w:r>
            <w:r>
              <w:t>r</w:t>
            </w:r>
            <w:r w:rsidRPr="00B532E9">
              <w:t>elevant NACCHO State/Territory Affiliate</w:t>
            </w:r>
          </w:p>
        </w:tc>
        <w:tc>
          <w:tcPr>
            <w:tcW w:w="973" w:type="dxa"/>
            <w:vAlign w:val="center"/>
          </w:tcPr>
          <w:p w14:paraId="0ACE13F2" w14:textId="2B90DAA8" w:rsidR="006533E6" w:rsidRPr="00912178" w:rsidRDefault="006533E6" w:rsidP="006533E6">
            <w:pPr>
              <w:pStyle w:val="Tabletext0"/>
              <w:jc w:val="center"/>
            </w:pPr>
            <w:r>
              <w:t>Yes</w:t>
            </w:r>
          </w:p>
        </w:tc>
        <w:tc>
          <w:tcPr>
            <w:tcW w:w="2138" w:type="dxa"/>
            <w:vAlign w:val="center"/>
          </w:tcPr>
          <w:p w14:paraId="1EDFE01E" w14:textId="680B5AA1" w:rsidR="006533E6" w:rsidRPr="00912178" w:rsidRDefault="006533E6" w:rsidP="006533E6">
            <w:pPr>
              <w:pStyle w:val="Tabletext0"/>
              <w:jc w:val="center"/>
            </w:pPr>
            <w:r>
              <w:t>No</w:t>
            </w:r>
          </w:p>
        </w:tc>
        <w:tc>
          <w:tcPr>
            <w:tcW w:w="2138" w:type="dxa"/>
            <w:vAlign w:val="center"/>
          </w:tcPr>
          <w:p w14:paraId="2DB9DE74" w14:textId="24D6DC2B" w:rsidR="006533E6" w:rsidRDefault="006533E6" w:rsidP="006533E6">
            <w:pPr>
              <w:pStyle w:val="Tabletext0"/>
              <w:jc w:val="center"/>
            </w:pPr>
            <w:r>
              <w:t>No</w:t>
            </w:r>
          </w:p>
        </w:tc>
        <w:tc>
          <w:tcPr>
            <w:tcW w:w="2138" w:type="dxa"/>
            <w:vAlign w:val="center"/>
          </w:tcPr>
          <w:p w14:paraId="39816743" w14:textId="056C5A5D" w:rsidR="006533E6" w:rsidRDefault="006533E6" w:rsidP="006533E6">
            <w:pPr>
              <w:pStyle w:val="Tabletext0"/>
              <w:jc w:val="center"/>
            </w:pPr>
            <w:r>
              <w:t>No</w:t>
            </w:r>
          </w:p>
        </w:tc>
      </w:tr>
      <w:tr w:rsidR="006533E6" w14:paraId="5996A6AA" w14:textId="26DC2F23" w:rsidTr="005C63DB">
        <w:tc>
          <w:tcPr>
            <w:tcW w:w="1629" w:type="dxa"/>
          </w:tcPr>
          <w:p w14:paraId="67164A6E" w14:textId="13676933" w:rsidR="006533E6" w:rsidRPr="00912178" w:rsidRDefault="006533E6" w:rsidP="004C1E15">
            <w:pPr>
              <w:pStyle w:val="Tabletext0"/>
              <w:jc w:val="left"/>
            </w:pPr>
            <w:r>
              <w:t>Minimum GP FTE</w:t>
            </w:r>
          </w:p>
        </w:tc>
        <w:tc>
          <w:tcPr>
            <w:tcW w:w="973" w:type="dxa"/>
            <w:vAlign w:val="center"/>
          </w:tcPr>
          <w:p w14:paraId="5D324390" w14:textId="0C4438C1" w:rsidR="006533E6" w:rsidRPr="00912178" w:rsidRDefault="006533E6" w:rsidP="006533E6">
            <w:pPr>
              <w:pStyle w:val="Tabletext0"/>
              <w:jc w:val="center"/>
            </w:pPr>
            <w:r>
              <w:t>≥ 1</w:t>
            </w:r>
          </w:p>
        </w:tc>
        <w:tc>
          <w:tcPr>
            <w:tcW w:w="2138" w:type="dxa"/>
            <w:vAlign w:val="center"/>
          </w:tcPr>
          <w:p w14:paraId="6C56D0D7" w14:textId="3094C7E1" w:rsidR="006533E6" w:rsidRPr="00912178" w:rsidRDefault="006533E6" w:rsidP="006533E6">
            <w:pPr>
              <w:pStyle w:val="Tabletext0"/>
              <w:jc w:val="center"/>
            </w:pPr>
            <w:r>
              <w:t>Not applicable</w:t>
            </w:r>
          </w:p>
        </w:tc>
        <w:tc>
          <w:tcPr>
            <w:tcW w:w="2138" w:type="dxa"/>
            <w:vAlign w:val="center"/>
          </w:tcPr>
          <w:p w14:paraId="728F03F8" w14:textId="580C903C" w:rsidR="006533E6" w:rsidRDefault="006533E6" w:rsidP="006533E6">
            <w:pPr>
              <w:pStyle w:val="Tabletext0"/>
              <w:jc w:val="center"/>
            </w:pPr>
            <w:r>
              <w:t>≥ 1</w:t>
            </w:r>
          </w:p>
        </w:tc>
        <w:tc>
          <w:tcPr>
            <w:tcW w:w="2138" w:type="dxa"/>
            <w:vAlign w:val="center"/>
          </w:tcPr>
          <w:p w14:paraId="680917EC" w14:textId="28D3556A" w:rsidR="006533E6" w:rsidRDefault="006533E6" w:rsidP="006533E6">
            <w:pPr>
              <w:pStyle w:val="Tabletext0"/>
              <w:jc w:val="center"/>
            </w:pPr>
            <w:r>
              <w:t>≥ 1</w:t>
            </w:r>
          </w:p>
        </w:tc>
      </w:tr>
      <w:tr w:rsidR="006533E6" w14:paraId="594D1297" w14:textId="3651F040" w:rsidTr="005C63DB">
        <w:tc>
          <w:tcPr>
            <w:tcW w:w="1629" w:type="dxa"/>
            <w:shd w:val="clear" w:color="auto" w:fill="auto"/>
          </w:tcPr>
          <w:p w14:paraId="6EE483EB" w14:textId="61DFA7B1" w:rsidR="006533E6" w:rsidRPr="00912178" w:rsidRDefault="006533E6" w:rsidP="004C1E15">
            <w:pPr>
              <w:pStyle w:val="Tabletext0"/>
              <w:jc w:val="left"/>
            </w:pPr>
            <w:r>
              <w:t>RACGP accredited practice</w:t>
            </w:r>
          </w:p>
        </w:tc>
        <w:tc>
          <w:tcPr>
            <w:tcW w:w="973" w:type="dxa"/>
            <w:shd w:val="clear" w:color="auto" w:fill="auto"/>
            <w:vAlign w:val="center"/>
          </w:tcPr>
          <w:p w14:paraId="4FA5BFE3" w14:textId="0B0DE449" w:rsidR="006533E6" w:rsidRPr="00912178" w:rsidRDefault="006533E6" w:rsidP="006533E6">
            <w:pPr>
              <w:pStyle w:val="Tabletext0"/>
              <w:jc w:val="center"/>
            </w:pPr>
            <w:r>
              <w:t>Yes</w:t>
            </w:r>
          </w:p>
        </w:tc>
        <w:tc>
          <w:tcPr>
            <w:tcW w:w="2138" w:type="dxa"/>
            <w:shd w:val="clear" w:color="auto" w:fill="auto"/>
            <w:vAlign w:val="center"/>
          </w:tcPr>
          <w:p w14:paraId="24BF4880" w14:textId="1E3A1C86" w:rsidR="006533E6" w:rsidRPr="00912178" w:rsidRDefault="006533E6" w:rsidP="006533E6">
            <w:pPr>
              <w:pStyle w:val="Tabletext0"/>
              <w:jc w:val="center"/>
            </w:pPr>
            <w:r>
              <w:t>No</w:t>
            </w:r>
          </w:p>
        </w:tc>
        <w:tc>
          <w:tcPr>
            <w:tcW w:w="2138" w:type="dxa"/>
            <w:shd w:val="clear" w:color="auto" w:fill="auto"/>
            <w:vAlign w:val="center"/>
          </w:tcPr>
          <w:p w14:paraId="05570694" w14:textId="71C2724A" w:rsidR="006533E6" w:rsidRDefault="006533E6" w:rsidP="006533E6">
            <w:pPr>
              <w:pStyle w:val="Tabletext0"/>
              <w:jc w:val="center"/>
            </w:pPr>
            <w:r>
              <w:t>No</w:t>
            </w:r>
          </w:p>
        </w:tc>
        <w:tc>
          <w:tcPr>
            <w:tcW w:w="2138" w:type="dxa"/>
            <w:shd w:val="clear" w:color="auto" w:fill="auto"/>
            <w:vAlign w:val="center"/>
          </w:tcPr>
          <w:p w14:paraId="007A94F4" w14:textId="01EFA6FD" w:rsidR="006533E6" w:rsidRDefault="006533E6" w:rsidP="006533E6">
            <w:pPr>
              <w:pStyle w:val="Tabletext0"/>
              <w:jc w:val="center"/>
            </w:pPr>
            <w:r>
              <w:t>No</w:t>
            </w:r>
          </w:p>
        </w:tc>
      </w:tr>
      <w:tr w:rsidR="006533E6" w14:paraId="7B00CD2E" w14:textId="6A16A3D0" w:rsidTr="005C63DB">
        <w:tc>
          <w:tcPr>
            <w:tcW w:w="1629" w:type="dxa"/>
            <w:shd w:val="clear" w:color="auto" w:fill="auto"/>
          </w:tcPr>
          <w:p w14:paraId="447C3288" w14:textId="195D8183" w:rsidR="006533E6" w:rsidRPr="00912178" w:rsidRDefault="006533E6" w:rsidP="004C1E15">
            <w:pPr>
              <w:pStyle w:val="Tabletext0"/>
              <w:jc w:val="left"/>
            </w:pPr>
            <w:r>
              <w:t xml:space="preserve">Eligible for </w:t>
            </w:r>
            <w:r w:rsidR="3CA0880F">
              <w:t xml:space="preserve">CTG </w:t>
            </w:r>
            <w:r w:rsidRPr="00CD7596">
              <w:t xml:space="preserve">PBS </w:t>
            </w:r>
            <w:r w:rsidR="171507CB" w:rsidRPr="00CD7596">
              <w:t>co</w:t>
            </w:r>
            <w:r w:rsidR="62A02214" w:rsidRPr="00CD7596">
              <w:t>-</w:t>
            </w:r>
            <w:r w:rsidR="171507CB" w:rsidRPr="00CD7596">
              <w:t>payment</w:t>
            </w:r>
            <w:r w:rsidRPr="00CD7596">
              <w:t xml:space="preserve"> </w:t>
            </w:r>
            <w:r w:rsidRPr="00CD7596">
              <w:lastRenderedPageBreak/>
              <w:t xml:space="preserve">measure </w:t>
            </w:r>
            <w:r>
              <w:t>or s100 PBS supply in remote areas</w:t>
            </w:r>
          </w:p>
        </w:tc>
        <w:tc>
          <w:tcPr>
            <w:tcW w:w="973" w:type="dxa"/>
            <w:shd w:val="clear" w:color="auto" w:fill="auto"/>
            <w:vAlign w:val="center"/>
          </w:tcPr>
          <w:p w14:paraId="6BAB634B" w14:textId="2E7F5FDF" w:rsidR="006533E6" w:rsidRPr="00912178" w:rsidRDefault="006533E6" w:rsidP="006533E6">
            <w:pPr>
              <w:pStyle w:val="Tabletext0"/>
              <w:jc w:val="center"/>
            </w:pPr>
            <w:r>
              <w:lastRenderedPageBreak/>
              <w:t>Yes</w:t>
            </w:r>
          </w:p>
        </w:tc>
        <w:tc>
          <w:tcPr>
            <w:tcW w:w="2138" w:type="dxa"/>
            <w:shd w:val="clear" w:color="auto" w:fill="auto"/>
            <w:vAlign w:val="center"/>
          </w:tcPr>
          <w:p w14:paraId="290D36EC" w14:textId="76BEEBA1" w:rsidR="006533E6" w:rsidRPr="00912178" w:rsidRDefault="006533E6" w:rsidP="006533E6">
            <w:pPr>
              <w:pStyle w:val="Tabletext0"/>
              <w:jc w:val="center"/>
            </w:pPr>
            <w:r>
              <w:t>Yes</w:t>
            </w:r>
          </w:p>
        </w:tc>
        <w:tc>
          <w:tcPr>
            <w:tcW w:w="2138" w:type="dxa"/>
            <w:shd w:val="clear" w:color="auto" w:fill="auto"/>
            <w:vAlign w:val="center"/>
          </w:tcPr>
          <w:p w14:paraId="5FCC6D42" w14:textId="7B06864B" w:rsidR="006533E6" w:rsidRPr="003D519E" w:rsidRDefault="006533E6" w:rsidP="006533E6">
            <w:pPr>
              <w:pStyle w:val="Tabletext0"/>
              <w:jc w:val="center"/>
              <w:rPr>
                <w:highlight w:val="magenta"/>
              </w:rPr>
            </w:pPr>
            <w:r w:rsidRPr="003D1864">
              <w:t>Yes</w:t>
            </w:r>
          </w:p>
        </w:tc>
        <w:tc>
          <w:tcPr>
            <w:tcW w:w="2138" w:type="dxa"/>
            <w:shd w:val="clear" w:color="auto" w:fill="auto"/>
            <w:vAlign w:val="center"/>
          </w:tcPr>
          <w:p w14:paraId="019755A8" w14:textId="61E5DB80" w:rsidR="006533E6" w:rsidRPr="003D1864" w:rsidRDefault="006533E6" w:rsidP="006533E6">
            <w:pPr>
              <w:pStyle w:val="Tabletext0"/>
              <w:jc w:val="center"/>
            </w:pPr>
            <w:r w:rsidRPr="003D1864">
              <w:t>Yes</w:t>
            </w:r>
          </w:p>
        </w:tc>
      </w:tr>
      <w:tr w:rsidR="006533E6" w14:paraId="276A35FE" w14:textId="79AC8171" w:rsidTr="005C63DB">
        <w:tc>
          <w:tcPr>
            <w:tcW w:w="1629" w:type="dxa"/>
            <w:shd w:val="clear" w:color="auto" w:fill="auto"/>
          </w:tcPr>
          <w:p w14:paraId="1BFF6B2B" w14:textId="0A0EBD6A" w:rsidR="006533E6" w:rsidRPr="00912178" w:rsidRDefault="006533E6" w:rsidP="004C1E15">
            <w:pPr>
              <w:pStyle w:val="Tabletext0"/>
              <w:jc w:val="left"/>
            </w:pPr>
            <w:r>
              <w:t>Private consulting room</w:t>
            </w:r>
          </w:p>
        </w:tc>
        <w:tc>
          <w:tcPr>
            <w:tcW w:w="973" w:type="dxa"/>
            <w:shd w:val="clear" w:color="auto" w:fill="auto"/>
            <w:vAlign w:val="center"/>
          </w:tcPr>
          <w:p w14:paraId="30BF0A9E" w14:textId="7E114012" w:rsidR="006533E6" w:rsidRPr="00912178" w:rsidRDefault="006533E6" w:rsidP="006533E6">
            <w:pPr>
              <w:pStyle w:val="Tabletext0"/>
              <w:jc w:val="center"/>
            </w:pPr>
            <w:r>
              <w:t>Yes</w:t>
            </w:r>
          </w:p>
        </w:tc>
        <w:tc>
          <w:tcPr>
            <w:tcW w:w="2138" w:type="dxa"/>
            <w:shd w:val="clear" w:color="auto" w:fill="auto"/>
            <w:vAlign w:val="center"/>
          </w:tcPr>
          <w:p w14:paraId="2C071981" w14:textId="445AEA79" w:rsidR="006533E6" w:rsidRPr="00912178" w:rsidRDefault="006533E6" w:rsidP="006533E6">
            <w:pPr>
              <w:pStyle w:val="Tabletext0"/>
              <w:jc w:val="center"/>
            </w:pPr>
            <w:r>
              <w:t>Yes</w:t>
            </w:r>
          </w:p>
        </w:tc>
        <w:tc>
          <w:tcPr>
            <w:tcW w:w="2138" w:type="dxa"/>
            <w:shd w:val="clear" w:color="auto" w:fill="auto"/>
            <w:vAlign w:val="center"/>
          </w:tcPr>
          <w:p w14:paraId="5B1F0B94" w14:textId="714AB054" w:rsidR="006533E6" w:rsidRPr="003D519E" w:rsidRDefault="006533E6" w:rsidP="006533E6">
            <w:pPr>
              <w:pStyle w:val="Tabletext0"/>
              <w:jc w:val="center"/>
              <w:rPr>
                <w:highlight w:val="magenta"/>
              </w:rPr>
            </w:pPr>
            <w:r w:rsidRPr="003D1864">
              <w:t>Yes</w:t>
            </w:r>
          </w:p>
        </w:tc>
        <w:tc>
          <w:tcPr>
            <w:tcW w:w="2138" w:type="dxa"/>
            <w:shd w:val="clear" w:color="auto" w:fill="auto"/>
            <w:vAlign w:val="center"/>
          </w:tcPr>
          <w:p w14:paraId="69EECF66" w14:textId="4A22A20E" w:rsidR="006533E6" w:rsidRPr="003D1864" w:rsidRDefault="006533E6" w:rsidP="006533E6">
            <w:pPr>
              <w:pStyle w:val="Tabletext0"/>
              <w:jc w:val="center"/>
            </w:pPr>
            <w:r w:rsidRPr="003D1864">
              <w:t>Yes</w:t>
            </w:r>
          </w:p>
        </w:tc>
      </w:tr>
      <w:tr w:rsidR="006533E6" w14:paraId="6D1644BC" w14:textId="55C89347" w:rsidTr="005C63DB">
        <w:tc>
          <w:tcPr>
            <w:tcW w:w="1629" w:type="dxa"/>
            <w:shd w:val="clear" w:color="auto" w:fill="auto"/>
          </w:tcPr>
          <w:p w14:paraId="02D90C34" w14:textId="1AC1FCB0" w:rsidR="006533E6" w:rsidRPr="008E71C0" w:rsidRDefault="006533E6" w:rsidP="004C1E15">
            <w:pPr>
              <w:pStyle w:val="Tabletext0"/>
              <w:jc w:val="left"/>
              <w:rPr>
                <w:vertAlign w:val="superscript"/>
              </w:rPr>
            </w:pPr>
            <w:r>
              <w:t xml:space="preserve">Eligible to claim HMRs and </w:t>
            </w:r>
            <w:proofErr w:type="spellStart"/>
            <w:r>
              <w:t>MedsChecks</w:t>
            </w:r>
            <w:r w:rsidR="002D18F5">
              <w:rPr>
                <w:vertAlign w:val="superscript"/>
              </w:rPr>
              <w:t>e</w:t>
            </w:r>
            <w:proofErr w:type="spellEnd"/>
          </w:p>
        </w:tc>
        <w:tc>
          <w:tcPr>
            <w:tcW w:w="973" w:type="dxa"/>
            <w:shd w:val="clear" w:color="auto" w:fill="auto"/>
            <w:vAlign w:val="center"/>
          </w:tcPr>
          <w:p w14:paraId="5BB5DEA3" w14:textId="14973A7B" w:rsidR="006533E6" w:rsidRPr="00912178" w:rsidRDefault="006533E6" w:rsidP="006533E6">
            <w:pPr>
              <w:pStyle w:val="Tabletext0"/>
              <w:jc w:val="center"/>
            </w:pPr>
            <w:r>
              <w:t>Yes</w:t>
            </w:r>
          </w:p>
        </w:tc>
        <w:tc>
          <w:tcPr>
            <w:tcW w:w="2138" w:type="dxa"/>
            <w:shd w:val="clear" w:color="auto" w:fill="auto"/>
            <w:vAlign w:val="center"/>
          </w:tcPr>
          <w:p w14:paraId="6B2B0972" w14:textId="01FA38D1" w:rsidR="006533E6" w:rsidRPr="00912178" w:rsidRDefault="006533E6" w:rsidP="006533E6">
            <w:pPr>
              <w:pStyle w:val="Tabletext0"/>
              <w:jc w:val="center"/>
            </w:pPr>
            <w:r>
              <w:t>No</w:t>
            </w:r>
          </w:p>
        </w:tc>
        <w:tc>
          <w:tcPr>
            <w:tcW w:w="2138" w:type="dxa"/>
            <w:shd w:val="clear" w:color="auto" w:fill="auto"/>
            <w:vAlign w:val="center"/>
          </w:tcPr>
          <w:p w14:paraId="4406BF3F" w14:textId="661884C3" w:rsidR="006533E6" w:rsidRDefault="006533E6" w:rsidP="006533E6">
            <w:pPr>
              <w:pStyle w:val="Tabletext0"/>
              <w:jc w:val="center"/>
            </w:pPr>
            <w:r>
              <w:t>No</w:t>
            </w:r>
          </w:p>
        </w:tc>
        <w:tc>
          <w:tcPr>
            <w:tcW w:w="2138" w:type="dxa"/>
            <w:shd w:val="clear" w:color="auto" w:fill="auto"/>
            <w:vAlign w:val="center"/>
          </w:tcPr>
          <w:p w14:paraId="0AC6DC78" w14:textId="2DAFDACA" w:rsidR="006533E6" w:rsidRDefault="006533E6" w:rsidP="006533E6">
            <w:pPr>
              <w:pStyle w:val="Tabletext0"/>
              <w:jc w:val="center"/>
            </w:pPr>
            <w:r>
              <w:t>No</w:t>
            </w:r>
          </w:p>
        </w:tc>
      </w:tr>
      <w:tr w:rsidR="006533E6" w14:paraId="3DFBB347" w14:textId="10B61CAA" w:rsidTr="005C63DB">
        <w:tc>
          <w:tcPr>
            <w:tcW w:w="1629" w:type="dxa"/>
            <w:shd w:val="clear" w:color="auto" w:fill="auto"/>
          </w:tcPr>
          <w:p w14:paraId="31042BF0" w14:textId="22E92BBD" w:rsidR="006533E6" w:rsidRPr="00912178" w:rsidRDefault="006533E6" w:rsidP="004C1E15">
            <w:pPr>
              <w:pStyle w:val="Tabletext0"/>
              <w:jc w:val="left"/>
            </w:pPr>
            <w:r>
              <w:t>Overlap with IHSPS</w:t>
            </w:r>
          </w:p>
        </w:tc>
        <w:tc>
          <w:tcPr>
            <w:tcW w:w="973" w:type="dxa"/>
            <w:shd w:val="clear" w:color="auto" w:fill="auto"/>
            <w:vAlign w:val="center"/>
          </w:tcPr>
          <w:p w14:paraId="081654AE" w14:textId="300C2451" w:rsidR="006533E6" w:rsidRPr="00912178" w:rsidRDefault="00286FFA" w:rsidP="006533E6">
            <w:pPr>
              <w:pStyle w:val="Tabletext0"/>
              <w:jc w:val="center"/>
            </w:pPr>
            <w:r>
              <w:t>Not Applicable</w:t>
            </w:r>
          </w:p>
        </w:tc>
        <w:tc>
          <w:tcPr>
            <w:tcW w:w="2138" w:type="dxa"/>
            <w:shd w:val="clear" w:color="auto" w:fill="auto"/>
            <w:vAlign w:val="center"/>
          </w:tcPr>
          <w:p w14:paraId="5BBB5D6B" w14:textId="2056A6CB" w:rsidR="006533E6" w:rsidRPr="00912178" w:rsidRDefault="006533E6" w:rsidP="006533E6">
            <w:pPr>
              <w:pStyle w:val="Tabletext0"/>
              <w:jc w:val="center"/>
            </w:pPr>
            <w:r>
              <w:t>Yes</w:t>
            </w:r>
          </w:p>
        </w:tc>
        <w:tc>
          <w:tcPr>
            <w:tcW w:w="2138" w:type="dxa"/>
            <w:shd w:val="clear" w:color="auto" w:fill="auto"/>
            <w:vAlign w:val="center"/>
          </w:tcPr>
          <w:p w14:paraId="3CFF20D3" w14:textId="55AA2B05" w:rsidR="006533E6" w:rsidRDefault="006533E6" w:rsidP="006533E6">
            <w:pPr>
              <w:pStyle w:val="Tabletext0"/>
              <w:jc w:val="center"/>
            </w:pPr>
            <w:r>
              <w:t>Yes</w:t>
            </w:r>
          </w:p>
        </w:tc>
        <w:tc>
          <w:tcPr>
            <w:tcW w:w="2138" w:type="dxa"/>
            <w:shd w:val="clear" w:color="auto" w:fill="auto"/>
            <w:vAlign w:val="center"/>
          </w:tcPr>
          <w:p w14:paraId="357671D0" w14:textId="4E6939D8" w:rsidR="006533E6" w:rsidRDefault="006533E6" w:rsidP="006533E6">
            <w:pPr>
              <w:pStyle w:val="Tabletext0"/>
              <w:jc w:val="center"/>
            </w:pPr>
            <w:r>
              <w:t>Yes</w:t>
            </w:r>
          </w:p>
        </w:tc>
      </w:tr>
      <w:tr w:rsidR="006533E6" w14:paraId="79D2A7CF" w14:textId="6D6E9C47" w:rsidTr="005C63DB">
        <w:tc>
          <w:tcPr>
            <w:tcW w:w="1629" w:type="dxa"/>
            <w:shd w:val="clear" w:color="auto" w:fill="auto"/>
          </w:tcPr>
          <w:p w14:paraId="00F524DA" w14:textId="4AD19B33" w:rsidR="006533E6" w:rsidRPr="00912178" w:rsidRDefault="006533E6" w:rsidP="004C1E15">
            <w:pPr>
              <w:pStyle w:val="Tabletext0"/>
              <w:jc w:val="left"/>
            </w:pPr>
            <w:r>
              <w:t xml:space="preserve">Program administration </w:t>
            </w:r>
          </w:p>
        </w:tc>
        <w:tc>
          <w:tcPr>
            <w:tcW w:w="973" w:type="dxa"/>
            <w:shd w:val="clear" w:color="auto" w:fill="auto"/>
            <w:vAlign w:val="center"/>
          </w:tcPr>
          <w:p w14:paraId="57938015" w14:textId="1F07BCF0" w:rsidR="006533E6" w:rsidRPr="00912178" w:rsidRDefault="004F2E0B" w:rsidP="006533E6">
            <w:pPr>
              <w:pStyle w:val="Tabletext0"/>
              <w:jc w:val="center"/>
            </w:pPr>
            <w:r>
              <w:t>Not specified</w:t>
            </w:r>
          </w:p>
        </w:tc>
        <w:tc>
          <w:tcPr>
            <w:tcW w:w="2138" w:type="dxa"/>
            <w:shd w:val="clear" w:color="auto" w:fill="auto"/>
            <w:vAlign w:val="center"/>
          </w:tcPr>
          <w:p w14:paraId="50A58B02" w14:textId="2812E175" w:rsidR="006533E6" w:rsidRPr="00912178" w:rsidRDefault="006533E6" w:rsidP="006533E6">
            <w:pPr>
              <w:pStyle w:val="Tabletext0"/>
              <w:jc w:val="center"/>
            </w:pPr>
            <w:r>
              <w:t xml:space="preserve">NACCHO (preferred) </w:t>
            </w:r>
            <w:r w:rsidRPr="00CD7596">
              <w:t xml:space="preserve">or </w:t>
            </w:r>
            <w:proofErr w:type="gramStart"/>
            <w:r w:rsidRPr="00CD7596">
              <w:t>other</w:t>
            </w:r>
            <w:proofErr w:type="gramEnd"/>
            <w:r w:rsidRPr="00CD7596">
              <w:t xml:space="preserve"> administrator</w:t>
            </w:r>
          </w:p>
        </w:tc>
        <w:tc>
          <w:tcPr>
            <w:tcW w:w="2138" w:type="dxa"/>
            <w:shd w:val="clear" w:color="auto" w:fill="auto"/>
            <w:vAlign w:val="center"/>
          </w:tcPr>
          <w:p w14:paraId="32927D82" w14:textId="3D99A962" w:rsidR="006533E6" w:rsidRDefault="006533E6" w:rsidP="006533E6">
            <w:pPr>
              <w:pStyle w:val="Tabletext0"/>
              <w:jc w:val="center"/>
            </w:pPr>
            <w:r>
              <w:t xml:space="preserve">NACCHO (preferred) </w:t>
            </w:r>
            <w:r w:rsidRPr="00CD7596">
              <w:t xml:space="preserve">or </w:t>
            </w:r>
            <w:proofErr w:type="gramStart"/>
            <w:r w:rsidRPr="00CD7596">
              <w:t>other</w:t>
            </w:r>
            <w:proofErr w:type="gramEnd"/>
            <w:r w:rsidRPr="00CD7596">
              <w:t xml:space="preserve"> administrator</w:t>
            </w:r>
          </w:p>
        </w:tc>
        <w:tc>
          <w:tcPr>
            <w:tcW w:w="2138" w:type="dxa"/>
            <w:shd w:val="clear" w:color="auto" w:fill="auto"/>
            <w:vAlign w:val="center"/>
          </w:tcPr>
          <w:p w14:paraId="476E3DB6" w14:textId="35DCF1BB" w:rsidR="006533E6" w:rsidRDefault="006533E6" w:rsidP="006533E6">
            <w:pPr>
              <w:pStyle w:val="Tabletext0"/>
              <w:jc w:val="center"/>
            </w:pPr>
            <w:r>
              <w:t xml:space="preserve">NACCHO (preferred) </w:t>
            </w:r>
            <w:r w:rsidRPr="00CD7596">
              <w:t xml:space="preserve">or </w:t>
            </w:r>
            <w:proofErr w:type="gramStart"/>
            <w:r w:rsidRPr="00CD7596">
              <w:t>other</w:t>
            </w:r>
            <w:proofErr w:type="gramEnd"/>
            <w:r w:rsidRPr="00CD7596">
              <w:t xml:space="preserve"> administrator</w:t>
            </w:r>
          </w:p>
        </w:tc>
      </w:tr>
    </w:tbl>
    <w:p w14:paraId="475DA785" w14:textId="1E8555EA" w:rsidR="00923D74" w:rsidRDefault="009B718B" w:rsidP="003E1AEB">
      <w:pPr>
        <w:pStyle w:val="TableFooter"/>
      </w:pPr>
      <w:r>
        <w:t>Source:</w:t>
      </w:r>
      <w:r w:rsidR="007C5EA5">
        <w:t xml:space="preserve"> Compiled from the ADAR and developed by the Department. </w:t>
      </w:r>
    </w:p>
    <w:p w14:paraId="4E755287" w14:textId="3878A7C8" w:rsidR="009B718B" w:rsidRDefault="00D73136" w:rsidP="003E1AEB">
      <w:pPr>
        <w:pStyle w:val="TableFooter"/>
      </w:pPr>
      <w:r>
        <w:t xml:space="preserve">ADAR = applicant developed assessment report; </w:t>
      </w:r>
      <w:r w:rsidR="00F07FF5">
        <w:t xml:space="preserve">FTE = full time equivalent; </w:t>
      </w:r>
      <w:r w:rsidR="0032504D">
        <w:t xml:space="preserve">GP = general practitioner; </w:t>
      </w:r>
      <w:r w:rsidR="00103957">
        <w:t xml:space="preserve">HMR = Home </w:t>
      </w:r>
      <w:r w:rsidR="00A03B14">
        <w:t>Medicines Review</w:t>
      </w:r>
      <w:r w:rsidR="00103957">
        <w:t xml:space="preserve">; </w:t>
      </w:r>
      <w:r w:rsidR="009A772C">
        <w:t xml:space="preserve">IHSPS = </w:t>
      </w:r>
      <w:r w:rsidR="009A772C" w:rsidRPr="009A772C">
        <w:t>Indigenous Health Services Pharmacy Support</w:t>
      </w:r>
      <w:r w:rsidR="009A772C">
        <w:t xml:space="preserve">; </w:t>
      </w:r>
      <w:r w:rsidR="00797F2F">
        <w:t xml:space="preserve">MMM </w:t>
      </w:r>
      <w:r w:rsidR="00DA1CB0">
        <w:t xml:space="preserve">= Modified Monash </w:t>
      </w:r>
      <w:r w:rsidR="00797F2F">
        <w:t xml:space="preserve">Model </w:t>
      </w:r>
      <w:r w:rsidR="008A5A8A">
        <w:t xml:space="preserve">remoteness </w:t>
      </w:r>
      <w:r w:rsidR="00103957">
        <w:t>classification</w:t>
      </w:r>
      <w:r w:rsidR="00EF3724">
        <w:t xml:space="preserve">. </w:t>
      </w:r>
      <w:r w:rsidR="000C5146">
        <w:t xml:space="preserve">NACCHO = </w:t>
      </w:r>
      <w:r w:rsidR="001A39FA" w:rsidRPr="001A39FA">
        <w:t>National Aboriginal Community Controlled Health Organisation</w:t>
      </w:r>
      <w:r w:rsidR="001A39FA">
        <w:t>;</w:t>
      </w:r>
      <w:r w:rsidR="001A39FA" w:rsidRPr="001A39FA">
        <w:t xml:space="preserve"> </w:t>
      </w:r>
      <w:r w:rsidR="00923D74">
        <w:t>PBS = Pharmaceutical Benefits Scheme</w:t>
      </w:r>
    </w:p>
    <w:p w14:paraId="1C4A3245" w14:textId="57553D81" w:rsidR="00806CD0" w:rsidRDefault="00806CD0" w:rsidP="003E1AEB">
      <w:pPr>
        <w:pStyle w:val="TableFooter"/>
        <w:rPr>
          <w:vertAlign w:val="superscript"/>
        </w:rPr>
      </w:pPr>
      <w:r>
        <w:rPr>
          <w:vertAlign w:val="superscript"/>
        </w:rPr>
        <w:t xml:space="preserve">a </w:t>
      </w:r>
      <w:r w:rsidRPr="00806CD0">
        <w:t>Clinics have the option to develop consortiums, therefore all clinics are included in the financial estimates for uptake.</w:t>
      </w:r>
      <w:r w:rsidRPr="00806CD0">
        <w:rPr>
          <w:vertAlign w:val="superscript"/>
        </w:rPr>
        <w:t xml:space="preserve">  </w:t>
      </w:r>
    </w:p>
    <w:p w14:paraId="7457EA2D" w14:textId="5A971613" w:rsidR="002D18F5" w:rsidRPr="00A92472" w:rsidRDefault="000147BB" w:rsidP="003E1AEB">
      <w:pPr>
        <w:pStyle w:val="TableFooter"/>
      </w:pPr>
      <w:r>
        <w:rPr>
          <w:vertAlign w:val="superscript"/>
        </w:rPr>
        <w:t>b</w:t>
      </w:r>
      <w:r w:rsidR="002D18F5" w:rsidRPr="002D18F5">
        <w:t xml:space="preserve"> </w:t>
      </w:r>
      <w:r w:rsidR="002D18F5">
        <w:t>T</w:t>
      </w:r>
      <w:r w:rsidR="002D18F5" w:rsidRPr="00A92472">
        <w:t>he ADAR base salary was $125,000 inclusive of oncosts, with the $151,618 reflecting the average salary inclusive of rurality loadings</w:t>
      </w:r>
      <w:r w:rsidR="002D18F5">
        <w:t>.</w:t>
      </w:r>
    </w:p>
    <w:p w14:paraId="2C633177" w14:textId="6BBFA546" w:rsidR="000147BB" w:rsidRPr="000147BB" w:rsidRDefault="002D18F5" w:rsidP="003E1AEB">
      <w:pPr>
        <w:pStyle w:val="TableFooter"/>
      </w:pPr>
      <w:r>
        <w:rPr>
          <w:vertAlign w:val="superscript"/>
        </w:rPr>
        <w:t>c</w:t>
      </w:r>
      <w:r w:rsidR="000147BB">
        <w:rPr>
          <w:vertAlign w:val="superscript"/>
        </w:rPr>
        <w:t xml:space="preserve"> </w:t>
      </w:r>
      <w:r w:rsidR="000147BB" w:rsidRPr="000147BB">
        <w:t>Includes on-costs. Department proposed salary of rate for pharmacist grade 2 salary in 2019-2020, accounting for inflation estimated at 1.8% annually, per PPA report Community and Hospital Pharmacists Employment and Remuneration Report 2019-20202) with 17% on-costs ($16,410).</w:t>
      </w:r>
    </w:p>
    <w:p w14:paraId="3770FF76" w14:textId="06E8043B" w:rsidR="00D24D98" w:rsidRDefault="002D18F5" w:rsidP="003E1AEB">
      <w:pPr>
        <w:pStyle w:val="TableFooter"/>
      </w:pPr>
      <w:r>
        <w:rPr>
          <w:vertAlign w:val="superscript"/>
        </w:rPr>
        <w:t>d</w:t>
      </w:r>
      <w:r w:rsidR="00D24D98">
        <w:rPr>
          <w:vertAlign w:val="superscript"/>
        </w:rPr>
        <w:t xml:space="preserve"> </w:t>
      </w:r>
      <w:r w:rsidR="00D24D98">
        <w:t xml:space="preserve">Includes 49 </w:t>
      </w:r>
      <w:r w:rsidR="009A5CEE">
        <w:t>health services funded by the Northern Territory Government</w:t>
      </w:r>
      <w:r w:rsidR="0022376B">
        <w:t xml:space="preserve">. </w:t>
      </w:r>
      <w:r w:rsidR="009A5CEE">
        <w:t xml:space="preserve"> </w:t>
      </w:r>
    </w:p>
    <w:p w14:paraId="4E1204FA" w14:textId="0DF6F206" w:rsidR="008E71C0" w:rsidRPr="008E71C0" w:rsidRDefault="002D18F5" w:rsidP="003E1AEB">
      <w:pPr>
        <w:pStyle w:val="TableFooter"/>
      </w:pPr>
      <w:r>
        <w:rPr>
          <w:vertAlign w:val="superscript"/>
        </w:rPr>
        <w:t>e</w:t>
      </w:r>
      <w:r w:rsidR="008E71C0">
        <w:t xml:space="preserve"> </w:t>
      </w:r>
      <w:r w:rsidR="008E71C0" w:rsidRPr="008E71C0">
        <w:t>Current HMR program rules would not exclude an IPAC salaried pharmacist from claiming under this service, such that program rules would be amended accordingly under the Department's proposed models</w:t>
      </w:r>
    </w:p>
    <w:p w14:paraId="34E0B08F" w14:textId="7D62F7E1" w:rsidR="00772829" w:rsidRPr="00CE28E3" w:rsidRDefault="0039393C" w:rsidP="002A18BE">
      <w:pPr>
        <w:pStyle w:val="Heading2"/>
        <w:numPr>
          <w:ilvl w:val="1"/>
          <w:numId w:val="0"/>
        </w:numPr>
      </w:pPr>
      <w:bookmarkStart w:id="20" w:name="_Toc69491419"/>
      <w:r>
        <w:t>7</w:t>
      </w:r>
      <w:r w:rsidR="00C36633">
        <w:t>.</w:t>
      </w:r>
      <w:r w:rsidR="00C36633">
        <w:tab/>
      </w:r>
      <w:r w:rsidR="00772829" w:rsidRPr="00CE28E3">
        <w:t>Population</w:t>
      </w:r>
      <w:bookmarkEnd w:id="20"/>
      <w:r w:rsidR="00772829" w:rsidRPr="00CE28E3">
        <w:t xml:space="preserve"> </w:t>
      </w:r>
    </w:p>
    <w:p w14:paraId="1F3D3B89" w14:textId="10C05640" w:rsidR="00590D18" w:rsidRDefault="009E303B" w:rsidP="00FC0270">
      <w:r w:rsidRPr="009E303B">
        <w:t>The burden of disease among Aboriginal and Torres Strait Islander people is 2.3 times that of non-Indigenous Australians</w:t>
      </w:r>
      <w:r w:rsidR="007428B1">
        <w:t>,</w:t>
      </w:r>
      <w:r w:rsidR="00DF066B">
        <w:t xml:space="preserve"> with mental health </w:t>
      </w:r>
      <w:r w:rsidR="00010CDE">
        <w:t>and other</w:t>
      </w:r>
      <w:r w:rsidR="00DF066B">
        <w:t xml:space="preserve"> </w:t>
      </w:r>
      <w:r w:rsidR="00010CDE">
        <w:t>chronic</w:t>
      </w:r>
      <w:r w:rsidR="00DF066B">
        <w:t xml:space="preserve"> diseases</w:t>
      </w:r>
      <w:r w:rsidR="003C036B">
        <w:t xml:space="preserve"> </w:t>
      </w:r>
      <w:r w:rsidR="008E7CE5">
        <w:t xml:space="preserve">being </w:t>
      </w:r>
      <w:proofErr w:type="gramStart"/>
      <w:r w:rsidR="008E7CE5">
        <w:t>particular areas</w:t>
      </w:r>
      <w:proofErr w:type="gramEnd"/>
      <w:r w:rsidR="008E7CE5">
        <w:t xml:space="preserve"> of concern</w:t>
      </w:r>
      <w:r w:rsidR="00850441">
        <w:rPr>
          <w:rStyle w:val="FootnoteReference"/>
        </w:rPr>
        <w:footnoteReference w:id="9"/>
      </w:r>
      <w:r w:rsidR="00850441">
        <w:t xml:space="preserve">. </w:t>
      </w:r>
      <w:r w:rsidR="00B370B5" w:rsidRPr="003B04EC">
        <w:t>The National Aboriginal and Torres Strait Islander Health Survey 2018-19, reported that 46% of Aboriginal and Torres Strait Islander people have at least one chronic condition</w:t>
      </w:r>
      <w:r w:rsidR="00406027">
        <w:t xml:space="preserve"> that posed a significant health problem</w:t>
      </w:r>
      <w:r w:rsidR="00B370B5" w:rsidRPr="003B04EC">
        <w:t xml:space="preserve">. </w:t>
      </w:r>
      <w:r w:rsidR="001D68B0">
        <w:t>This proportion was higher</w:t>
      </w:r>
      <w:r w:rsidR="00B77687">
        <w:t xml:space="preserve"> for people living in non-remote areas</w:t>
      </w:r>
      <w:r w:rsidR="00D23E89">
        <w:t xml:space="preserve"> (48%) than</w:t>
      </w:r>
      <w:r w:rsidR="001D68B0">
        <w:t xml:space="preserve"> in</w:t>
      </w:r>
      <w:r w:rsidR="00D23E89">
        <w:t xml:space="preserve"> remote areas</w:t>
      </w:r>
      <w:r w:rsidR="00321B5B">
        <w:t xml:space="preserve"> </w:t>
      </w:r>
      <w:r w:rsidR="00127167">
        <w:t>(33%)</w:t>
      </w:r>
      <w:r w:rsidR="00321B5B">
        <w:t xml:space="preserve">. </w:t>
      </w:r>
      <w:r w:rsidR="003A50ED">
        <w:t xml:space="preserve">While </w:t>
      </w:r>
      <w:r w:rsidR="00DB3E4B">
        <w:t>93% of</w:t>
      </w:r>
      <w:r w:rsidDel="0002048D">
        <w:t xml:space="preserve"> </w:t>
      </w:r>
      <w:r w:rsidR="3E230D49">
        <w:t>Aboriginal and Torres Strait Islander</w:t>
      </w:r>
      <w:r w:rsidR="0002048D">
        <w:t xml:space="preserve"> people with chronic conditions</w:t>
      </w:r>
      <w:r w:rsidR="003A50ED">
        <w:t xml:space="preserve"> had a GP consult</w:t>
      </w:r>
      <w:r w:rsidR="00FE1219">
        <w:t xml:space="preserve"> in the last 12 months, </w:t>
      </w:r>
      <w:r w:rsidR="00847252">
        <w:t>mor</w:t>
      </w:r>
      <w:r w:rsidR="00002C56">
        <w:t xml:space="preserve">e </w:t>
      </w:r>
      <w:r w:rsidR="00847252">
        <w:t>than 1 in 10 people (13%)</w:t>
      </w:r>
      <w:r w:rsidR="00002C56">
        <w:t xml:space="preserve"> who needed to see a GP, did not</w:t>
      </w:r>
      <w:r w:rsidR="000B17F3">
        <w:t xml:space="preserve">. </w:t>
      </w:r>
    </w:p>
    <w:p w14:paraId="6D757F5C" w14:textId="2DEE3A7D" w:rsidR="00DB4AB2" w:rsidRDefault="000D07D4" w:rsidP="00FC0270">
      <w:r>
        <w:t xml:space="preserve">The </w:t>
      </w:r>
      <w:r w:rsidR="00A64FDF">
        <w:t xml:space="preserve">ADAR </w:t>
      </w:r>
      <w:r w:rsidR="008674EC" w:rsidRPr="003B04EC">
        <w:t xml:space="preserve">estimated that 2.6% of </w:t>
      </w:r>
      <w:r w:rsidR="0158AF9E">
        <w:t>Aboriginal and Torres Strait Islander</w:t>
      </w:r>
      <w:r w:rsidR="00CC7AE7">
        <w:t xml:space="preserve"> people</w:t>
      </w:r>
      <w:r w:rsidR="005638DB">
        <w:t xml:space="preserve"> with chronic disease</w:t>
      </w:r>
      <w:r w:rsidR="00CC7AE7">
        <w:t xml:space="preserve"> </w:t>
      </w:r>
      <w:r w:rsidR="000E375C">
        <w:t>attending ACCH</w:t>
      </w:r>
      <w:r w:rsidR="00D97813">
        <w:t>C</w:t>
      </w:r>
      <w:r w:rsidR="000E375C">
        <w:t xml:space="preserve">s </w:t>
      </w:r>
      <w:r w:rsidR="008674EC" w:rsidRPr="003B04EC">
        <w:t>would access an integrated pharmacist</w:t>
      </w:r>
      <w:r w:rsidR="00147BF6">
        <w:t xml:space="preserve"> for medicines management</w:t>
      </w:r>
      <w:r w:rsidR="008674EC" w:rsidRPr="003B04EC">
        <w:t xml:space="preserve"> (approximately 11,000 people)</w:t>
      </w:r>
      <w:r w:rsidR="00A3154B">
        <w:t xml:space="preserve"> based on </w:t>
      </w:r>
      <w:r w:rsidR="00767A86">
        <w:t xml:space="preserve">data </w:t>
      </w:r>
      <w:r w:rsidR="008E0A79">
        <w:t>for</w:t>
      </w:r>
      <w:r w:rsidR="00FC0270">
        <w:t xml:space="preserve"> the </w:t>
      </w:r>
      <w:r w:rsidR="008D5FED">
        <w:t xml:space="preserve">total number of </w:t>
      </w:r>
      <w:r w:rsidR="00324312">
        <w:t>regular clients</w:t>
      </w:r>
      <w:r w:rsidR="008A048B">
        <w:t xml:space="preserve"> </w:t>
      </w:r>
      <w:r w:rsidR="00A3154B">
        <w:t>accessing ACCH</w:t>
      </w:r>
      <w:r w:rsidR="00767A86">
        <w:t xml:space="preserve">s </w:t>
      </w:r>
      <w:r w:rsidR="00634528">
        <w:t xml:space="preserve">available </w:t>
      </w:r>
      <w:r w:rsidR="00767A86">
        <w:t xml:space="preserve">from AIHW statistics. </w:t>
      </w:r>
    </w:p>
    <w:p w14:paraId="3380E436" w14:textId="3F991B5F" w:rsidR="00FC0270" w:rsidRDefault="00A65AC2" w:rsidP="00FC0270">
      <w:r>
        <w:t xml:space="preserve">The integrated pharmacist </w:t>
      </w:r>
      <w:r w:rsidR="00FC0270">
        <w:t>intervention has core roles that include patient-related activities and staff and service-level activities. Therefore, the target population has a clinical patient component and a practice-level component.</w:t>
      </w:r>
    </w:p>
    <w:p w14:paraId="11FB30A4" w14:textId="07C979FA" w:rsidR="00A82AFB" w:rsidRDefault="00744921" w:rsidP="00DF0BC0">
      <w:r>
        <w:t xml:space="preserve">The </w:t>
      </w:r>
      <w:r w:rsidR="00A54FC5">
        <w:t xml:space="preserve">proposed clinical </w:t>
      </w:r>
      <w:r>
        <w:t>population</w:t>
      </w:r>
      <w:r w:rsidR="00A54FC5">
        <w:t xml:space="preserve"> in the ADAR</w:t>
      </w:r>
      <w:r>
        <w:t xml:space="preserve"> </w:t>
      </w:r>
      <w:r w:rsidR="008B2911">
        <w:t xml:space="preserve">is </w:t>
      </w:r>
      <w:r w:rsidR="005D432C">
        <w:t>Aboriginal and Torres Strait Islander peoples with chronic disease who are ‘active’ or ‘reg</w:t>
      </w:r>
      <w:r w:rsidR="00C30B75">
        <w:t>ular’ patients of the service</w:t>
      </w:r>
      <w:r w:rsidR="00A54FC5">
        <w:t xml:space="preserve"> (at least thr</w:t>
      </w:r>
      <w:r w:rsidR="006D32A3">
        <w:t>ee times</w:t>
      </w:r>
      <w:r w:rsidR="00A54FC5">
        <w:t xml:space="preserve"> in </w:t>
      </w:r>
      <w:r w:rsidR="00630A53">
        <w:t xml:space="preserve">the </w:t>
      </w:r>
      <w:r w:rsidR="00A54FC5">
        <w:t>past two years)</w:t>
      </w:r>
      <w:r w:rsidR="006D32A3">
        <w:t xml:space="preserve"> with a diagnosis of </w:t>
      </w:r>
      <w:r w:rsidR="00DD17FF">
        <w:t>cardiovascular disease</w:t>
      </w:r>
      <w:r w:rsidR="00246DF2">
        <w:t>, type 2 diabetes mellitus</w:t>
      </w:r>
      <w:r w:rsidR="00CC4106">
        <w:t>, c</w:t>
      </w:r>
      <w:r w:rsidR="00246DF2">
        <w:t>hronic kidney disease or other chronic conditions</w:t>
      </w:r>
      <w:r w:rsidR="00202CD5">
        <w:t xml:space="preserve"> and at high risk of developing medication-related problems</w:t>
      </w:r>
      <w:r w:rsidR="004B0F73">
        <w:t>.</w:t>
      </w:r>
      <w:r w:rsidR="001B4ED9">
        <w:t xml:space="preserve"> </w:t>
      </w:r>
      <w:r w:rsidR="00DF0BC0" w:rsidRPr="00DF0BC0">
        <w:t xml:space="preserve">The IPAC participants were representative of the proposed population, and were usual </w:t>
      </w:r>
      <w:r w:rsidR="00DF0BC0" w:rsidRPr="00DF0BC0">
        <w:lastRenderedPageBreak/>
        <w:t xml:space="preserve">patients accessing ACCHSs, and the intervention was tested within usual clinical settings involving the ACCHS sector. </w:t>
      </w:r>
    </w:p>
    <w:p w14:paraId="70312ADF" w14:textId="58287D7B" w:rsidR="007961C3" w:rsidRDefault="00A82AFB" w:rsidP="00FC0270">
      <w:r w:rsidRPr="00A82AFB">
        <w:t xml:space="preserve">The outcomes from the intervention </w:t>
      </w:r>
      <w:r>
        <w:t xml:space="preserve">were found to be </w:t>
      </w:r>
      <w:r w:rsidRPr="00A82AFB">
        <w:t xml:space="preserve">generalisable to the broader Aboriginal and Torres Strait Islander patient population who are at risk of developing medication related problems and attending ACCHSs in urban, </w:t>
      </w:r>
      <w:proofErr w:type="gramStart"/>
      <w:r w:rsidRPr="00A82AFB">
        <w:t>rural</w:t>
      </w:r>
      <w:proofErr w:type="gramEnd"/>
      <w:r w:rsidRPr="00A82AFB">
        <w:t xml:space="preserve"> and remote geographical locations</w:t>
      </w:r>
      <w:r>
        <w:t>.</w:t>
      </w:r>
    </w:p>
    <w:p w14:paraId="76E5B4DD" w14:textId="1836332F" w:rsidR="005E1DA9" w:rsidRPr="005772B5" w:rsidRDefault="00A82AFB" w:rsidP="00FC0270">
      <w:pPr>
        <w:rPr>
          <w:iCs/>
        </w:rPr>
      </w:pPr>
      <w:proofErr w:type="gramStart"/>
      <w:r>
        <w:t xml:space="preserve">In </w:t>
      </w:r>
      <w:r w:rsidR="009179CA">
        <w:t>light of</w:t>
      </w:r>
      <w:proofErr w:type="gramEnd"/>
      <w:r w:rsidR="009179CA">
        <w:t xml:space="preserve"> these findings,</w:t>
      </w:r>
      <w:r>
        <w:t xml:space="preserve"> </w:t>
      </w:r>
      <w:r w:rsidR="005E1DA9">
        <w:t xml:space="preserve">the Department proposes </w:t>
      </w:r>
      <w:r w:rsidR="00B51527">
        <w:t xml:space="preserve">that </w:t>
      </w:r>
      <w:r w:rsidR="00E020B3">
        <w:t>r</w:t>
      </w:r>
      <w:r w:rsidR="005E1DA9" w:rsidRPr="005E1DA9">
        <w:rPr>
          <w:iCs/>
        </w:rPr>
        <w:t>egular patients of a ACCHS who are at risk of developing medication-related problems due to</w:t>
      </w:r>
      <w:r w:rsidR="00CB5F62">
        <w:rPr>
          <w:iCs/>
        </w:rPr>
        <w:t xml:space="preserve"> </w:t>
      </w:r>
      <w:r w:rsidR="005E1DA9" w:rsidRPr="005E1DA9">
        <w:rPr>
          <w:iCs/>
        </w:rPr>
        <w:t>a chronic medical condition, or a complex medication regimen</w:t>
      </w:r>
      <w:r w:rsidR="00CB5F62">
        <w:rPr>
          <w:iCs/>
        </w:rPr>
        <w:t>, and</w:t>
      </w:r>
      <w:r w:rsidR="005E1DA9" w:rsidRPr="005E1DA9">
        <w:rPr>
          <w:iCs/>
        </w:rPr>
        <w:t xml:space="preserve"> who require review and assessment of their medication management and follow-up support</w:t>
      </w:r>
      <w:r w:rsidR="00903803">
        <w:rPr>
          <w:iCs/>
        </w:rPr>
        <w:t xml:space="preserve">, be the target clinical population </w:t>
      </w:r>
      <w:r w:rsidR="00B4372A">
        <w:rPr>
          <w:iCs/>
        </w:rPr>
        <w:t xml:space="preserve">for the integrated pharmacist intervention. </w:t>
      </w:r>
      <w:r w:rsidR="00903803">
        <w:rPr>
          <w:iCs/>
        </w:rPr>
        <w:t xml:space="preserve"> </w:t>
      </w:r>
    </w:p>
    <w:p w14:paraId="66BDFCC1" w14:textId="35B30143" w:rsidR="00772829" w:rsidRPr="00CE28E3" w:rsidRDefault="0039393C" w:rsidP="002A18BE">
      <w:pPr>
        <w:pStyle w:val="Heading2"/>
        <w:numPr>
          <w:ilvl w:val="0"/>
          <w:numId w:val="0"/>
        </w:numPr>
      </w:pPr>
      <w:bookmarkStart w:id="21" w:name="_Toc69491420"/>
      <w:r>
        <w:t>8</w:t>
      </w:r>
      <w:r w:rsidR="00C36633">
        <w:t>.</w:t>
      </w:r>
      <w:r w:rsidR="00C36633">
        <w:tab/>
      </w:r>
      <w:r w:rsidR="00772829" w:rsidRPr="00CE28E3">
        <w:t>Comparator</w:t>
      </w:r>
      <w:bookmarkEnd w:id="21"/>
    </w:p>
    <w:p w14:paraId="7F75ABE5" w14:textId="55AF988F" w:rsidR="00675280" w:rsidRPr="000D1B52" w:rsidRDefault="00675280" w:rsidP="73A1EDEC">
      <w:pPr>
        <w:rPr>
          <w:rFonts w:eastAsia="Segoe UI" w:cs="Segoe UI"/>
        </w:rPr>
      </w:pPr>
      <w:r>
        <w:t xml:space="preserve">Unchanged from the previous consideration, the nominated comparator is usual care. This was as usual primary healthcare service provision to Aboriginal and Torres Strait Islander peoples without the presence of an integrated pharmacist within the health service. Usual care varies across ACCHSs in the provision of </w:t>
      </w:r>
      <w:r w:rsidR="002D18F5">
        <w:t xml:space="preserve">medication </w:t>
      </w:r>
      <w:r>
        <w:t>adherence support via community pharmacy and medication management reviews via community pharmacies or directly from independent acc</w:t>
      </w:r>
      <w:r w:rsidRPr="73A1EDEC">
        <w:rPr>
          <w:rFonts w:eastAsia="Segoe UI" w:cs="Segoe UI"/>
        </w:rPr>
        <w:t xml:space="preserve">redited pharmacists with delivery and content strictly guided by program rules. </w:t>
      </w:r>
    </w:p>
    <w:p w14:paraId="4A337FC0" w14:textId="4C7C919F" w:rsidR="33315D2B" w:rsidRDefault="33315D2B" w:rsidP="73A1EDEC">
      <w:pPr>
        <w:rPr>
          <w:rFonts w:eastAsia="Segoe UI" w:cs="Segoe UI"/>
          <w:color w:val="000000" w:themeColor="text1"/>
        </w:rPr>
      </w:pPr>
      <w:r w:rsidRPr="73A1EDEC">
        <w:rPr>
          <w:rFonts w:eastAsia="Segoe UI" w:cs="Segoe UI"/>
        </w:rPr>
        <w:t>A</w:t>
      </w:r>
      <w:r w:rsidR="2D72FFB6" w:rsidRPr="73A1EDEC">
        <w:rPr>
          <w:rFonts w:eastAsia="Segoe UI" w:cs="Segoe UI"/>
        </w:rPr>
        <w:t xml:space="preserve">n option to implement IPAC within the </w:t>
      </w:r>
      <w:r w:rsidR="2CEECD94" w:rsidRPr="73A1EDEC">
        <w:rPr>
          <w:rFonts w:eastAsia="Segoe UI" w:cs="Segoe UI"/>
        </w:rPr>
        <w:t>Workforce Incentive Program – Practice Stream (WIP-PS) was not provided to stakeholder</w:t>
      </w:r>
      <w:r w:rsidR="7A84A9EE" w:rsidRPr="73A1EDEC">
        <w:rPr>
          <w:rFonts w:eastAsia="Segoe UI" w:cs="Segoe UI"/>
        </w:rPr>
        <w:t>s</w:t>
      </w:r>
      <w:r w:rsidR="2CEECD94" w:rsidRPr="73A1EDEC">
        <w:rPr>
          <w:rFonts w:eastAsia="Segoe UI" w:cs="Segoe UI"/>
        </w:rPr>
        <w:t xml:space="preserve"> for the </w:t>
      </w:r>
      <w:r w:rsidR="3355FEFD" w:rsidRPr="73A1EDEC">
        <w:rPr>
          <w:rFonts w:eastAsia="Segoe UI" w:cs="Segoe UI"/>
        </w:rPr>
        <w:t xml:space="preserve">10 </w:t>
      </w:r>
      <w:r w:rsidR="3355FEFD" w:rsidRPr="7A52E4D8">
        <w:rPr>
          <w:rFonts w:eastAsia="Segoe UI" w:cs="Segoe UI"/>
        </w:rPr>
        <w:t>Octobe</w:t>
      </w:r>
      <w:r w:rsidR="7AA0F737" w:rsidRPr="7A52E4D8">
        <w:rPr>
          <w:rFonts w:eastAsia="Segoe UI" w:cs="Segoe UI"/>
        </w:rPr>
        <w:t xml:space="preserve">r </w:t>
      </w:r>
      <w:r w:rsidR="482FEFC1" w:rsidRPr="7A52E4D8">
        <w:rPr>
          <w:rFonts w:eastAsia="Segoe UI" w:cs="Segoe UI"/>
        </w:rPr>
        <w:t>2022</w:t>
      </w:r>
      <w:r w:rsidR="482FEFC1" w:rsidRPr="73A1EDEC">
        <w:rPr>
          <w:rFonts w:eastAsia="Segoe UI" w:cs="Segoe UI"/>
        </w:rPr>
        <w:t xml:space="preserve"> stakeholde</w:t>
      </w:r>
      <w:r w:rsidR="3355FEFD" w:rsidRPr="73A1EDEC">
        <w:rPr>
          <w:rFonts w:eastAsia="Segoe UI" w:cs="Segoe UI"/>
        </w:rPr>
        <w:t>r meeting. However</w:t>
      </w:r>
      <w:r w:rsidR="098B0A90" w:rsidRPr="73A1EDEC">
        <w:rPr>
          <w:rFonts w:eastAsia="Segoe UI" w:cs="Segoe UI"/>
        </w:rPr>
        <w:t>,</w:t>
      </w:r>
      <w:r w:rsidR="3355FEFD" w:rsidRPr="73A1EDEC">
        <w:rPr>
          <w:rFonts w:eastAsia="Segoe UI" w:cs="Segoe UI"/>
        </w:rPr>
        <w:t xml:space="preserve"> stakeholders discussed the applicability of WIP’s </w:t>
      </w:r>
      <w:r w:rsidR="7105EDD6" w:rsidRPr="73A1EDEC">
        <w:rPr>
          <w:rFonts w:eastAsia="Segoe UI" w:cs="Segoe UI"/>
          <w:color w:val="000000" w:themeColor="text1"/>
          <w:lang w:val="en-GB"/>
        </w:rPr>
        <w:t xml:space="preserve">established method for calculating rural loading. The Department is proposing to utilise this method of calculating rural loading, which was also </w:t>
      </w:r>
      <w:r w:rsidR="002D18F5">
        <w:rPr>
          <w:rFonts w:eastAsia="Segoe UI" w:cs="Segoe UI"/>
          <w:color w:val="000000" w:themeColor="text1"/>
          <w:lang w:val="en-GB"/>
        </w:rPr>
        <w:t>proposed in the ADAR</w:t>
      </w:r>
      <w:r w:rsidR="7105EDD6" w:rsidRPr="73A1EDEC">
        <w:rPr>
          <w:rFonts w:eastAsia="Segoe UI" w:cs="Segoe UI"/>
          <w:color w:val="000000" w:themeColor="text1"/>
          <w:lang w:val="en-GB"/>
        </w:rPr>
        <w:t xml:space="preserve"> (Appendix 17 to the ADAR).</w:t>
      </w:r>
      <w:r w:rsidR="2ABCCA19" w:rsidRPr="73A1EDEC">
        <w:rPr>
          <w:rFonts w:eastAsia="Segoe UI" w:cs="Segoe UI"/>
          <w:color w:val="000000" w:themeColor="text1"/>
          <w:lang w:val="en-GB"/>
        </w:rPr>
        <w:t xml:space="preserve"> </w:t>
      </w:r>
      <w:r w:rsidR="7105EDD6" w:rsidRPr="73A1EDEC">
        <w:rPr>
          <w:rFonts w:eastAsia="Segoe UI" w:cs="Segoe UI"/>
          <w:color w:val="000000" w:themeColor="text1"/>
          <w:lang w:val="en-GB"/>
        </w:rPr>
        <w:t>The current WIP-PS rural loadings are 20% in MMM3, 30% in MMM4 and MMM5, 50% for MMM6 and MMM7.</w:t>
      </w:r>
    </w:p>
    <w:p w14:paraId="3034199F" w14:textId="333852D6" w:rsidR="2EE52F21" w:rsidRDefault="2EE52F21" w:rsidP="73A1EDEC">
      <w:pPr>
        <w:spacing w:after="0" w:line="240" w:lineRule="auto"/>
        <w:rPr>
          <w:rFonts w:eastAsia="Segoe UI" w:cs="Segoe UI"/>
        </w:rPr>
      </w:pPr>
      <w:r w:rsidRPr="73A1EDEC">
        <w:rPr>
          <w:rFonts w:eastAsia="Segoe UI" w:cs="Segoe UI"/>
        </w:rPr>
        <w:t>The r</w:t>
      </w:r>
      <w:r w:rsidR="2CEECD94" w:rsidRPr="73A1EDEC">
        <w:rPr>
          <w:rFonts w:eastAsia="Segoe UI" w:cs="Segoe UI"/>
        </w:rPr>
        <w:t xml:space="preserve">elevant Division in the Department of Health and Aged Care responsible for the WIP – Practice Stream Program has indicated that implementation of IPAC through WIP is </w:t>
      </w:r>
      <w:r w:rsidR="2CEECD94" w:rsidRPr="73A1EDEC">
        <w:rPr>
          <w:rFonts w:eastAsia="Segoe UI" w:cs="Segoe UI"/>
          <w:u w:val="single"/>
        </w:rPr>
        <w:t>not</w:t>
      </w:r>
      <w:r w:rsidR="2CEECD94" w:rsidRPr="73A1EDEC">
        <w:rPr>
          <w:rFonts w:eastAsia="Segoe UI" w:cs="Segoe UI"/>
        </w:rPr>
        <w:t xml:space="preserve"> supported</w:t>
      </w:r>
      <w:r w:rsidR="07673496" w:rsidRPr="73A1EDEC">
        <w:rPr>
          <w:rFonts w:eastAsia="Segoe UI" w:cs="Segoe UI"/>
        </w:rPr>
        <w:t xml:space="preserve"> </w:t>
      </w:r>
      <w:r w:rsidR="035CA4C1" w:rsidRPr="73A1EDEC">
        <w:rPr>
          <w:rFonts w:eastAsia="Segoe UI" w:cs="Segoe UI"/>
        </w:rPr>
        <w:t xml:space="preserve">due to limited evidence, </w:t>
      </w:r>
      <w:proofErr w:type="gramStart"/>
      <w:r w:rsidR="035CA4C1" w:rsidRPr="73A1EDEC">
        <w:rPr>
          <w:rFonts w:eastAsia="Segoe UI" w:cs="Segoe UI"/>
        </w:rPr>
        <w:t>cost</w:t>
      </w:r>
      <w:proofErr w:type="gramEnd"/>
      <w:r w:rsidR="035CA4C1" w:rsidRPr="73A1EDEC">
        <w:rPr>
          <w:rFonts w:eastAsia="Segoe UI" w:cs="Segoe UI"/>
        </w:rPr>
        <w:t xml:space="preserve"> and timeframes for implementation through Services Australia, </w:t>
      </w:r>
      <w:r w:rsidR="07673496" w:rsidRPr="73A1EDEC">
        <w:rPr>
          <w:rFonts w:eastAsia="Segoe UI" w:cs="Segoe UI"/>
        </w:rPr>
        <w:t>and will therefore not be recommended to MSAC as a viable option.</w:t>
      </w:r>
      <w:r w:rsidR="658D47B6" w:rsidRPr="73A1EDEC">
        <w:rPr>
          <w:rFonts w:eastAsia="Segoe UI" w:cs="Segoe UI"/>
        </w:rPr>
        <w:t xml:space="preserve"> </w:t>
      </w:r>
      <w:r w:rsidR="658D47B6" w:rsidRPr="003A2DB2">
        <w:rPr>
          <w:rFonts w:eastAsia="SimSun" w:cs="SimSun"/>
          <w:color w:val="000000" w:themeColor="text1"/>
        </w:rPr>
        <w:t xml:space="preserve">Future changes to the WIP should be considered as a part of the Strengthening Medicare Taskforce </w:t>
      </w:r>
      <w:r w:rsidR="2F4A2A5B" w:rsidRPr="47765B39">
        <w:rPr>
          <w:rFonts w:eastAsia="SimSun" w:cs="SimSun"/>
          <w:color w:val="000000" w:themeColor="text1"/>
        </w:rPr>
        <w:t>in</w:t>
      </w:r>
      <w:r w:rsidR="64015363" w:rsidRPr="47765B39">
        <w:rPr>
          <w:rFonts w:eastAsia="SimSun" w:cs="SimSun"/>
          <w:color w:val="000000" w:themeColor="text1"/>
        </w:rPr>
        <w:t>centives</w:t>
      </w:r>
      <w:r w:rsidR="658D47B6" w:rsidRPr="003A2DB2">
        <w:rPr>
          <w:rFonts w:eastAsia="SimSun" w:cs="SimSun"/>
          <w:color w:val="000000" w:themeColor="text1"/>
        </w:rPr>
        <w:t xml:space="preserve"> review. </w:t>
      </w:r>
      <w:r w:rsidR="658D47B6" w:rsidRPr="73A1EDEC">
        <w:rPr>
          <w:rFonts w:eastAsia="Segoe UI" w:cs="Segoe UI"/>
        </w:rPr>
        <w:t xml:space="preserve"> </w:t>
      </w:r>
    </w:p>
    <w:p w14:paraId="47BC3A84" w14:textId="67F879B8" w:rsidR="00772829" w:rsidRPr="00CE28E3" w:rsidRDefault="0039393C" w:rsidP="002A18BE">
      <w:pPr>
        <w:pStyle w:val="Heading2"/>
        <w:numPr>
          <w:ilvl w:val="1"/>
          <w:numId w:val="0"/>
        </w:numPr>
      </w:pPr>
      <w:bookmarkStart w:id="22" w:name="_Toc69491421"/>
      <w:r>
        <w:t>9</w:t>
      </w:r>
      <w:r w:rsidR="00C36633">
        <w:t>.</w:t>
      </w:r>
      <w:r w:rsidR="00C36633">
        <w:tab/>
      </w:r>
      <w:r w:rsidR="00772829">
        <w:t xml:space="preserve">Summary of public consultation </w:t>
      </w:r>
      <w:r w:rsidR="0052575D">
        <w:t>input</w:t>
      </w:r>
      <w:bookmarkEnd w:id="22"/>
    </w:p>
    <w:p w14:paraId="26426697" w14:textId="0FEC0C7C" w:rsidR="00772829" w:rsidRPr="003251C2" w:rsidRDefault="20E2562E" w:rsidP="73A1EDEC">
      <w:r>
        <w:t>In December 2022, further stakeholder meetings were held</w:t>
      </w:r>
      <w:r w:rsidR="3FC91D93">
        <w:t xml:space="preserve"> with the Department of Health and Aged </w:t>
      </w:r>
      <w:r w:rsidR="00FA0601">
        <w:t>Care to</w:t>
      </w:r>
      <w:r>
        <w:t xml:space="preserve"> inform MSAC’s future deliberations and advice to the Minister for Health and Aged Care </w:t>
      </w:r>
      <w:r w:rsidR="320C8130">
        <w:t>on stakeholder views of implementation models developed for MSAC Application 1678.</w:t>
      </w:r>
      <w:r w:rsidR="41DC4DE4">
        <w:t xml:space="preserve"> A summary of stakeholders</w:t>
      </w:r>
      <w:r w:rsidR="0E457603">
        <w:t>’</w:t>
      </w:r>
      <w:r w:rsidR="41DC4DE4">
        <w:t xml:space="preserve"> views against each option is presented below:</w:t>
      </w:r>
    </w:p>
    <w:p w14:paraId="6A3D7DE4" w14:textId="7C3042D0" w:rsidR="00772829" w:rsidRPr="003251C2" w:rsidRDefault="641DC35C" w:rsidP="73A1EDEC">
      <w:pPr>
        <w:rPr>
          <w:b/>
          <w:bCs/>
        </w:rPr>
      </w:pPr>
      <w:r w:rsidRPr="73A1EDEC">
        <w:rPr>
          <w:b/>
          <w:bCs/>
        </w:rPr>
        <w:t>Option 1 – N</w:t>
      </w:r>
      <w:r w:rsidR="7C561DD9" w:rsidRPr="73A1EDEC">
        <w:rPr>
          <w:b/>
          <w:bCs/>
        </w:rPr>
        <w:t>ational Aboriginal Community Controlled Health Organisation (N</w:t>
      </w:r>
      <w:r w:rsidRPr="73A1EDEC">
        <w:rPr>
          <w:b/>
          <w:bCs/>
        </w:rPr>
        <w:t>ACCHO</w:t>
      </w:r>
      <w:r w:rsidR="1E0ED133" w:rsidRPr="73A1EDEC">
        <w:rPr>
          <w:b/>
          <w:bCs/>
        </w:rPr>
        <w:t>)</w:t>
      </w:r>
    </w:p>
    <w:p w14:paraId="3752C9D0" w14:textId="03BE44E3" w:rsidR="00772829" w:rsidRPr="003251C2" w:rsidRDefault="3BF9E9A2" w:rsidP="73A1EDEC">
      <w:pPr>
        <w:spacing w:after="0" w:line="240" w:lineRule="auto"/>
        <w:rPr>
          <w:rFonts w:eastAsia="Segoe UI" w:cs="Segoe UI"/>
        </w:rPr>
      </w:pPr>
      <w:r w:rsidRPr="73A1EDEC">
        <w:rPr>
          <w:rFonts w:eastAsia="Segoe UI" w:cs="Segoe UI"/>
          <w:lang w:val="en-GB"/>
        </w:rPr>
        <w:t xml:space="preserve">This was the preferred option for all stakeholders. </w:t>
      </w:r>
    </w:p>
    <w:p w14:paraId="01E5E5C1" w14:textId="4598B583" w:rsidR="00772829" w:rsidRPr="003251C2" w:rsidRDefault="3BF9E9A2" w:rsidP="73A1EDEC">
      <w:pPr>
        <w:spacing w:after="0" w:line="240" w:lineRule="auto"/>
        <w:rPr>
          <w:rFonts w:eastAsia="Segoe UI" w:cs="Segoe UI"/>
        </w:rPr>
      </w:pPr>
      <w:r w:rsidRPr="73A1EDEC">
        <w:rPr>
          <w:rFonts w:eastAsia="Segoe UI" w:cs="Segoe UI"/>
          <w:lang w:val="en-GB"/>
        </w:rPr>
        <w:t xml:space="preserve">It was agreed by participants that NACCHO </w:t>
      </w:r>
      <w:r w:rsidR="58392B6A" w:rsidRPr="73A1EDEC">
        <w:rPr>
          <w:rFonts w:eastAsia="Segoe UI" w:cs="Segoe UI"/>
          <w:lang w:val="en-GB"/>
        </w:rPr>
        <w:t>is recognised as having broad</w:t>
      </w:r>
      <w:r w:rsidR="448503BD" w:rsidRPr="73A1EDEC">
        <w:rPr>
          <w:rFonts w:eastAsia="Segoe UI" w:cs="Segoe UI"/>
          <w:lang w:val="en-GB"/>
        </w:rPr>
        <w:t xml:space="preserve"> superior </w:t>
      </w:r>
      <w:r w:rsidR="7060C4B3" w:rsidRPr="73A1EDEC">
        <w:rPr>
          <w:rFonts w:eastAsia="Segoe UI" w:cs="Segoe UI"/>
          <w:lang w:val="en-GB"/>
        </w:rPr>
        <w:t xml:space="preserve">knowledge, </w:t>
      </w:r>
      <w:proofErr w:type="gramStart"/>
      <w:r w:rsidR="7060C4B3" w:rsidRPr="73A1EDEC">
        <w:rPr>
          <w:rFonts w:eastAsia="Segoe UI" w:cs="Segoe UI"/>
          <w:lang w:val="en-GB"/>
        </w:rPr>
        <w:t>engagement</w:t>
      </w:r>
      <w:proofErr w:type="gramEnd"/>
      <w:r w:rsidR="7060C4B3" w:rsidRPr="73A1EDEC">
        <w:rPr>
          <w:rFonts w:eastAsia="Segoe UI" w:cs="Segoe UI"/>
          <w:lang w:val="en-GB"/>
        </w:rPr>
        <w:t xml:space="preserve"> and expertise </w:t>
      </w:r>
      <w:r w:rsidR="07738A28" w:rsidRPr="73A1EDEC">
        <w:rPr>
          <w:rFonts w:eastAsia="Segoe UI" w:cs="Segoe UI"/>
          <w:lang w:val="en-GB"/>
        </w:rPr>
        <w:t xml:space="preserve">in </w:t>
      </w:r>
      <w:r w:rsidR="7060C4B3" w:rsidRPr="73A1EDEC">
        <w:rPr>
          <w:rFonts w:eastAsia="Segoe UI" w:cs="Segoe UI"/>
          <w:lang w:val="en-GB"/>
        </w:rPr>
        <w:t>working with First Nation</w:t>
      </w:r>
      <w:r w:rsidR="0332AD46" w:rsidRPr="73A1EDEC">
        <w:rPr>
          <w:rFonts w:eastAsia="Segoe UI" w:cs="Segoe UI"/>
          <w:lang w:val="en-GB"/>
        </w:rPr>
        <w:t>s</w:t>
      </w:r>
      <w:r w:rsidR="7060C4B3" w:rsidRPr="73A1EDEC">
        <w:rPr>
          <w:rFonts w:eastAsia="Segoe UI" w:cs="Segoe UI"/>
          <w:lang w:val="en-GB"/>
        </w:rPr>
        <w:t xml:space="preserve"> people</w:t>
      </w:r>
      <w:r w:rsidR="28303410" w:rsidRPr="73A1EDEC">
        <w:rPr>
          <w:rFonts w:eastAsia="Segoe UI" w:cs="Segoe UI"/>
          <w:lang w:val="en-GB"/>
        </w:rPr>
        <w:t>.</w:t>
      </w:r>
    </w:p>
    <w:p w14:paraId="3731E4FC" w14:textId="2BF5819C" w:rsidR="00772829" w:rsidRPr="003251C2" w:rsidRDefault="28303410" w:rsidP="73A1EDEC">
      <w:pPr>
        <w:spacing w:after="0" w:line="240" w:lineRule="auto"/>
        <w:rPr>
          <w:rFonts w:eastAsia="Segoe UI" w:cs="Segoe UI"/>
          <w:u w:val="single"/>
          <w:lang w:val="en-GB"/>
        </w:rPr>
      </w:pPr>
      <w:r w:rsidRPr="73A1EDEC">
        <w:rPr>
          <w:rFonts w:eastAsia="Segoe UI" w:cs="Segoe UI"/>
          <w:lang w:val="en-GB"/>
        </w:rPr>
        <w:t xml:space="preserve">NACCHO </w:t>
      </w:r>
      <w:r w:rsidR="05B3E59A" w:rsidRPr="73A1EDEC">
        <w:rPr>
          <w:rFonts w:eastAsia="Segoe UI" w:cs="Segoe UI"/>
          <w:lang w:val="en-GB"/>
        </w:rPr>
        <w:t xml:space="preserve">is </w:t>
      </w:r>
      <w:r w:rsidR="7060C4B3" w:rsidRPr="73A1EDEC">
        <w:rPr>
          <w:rFonts w:eastAsia="Segoe UI" w:cs="Segoe UI"/>
          <w:lang w:val="en-GB"/>
        </w:rPr>
        <w:t xml:space="preserve">considered to have the strongest </w:t>
      </w:r>
      <w:r w:rsidR="1AE86329" w:rsidRPr="73A1EDEC">
        <w:rPr>
          <w:rFonts w:eastAsia="Segoe UI" w:cs="Segoe UI"/>
          <w:lang w:val="en-GB"/>
        </w:rPr>
        <w:t xml:space="preserve">on the ground experience and </w:t>
      </w:r>
      <w:r w:rsidR="7060C4B3" w:rsidRPr="73A1EDEC">
        <w:rPr>
          <w:rFonts w:eastAsia="Segoe UI" w:cs="Segoe UI"/>
          <w:lang w:val="en-GB"/>
        </w:rPr>
        <w:t xml:space="preserve">interest in progressing </w:t>
      </w:r>
      <w:r w:rsidR="1F1B902C" w:rsidRPr="73A1EDEC">
        <w:rPr>
          <w:rFonts w:eastAsia="Segoe UI" w:cs="Segoe UI"/>
          <w:lang w:val="en-GB"/>
        </w:rPr>
        <w:t xml:space="preserve">the </w:t>
      </w:r>
      <w:r w:rsidR="7060C4B3" w:rsidRPr="73A1EDEC">
        <w:rPr>
          <w:rFonts w:eastAsia="Segoe UI" w:cs="Segoe UI"/>
          <w:lang w:val="en-GB"/>
        </w:rPr>
        <w:t>health needs of this consumer group</w:t>
      </w:r>
      <w:r w:rsidR="2259358F" w:rsidRPr="73A1EDEC">
        <w:rPr>
          <w:rFonts w:eastAsia="Segoe UI" w:cs="Segoe UI"/>
          <w:lang w:val="en-GB"/>
        </w:rPr>
        <w:t>.</w:t>
      </w:r>
    </w:p>
    <w:p w14:paraId="2E36DE88" w14:textId="0232E13A" w:rsidR="00772829" w:rsidRPr="003251C2" w:rsidRDefault="57CFB0B9" w:rsidP="73A1EDEC">
      <w:pPr>
        <w:spacing w:after="0" w:line="240" w:lineRule="auto"/>
        <w:rPr>
          <w:rFonts w:eastAsia="Segoe UI" w:cs="Segoe UI"/>
        </w:rPr>
      </w:pPr>
      <w:r w:rsidRPr="73A1EDEC">
        <w:rPr>
          <w:rFonts w:eastAsia="Segoe UI" w:cs="Segoe UI"/>
          <w:lang w:val="en-GB"/>
        </w:rPr>
        <w:t xml:space="preserve">In addition to </w:t>
      </w:r>
      <w:r w:rsidR="29AA3BFA" w:rsidRPr="73A1EDEC">
        <w:rPr>
          <w:rFonts w:eastAsia="Segoe UI" w:cs="Segoe UI"/>
          <w:lang w:val="en-GB"/>
        </w:rPr>
        <w:t>NACCHO’</w:t>
      </w:r>
      <w:r w:rsidRPr="73A1EDEC">
        <w:rPr>
          <w:rFonts w:eastAsia="Segoe UI" w:cs="Segoe UI"/>
          <w:lang w:val="en-GB"/>
        </w:rPr>
        <w:t xml:space="preserve">s ability to </w:t>
      </w:r>
      <w:r w:rsidR="7060C4B3" w:rsidRPr="73A1EDEC">
        <w:rPr>
          <w:rFonts w:eastAsia="Segoe UI" w:cs="Segoe UI"/>
          <w:lang w:val="en-GB"/>
        </w:rPr>
        <w:t xml:space="preserve">leverage off existing NT Government and/or PSA for training and mentoring resources, </w:t>
      </w:r>
      <w:r w:rsidR="0239CA30" w:rsidRPr="73A1EDEC">
        <w:rPr>
          <w:rFonts w:eastAsia="Segoe UI" w:cs="Segoe UI"/>
          <w:lang w:val="en-GB"/>
        </w:rPr>
        <w:t xml:space="preserve">NACCHO will be able </w:t>
      </w:r>
      <w:r w:rsidR="7060C4B3" w:rsidRPr="73A1EDEC">
        <w:rPr>
          <w:rFonts w:eastAsia="Segoe UI" w:cs="Segoe UI"/>
          <w:lang w:val="en-GB"/>
        </w:rPr>
        <w:t xml:space="preserve">to collaborate with regional services for </w:t>
      </w:r>
      <w:r w:rsidR="7060C4B3" w:rsidRPr="73A1EDEC">
        <w:rPr>
          <w:rFonts w:eastAsia="Segoe UI" w:cs="Segoe UI"/>
          <w:lang w:val="en-GB"/>
        </w:rPr>
        <w:lastRenderedPageBreak/>
        <w:t>implementation</w:t>
      </w:r>
      <w:r w:rsidR="6A97F3A2" w:rsidRPr="73A1EDEC">
        <w:rPr>
          <w:rFonts w:eastAsia="Segoe UI" w:cs="Segoe UI"/>
          <w:lang w:val="en-GB"/>
        </w:rPr>
        <w:t>, and has confirmed that it is wil</w:t>
      </w:r>
      <w:r w:rsidR="7060C4B3" w:rsidRPr="73A1EDEC">
        <w:rPr>
          <w:rFonts w:eastAsia="Segoe UI" w:cs="Segoe UI"/>
          <w:lang w:val="en-GB"/>
        </w:rPr>
        <w:t>ling to provide service delivery to non-AHS organisations</w:t>
      </w:r>
    </w:p>
    <w:p w14:paraId="11D294E0" w14:textId="6688E25F" w:rsidR="00772829" w:rsidRPr="003251C2" w:rsidRDefault="020AC692" w:rsidP="73A1EDEC">
      <w:pPr>
        <w:spacing w:after="0" w:line="240" w:lineRule="auto"/>
        <w:rPr>
          <w:rFonts w:eastAsia="Segoe UI" w:cs="Segoe UI"/>
          <w:lang w:val="en-GB"/>
        </w:rPr>
      </w:pPr>
      <w:r w:rsidRPr="73A1EDEC">
        <w:rPr>
          <w:rFonts w:eastAsia="Segoe UI" w:cs="Segoe UI"/>
          <w:lang w:val="en-GB"/>
        </w:rPr>
        <w:t>Concerns raised for the NACCHO option were a n</w:t>
      </w:r>
      <w:r w:rsidR="7060C4B3" w:rsidRPr="73A1EDEC">
        <w:rPr>
          <w:rFonts w:eastAsia="Segoe UI" w:cs="Segoe UI"/>
          <w:lang w:val="en-GB"/>
        </w:rPr>
        <w:t xml:space="preserve">eed to ensure that NACCHO has the administrative, </w:t>
      </w:r>
      <w:proofErr w:type="gramStart"/>
      <w:r w:rsidR="7060C4B3" w:rsidRPr="73A1EDEC">
        <w:rPr>
          <w:rFonts w:eastAsia="Segoe UI" w:cs="Segoe UI"/>
          <w:lang w:val="en-GB"/>
        </w:rPr>
        <w:t>financial</w:t>
      </w:r>
      <w:proofErr w:type="gramEnd"/>
      <w:r w:rsidR="7060C4B3" w:rsidRPr="73A1EDEC">
        <w:rPr>
          <w:rFonts w:eastAsia="Segoe UI" w:cs="Segoe UI"/>
          <w:lang w:val="en-GB"/>
        </w:rPr>
        <w:t xml:space="preserve"> and clinical capacity for reporting and evaluation activities</w:t>
      </w:r>
      <w:r w:rsidR="145413F1" w:rsidRPr="73A1EDEC">
        <w:rPr>
          <w:rFonts w:eastAsia="Segoe UI" w:cs="Segoe UI"/>
          <w:lang w:val="en-GB"/>
        </w:rPr>
        <w:t xml:space="preserve">. NACCHO advice noted that </w:t>
      </w:r>
      <w:r w:rsidR="7060C4B3" w:rsidRPr="73A1EDEC">
        <w:rPr>
          <w:rFonts w:eastAsia="Segoe UI" w:cs="Segoe UI"/>
          <w:lang w:val="en-GB"/>
        </w:rPr>
        <w:t xml:space="preserve">NACCHO Affiliates not recommended to form consortia </w:t>
      </w:r>
      <w:r w:rsidR="0172E25A" w:rsidRPr="73A1EDEC">
        <w:rPr>
          <w:rFonts w:eastAsia="Segoe UI" w:cs="Segoe UI"/>
          <w:lang w:val="en-GB"/>
        </w:rPr>
        <w:t xml:space="preserve">in isolation </w:t>
      </w:r>
      <w:r w:rsidR="7060C4B3" w:rsidRPr="73A1EDEC">
        <w:rPr>
          <w:rFonts w:eastAsia="Segoe UI" w:cs="Segoe UI"/>
          <w:lang w:val="en-GB"/>
        </w:rPr>
        <w:t>as limited experience with medicines policy</w:t>
      </w:r>
    </w:p>
    <w:p w14:paraId="502147E7" w14:textId="73F91700" w:rsidR="00772829" w:rsidRPr="003251C2" w:rsidRDefault="641DC35C" w:rsidP="73A1EDEC">
      <w:pPr>
        <w:rPr>
          <w:rFonts w:eastAsia="Segoe UI" w:cs="Segoe UI"/>
          <w:b/>
        </w:rPr>
      </w:pPr>
      <w:r w:rsidRPr="73A1EDEC">
        <w:rPr>
          <w:rFonts w:eastAsia="Segoe UI" w:cs="Segoe UI"/>
          <w:b/>
        </w:rPr>
        <w:t>Option 2 – Pharmacy Programs Administrator</w:t>
      </w:r>
      <w:r w:rsidR="4A414FFE" w:rsidRPr="73A1EDEC">
        <w:rPr>
          <w:rFonts w:eastAsia="Segoe UI" w:cs="Segoe UI"/>
          <w:b/>
        </w:rPr>
        <w:t xml:space="preserve"> (PPA)</w:t>
      </w:r>
    </w:p>
    <w:p w14:paraId="2D5B65A9" w14:textId="627CF5CA" w:rsidR="00772829" w:rsidRPr="003251C2" w:rsidRDefault="03E835B6" w:rsidP="73A1EDEC">
      <w:pPr>
        <w:spacing w:after="0" w:line="240" w:lineRule="auto"/>
        <w:rPr>
          <w:rFonts w:eastAsia="Segoe UI" w:cs="Segoe UI"/>
        </w:rPr>
      </w:pPr>
      <w:r w:rsidRPr="73A1EDEC">
        <w:rPr>
          <w:rFonts w:eastAsia="Segoe UI" w:cs="Segoe UI"/>
          <w:lang w:val="en-GB"/>
        </w:rPr>
        <w:t xml:space="preserve">Stakeholders did not support the PPA option. </w:t>
      </w:r>
    </w:p>
    <w:p w14:paraId="4CEE87DE" w14:textId="2245F543" w:rsidR="00772829" w:rsidRPr="003251C2" w:rsidRDefault="4A414FFE" w:rsidP="73A1EDEC">
      <w:pPr>
        <w:spacing w:after="0" w:line="240" w:lineRule="auto"/>
        <w:rPr>
          <w:rFonts w:eastAsia="Segoe UI" w:cs="Segoe UI"/>
          <w:lang w:val="en-GB"/>
        </w:rPr>
      </w:pPr>
      <w:r w:rsidRPr="73A1EDEC">
        <w:rPr>
          <w:rFonts w:eastAsia="Segoe UI" w:cs="Segoe UI"/>
          <w:lang w:val="en-GB"/>
        </w:rPr>
        <w:t xml:space="preserve">Stakeholders acknowledged PPA’s </w:t>
      </w:r>
      <w:r w:rsidR="6FBB0788" w:rsidRPr="73A1EDEC">
        <w:rPr>
          <w:rFonts w:eastAsia="Segoe UI" w:cs="Segoe UI"/>
          <w:lang w:val="en-GB"/>
        </w:rPr>
        <w:t>experience in administering programs in the pharmacy sector and noted its s</w:t>
      </w:r>
      <w:r w:rsidR="289F1381" w:rsidRPr="73A1EDEC">
        <w:rPr>
          <w:rFonts w:eastAsia="Segoe UI" w:cs="Segoe UI"/>
          <w:lang w:val="en-GB"/>
        </w:rPr>
        <w:t xml:space="preserve">trong capacity for </w:t>
      </w:r>
      <w:r w:rsidR="408B4BA2" w:rsidRPr="73A1EDEC">
        <w:rPr>
          <w:rFonts w:eastAsia="Segoe UI" w:cs="Segoe UI"/>
          <w:lang w:val="en-GB"/>
        </w:rPr>
        <w:t xml:space="preserve">managing claims </w:t>
      </w:r>
      <w:r w:rsidR="289F1381" w:rsidRPr="73A1EDEC">
        <w:rPr>
          <w:rFonts w:eastAsia="Segoe UI" w:cs="Segoe UI"/>
          <w:lang w:val="en-GB"/>
        </w:rPr>
        <w:t>disbursement</w:t>
      </w:r>
      <w:r w:rsidR="03DA5E94" w:rsidRPr="73A1EDEC">
        <w:rPr>
          <w:rFonts w:eastAsia="Segoe UI" w:cs="Segoe UI"/>
          <w:lang w:val="en-GB"/>
        </w:rPr>
        <w:t xml:space="preserve"> and service reporting.</w:t>
      </w:r>
    </w:p>
    <w:p w14:paraId="13B73797" w14:textId="2F6AE4B0" w:rsidR="00772829" w:rsidRPr="003251C2" w:rsidRDefault="03DA5E94" w:rsidP="73A1EDEC">
      <w:pPr>
        <w:spacing w:after="0" w:line="240" w:lineRule="auto"/>
        <w:rPr>
          <w:rFonts w:eastAsia="Segoe UI" w:cs="Segoe UI"/>
        </w:rPr>
      </w:pPr>
      <w:r w:rsidRPr="73A1EDEC">
        <w:rPr>
          <w:rFonts w:eastAsia="Segoe UI" w:cs="Segoe UI"/>
          <w:lang w:val="en-GB"/>
        </w:rPr>
        <w:t>Concerns were raised in relation to the l</w:t>
      </w:r>
      <w:r w:rsidR="289F1381" w:rsidRPr="73A1EDEC">
        <w:rPr>
          <w:rFonts w:eastAsia="Segoe UI" w:cs="Segoe UI"/>
          <w:lang w:val="en-GB"/>
        </w:rPr>
        <w:t>arge administrative burden with little value-add, especially in remote areas</w:t>
      </w:r>
      <w:r w:rsidR="09D0C1BC" w:rsidRPr="73A1EDEC">
        <w:rPr>
          <w:rFonts w:eastAsia="Segoe UI" w:cs="Segoe UI"/>
          <w:lang w:val="en-GB"/>
        </w:rPr>
        <w:t>. PPA was considered to have m</w:t>
      </w:r>
      <w:r w:rsidR="289F1381" w:rsidRPr="73A1EDEC">
        <w:rPr>
          <w:rFonts w:eastAsia="Segoe UI" w:cs="Segoe UI"/>
          <w:lang w:val="en-GB"/>
        </w:rPr>
        <w:t>inima</w:t>
      </w:r>
      <w:r w:rsidR="155D6B10" w:rsidRPr="73A1EDEC">
        <w:rPr>
          <w:rFonts w:eastAsia="Segoe UI" w:cs="Segoe UI"/>
          <w:lang w:val="en-GB"/>
        </w:rPr>
        <w:t>l</w:t>
      </w:r>
      <w:r w:rsidR="289F1381" w:rsidRPr="73A1EDEC">
        <w:rPr>
          <w:rFonts w:eastAsia="Segoe UI" w:cs="Segoe UI"/>
          <w:lang w:val="en-GB"/>
        </w:rPr>
        <w:t xml:space="preserve"> understanding of complexities of health needs of First Nation populations</w:t>
      </w:r>
      <w:r w:rsidR="3E9F8F13" w:rsidRPr="73A1EDEC">
        <w:rPr>
          <w:rFonts w:eastAsia="Segoe UI" w:cs="Segoe UI"/>
          <w:lang w:val="en-GB"/>
        </w:rPr>
        <w:t xml:space="preserve">, </w:t>
      </w:r>
      <w:r w:rsidR="64BB174C" w:rsidRPr="73A1EDEC">
        <w:rPr>
          <w:rFonts w:eastAsia="Segoe UI" w:cs="Segoe UI"/>
          <w:lang w:val="en-GB"/>
        </w:rPr>
        <w:t xml:space="preserve">their </w:t>
      </w:r>
      <w:r w:rsidR="3E9F8F13" w:rsidRPr="73A1EDEC">
        <w:rPr>
          <w:rFonts w:eastAsia="Segoe UI" w:cs="Segoe UI"/>
          <w:lang w:val="en-GB"/>
        </w:rPr>
        <w:t xml:space="preserve">regional </w:t>
      </w:r>
      <w:proofErr w:type="gramStart"/>
      <w:r w:rsidR="3E9F8F13" w:rsidRPr="73A1EDEC">
        <w:rPr>
          <w:rFonts w:eastAsia="Segoe UI" w:cs="Segoe UI"/>
          <w:lang w:val="en-GB"/>
        </w:rPr>
        <w:t>needs</w:t>
      </w:r>
      <w:proofErr w:type="gramEnd"/>
      <w:r w:rsidR="3E9F8F13" w:rsidRPr="73A1EDEC">
        <w:rPr>
          <w:rFonts w:eastAsia="Segoe UI" w:cs="Segoe UI"/>
          <w:lang w:val="en-GB"/>
        </w:rPr>
        <w:t xml:space="preserve"> or community-controlled practices on the ground.</w:t>
      </w:r>
      <w:r w:rsidR="1B56D35C" w:rsidRPr="73A1EDEC">
        <w:rPr>
          <w:rFonts w:eastAsia="Segoe UI" w:cs="Segoe UI"/>
          <w:lang w:val="en-GB"/>
        </w:rPr>
        <w:t xml:space="preserve"> Stakeholders also expressed reservations about PPA’s </w:t>
      </w:r>
      <w:r w:rsidR="289F1381" w:rsidRPr="73A1EDEC">
        <w:rPr>
          <w:rFonts w:eastAsia="Segoe UI" w:cs="Segoe UI"/>
          <w:lang w:val="en-GB"/>
        </w:rPr>
        <w:t>ability to conduct an evaluation of client health outcomes vs health service delivery</w:t>
      </w:r>
      <w:r w:rsidR="2006F00A" w:rsidRPr="73A1EDEC">
        <w:rPr>
          <w:rFonts w:eastAsia="Segoe UI" w:cs="Segoe UI"/>
          <w:lang w:val="en-GB"/>
        </w:rPr>
        <w:t>.</w:t>
      </w:r>
    </w:p>
    <w:p w14:paraId="45CC1BB9" w14:textId="186FE5E7" w:rsidR="00772829" w:rsidRPr="003251C2" w:rsidRDefault="641DC35C" w:rsidP="73A1EDEC">
      <w:pPr>
        <w:rPr>
          <w:rFonts w:eastAsia="Segoe UI" w:cs="Segoe UI"/>
          <w:b/>
        </w:rPr>
      </w:pPr>
      <w:r w:rsidRPr="73A1EDEC">
        <w:rPr>
          <w:rFonts w:eastAsia="Segoe UI" w:cs="Segoe UI"/>
          <w:b/>
        </w:rPr>
        <w:t>Option 3 – Primary Health Networks</w:t>
      </w:r>
    </w:p>
    <w:p w14:paraId="4BD1F984" w14:textId="2341502F" w:rsidR="00772829" w:rsidRPr="003251C2" w:rsidRDefault="3407E997" w:rsidP="73A1EDEC">
      <w:pPr>
        <w:spacing w:after="0" w:line="240" w:lineRule="auto"/>
        <w:rPr>
          <w:rFonts w:eastAsia="Segoe UI" w:cs="Segoe UI"/>
        </w:rPr>
      </w:pPr>
      <w:r w:rsidRPr="73A1EDEC">
        <w:rPr>
          <w:rFonts w:eastAsia="Segoe UI" w:cs="Segoe UI"/>
          <w:lang w:val="en-GB"/>
        </w:rPr>
        <w:t>Stakeholders did not support the PHN option.</w:t>
      </w:r>
    </w:p>
    <w:p w14:paraId="37BCCC2B" w14:textId="0665BAF8" w:rsidR="00772829" w:rsidRPr="003251C2" w:rsidRDefault="440D89E5" w:rsidP="73A1EDEC">
      <w:pPr>
        <w:spacing w:after="0" w:line="240" w:lineRule="auto"/>
        <w:rPr>
          <w:rFonts w:eastAsia="Segoe UI" w:cs="Segoe UI"/>
        </w:rPr>
      </w:pPr>
      <w:r w:rsidRPr="73A1EDEC">
        <w:rPr>
          <w:rFonts w:eastAsia="Segoe UI" w:cs="Segoe UI"/>
          <w:lang w:val="en-GB"/>
        </w:rPr>
        <w:t xml:space="preserve">Views expressed </w:t>
      </w:r>
      <w:r w:rsidR="5C902284" w:rsidRPr="73A1EDEC">
        <w:rPr>
          <w:rFonts w:eastAsia="Segoe UI" w:cs="Segoe UI"/>
          <w:lang w:val="en-GB"/>
        </w:rPr>
        <w:t xml:space="preserve">that there are </w:t>
      </w:r>
      <w:r w:rsidRPr="73A1EDEC">
        <w:rPr>
          <w:rFonts w:eastAsia="Segoe UI" w:cs="Segoe UI"/>
          <w:lang w:val="en-GB"/>
        </w:rPr>
        <w:t>v</w:t>
      </w:r>
      <w:r w:rsidR="3407E997" w:rsidRPr="73A1EDEC">
        <w:rPr>
          <w:rFonts w:eastAsia="Segoe UI" w:cs="Segoe UI"/>
          <w:lang w:val="en-GB"/>
        </w:rPr>
        <w:t>ariable levels of support across PHNs nationally</w:t>
      </w:r>
      <w:r w:rsidR="5DD9B453" w:rsidRPr="73A1EDEC">
        <w:rPr>
          <w:rFonts w:eastAsia="Segoe UI" w:cs="Segoe UI"/>
          <w:lang w:val="en-GB"/>
        </w:rPr>
        <w:t xml:space="preserve">, with </w:t>
      </w:r>
      <w:r w:rsidR="3407E997" w:rsidRPr="73A1EDEC">
        <w:rPr>
          <w:rFonts w:eastAsia="Segoe UI" w:cs="Segoe UI"/>
          <w:lang w:val="en-GB"/>
        </w:rPr>
        <w:t>minimum value for very high administrative burden of program establishment and ongoing management</w:t>
      </w:r>
    </w:p>
    <w:p w14:paraId="6A6F381B" w14:textId="00DB7BDC" w:rsidR="00772829" w:rsidRPr="003251C2" w:rsidRDefault="1AFB8E8F" w:rsidP="73A1EDEC">
      <w:pPr>
        <w:spacing w:after="0" w:line="240" w:lineRule="auto"/>
        <w:rPr>
          <w:rFonts w:eastAsia="Segoe UI" w:cs="Segoe UI"/>
          <w:lang w:val="en-GB"/>
        </w:rPr>
      </w:pPr>
      <w:r w:rsidRPr="73A1EDEC">
        <w:rPr>
          <w:rFonts w:eastAsia="Segoe UI" w:cs="Segoe UI"/>
          <w:lang w:val="en-GB"/>
        </w:rPr>
        <w:t>It was considered that i</w:t>
      </w:r>
      <w:r w:rsidR="3407E997" w:rsidRPr="73A1EDEC">
        <w:rPr>
          <w:rFonts w:eastAsia="Segoe UI" w:cs="Segoe UI"/>
          <w:lang w:val="en-GB"/>
        </w:rPr>
        <w:t xml:space="preserve">mplementation </w:t>
      </w:r>
      <w:r w:rsidR="39C0CFBE" w:rsidRPr="73A1EDEC">
        <w:rPr>
          <w:rFonts w:eastAsia="Segoe UI" w:cs="Segoe UI"/>
          <w:lang w:val="en-GB"/>
        </w:rPr>
        <w:t xml:space="preserve">of IPAC </w:t>
      </w:r>
      <w:r w:rsidR="3407E997" w:rsidRPr="73A1EDEC">
        <w:rPr>
          <w:rFonts w:eastAsia="Segoe UI" w:cs="Segoe UI"/>
          <w:lang w:val="en-GB"/>
        </w:rPr>
        <w:t>through 31 PHNs may lead to fragmented or uneven service delivery</w:t>
      </w:r>
      <w:r w:rsidR="373BE37B" w:rsidRPr="73A1EDEC">
        <w:rPr>
          <w:rFonts w:eastAsia="Segoe UI" w:cs="Segoe UI"/>
          <w:lang w:val="en-GB"/>
        </w:rPr>
        <w:t>. A</w:t>
      </w:r>
      <w:r w:rsidR="3407E997" w:rsidRPr="73A1EDEC">
        <w:rPr>
          <w:rFonts w:eastAsia="Segoe UI" w:cs="Segoe UI"/>
          <w:lang w:val="en-GB"/>
        </w:rPr>
        <w:t xml:space="preserve">lthough PHNs support Closing the Gap priorities, </w:t>
      </w:r>
      <w:r w:rsidR="71BCD6CD" w:rsidRPr="73A1EDEC">
        <w:rPr>
          <w:rFonts w:eastAsia="Segoe UI" w:cs="Segoe UI"/>
          <w:lang w:val="en-GB"/>
        </w:rPr>
        <w:t xml:space="preserve">stakeholders felt there is </w:t>
      </w:r>
      <w:r w:rsidR="3407E997" w:rsidRPr="73A1EDEC">
        <w:rPr>
          <w:rFonts w:eastAsia="Segoe UI" w:cs="Segoe UI"/>
          <w:lang w:val="en-GB"/>
        </w:rPr>
        <w:t>still potential for many gaps on the ground</w:t>
      </w:r>
    </w:p>
    <w:p w14:paraId="6FFAC461" w14:textId="37433599" w:rsidR="00772829" w:rsidRPr="003251C2" w:rsidRDefault="5C60D013" w:rsidP="73A1EDEC">
      <w:pPr>
        <w:spacing w:after="0" w:line="240" w:lineRule="auto"/>
        <w:rPr>
          <w:rFonts w:eastAsia="Segoe UI" w:cs="Segoe UI"/>
        </w:rPr>
      </w:pPr>
      <w:r w:rsidRPr="73A1EDEC">
        <w:rPr>
          <w:rFonts w:eastAsia="Segoe UI" w:cs="Segoe UI"/>
          <w:lang w:val="en-GB"/>
        </w:rPr>
        <w:t xml:space="preserve">PPA was not </w:t>
      </w:r>
      <w:r w:rsidR="3407E997" w:rsidRPr="73A1EDEC">
        <w:rPr>
          <w:rFonts w:eastAsia="Segoe UI" w:cs="Segoe UI"/>
          <w:lang w:val="en-GB"/>
        </w:rPr>
        <w:t xml:space="preserve">considered to have capacity, </w:t>
      </w:r>
      <w:proofErr w:type="gramStart"/>
      <w:r w:rsidR="3407E997" w:rsidRPr="73A1EDEC">
        <w:rPr>
          <w:rFonts w:eastAsia="Segoe UI" w:cs="Segoe UI"/>
          <w:lang w:val="en-GB"/>
        </w:rPr>
        <w:t>knowledge</w:t>
      </w:r>
      <w:proofErr w:type="gramEnd"/>
      <w:r w:rsidR="3407E997" w:rsidRPr="73A1EDEC">
        <w:rPr>
          <w:rFonts w:eastAsia="Segoe UI" w:cs="Segoe UI"/>
          <w:lang w:val="en-GB"/>
        </w:rPr>
        <w:t xml:space="preserve"> or cultural expertise to run a community</w:t>
      </w:r>
      <w:r w:rsidR="5E90DC86" w:rsidRPr="73A1EDEC">
        <w:rPr>
          <w:rFonts w:eastAsia="Segoe UI" w:cs="Segoe UI"/>
          <w:lang w:val="en-GB"/>
        </w:rPr>
        <w:t>-</w:t>
      </w:r>
      <w:r w:rsidR="3407E997" w:rsidRPr="73A1EDEC">
        <w:rPr>
          <w:rFonts w:eastAsia="Segoe UI" w:cs="Segoe UI"/>
          <w:lang w:val="en-GB"/>
        </w:rPr>
        <w:t>controlled</w:t>
      </w:r>
      <w:r w:rsidR="1EE1431E" w:rsidRPr="73A1EDEC">
        <w:rPr>
          <w:rFonts w:eastAsia="Segoe UI" w:cs="Segoe UI"/>
          <w:lang w:val="en-GB"/>
        </w:rPr>
        <w:t xml:space="preserve"> </w:t>
      </w:r>
      <w:r w:rsidR="3407E997" w:rsidRPr="73A1EDEC">
        <w:rPr>
          <w:rFonts w:eastAsia="Segoe UI" w:cs="Segoe UI"/>
          <w:lang w:val="en-GB"/>
        </w:rPr>
        <w:t>program or ‘grow’ the sector</w:t>
      </w:r>
      <w:r w:rsidR="23C5E4CE" w:rsidRPr="73A1EDEC">
        <w:rPr>
          <w:rFonts w:eastAsia="Segoe UI" w:cs="Segoe UI"/>
          <w:lang w:val="en-GB"/>
        </w:rPr>
        <w:t xml:space="preserve"> and may not have appropriate </w:t>
      </w:r>
      <w:r w:rsidR="3407E997" w:rsidRPr="73A1EDEC">
        <w:rPr>
          <w:rFonts w:eastAsia="Segoe UI" w:cs="Segoe UI"/>
          <w:lang w:val="en-GB"/>
        </w:rPr>
        <w:t>capacity to engage with relevant First Nations groups</w:t>
      </w:r>
      <w:r w:rsidR="551B6DBC" w:rsidRPr="73A1EDEC">
        <w:rPr>
          <w:rFonts w:eastAsia="Segoe UI" w:cs="Segoe UI"/>
          <w:lang w:val="en-GB"/>
        </w:rPr>
        <w:t>. PPA was c</w:t>
      </w:r>
      <w:r w:rsidR="3407E997" w:rsidRPr="73A1EDEC">
        <w:rPr>
          <w:rFonts w:eastAsia="Segoe UI" w:cs="Segoe UI"/>
          <w:lang w:val="en-GB"/>
        </w:rPr>
        <w:t>onsidered to generally have a more ‘urban’ approach – may lead to some communities being disadvantaged</w:t>
      </w:r>
      <w:r w:rsidR="3407E997" w:rsidRPr="73A1EDEC">
        <w:rPr>
          <w:rFonts w:eastAsia="Segoe UI" w:cs="Segoe UI"/>
          <w:u w:val="single"/>
          <w:lang w:val="en-GB"/>
        </w:rPr>
        <w:t xml:space="preserve"> </w:t>
      </w:r>
    </w:p>
    <w:p w14:paraId="52DE7F77" w14:textId="77777777" w:rsidR="00263876" w:rsidRDefault="48D8BF43" w:rsidP="73A1EDEC">
      <w:r>
        <w:t xml:space="preserve">For information: </w:t>
      </w:r>
    </w:p>
    <w:p w14:paraId="0D519B4C" w14:textId="7D662676" w:rsidR="00772829" w:rsidRPr="003251C2" w:rsidRDefault="641DC35C" w:rsidP="73A1EDEC">
      <w:r w:rsidRPr="73A1EDEC">
        <w:rPr>
          <w:b/>
          <w:bCs/>
        </w:rPr>
        <w:t xml:space="preserve">Option 4 – </w:t>
      </w:r>
      <w:r w:rsidR="4D2AB2D0" w:rsidRPr="73A1EDEC">
        <w:rPr>
          <w:b/>
          <w:bCs/>
        </w:rPr>
        <w:t>Workforce Incentive Program – Practice Incentive</w:t>
      </w:r>
    </w:p>
    <w:p w14:paraId="507A6D80" w14:textId="57DD32A2" w:rsidR="00772829" w:rsidRPr="003251C2" w:rsidRDefault="641DC35C" w:rsidP="00E72F61">
      <w:r>
        <w:t xml:space="preserve">This option was not </w:t>
      </w:r>
      <w:r w:rsidR="3DB138A8">
        <w:t>provided to stakeholder</w:t>
      </w:r>
      <w:r w:rsidR="006D70F9">
        <w:t>s</w:t>
      </w:r>
      <w:r w:rsidR="3DB138A8">
        <w:t xml:space="preserve"> </w:t>
      </w:r>
      <w:r>
        <w:t xml:space="preserve">for the </w:t>
      </w:r>
      <w:r w:rsidR="19090F44">
        <w:t>December meetings as the relevant Division in the Department of Health and Aged Care responsible for the WIP</w:t>
      </w:r>
      <w:r w:rsidR="37CED466">
        <w:t xml:space="preserve"> – Practice Stream </w:t>
      </w:r>
      <w:r w:rsidR="19090F44">
        <w:t>P</w:t>
      </w:r>
      <w:r w:rsidR="6E6F5489">
        <w:t xml:space="preserve">rogram </w:t>
      </w:r>
      <w:r w:rsidR="19090F44">
        <w:t>has indicated that implementation of IPAC through WIP is not supported.</w:t>
      </w:r>
    </w:p>
    <w:p w14:paraId="03C7A1F1" w14:textId="753DCE2B" w:rsidR="00772829" w:rsidRPr="00CE28E3" w:rsidRDefault="0039393C" w:rsidP="002A18BE">
      <w:pPr>
        <w:pStyle w:val="Heading2"/>
        <w:numPr>
          <w:ilvl w:val="0"/>
          <w:numId w:val="0"/>
        </w:numPr>
      </w:pPr>
      <w:bookmarkStart w:id="23" w:name="_Toc69491422"/>
      <w:r>
        <w:t>10</w:t>
      </w:r>
      <w:r w:rsidR="00C36633">
        <w:t>.</w:t>
      </w:r>
      <w:r w:rsidR="00C36633">
        <w:tab/>
      </w:r>
      <w:r w:rsidR="00772829" w:rsidRPr="00CE28E3">
        <w:t>Characteristics of the evidence base</w:t>
      </w:r>
      <w:bookmarkEnd w:id="23"/>
    </w:p>
    <w:p w14:paraId="1E55F316" w14:textId="65F2D2D9" w:rsidR="0045278F" w:rsidRDefault="0045278F" w:rsidP="0045278F">
      <w:r>
        <w:t xml:space="preserve">Unchanged from the previous MSAC consideration, the evidence base is </w:t>
      </w:r>
      <w:r w:rsidR="040C8835">
        <w:t xml:space="preserve">the </w:t>
      </w:r>
      <w:r>
        <w:t>IPAC study, a non-randomised, prospective, pre and post quasi-experimental community-based, participatory, and pragmatic trial that integrated a registered pharmacist within an ACCHS primary healthcare team for up to a 15-month period.</w:t>
      </w:r>
    </w:p>
    <w:p w14:paraId="412F6846" w14:textId="77777777" w:rsidR="00C931AC" w:rsidRDefault="006F53C2" w:rsidP="006F53C2">
      <w:r>
        <w:t xml:space="preserve">MSAC previously considered further information was needed to assess the clinical significance of the magnitude of change in biomedical markers. MSAC considered a comparison of biomedical outcomes that MSAC and the Pharmaceutical Benefits Advisory Committee (PBAC) have previously considered clinically meaningful could inform this assessment. MSAC considered that changes not considered clinically significant in other contexts (such as rigorously controlled pharmaceutical trials) may be significant in this context. MSAC considered changes in HbA1c also need to be considered in the context of baseline levels in IPAC participants. </w:t>
      </w:r>
    </w:p>
    <w:p w14:paraId="607820DF" w14:textId="50821D3C" w:rsidR="006F53C2" w:rsidRDefault="00C931AC" w:rsidP="0045278F">
      <w:r>
        <w:lastRenderedPageBreak/>
        <w:t xml:space="preserve">The MSAC Executive </w:t>
      </w:r>
      <w:r w:rsidR="00A8091E">
        <w:t xml:space="preserve">considered the </w:t>
      </w:r>
      <w:r w:rsidR="00DB22BF" w:rsidRPr="00DB22BF">
        <w:t>Minimal Clinically Important Differences (MCIDs)</w:t>
      </w:r>
      <w:r w:rsidR="00DB22BF">
        <w:t xml:space="preserve"> of the biomedical outcomes at its September 2022 meeting. </w:t>
      </w:r>
    </w:p>
    <w:p w14:paraId="329415C7" w14:textId="631E4AFC" w:rsidR="00A740C4" w:rsidRDefault="00A740C4" w:rsidP="0045278F">
      <w:r>
        <w:t xml:space="preserve">An assessment of the qualitative assessment </w:t>
      </w:r>
      <w:r w:rsidR="001C234A">
        <w:t xml:space="preserve">is presented in </w:t>
      </w:r>
      <w:r w:rsidR="002014AA">
        <w:t xml:space="preserve">Section </w:t>
      </w:r>
      <w:r w:rsidR="002014AA">
        <w:fldChar w:fldCharType="begin"/>
      </w:r>
      <w:r w:rsidR="002014AA">
        <w:instrText xml:space="preserve"> REF _Ref128506089 \h </w:instrText>
      </w:r>
      <w:r w:rsidR="002014AA">
        <w:fldChar w:fldCharType="separate"/>
      </w:r>
      <w:r w:rsidR="00854063">
        <w:t>13.</w:t>
      </w:r>
      <w:r w:rsidR="007D351F">
        <w:t xml:space="preserve"> </w:t>
      </w:r>
      <w:r w:rsidR="00854063" w:rsidRPr="00CE28E3">
        <w:t xml:space="preserve">Other relevant </w:t>
      </w:r>
      <w:r w:rsidR="00854063">
        <w:t>information</w:t>
      </w:r>
      <w:r w:rsidR="002014AA">
        <w:fldChar w:fldCharType="end"/>
      </w:r>
      <w:r w:rsidR="002014AA">
        <w:t xml:space="preserve">. </w:t>
      </w:r>
    </w:p>
    <w:p w14:paraId="3B9FC2AD" w14:textId="61A97ED1" w:rsidR="00772829" w:rsidRPr="00CE28E3" w:rsidRDefault="0039393C" w:rsidP="002A18BE">
      <w:pPr>
        <w:pStyle w:val="Heading2"/>
        <w:numPr>
          <w:ilvl w:val="0"/>
          <w:numId w:val="0"/>
        </w:numPr>
      </w:pPr>
      <w:bookmarkStart w:id="24" w:name="_Toc69491423"/>
      <w:r>
        <w:t>11</w:t>
      </w:r>
      <w:r w:rsidR="00C36633">
        <w:t>.</w:t>
      </w:r>
      <w:r w:rsidR="00C36633">
        <w:tab/>
      </w:r>
      <w:r w:rsidR="00772829" w:rsidRPr="00CE28E3">
        <w:t>Comparative safety</w:t>
      </w:r>
      <w:bookmarkEnd w:id="24"/>
    </w:p>
    <w:p w14:paraId="16EC098C" w14:textId="1515003D" w:rsidR="00DF51A8" w:rsidRPr="003251C2" w:rsidRDefault="00DF51A8" w:rsidP="00DF51A8">
      <w:r>
        <w:t>Unchanged from the previous MSAC consideration, the IPAC study did not report any safety outcomes. It is likely that the intervention will be at least non-inferior to usual care.</w:t>
      </w:r>
    </w:p>
    <w:p w14:paraId="3717AA01" w14:textId="5CD9A50B" w:rsidR="00772829" w:rsidRPr="00CE28E3" w:rsidRDefault="00C36633" w:rsidP="002A18BE">
      <w:pPr>
        <w:pStyle w:val="Heading2"/>
        <w:numPr>
          <w:ilvl w:val="0"/>
          <w:numId w:val="0"/>
        </w:numPr>
      </w:pPr>
      <w:bookmarkStart w:id="25" w:name="_Toc69491424"/>
      <w:r>
        <w:t>1</w:t>
      </w:r>
      <w:r w:rsidR="0039393C">
        <w:t>2</w:t>
      </w:r>
      <w:r>
        <w:t>.</w:t>
      </w:r>
      <w:r>
        <w:tab/>
      </w:r>
      <w:r w:rsidR="00772829" w:rsidRPr="00CE28E3">
        <w:t>Comparative effectiveness</w:t>
      </w:r>
      <w:bookmarkEnd w:id="25"/>
    </w:p>
    <w:p w14:paraId="250B02FC" w14:textId="51C01094" w:rsidR="007913DA" w:rsidRPr="00AB2CB9" w:rsidRDefault="007913DA" w:rsidP="00AB2CB9">
      <w:r w:rsidRPr="007913DA">
        <w:fldChar w:fldCharType="begin"/>
      </w:r>
      <w:r w:rsidRPr="007913DA">
        <w:instrText xml:space="preserve"> REF _Ref113197339 \h </w:instrText>
      </w:r>
      <w:r w:rsidR="007C37CC">
        <w:instrText xml:space="preserve"> \* MERGEFORMAT </w:instrText>
      </w:r>
      <w:r w:rsidRPr="007913DA">
        <w:fldChar w:fldCharType="separate"/>
      </w:r>
      <w:r w:rsidR="009F6F06" w:rsidRPr="0033264F">
        <w:rPr>
          <w:lang w:eastAsia="en-AU"/>
        </w:rPr>
        <w:t xml:space="preserve">Table </w:t>
      </w:r>
      <w:r w:rsidR="009F6F06" w:rsidRPr="0033264F">
        <w:t>7</w:t>
      </w:r>
      <w:r w:rsidRPr="007913DA">
        <w:fldChar w:fldCharType="end"/>
      </w:r>
      <w:r w:rsidRPr="007913DA">
        <w:t xml:space="preserve"> presents the glycated haemoglobin outcomes in the IPAC study. The </w:t>
      </w:r>
      <w:r w:rsidR="007C37CC">
        <w:t xml:space="preserve">ADAR </w:t>
      </w:r>
      <w:r w:rsidRPr="007913DA">
        <w:t>reported the proportion of participants who attained a 0.5% reduction in HbA1c for all participants with T2DM (n=997) and participants with paired data (n=539). The study did not report the change in proportion of patients with HbA1c of ≤6.5%, &lt;7% or 7.0-8.0% at baseline and follow</w:t>
      </w:r>
      <w:r w:rsidRPr="007913DA">
        <w:noBreakHyphen/>
        <w:t xml:space="preserve">up. </w:t>
      </w:r>
    </w:p>
    <w:p w14:paraId="2E141709" w14:textId="5048D4C2" w:rsidR="00AB2CB9" w:rsidRPr="00AB2CB9" w:rsidRDefault="00AB2CB9" w:rsidP="00AB2CB9">
      <w:pPr>
        <w:keepNext/>
        <w:spacing w:before="0" w:after="0" w:line="240" w:lineRule="auto"/>
        <w:rPr>
          <w:rFonts w:ascii="Calibri Light" w:eastAsia="Wingdings" w:hAnsi="Calibri Light" w:cs="Franklin Gothic Medium"/>
          <w:b/>
          <w:szCs w:val="20"/>
          <w:lang w:eastAsia="en-AU"/>
        </w:rPr>
      </w:pPr>
      <w:bookmarkStart w:id="26" w:name="_Ref113197339"/>
      <w:r w:rsidRPr="00AB2CB9">
        <w:rPr>
          <w:rFonts w:ascii="Calibri Light" w:eastAsia="Wingdings" w:hAnsi="Calibri Light" w:cs="Franklin Gothic Medium"/>
          <w:b/>
          <w:szCs w:val="20"/>
          <w:lang w:eastAsia="en-AU"/>
        </w:rPr>
        <w:t xml:space="preserve">Table </w:t>
      </w:r>
      <w:r w:rsidRPr="00AB2CB9">
        <w:rPr>
          <w:rFonts w:ascii="Calibri Light" w:eastAsia="Wingdings" w:hAnsi="Calibri Light" w:cs="Franklin Gothic Medium"/>
          <w:b/>
          <w:szCs w:val="20"/>
          <w:lang w:eastAsia="en-AU"/>
        </w:rPr>
        <w:fldChar w:fldCharType="begin"/>
      </w:r>
      <w:r w:rsidRPr="00AB2CB9">
        <w:rPr>
          <w:rFonts w:ascii="Calibri Light" w:eastAsia="Wingdings" w:hAnsi="Calibri Light" w:cs="Franklin Gothic Medium"/>
          <w:b/>
          <w:szCs w:val="20"/>
          <w:lang w:eastAsia="en-AU"/>
        </w:rPr>
        <w:instrText xml:space="preserve"> SEQ Table \* ARABIC </w:instrText>
      </w:r>
      <w:r w:rsidRPr="00AB2CB9">
        <w:rPr>
          <w:rFonts w:ascii="Calibri Light" w:eastAsia="Wingdings" w:hAnsi="Calibri Light" w:cs="Franklin Gothic Medium"/>
          <w:b/>
          <w:szCs w:val="20"/>
          <w:lang w:eastAsia="en-AU"/>
        </w:rPr>
        <w:fldChar w:fldCharType="separate"/>
      </w:r>
      <w:r w:rsidR="009F6F06">
        <w:rPr>
          <w:rFonts w:ascii="Calibri Light" w:eastAsia="Wingdings" w:hAnsi="Calibri Light" w:cs="Franklin Gothic Medium"/>
          <w:b/>
          <w:noProof/>
          <w:szCs w:val="20"/>
          <w:lang w:eastAsia="en-AU"/>
        </w:rPr>
        <w:t>7</w:t>
      </w:r>
      <w:r w:rsidRPr="00AB2CB9">
        <w:rPr>
          <w:rFonts w:ascii="Calibri Light" w:eastAsia="Wingdings" w:hAnsi="Calibri Light" w:cs="Franklin Gothic Medium"/>
          <w:b/>
          <w:szCs w:val="20"/>
          <w:lang w:eastAsia="en-AU"/>
        </w:rPr>
        <w:fldChar w:fldCharType="end"/>
      </w:r>
      <w:bookmarkEnd w:id="26"/>
      <w:r w:rsidRPr="00AB2CB9">
        <w:rPr>
          <w:rFonts w:ascii="Calibri Light" w:eastAsia="Wingdings" w:hAnsi="Calibri Light" w:cs="Franklin Gothic Medium"/>
          <w:b/>
          <w:szCs w:val="20"/>
          <w:lang w:eastAsia="en-AU"/>
        </w:rPr>
        <w:t>: T2DM outcomes (at 284 days median follow-up)</w:t>
      </w:r>
    </w:p>
    <w:tbl>
      <w:tblPr>
        <w:tblStyle w:val="TableGrid1"/>
        <w:tblW w:w="5000" w:type="pct"/>
        <w:tblLook w:val="04A0" w:firstRow="1" w:lastRow="0" w:firstColumn="1" w:lastColumn="0" w:noHBand="0" w:noVBand="1"/>
      </w:tblPr>
      <w:tblGrid>
        <w:gridCol w:w="1701"/>
        <w:gridCol w:w="956"/>
        <w:gridCol w:w="783"/>
        <w:gridCol w:w="801"/>
        <w:gridCol w:w="934"/>
        <w:gridCol w:w="808"/>
        <w:gridCol w:w="2002"/>
        <w:gridCol w:w="1031"/>
      </w:tblGrid>
      <w:tr w:rsidR="00AB2CB9" w:rsidRPr="00AB2CB9" w14:paraId="66F4BB1B" w14:textId="77777777" w:rsidTr="005A0665">
        <w:trPr>
          <w:cnfStyle w:val="100000000000" w:firstRow="1" w:lastRow="0" w:firstColumn="0" w:lastColumn="0" w:oddVBand="0" w:evenVBand="0" w:oddHBand="0" w:evenHBand="0" w:firstRowFirstColumn="0" w:firstRowLastColumn="0" w:lastRowFirstColumn="0" w:lastRowLastColumn="0"/>
        </w:trPr>
        <w:tc>
          <w:tcPr>
            <w:tcW w:w="944" w:type="pct"/>
            <w:vMerge w:val="restart"/>
            <w:shd w:val="clear" w:color="auto" w:fill="auto"/>
            <w:vAlign w:val="center"/>
          </w:tcPr>
          <w:p w14:paraId="53C477DB" w14:textId="77777777" w:rsidR="00AB2CB9" w:rsidRPr="005A6F59" w:rsidRDefault="00AB2CB9" w:rsidP="00AB2CB9">
            <w:pPr>
              <w:pStyle w:val="Tabletext0"/>
              <w:rPr>
                <w:b/>
                <w:bCs/>
              </w:rPr>
            </w:pPr>
            <w:r w:rsidRPr="005A6F59">
              <w:rPr>
                <w:b/>
                <w:bCs/>
              </w:rPr>
              <w:t>Outcome</w:t>
            </w:r>
          </w:p>
        </w:tc>
        <w:tc>
          <w:tcPr>
            <w:tcW w:w="530" w:type="pct"/>
            <w:vMerge w:val="restart"/>
            <w:shd w:val="clear" w:color="auto" w:fill="auto"/>
            <w:vAlign w:val="center"/>
          </w:tcPr>
          <w:p w14:paraId="3336E041" w14:textId="77777777" w:rsidR="00AB2CB9" w:rsidRPr="005A6F59" w:rsidRDefault="00AB2CB9" w:rsidP="00AB2CB9">
            <w:pPr>
              <w:pStyle w:val="Tabletext0"/>
              <w:rPr>
                <w:b/>
                <w:bCs/>
              </w:rPr>
            </w:pPr>
            <w:r w:rsidRPr="005A6F59">
              <w:rPr>
                <w:b/>
                <w:bCs/>
              </w:rPr>
              <w:t>N</w:t>
            </w:r>
          </w:p>
        </w:tc>
        <w:tc>
          <w:tcPr>
            <w:tcW w:w="878" w:type="pct"/>
            <w:gridSpan w:val="2"/>
            <w:vAlign w:val="center"/>
          </w:tcPr>
          <w:p w14:paraId="5B45F354" w14:textId="77777777" w:rsidR="00AB2CB9" w:rsidRPr="005A6F59" w:rsidRDefault="00AB2CB9" w:rsidP="00AB2CB9">
            <w:pPr>
              <w:pStyle w:val="Tabletext0"/>
              <w:rPr>
                <w:b/>
                <w:bCs/>
              </w:rPr>
            </w:pPr>
            <w:r w:rsidRPr="005A6F59">
              <w:rPr>
                <w:b/>
                <w:bCs/>
              </w:rPr>
              <w:t>Baseline</w:t>
            </w:r>
          </w:p>
        </w:tc>
        <w:tc>
          <w:tcPr>
            <w:tcW w:w="966" w:type="pct"/>
            <w:gridSpan w:val="2"/>
          </w:tcPr>
          <w:p w14:paraId="2594D5ED" w14:textId="77777777" w:rsidR="00AB2CB9" w:rsidRPr="005A6F59" w:rsidRDefault="00AB2CB9" w:rsidP="00AB2CB9">
            <w:pPr>
              <w:pStyle w:val="Tabletext0"/>
              <w:rPr>
                <w:b/>
                <w:bCs/>
              </w:rPr>
            </w:pPr>
            <w:r w:rsidRPr="005A6F59">
              <w:rPr>
                <w:b/>
                <w:bCs/>
              </w:rPr>
              <w:t>Follow-up</w:t>
            </w:r>
          </w:p>
        </w:tc>
        <w:tc>
          <w:tcPr>
            <w:tcW w:w="1110" w:type="pct"/>
            <w:vAlign w:val="center"/>
          </w:tcPr>
          <w:p w14:paraId="59DFBAF7" w14:textId="77777777" w:rsidR="00AB2CB9" w:rsidRPr="005A6F59" w:rsidRDefault="00AB2CB9" w:rsidP="00AB2CB9">
            <w:pPr>
              <w:pStyle w:val="Tabletext0"/>
              <w:rPr>
                <w:b/>
                <w:bCs/>
              </w:rPr>
            </w:pPr>
            <w:r w:rsidRPr="005A6F59">
              <w:rPr>
                <w:b/>
                <w:bCs/>
              </w:rPr>
              <w:t>Mean difference</w:t>
            </w:r>
          </w:p>
        </w:tc>
        <w:tc>
          <w:tcPr>
            <w:tcW w:w="573" w:type="pct"/>
            <w:vMerge w:val="restart"/>
            <w:vAlign w:val="center"/>
          </w:tcPr>
          <w:p w14:paraId="771475B6" w14:textId="77777777" w:rsidR="00AB2CB9" w:rsidRPr="005A6F59" w:rsidRDefault="00AB2CB9" w:rsidP="00AB2CB9">
            <w:pPr>
              <w:pStyle w:val="Tabletext0"/>
              <w:rPr>
                <w:b/>
                <w:bCs/>
              </w:rPr>
            </w:pPr>
            <w:r w:rsidRPr="005A6F59">
              <w:rPr>
                <w:b/>
                <w:bCs/>
              </w:rPr>
              <w:t>p-value</w:t>
            </w:r>
          </w:p>
        </w:tc>
      </w:tr>
      <w:tr w:rsidR="00AB2CB9" w:rsidRPr="00AB2CB9" w14:paraId="0D756922" w14:textId="77777777" w:rsidTr="005A0665">
        <w:tc>
          <w:tcPr>
            <w:tcW w:w="944" w:type="pct"/>
            <w:vMerge/>
            <w:shd w:val="clear" w:color="auto" w:fill="auto"/>
          </w:tcPr>
          <w:p w14:paraId="55BADB8A" w14:textId="77777777" w:rsidR="00AB2CB9" w:rsidRPr="00AB2CB9" w:rsidRDefault="00AB2CB9" w:rsidP="00AB2CB9">
            <w:pPr>
              <w:pStyle w:val="Tabletext0"/>
            </w:pPr>
          </w:p>
        </w:tc>
        <w:tc>
          <w:tcPr>
            <w:tcW w:w="530" w:type="pct"/>
            <w:vMerge/>
            <w:shd w:val="clear" w:color="auto" w:fill="auto"/>
          </w:tcPr>
          <w:p w14:paraId="7C852A13" w14:textId="77777777" w:rsidR="00AB2CB9" w:rsidRPr="00AB2CB9" w:rsidRDefault="00AB2CB9" w:rsidP="00AB2CB9">
            <w:pPr>
              <w:pStyle w:val="Tabletext0"/>
            </w:pPr>
          </w:p>
        </w:tc>
        <w:tc>
          <w:tcPr>
            <w:tcW w:w="434" w:type="pct"/>
          </w:tcPr>
          <w:p w14:paraId="1BAC1F27" w14:textId="77777777" w:rsidR="00AB2CB9" w:rsidRPr="005A6F59" w:rsidRDefault="00AB2CB9" w:rsidP="00AB2CB9">
            <w:pPr>
              <w:pStyle w:val="Tabletext0"/>
              <w:rPr>
                <w:b/>
                <w:bCs/>
              </w:rPr>
            </w:pPr>
            <w:r w:rsidRPr="005A6F59">
              <w:rPr>
                <w:b/>
                <w:bCs/>
              </w:rPr>
              <w:t>Mean</w:t>
            </w:r>
          </w:p>
        </w:tc>
        <w:tc>
          <w:tcPr>
            <w:tcW w:w="444" w:type="pct"/>
          </w:tcPr>
          <w:p w14:paraId="3533E593" w14:textId="77777777" w:rsidR="00AB2CB9" w:rsidRPr="005A6F59" w:rsidRDefault="00AB2CB9" w:rsidP="00AB2CB9">
            <w:pPr>
              <w:pStyle w:val="Tabletext0"/>
              <w:rPr>
                <w:b/>
                <w:bCs/>
              </w:rPr>
            </w:pPr>
            <w:r w:rsidRPr="005A6F59">
              <w:rPr>
                <w:b/>
                <w:bCs/>
              </w:rPr>
              <w:t>SD</w:t>
            </w:r>
          </w:p>
        </w:tc>
        <w:tc>
          <w:tcPr>
            <w:tcW w:w="518" w:type="pct"/>
          </w:tcPr>
          <w:p w14:paraId="22FAFA0B" w14:textId="77777777" w:rsidR="00AB2CB9" w:rsidRPr="005A6F59" w:rsidRDefault="00AB2CB9" w:rsidP="00AB2CB9">
            <w:pPr>
              <w:pStyle w:val="Tabletext0"/>
              <w:rPr>
                <w:b/>
                <w:bCs/>
              </w:rPr>
            </w:pPr>
            <w:r w:rsidRPr="005A6F59">
              <w:rPr>
                <w:b/>
                <w:bCs/>
              </w:rPr>
              <w:t>Mean</w:t>
            </w:r>
          </w:p>
        </w:tc>
        <w:tc>
          <w:tcPr>
            <w:tcW w:w="448" w:type="pct"/>
          </w:tcPr>
          <w:p w14:paraId="11572FF9" w14:textId="77777777" w:rsidR="00AB2CB9" w:rsidRPr="005A6F59" w:rsidRDefault="00AB2CB9" w:rsidP="00AB2CB9">
            <w:pPr>
              <w:pStyle w:val="Tabletext0"/>
              <w:rPr>
                <w:b/>
                <w:bCs/>
              </w:rPr>
            </w:pPr>
            <w:r w:rsidRPr="005A6F59">
              <w:rPr>
                <w:b/>
                <w:bCs/>
              </w:rPr>
              <w:t>SD</w:t>
            </w:r>
          </w:p>
        </w:tc>
        <w:tc>
          <w:tcPr>
            <w:tcW w:w="1110" w:type="pct"/>
            <w:vAlign w:val="center"/>
          </w:tcPr>
          <w:p w14:paraId="58D80ADE" w14:textId="77777777" w:rsidR="00AB2CB9" w:rsidRPr="005A6F59" w:rsidRDefault="00AB2CB9" w:rsidP="00AB2CB9">
            <w:pPr>
              <w:pStyle w:val="Tabletext0"/>
              <w:rPr>
                <w:b/>
                <w:bCs/>
              </w:rPr>
            </w:pPr>
            <w:r w:rsidRPr="005A6F59">
              <w:rPr>
                <w:b/>
                <w:bCs/>
              </w:rPr>
              <w:t>Mean (95% CI)</w:t>
            </w:r>
          </w:p>
        </w:tc>
        <w:tc>
          <w:tcPr>
            <w:tcW w:w="573" w:type="pct"/>
            <w:vMerge/>
          </w:tcPr>
          <w:p w14:paraId="7325D551" w14:textId="77777777" w:rsidR="00AB2CB9" w:rsidRPr="00AB2CB9" w:rsidRDefault="00AB2CB9" w:rsidP="00AB2CB9">
            <w:pPr>
              <w:pStyle w:val="Tabletext0"/>
            </w:pPr>
          </w:p>
        </w:tc>
      </w:tr>
      <w:tr w:rsidR="00AB2CB9" w:rsidRPr="00AB2CB9" w14:paraId="19FA0D20" w14:textId="77777777" w:rsidTr="005A0665">
        <w:tc>
          <w:tcPr>
            <w:tcW w:w="944" w:type="pct"/>
            <w:shd w:val="clear" w:color="auto" w:fill="auto"/>
          </w:tcPr>
          <w:p w14:paraId="6C4EF59F" w14:textId="77777777" w:rsidR="00AB2CB9" w:rsidRPr="00AB2CB9" w:rsidRDefault="00AB2CB9" w:rsidP="00AB2CB9">
            <w:pPr>
              <w:pStyle w:val="Tabletext0"/>
            </w:pPr>
            <w:r w:rsidRPr="00AB2CB9">
              <w:t>∆HbA1c (%)</w:t>
            </w:r>
          </w:p>
        </w:tc>
        <w:tc>
          <w:tcPr>
            <w:tcW w:w="530" w:type="pct"/>
            <w:shd w:val="clear" w:color="auto" w:fill="auto"/>
          </w:tcPr>
          <w:p w14:paraId="2C31BE6A" w14:textId="77777777" w:rsidR="00AB2CB9" w:rsidRPr="00AB2CB9" w:rsidRDefault="00AB2CB9" w:rsidP="00AB2CB9">
            <w:pPr>
              <w:pStyle w:val="Tabletext0"/>
            </w:pPr>
            <w:r w:rsidRPr="00AB2CB9">
              <w:t>539</w:t>
            </w:r>
          </w:p>
        </w:tc>
        <w:tc>
          <w:tcPr>
            <w:tcW w:w="434" w:type="pct"/>
          </w:tcPr>
          <w:p w14:paraId="0B62A07C" w14:textId="77777777" w:rsidR="00AB2CB9" w:rsidRPr="00AB2CB9" w:rsidRDefault="00AB2CB9" w:rsidP="00AB2CB9">
            <w:pPr>
              <w:pStyle w:val="Tabletext0"/>
            </w:pPr>
            <w:r w:rsidRPr="00AB2CB9">
              <w:t>8.3%</w:t>
            </w:r>
          </w:p>
        </w:tc>
        <w:tc>
          <w:tcPr>
            <w:tcW w:w="444" w:type="pct"/>
          </w:tcPr>
          <w:p w14:paraId="61B35C75" w14:textId="77777777" w:rsidR="00AB2CB9" w:rsidRPr="00AB2CB9" w:rsidRDefault="00AB2CB9" w:rsidP="00AB2CB9">
            <w:pPr>
              <w:pStyle w:val="Tabletext0"/>
            </w:pPr>
            <w:r w:rsidRPr="00AB2CB9">
              <w:t>5.5%</w:t>
            </w:r>
          </w:p>
        </w:tc>
        <w:tc>
          <w:tcPr>
            <w:tcW w:w="518" w:type="pct"/>
          </w:tcPr>
          <w:p w14:paraId="38EEE32C" w14:textId="77777777" w:rsidR="00AB2CB9" w:rsidRPr="00AB2CB9" w:rsidRDefault="00AB2CB9" w:rsidP="00AB2CB9">
            <w:pPr>
              <w:pStyle w:val="Tabletext0"/>
            </w:pPr>
            <w:r w:rsidRPr="00AB2CB9">
              <w:t>8.0%</w:t>
            </w:r>
          </w:p>
        </w:tc>
        <w:tc>
          <w:tcPr>
            <w:tcW w:w="448" w:type="pct"/>
          </w:tcPr>
          <w:p w14:paraId="3F8DF3B0" w14:textId="77777777" w:rsidR="00AB2CB9" w:rsidRPr="00AB2CB9" w:rsidRDefault="00AB2CB9" w:rsidP="00AB2CB9">
            <w:pPr>
              <w:pStyle w:val="Tabletext0"/>
            </w:pPr>
            <w:r w:rsidRPr="00AB2CB9">
              <w:t>5.8%</w:t>
            </w:r>
          </w:p>
        </w:tc>
        <w:tc>
          <w:tcPr>
            <w:tcW w:w="1110" w:type="pct"/>
            <w:vAlign w:val="center"/>
          </w:tcPr>
          <w:p w14:paraId="43CA8592" w14:textId="77777777" w:rsidR="00AB2CB9" w:rsidRPr="00AB2CB9" w:rsidRDefault="00AB2CB9" w:rsidP="00AB2CB9">
            <w:pPr>
              <w:pStyle w:val="Tabletext0"/>
              <w:rPr>
                <w:vertAlign w:val="superscript"/>
              </w:rPr>
            </w:pPr>
            <w:r w:rsidRPr="00AB2CB9">
              <w:t xml:space="preserve">-0.3% (-0.4%, -0.1%) </w:t>
            </w:r>
          </w:p>
        </w:tc>
        <w:tc>
          <w:tcPr>
            <w:tcW w:w="573" w:type="pct"/>
          </w:tcPr>
          <w:p w14:paraId="4B731BB0" w14:textId="77777777" w:rsidR="00AB2CB9" w:rsidRPr="00AB2CB9" w:rsidRDefault="00AB2CB9" w:rsidP="00AB2CB9">
            <w:pPr>
              <w:pStyle w:val="Tabletext0"/>
            </w:pPr>
            <w:r w:rsidRPr="00AB2CB9">
              <w:t>0.001</w:t>
            </w:r>
            <w:r w:rsidRPr="00AB2CB9">
              <w:rPr>
                <w:vertAlign w:val="superscript"/>
              </w:rPr>
              <w:t xml:space="preserve"> a</w:t>
            </w:r>
          </w:p>
        </w:tc>
      </w:tr>
      <w:tr w:rsidR="00AB2CB9" w:rsidRPr="00AB2CB9" w14:paraId="567BE629" w14:textId="77777777" w:rsidTr="005A0665">
        <w:tc>
          <w:tcPr>
            <w:tcW w:w="944" w:type="pct"/>
            <w:vMerge w:val="restart"/>
            <w:shd w:val="clear" w:color="auto" w:fill="auto"/>
            <w:vAlign w:val="center"/>
          </w:tcPr>
          <w:p w14:paraId="28D64477" w14:textId="77777777" w:rsidR="00AB2CB9" w:rsidRPr="00AB2CB9" w:rsidRDefault="00AB2CB9" w:rsidP="00AB2CB9">
            <w:pPr>
              <w:pStyle w:val="Tabletext0"/>
            </w:pPr>
            <w:r w:rsidRPr="00AB2CB9">
              <w:t xml:space="preserve">HBA1c response </w:t>
            </w:r>
          </w:p>
          <w:p w14:paraId="3F0D59C7" w14:textId="77777777" w:rsidR="00AB2CB9" w:rsidRPr="00AB2CB9" w:rsidRDefault="00AB2CB9" w:rsidP="00AB2CB9">
            <w:pPr>
              <w:pStyle w:val="Tabletext0"/>
            </w:pPr>
            <w:r w:rsidRPr="00AB2CB9">
              <w:t>(≥ 0.5% reduction)</w:t>
            </w:r>
          </w:p>
        </w:tc>
        <w:tc>
          <w:tcPr>
            <w:tcW w:w="530" w:type="pct"/>
            <w:shd w:val="clear" w:color="auto" w:fill="auto"/>
          </w:tcPr>
          <w:p w14:paraId="7E3A0B3E" w14:textId="77777777" w:rsidR="00AB2CB9" w:rsidRPr="00AB2CB9" w:rsidRDefault="00AB2CB9" w:rsidP="00AB2CB9">
            <w:pPr>
              <w:pStyle w:val="Tabletext0"/>
            </w:pPr>
            <w:r w:rsidRPr="00AB2CB9">
              <w:t>N</w:t>
            </w:r>
          </w:p>
        </w:tc>
        <w:tc>
          <w:tcPr>
            <w:tcW w:w="1844" w:type="pct"/>
            <w:gridSpan w:val="4"/>
            <w:vAlign w:val="center"/>
          </w:tcPr>
          <w:p w14:paraId="13CE5591" w14:textId="77777777" w:rsidR="00AB2CB9" w:rsidRPr="00AB2CB9" w:rsidRDefault="00AB2CB9" w:rsidP="00AB2CB9">
            <w:pPr>
              <w:pStyle w:val="Tabletext0"/>
            </w:pPr>
            <w:r w:rsidRPr="00AB2CB9">
              <w:t>n/N</w:t>
            </w:r>
          </w:p>
        </w:tc>
        <w:tc>
          <w:tcPr>
            <w:tcW w:w="1110" w:type="pct"/>
            <w:vAlign w:val="center"/>
          </w:tcPr>
          <w:p w14:paraId="6DB561E2" w14:textId="77777777" w:rsidR="00AB2CB9" w:rsidRPr="00AB2CB9" w:rsidRDefault="00AB2CB9" w:rsidP="00AB2CB9">
            <w:pPr>
              <w:pStyle w:val="Tabletext0"/>
            </w:pPr>
            <w:r w:rsidRPr="00AB2CB9">
              <w:t>Incremental difference</w:t>
            </w:r>
          </w:p>
        </w:tc>
        <w:tc>
          <w:tcPr>
            <w:tcW w:w="573" w:type="pct"/>
          </w:tcPr>
          <w:p w14:paraId="6278FC82" w14:textId="77777777" w:rsidR="00AB2CB9" w:rsidRPr="00AB2CB9" w:rsidRDefault="00AB2CB9" w:rsidP="00AB2CB9">
            <w:pPr>
              <w:pStyle w:val="Tabletext0"/>
            </w:pPr>
          </w:p>
        </w:tc>
      </w:tr>
      <w:tr w:rsidR="00AB2CB9" w:rsidRPr="00AB2CB9" w14:paraId="7024BD47" w14:textId="77777777" w:rsidTr="005A0665">
        <w:tc>
          <w:tcPr>
            <w:tcW w:w="944" w:type="pct"/>
            <w:vMerge/>
            <w:shd w:val="clear" w:color="auto" w:fill="auto"/>
          </w:tcPr>
          <w:p w14:paraId="6A39920D" w14:textId="77777777" w:rsidR="00AB2CB9" w:rsidRPr="00AB2CB9" w:rsidRDefault="00AB2CB9" w:rsidP="00AB2CB9">
            <w:pPr>
              <w:pStyle w:val="Tabletext0"/>
            </w:pPr>
          </w:p>
        </w:tc>
        <w:tc>
          <w:tcPr>
            <w:tcW w:w="530" w:type="pct"/>
            <w:shd w:val="clear" w:color="auto" w:fill="auto"/>
          </w:tcPr>
          <w:p w14:paraId="3DA4F0C9" w14:textId="77777777" w:rsidR="00AB2CB9" w:rsidRPr="00AB2CB9" w:rsidRDefault="00AB2CB9" w:rsidP="00AB2CB9">
            <w:pPr>
              <w:pStyle w:val="Tabletext0"/>
            </w:pPr>
            <w:r w:rsidRPr="00AB2CB9">
              <w:t>539</w:t>
            </w:r>
          </w:p>
        </w:tc>
        <w:tc>
          <w:tcPr>
            <w:tcW w:w="1844" w:type="pct"/>
            <w:gridSpan w:val="4"/>
            <w:vAlign w:val="center"/>
          </w:tcPr>
          <w:p w14:paraId="7BB636B8" w14:textId="77777777" w:rsidR="00AB2CB9" w:rsidRPr="00AB2CB9" w:rsidRDefault="00AB2CB9" w:rsidP="00AB2CB9">
            <w:pPr>
              <w:pStyle w:val="Tabletext0"/>
            </w:pPr>
            <w:r w:rsidRPr="00AB2CB9">
              <w:t>200</w:t>
            </w:r>
          </w:p>
        </w:tc>
        <w:tc>
          <w:tcPr>
            <w:tcW w:w="1110" w:type="pct"/>
            <w:vAlign w:val="center"/>
          </w:tcPr>
          <w:p w14:paraId="185E19AC" w14:textId="77777777" w:rsidR="00AB2CB9" w:rsidRPr="00AB2CB9" w:rsidRDefault="00AB2CB9" w:rsidP="00AB2CB9">
            <w:pPr>
              <w:pStyle w:val="Tabletext0"/>
            </w:pPr>
            <w:r w:rsidRPr="00AB2CB9">
              <w:t>37.1%</w:t>
            </w:r>
          </w:p>
        </w:tc>
        <w:tc>
          <w:tcPr>
            <w:tcW w:w="573" w:type="pct"/>
            <w:vMerge w:val="restart"/>
          </w:tcPr>
          <w:p w14:paraId="6D0B9374" w14:textId="77777777" w:rsidR="00AB2CB9" w:rsidRPr="00AB2CB9" w:rsidRDefault="00AB2CB9" w:rsidP="00AB2CB9">
            <w:pPr>
              <w:pStyle w:val="Tabletext0"/>
            </w:pPr>
            <w:r w:rsidRPr="00AB2CB9">
              <w:t>Not applicable</w:t>
            </w:r>
          </w:p>
        </w:tc>
      </w:tr>
      <w:tr w:rsidR="00AB2CB9" w:rsidRPr="00AB2CB9" w14:paraId="6D1AB627" w14:textId="77777777" w:rsidTr="005A0665">
        <w:tc>
          <w:tcPr>
            <w:tcW w:w="944" w:type="pct"/>
            <w:vMerge/>
            <w:shd w:val="clear" w:color="auto" w:fill="auto"/>
          </w:tcPr>
          <w:p w14:paraId="4C7E3B9D" w14:textId="77777777" w:rsidR="00AB2CB9" w:rsidRPr="00AB2CB9" w:rsidRDefault="00AB2CB9" w:rsidP="00AB2CB9">
            <w:pPr>
              <w:pStyle w:val="Tabletext0"/>
            </w:pPr>
          </w:p>
        </w:tc>
        <w:tc>
          <w:tcPr>
            <w:tcW w:w="530" w:type="pct"/>
            <w:shd w:val="clear" w:color="auto" w:fill="auto"/>
          </w:tcPr>
          <w:p w14:paraId="21C1C264" w14:textId="77777777" w:rsidR="00AB2CB9" w:rsidRPr="00AB2CB9" w:rsidRDefault="00AB2CB9" w:rsidP="00AB2CB9">
            <w:pPr>
              <w:pStyle w:val="Tabletext0"/>
            </w:pPr>
            <w:r w:rsidRPr="00AB2CB9">
              <w:t>997</w:t>
            </w:r>
          </w:p>
        </w:tc>
        <w:tc>
          <w:tcPr>
            <w:tcW w:w="1844" w:type="pct"/>
            <w:gridSpan w:val="4"/>
            <w:vAlign w:val="center"/>
          </w:tcPr>
          <w:p w14:paraId="214B2D54" w14:textId="77777777" w:rsidR="00AB2CB9" w:rsidRPr="00AB2CB9" w:rsidRDefault="00AB2CB9" w:rsidP="00AB2CB9">
            <w:pPr>
              <w:pStyle w:val="Tabletext0"/>
            </w:pPr>
            <w:r w:rsidRPr="00AB2CB9">
              <w:t>200</w:t>
            </w:r>
          </w:p>
        </w:tc>
        <w:tc>
          <w:tcPr>
            <w:tcW w:w="1110" w:type="pct"/>
            <w:vAlign w:val="center"/>
          </w:tcPr>
          <w:p w14:paraId="5C16AF6E" w14:textId="77777777" w:rsidR="00AB2CB9" w:rsidRPr="00AB2CB9" w:rsidRDefault="00AB2CB9" w:rsidP="00AB2CB9">
            <w:pPr>
              <w:pStyle w:val="Tabletext0"/>
            </w:pPr>
            <w:r w:rsidRPr="00AB2CB9">
              <w:t>20%</w:t>
            </w:r>
          </w:p>
        </w:tc>
        <w:tc>
          <w:tcPr>
            <w:tcW w:w="573" w:type="pct"/>
            <w:vMerge/>
          </w:tcPr>
          <w:p w14:paraId="6D54E67A" w14:textId="77777777" w:rsidR="00AB2CB9" w:rsidRPr="00AB2CB9" w:rsidRDefault="00AB2CB9" w:rsidP="00AB2CB9">
            <w:pPr>
              <w:pStyle w:val="Tabletext0"/>
            </w:pPr>
          </w:p>
        </w:tc>
      </w:tr>
    </w:tbl>
    <w:p w14:paraId="34CADC4C" w14:textId="77777777" w:rsidR="00AB2CB9" w:rsidRPr="005C63DB" w:rsidRDefault="00AB2CB9" w:rsidP="00F15C01">
      <w:pPr>
        <w:pStyle w:val="TableFooter"/>
      </w:pPr>
      <w:r w:rsidRPr="00AB2CB9">
        <w:t xml:space="preserve">Source: Compiled </w:t>
      </w:r>
      <w:proofErr w:type="gramStart"/>
      <w:r w:rsidRPr="00AB2CB9">
        <w:t>from  p</w:t>
      </w:r>
      <w:proofErr w:type="gramEnd"/>
      <w:r w:rsidRPr="00AB2CB9">
        <w:t>18, Appendix 9 and Table 7, p16 of Appendix 25 (version 2, 2021) of the IPAC trial r</w:t>
      </w:r>
      <w:r w:rsidRPr="005C63DB">
        <w:t xml:space="preserve">eport </w:t>
      </w:r>
    </w:p>
    <w:p w14:paraId="65721943" w14:textId="77777777" w:rsidR="00AB2CB9" w:rsidRPr="00AB2CB9" w:rsidRDefault="00AB2CB9" w:rsidP="00F15C01">
      <w:pPr>
        <w:pStyle w:val="TableFooter"/>
      </w:pPr>
      <w:r w:rsidRPr="00AB2CB9">
        <w:t>ACCHS = Aboriginal Community Controlled Health Service; CI = confidence interval; HbA1c = glycated haemoglobin; SD = standard deviation; ∆ = change in</w:t>
      </w:r>
    </w:p>
    <w:p w14:paraId="0585247E" w14:textId="0BE22D56" w:rsidR="000F0616" w:rsidRPr="00263876" w:rsidRDefault="00AB2CB9" w:rsidP="00263876">
      <w:pPr>
        <w:pStyle w:val="TableFooter"/>
        <w:spacing w:after="240"/>
        <w:contextualSpacing w:val="0"/>
      </w:pPr>
      <w:r w:rsidRPr="00AB2CB9">
        <w:rPr>
          <w:vertAlign w:val="superscript"/>
        </w:rPr>
        <w:t>a</w:t>
      </w:r>
      <w:r w:rsidRPr="00AB2CB9">
        <w:t xml:space="preserve"> P-value (paired data) was derived from the cluster-adjusted (ACCHS cluster) comparison of HbA1c differences against zero</w:t>
      </w:r>
    </w:p>
    <w:p w14:paraId="3AC3879D" w14:textId="575928E3" w:rsidR="005128A1" w:rsidRDefault="000F0616" w:rsidP="000F0616">
      <w:pPr>
        <w:rPr>
          <w:lang w:eastAsia="en-AU"/>
        </w:rPr>
      </w:pPr>
      <w:r w:rsidRPr="000F0616">
        <w:rPr>
          <w:lang w:eastAsia="en-AU"/>
        </w:rPr>
        <w:t xml:space="preserve">The Department reviewed PBAC Public Summary Documents (PSDs) for medications treating T2DM from 2014 to </w:t>
      </w:r>
      <w:r w:rsidR="00192862" w:rsidRPr="000F0616">
        <w:rPr>
          <w:lang w:eastAsia="en-AU"/>
        </w:rPr>
        <w:t>mid</w:t>
      </w:r>
      <w:r w:rsidR="00192862">
        <w:rPr>
          <w:lang w:eastAsia="en-AU"/>
        </w:rPr>
        <w:t>-</w:t>
      </w:r>
      <w:r w:rsidRPr="000F0616">
        <w:rPr>
          <w:lang w:eastAsia="en-AU"/>
        </w:rPr>
        <w:t>2022, including the Post</w:t>
      </w:r>
      <w:r w:rsidRPr="000F0616">
        <w:rPr>
          <w:lang w:eastAsia="en-AU"/>
        </w:rPr>
        <w:noBreakHyphen/>
        <w:t>Market Review of Type 2 Diabetes Medicines</w:t>
      </w:r>
      <w:r w:rsidRPr="000F0616">
        <w:rPr>
          <w:vertAlign w:val="superscript"/>
          <w:lang w:eastAsia="en-AU"/>
        </w:rPr>
        <w:footnoteReference w:id="10"/>
      </w:r>
      <w:r w:rsidRPr="000F0616">
        <w:rPr>
          <w:lang w:eastAsia="en-AU"/>
        </w:rPr>
        <w:t>. The PBAC has typically considered a non</w:t>
      </w:r>
      <w:r w:rsidRPr="000F0616">
        <w:rPr>
          <w:lang w:eastAsia="en-AU"/>
        </w:rPr>
        <w:noBreakHyphen/>
        <w:t xml:space="preserve">inferiority margin of 0.3-0.4% for HbA1c to be acceptable in the context of non-inferiority claims but has not accepted an MCID for superiority claims. In its November 2019 consideration of </w:t>
      </w:r>
      <w:proofErr w:type="spellStart"/>
      <w:r w:rsidRPr="000F0616">
        <w:rPr>
          <w:lang w:eastAsia="en-AU"/>
        </w:rPr>
        <w:t>semaglutide</w:t>
      </w:r>
      <w:proofErr w:type="spellEnd"/>
      <w:r w:rsidRPr="000F0616">
        <w:rPr>
          <w:lang w:eastAsia="en-AU"/>
        </w:rPr>
        <w:t xml:space="preserve"> for T2DM, the PBAC considered there was insufficient evidence to accept the clinical claim of superiority for </w:t>
      </w:r>
      <w:proofErr w:type="spellStart"/>
      <w:r w:rsidRPr="000F0616">
        <w:rPr>
          <w:lang w:eastAsia="en-AU"/>
        </w:rPr>
        <w:t>semaglutide</w:t>
      </w:r>
      <w:proofErr w:type="spellEnd"/>
      <w:r w:rsidRPr="000F0616">
        <w:rPr>
          <w:lang w:eastAsia="en-AU"/>
        </w:rPr>
        <w:t xml:space="preserve"> over dulaglutide based on change in HbA1c (and other outcomes) (paragraph 7.10). The PBAC also considered a 0.5% reduction in HbA1c was more relevant for the superiority claim than the 0.3% proposed by the submission (paragraph 7.5</w:t>
      </w:r>
      <w:r w:rsidR="005128A1">
        <w:rPr>
          <w:lang w:eastAsia="en-AU"/>
        </w:rPr>
        <w:t>)</w:t>
      </w:r>
      <w:r w:rsidRPr="000F0616">
        <w:rPr>
          <w:lang w:eastAsia="en-AU"/>
        </w:rPr>
        <w:t xml:space="preserve">. </w:t>
      </w:r>
      <w:r w:rsidR="005128A1" w:rsidRPr="00D33114">
        <w:rPr>
          <w:lang w:eastAsia="en-AU"/>
        </w:rPr>
        <w:t>Based on this evidence, the IPAC study may not be considered to have demonstrated a clinically meaningful improvement in the single outcome of HbA1c.</w:t>
      </w:r>
      <w:r w:rsidR="005128A1" w:rsidRPr="005128A1">
        <w:rPr>
          <w:lang w:eastAsia="en-AU"/>
        </w:rPr>
        <w:t xml:space="preserve">The MSAC Application 1678 ADAR noted the UK Prospective Diabetes Study (UKPDS) considered any improvement in HbA1c in those with T2DM reduced the risk of diabetes complications, with little evidence of a threshold of effect. Additionally, the ADAR considered the IPAC population differed from the UKPDS population as the IPAC population had a higher body mass index, a lack of baseline glycaemic control, a higher prevalence of macroalbuminuria and cardiovascular disease at baseline. The ADAR considered that this made the IPAC population </w:t>
      </w:r>
      <w:r w:rsidR="005128A1" w:rsidRPr="005128A1">
        <w:rPr>
          <w:lang w:eastAsia="en-AU"/>
        </w:rPr>
        <w:lastRenderedPageBreak/>
        <w:t xml:space="preserve">more </w:t>
      </w:r>
      <w:proofErr w:type="gramStart"/>
      <w:r w:rsidR="005128A1" w:rsidRPr="005128A1">
        <w:rPr>
          <w:lang w:eastAsia="en-AU"/>
        </w:rPr>
        <w:t>similar to</w:t>
      </w:r>
      <w:proofErr w:type="gramEnd"/>
      <w:r w:rsidR="005128A1" w:rsidRPr="005128A1">
        <w:rPr>
          <w:lang w:eastAsia="en-AU"/>
        </w:rPr>
        <w:t xml:space="preserve"> the participants in the ACCORD study which did not support intensive therapy to target normal HbA1c (below 6.0%). </w:t>
      </w:r>
    </w:p>
    <w:p w14:paraId="58220346" w14:textId="7EED19F0" w:rsidR="001B3949" w:rsidRDefault="001B3949" w:rsidP="000F0616">
      <w:pPr>
        <w:rPr>
          <w:lang w:eastAsia="en-AU"/>
        </w:rPr>
      </w:pPr>
      <w:r w:rsidRPr="001B3949">
        <w:rPr>
          <w:lang w:eastAsia="en-AU"/>
        </w:rPr>
        <w:t>The MSAC Executive noted the difficulty in comparing the IPAC study to other existing studies due to differences in baseline HbA1c (8.3% in the IPAC study). The MSAC Executive considered larger reductions in HbA1c could be achieved in patients with higher baseline HbA1c. The MSAC Executive considered the participants in Clifford (2005)</w:t>
      </w:r>
      <w:r w:rsidRPr="001B3949">
        <w:rPr>
          <w:vertAlign w:val="superscript"/>
          <w:lang w:eastAsia="en-AU"/>
        </w:rPr>
        <w:footnoteReference w:id="11"/>
      </w:r>
      <w:r w:rsidRPr="001B3949">
        <w:rPr>
          <w:lang w:eastAsia="en-AU"/>
        </w:rPr>
        <w:t xml:space="preserve"> differed from IPAC participants as participants in the pharmaceutical care arm had baseline HbA1c of 7.5% (95% CI: 6.9, 8.1) and experienced a HbA1c change of -0.5% (95% CI: -0.7, -0.3). </w:t>
      </w:r>
    </w:p>
    <w:p w14:paraId="3F9AC7FF" w14:textId="3E94B6ED" w:rsidR="00B23F98" w:rsidRDefault="00D31C55" w:rsidP="000F0616">
      <w:pPr>
        <w:rPr>
          <w:lang w:eastAsia="en-AU"/>
        </w:rPr>
      </w:pPr>
      <w:r w:rsidRPr="00D31C55">
        <w:rPr>
          <w:lang w:eastAsia="en-AU"/>
        </w:rPr>
        <w:t>The ADAR reported the change in estimated Glomerular Filtration Rate (eGFR) observed in the IPAC study as being better than the predicted change in eGFR from the eGFR Follow-Up Study – a longitudinal study of Aboriginal and/or Torres Strait Islander peoples (</w:t>
      </w:r>
      <w:r w:rsidRPr="00D31C55">
        <w:rPr>
          <w:lang w:eastAsia="en-AU"/>
        </w:rPr>
        <w:fldChar w:fldCharType="begin"/>
      </w:r>
      <w:r w:rsidRPr="00D31C55">
        <w:rPr>
          <w:lang w:eastAsia="en-AU"/>
        </w:rPr>
        <w:instrText xml:space="preserve"> REF _Ref113197742 \h </w:instrText>
      </w:r>
      <w:r w:rsidR="00454331" w:rsidRPr="00454331">
        <w:instrText xml:space="preserve"> \* MERGEFORMAT </w:instrText>
      </w:r>
      <w:r w:rsidRPr="00D31C55">
        <w:rPr>
          <w:lang w:eastAsia="en-AU"/>
        </w:rPr>
      </w:r>
      <w:r w:rsidRPr="00D31C55">
        <w:rPr>
          <w:lang w:eastAsia="en-AU"/>
        </w:rPr>
        <w:fldChar w:fldCharType="separate"/>
      </w:r>
      <w:r w:rsidR="009F6F06" w:rsidRPr="00F15C01">
        <w:rPr>
          <w:lang w:eastAsia="en-AU"/>
        </w:rPr>
        <w:t xml:space="preserve">Table </w:t>
      </w:r>
      <w:r w:rsidR="009F6F06" w:rsidRPr="00E56A24">
        <w:t>8</w:t>
      </w:r>
      <w:r w:rsidRPr="00D31C55">
        <w:rPr>
          <w:lang w:eastAsia="en-AU"/>
        </w:rPr>
        <w:fldChar w:fldCharType="end"/>
      </w:r>
      <w:r w:rsidRPr="00D31C55">
        <w:rPr>
          <w:lang w:eastAsia="en-AU"/>
        </w:rPr>
        <w:t xml:space="preserve">). </w:t>
      </w:r>
      <w:r w:rsidR="00B23F98">
        <w:rPr>
          <w:lang w:eastAsia="en-AU"/>
        </w:rPr>
        <w:t xml:space="preserve">The ADAR </w:t>
      </w:r>
      <w:r w:rsidR="00566E2A">
        <w:rPr>
          <w:lang w:eastAsia="en-AU"/>
        </w:rPr>
        <w:t xml:space="preserve">statistically </w:t>
      </w:r>
      <w:r w:rsidR="00B23F98">
        <w:rPr>
          <w:lang w:eastAsia="en-AU"/>
        </w:rPr>
        <w:t xml:space="preserve">compared </w:t>
      </w:r>
      <w:r w:rsidR="00FD70D3">
        <w:rPr>
          <w:lang w:eastAsia="en-AU"/>
        </w:rPr>
        <w:t xml:space="preserve">annualised </w:t>
      </w:r>
      <w:r w:rsidR="002B4852">
        <w:rPr>
          <w:lang w:eastAsia="en-AU"/>
        </w:rPr>
        <w:t xml:space="preserve">differences in </w:t>
      </w:r>
      <w:r w:rsidR="00FD70D3">
        <w:rPr>
          <w:lang w:eastAsia="en-AU"/>
        </w:rPr>
        <w:t xml:space="preserve">eGFR against a </w:t>
      </w:r>
      <w:r w:rsidR="00FD70D3" w:rsidRPr="00FD70D3">
        <w:rPr>
          <w:lang w:eastAsia="en-AU"/>
        </w:rPr>
        <w:t>theoretically assumed value</w:t>
      </w:r>
      <w:r w:rsidR="005E5ADE">
        <w:rPr>
          <w:lang w:eastAsia="en-AU"/>
        </w:rPr>
        <w:t xml:space="preserve"> of</w:t>
      </w:r>
      <w:r w:rsidR="005E5ADE" w:rsidRPr="005E5ADE">
        <w:rPr>
          <w:rFonts w:ascii="SimSun" w:hAnsi="SimSun" w:cs="SimSun"/>
          <w:sz w:val="20"/>
          <w:szCs w:val="20"/>
        </w:rPr>
        <w:t xml:space="preserve"> </w:t>
      </w:r>
      <w:r w:rsidR="005E5ADE" w:rsidRPr="005E5ADE">
        <w:rPr>
          <w:lang w:eastAsia="en-AU"/>
        </w:rPr>
        <w:t>3 (ml/min/1.73 m</w:t>
      </w:r>
      <w:r w:rsidR="005E5ADE" w:rsidRPr="005E5ADE">
        <w:rPr>
          <w:vertAlign w:val="superscript"/>
          <w:lang w:eastAsia="en-AU"/>
        </w:rPr>
        <w:t>2</w:t>
      </w:r>
      <w:r w:rsidR="005E5ADE" w:rsidRPr="005E5ADE">
        <w:rPr>
          <w:lang w:eastAsia="en-AU"/>
        </w:rPr>
        <w:t>)</w:t>
      </w:r>
      <w:r w:rsidR="00566E2A">
        <w:rPr>
          <w:lang w:eastAsia="en-AU"/>
        </w:rPr>
        <w:t xml:space="preserve"> – the expected mean annual e-GFR (ml/min/1.73m</w:t>
      </w:r>
      <w:r w:rsidR="00566E2A" w:rsidRPr="00566E2A">
        <w:rPr>
          <w:vertAlign w:val="superscript"/>
          <w:lang w:eastAsia="en-AU"/>
        </w:rPr>
        <w:t>2</w:t>
      </w:r>
      <w:r w:rsidR="00566E2A">
        <w:rPr>
          <w:lang w:eastAsia="en-AU"/>
        </w:rPr>
        <w:t>) linear decline expected without the intervention</w:t>
      </w:r>
      <w:r w:rsidR="00965ABE">
        <w:rPr>
          <w:lang w:eastAsia="en-AU"/>
        </w:rPr>
        <w:t xml:space="preserve">. </w:t>
      </w:r>
    </w:p>
    <w:p w14:paraId="0DB2A4CF" w14:textId="0BA38FB4" w:rsidR="00F853C2" w:rsidRPr="00F15C01" w:rsidRDefault="00D31C55" w:rsidP="00F15C01">
      <w:pPr>
        <w:rPr>
          <w:lang w:eastAsia="en-AU"/>
        </w:rPr>
      </w:pPr>
      <w:r w:rsidRPr="00D31C55">
        <w:rPr>
          <w:lang w:eastAsia="en-AU"/>
        </w:rPr>
        <w:t>The subgroup of the eGFR Follow-up Study with eGFR &lt;60 mL/min/1.73m</w:t>
      </w:r>
      <w:r w:rsidRPr="00D31C55">
        <w:rPr>
          <w:vertAlign w:val="superscript"/>
          <w:lang w:eastAsia="en-AU"/>
        </w:rPr>
        <w:t>2</w:t>
      </w:r>
      <w:r w:rsidRPr="00D31C55">
        <w:rPr>
          <w:lang w:eastAsia="en-AU"/>
        </w:rPr>
        <w:t xml:space="preserve"> experienced a greater decline in eGFR. The ADAR considered this group was </w:t>
      </w:r>
      <w:proofErr w:type="gramStart"/>
      <w:r w:rsidRPr="00D31C55">
        <w:rPr>
          <w:lang w:eastAsia="en-AU"/>
        </w:rPr>
        <w:t>similar to</w:t>
      </w:r>
      <w:proofErr w:type="gramEnd"/>
      <w:r w:rsidRPr="00D31C55">
        <w:rPr>
          <w:lang w:eastAsia="en-AU"/>
        </w:rPr>
        <w:t xml:space="preserve"> the IPAC participants. However, increasing ‘length of stay’ with IPAC intervention was associated with worsening of the eGFR. </w:t>
      </w:r>
    </w:p>
    <w:p w14:paraId="196946D5" w14:textId="6A3A82FA" w:rsidR="00F853C2" w:rsidRPr="00C0390B" w:rsidRDefault="00F853C2" w:rsidP="0042522D">
      <w:pPr>
        <w:pStyle w:val="Caption"/>
        <w:rPr>
          <w:rFonts w:cs="Franklin Gothic Medium"/>
          <w:sz w:val="20"/>
          <w:lang w:eastAsia="en-AU"/>
        </w:rPr>
      </w:pPr>
      <w:bookmarkStart w:id="27" w:name="_Ref113197742"/>
      <w:r w:rsidRPr="00C0390B">
        <w:rPr>
          <w:sz w:val="20"/>
          <w:lang w:eastAsia="en-AU"/>
        </w:rPr>
        <w:t xml:space="preserve">Table </w:t>
      </w:r>
      <w:r w:rsidRPr="00C0390B">
        <w:rPr>
          <w:rFonts w:cs="Franklin Gothic Medium"/>
          <w:sz w:val="20"/>
          <w:lang w:eastAsia="en-AU"/>
        </w:rPr>
        <w:fldChar w:fldCharType="begin"/>
      </w:r>
      <w:r w:rsidRPr="00C0390B">
        <w:rPr>
          <w:rFonts w:cs="Franklin Gothic Medium"/>
          <w:sz w:val="20"/>
          <w:lang w:eastAsia="en-AU"/>
        </w:rPr>
        <w:instrText xml:space="preserve"> SEQ Table \* ARABIC </w:instrText>
      </w:r>
      <w:r w:rsidRPr="00C0390B">
        <w:rPr>
          <w:rFonts w:cs="Franklin Gothic Medium"/>
          <w:sz w:val="20"/>
          <w:lang w:eastAsia="en-AU"/>
        </w:rPr>
        <w:fldChar w:fldCharType="separate"/>
      </w:r>
      <w:r w:rsidR="00FC2B00" w:rsidRPr="00C0390B">
        <w:rPr>
          <w:rFonts w:cs="Franklin Gothic Medium"/>
          <w:noProof/>
          <w:sz w:val="20"/>
          <w:lang w:eastAsia="en-AU"/>
        </w:rPr>
        <w:t>8</w:t>
      </w:r>
      <w:r w:rsidRPr="00C0390B">
        <w:rPr>
          <w:rFonts w:cs="Franklin Gothic Medium"/>
          <w:sz w:val="20"/>
          <w:lang w:eastAsia="en-AU"/>
        </w:rPr>
        <w:fldChar w:fldCharType="end"/>
      </w:r>
      <w:bookmarkEnd w:id="27"/>
      <w:r w:rsidRPr="00C0390B">
        <w:rPr>
          <w:rFonts w:cs="Franklin Gothic Medium"/>
          <w:sz w:val="20"/>
          <w:lang w:eastAsia="en-AU"/>
        </w:rPr>
        <w:t>: Comparison of eGFR outcomes (mL/min/1.73m</w:t>
      </w:r>
      <w:r w:rsidRPr="00C0390B">
        <w:rPr>
          <w:rFonts w:cs="Franklin Gothic Medium"/>
          <w:sz w:val="20"/>
          <w:vertAlign w:val="superscript"/>
          <w:lang w:eastAsia="en-AU"/>
        </w:rPr>
        <w:t>2</w:t>
      </w:r>
      <w:r w:rsidRPr="00C0390B">
        <w:rPr>
          <w:rFonts w:cs="Franklin Gothic Medium"/>
          <w:sz w:val="20"/>
          <w:lang w:eastAsia="en-AU"/>
        </w:rPr>
        <w:t>)</w:t>
      </w:r>
    </w:p>
    <w:tbl>
      <w:tblPr>
        <w:tblStyle w:val="TableGrid1"/>
        <w:tblW w:w="9214" w:type="dxa"/>
        <w:tblInd w:w="-5" w:type="dxa"/>
        <w:tblCellMar>
          <w:left w:w="28" w:type="dxa"/>
          <w:right w:w="28" w:type="dxa"/>
        </w:tblCellMar>
        <w:tblLook w:val="04A0" w:firstRow="1" w:lastRow="0" w:firstColumn="1" w:lastColumn="0" w:noHBand="0" w:noVBand="1"/>
      </w:tblPr>
      <w:tblGrid>
        <w:gridCol w:w="1701"/>
        <w:gridCol w:w="426"/>
        <w:gridCol w:w="850"/>
        <w:gridCol w:w="1276"/>
        <w:gridCol w:w="1417"/>
        <w:gridCol w:w="1276"/>
        <w:gridCol w:w="851"/>
        <w:gridCol w:w="1417"/>
      </w:tblGrid>
      <w:tr w:rsidR="005962D0" w:rsidRPr="00F853C2" w14:paraId="7C5AF038" w14:textId="77777777" w:rsidTr="004317C4">
        <w:trPr>
          <w:cnfStyle w:val="100000000000" w:firstRow="1" w:lastRow="0" w:firstColumn="0" w:lastColumn="0" w:oddVBand="0" w:evenVBand="0" w:oddHBand="0" w:evenHBand="0" w:firstRowFirstColumn="0" w:firstRowLastColumn="0" w:lastRowFirstColumn="0" w:lastRowLastColumn="0"/>
          <w:trHeight w:val="592"/>
          <w:tblHead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F249B" w14:textId="77777777" w:rsidR="00F853C2" w:rsidRPr="004317C4" w:rsidRDefault="00F853C2" w:rsidP="004317C4">
            <w:pPr>
              <w:pStyle w:val="TableText"/>
              <w:rPr>
                <w:rFonts w:cs="Franklin Gothic Medium"/>
                <w:b/>
              </w:rPr>
            </w:pPr>
            <w:r w:rsidRPr="004317C4">
              <w:rPr>
                <w:b/>
                <w:bCs/>
              </w:rPr>
              <w:t>Outcome measure</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C363D" w14:textId="77777777" w:rsidR="00F853C2" w:rsidRPr="004317C4" w:rsidRDefault="00F853C2" w:rsidP="004317C4">
            <w:pPr>
              <w:pStyle w:val="TableText"/>
              <w:rPr>
                <w:rFonts w:cs="Franklin Gothic Medium"/>
                <w:b/>
              </w:rPr>
            </w:pPr>
            <w:r w:rsidRPr="004317C4">
              <w:rPr>
                <w:b/>
                <w:bCs/>
              </w:rPr>
              <w:t>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9733C" w14:textId="77777777" w:rsidR="00F853C2" w:rsidRPr="004317C4" w:rsidRDefault="00F853C2" w:rsidP="004317C4">
            <w:pPr>
              <w:pStyle w:val="TableText"/>
              <w:rPr>
                <w:rFonts w:cs="Franklin Gothic Medium"/>
                <w:b/>
              </w:rPr>
            </w:pPr>
            <w:r w:rsidRPr="004317C4">
              <w:rPr>
                <w:b/>
                <w:bCs/>
              </w:rPr>
              <w:t xml:space="preserve">Follow up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6C406" w14:textId="77777777" w:rsidR="00F853C2" w:rsidRPr="004317C4" w:rsidRDefault="00F853C2" w:rsidP="004317C4">
            <w:pPr>
              <w:pStyle w:val="TableText"/>
              <w:rPr>
                <w:rFonts w:cs="Franklin Gothic Medium"/>
                <w:b/>
              </w:rPr>
            </w:pPr>
            <w:r w:rsidRPr="004317C4">
              <w:rPr>
                <w:b/>
                <w:bCs/>
              </w:rPr>
              <w:t xml:space="preserve">Baseline </w:t>
            </w:r>
            <w:r w:rsidRPr="004317C4">
              <w:rPr>
                <w:b/>
                <w:bCs/>
              </w:rPr>
              <w:br/>
              <w:t>(SD or 95% CI)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B045B" w14:textId="77777777" w:rsidR="00F853C2" w:rsidRPr="004317C4" w:rsidRDefault="00F853C2" w:rsidP="004317C4">
            <w:pPr>
              <w:pStyle w:val="TableText"/>
              <w:rPr>
                <w:rFonts w:cs="Franklin Gothic Medium"/>
                <w:b/>
              </w:rPr>
            </w:pPr>
            <w:r w:rsidRPr="004317C4">
              <w:rPr>
                <w:b/>
                <w:bCs/>
              </w:rPr>
              <w:t xml:space="preserve">End of study </w:t>
            </w:r>
            <w:r w:rsidRPr="004317C4">
              <w:rPr>
                <w:b/>
                <w:bCs/>
              </w:rPr>
              <w:br/>
              <w:t>(SD or 95% CI)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2D94B" w14:textId="3298A95F" w:rsidR="00F853C2" w:rsidRPr="004317C4" w:rsidRDefault="00F853C2" w:rsidP="004317C4">
            <w:pPr>
              <w:pStyle w:val="TableText"/>
              <w:rPr>
                <w:rFonts w:cs="Franklin Gothic Medium"/>
                <w:b/>
              </w:rPr>
            </w:pPr>
            <w:r w:rsidRPr="004317C4">
              <w:rPr>
                <w:b/>
                <w:bCs/>
              </w:rPr>
              <w:t xml:space="preserve">Annualised change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701F7" w14:textId="77777777" w:rsidR="00F853C2" w:rsidRPr="004317C4" w:rsidRDefault="00F853C2" w:rsidP="004317C4">
            <w:pPr>
              <w:pStyle w:val="TableText"/>
              <w:rPr>
                <w:rFonts w:cs="Franklin Gothic Medium"/>
                <w:b/>
              </w:rPr>
            </w:pPr>
            <w:r w:rsidRPr="004317C4">
              <w:rPr>
                <w:b/>
                <w:bCs/>
              </w:rPr>
              <w:t xml:space="preserve">p-value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599B4D" w14:textId="77777777" w:rsidR="00D1312E" w:rsidRPr="004317C4" w:rsidRDefault="00700246" w:rsidP="004317C4">
            <w:pPr>
              <w:pStyle w:val="TableText"/>
              <w:rPr>
                <w:b/>
                <w:bCs/>
              </w:rPr>
            </w:pPr>
            <w:r w:rsidRPr="004317C4">
              <w:rPr>
                <w:b/>
                <w:bCs/>
              </w:rPr>
              <w:t>Crude difference</w:t>
            </w:r>
            <w:r w:rsidR="00D1312E" w:rsidRPr="004317C4">
              <w:rPr>
                <w:b/>
                <w:bCs/>
              </w:rPr>
              <w:t xml:space="preserve"> </w:t>
            </w:r>
          </w:p>
          <w:p w14:paraId="393333E7" w14:textId="7AA789D3" w:rsidR="00F853C2" w:rsidRPr="004317C4" w:rsidRDefault="00D1312E" w:rsidP="004317C4">
            <w:pPr>
              <w:pStyle w:val="TableText"/>
              <w:rPr>
                <w:b/>
                <w:bCs/>
              </w:rPr>
            </w:pPr>
            <w:r w:rsidRPr="004317C4">
              <w:rPr>
                <w:b/>
                <w:bCs/>
              </w:rPr>
              <w:t>(95% CI)</w:t>
            </w:r>
          </w:p>
        </w:tc>
      </w:tr>
      <w:tr w:rsidR="009815F2" w:rsidRPr="00F853C2" w14:paraId="6D0CFE0D" w14:textId="77777777" w:rsidTr="004317C4">
        <w:tc>
          <w:tcPr>
            <w:tcW w:w="779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BE833D" w14:textId="77777777" w:rsidR="00F853C2" w:rsidRPr="004317C4" w:rsidRDefault="00F853C2" w:rsidP="004317C4">
            <w:pPr>
              <w:pStyle w:val="TableText"/>
              <w:rPr>
                <w:b/>
                <w:bCs/>
              </w:rPr>
            </w:pPr>
            <w:r w:rsidRPr="004317C4">
              <w:rPr>
                <w:b/>
                <w:bCs/>
              </w:rPr>
              <w:t>IPAC</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2BD8E67" w14:textId="77777777" w:rsidR="00F853C2" w:rsidRPr="00F853C2" w:rsidRDefault="00F853C2" w:rsidP="004317C4">
            <w:pPr>
              <w:pStyle w:val="TableText"/>
            </w:pPr>
          </w:p>
        </w:tc>
      </w:tr>
      <w:tr w:rsidR="009815F2" w:rsidRPr="00F853C2" w14:paraId="7AD3A9C5" w14:textId="77777777" w:rsidTr="004317C4">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67B23A6" w14:textId="77777777" w:rsidR="00F853C2" w:rsidRPr="00F853C2" w:rsidRDefault="00F853C2" w:rsidP="004317C4">
            <w:pPr>
              <w:pStyle w:val="TableText"/>
            </w:pPr>
            <w:r w:rsidRPr="00F853C2">
              <w:t xml:space="preserve">IPAC eGFR </w:t>
            </w:r>
          </w:p>
          <w:p w14:paraId="5D135292" w14:textId="77777777" w:rsidR="00F853C2" w:rsidRPr="00F853C2" w:rsidRDefault="00F853C2" w:rsidP="004317C4">
            <w:pPr>
              <w:pStyle w:val="TableText"/>
            </w:pPr>
            <w:r w:rsidRPr="00F853C2">
              <w:t>(</w:t>
            </w:r>
            <w:proofErr w:type="gramStart"/>
            <w:r w:rsidRPr="00F853C2">
              <w:t>all</w:t>
            </w:r>
            <w:proofErr w:type="gramEnd"/>
            <w:r w:rsidRPr="00F853C2">
              <w:t xml:space="preserve"> participants)</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39EE1" w14:textId="77777777" w:rsidR="00F853C2" w:rsidRPr="00F853C2" w:rsidRDefault="00F853C2" w:rsidP="004317C4">
            <w:pPr>
              <w:pStyle w:val="TableText"/>
            </w:pPr>
            <w:r w:rsidRPr="00F853C2">
              <w:t>895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2F089" w14:textId="77777777" w:rsidR="00F853C2" w:rsidRPr="00F853C2" w:rsidRDefault="00F853C2" w:rsidP="004317C4">
            <w:pPr>
              <w:pStyle w:val="TableText"/>
            </w:pPr>
            <w:r w:rsidRPr="00F853C2">
              <w:t>296 days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28699" w14:textId="77777777" w:rsidR="00F853C2" w:rsidRPr="00F853C2" w:rsidRDefault="00F853C2" w:rsidP="004317C4">
            <w:pPr>
              <w:pStyle w:val="TableText"/>
            </w:pPr>
            <w:r w:rsidRPr="00F853C2">
              <w:t>49.1 (159.2)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2525C" w14:textId="77777777" w:rsidR="00F853C2" w:rsidRPr="00F853C2" w:rsidRDefault="00F853C2" w:rsidP="004317C4">
            <w:pPr>
              <w:pStyle w:val="TableText"/>
            </w:pPr>
            <w:r w:rsidRPr="00F853C2">
              <w:t>48.4 (160.4)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E3E6E" w14:textId="4706216B" w:rsidR="00F853C2" w:rsidRPr="00F853C2" w:rsidRDefault="00F853C2" w:rsidP="004317C4">
            <w:pPr>
              <w:pStyle w:val="TableText"/>
              <w:jc w:val="center"/>
            </w:pPr>
            <w:r w:rsidRPr="00F853C2">
              <w:t>1.9</w:t>
            </w:r>
          </w:p>
          <w:p w14:paraId="29CDE5D8" w14:textId="380A1942" w:rsidR="00F853C2" w:rsidRPr="00F853C2" w:rsidRDefault="00F853C2" w:rsidP="004317C4">
            <w:pPr>
              <w:pStyle w:val="TableText"/>
              <w:jc w:val="center"/>
              <w:rPr>
                <w:vertAlign w:val="superscript"/>
              </w:rPr>
            </w:pPr>
            <w:r w:rsidRPr="00F853C2">
              <w:t>(0.1 to 3.7)</w:t>
            </w:r>
            <w:r w:rsidR="00C93802">
              <w:t xml:space="preserve"> </w:t>
            </w:r>
            <w:r w:rsidR="00C93802">
              <w:rPr>
                <w:vertAlign w:val="superscript"/>
              </w:rPr>
              <w:t>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747D0" w14:textId="77777777" w:rsidR="00F853C2" w:rsidRPr="004317C4" w:rsidRDefault="00F853C2" w:rsidP="004317C4">
            <w:pPr>
              <w:pStyle w:val="TableText"/>
              <w:rPr>
                <w:b/>
                <w:bCs/>
              </w:rPr>
            </w:pPr>
            <w:r w:rsidRPr="004317C4">
              <w:rPr>
                <w:b/>
                <w:bCs/>
              </w:rPr>
              <w:t>&lt;0.001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0F915F" w14:textId="27BB16A7" w:rsidR="00700246" w:rsidRPr="00700246" w:rsidRDefault="00700246" w:rsidP="004317C4">
            <w:pPr>
              <w:pStyle w:val="TableText"/>
              <w:jc w:val="center"/>
            </w:pPr>
            <w:r w:rsidRPr="00700246">
              <w:t>-0.8</w:t>
            </w:r>
          </w:p>
          <w:p w14:paraId="5B8AE72E" w14:textId="2A55392C" w:rsidR="00F853C2" w:rsidRPr="00F853C2" w:rsidRDefault="00700246" w:rsidP="004317C4">
            <w:pPr>
              <w:pStyle w:val="TableText"/>
              <w:jc w:val="center"/>
            </w:pPr>
            <w:r w:rsidRPr="00700246">
              <w:t>(-2.3 to 0.8)</w:t>
            </w:r>
          </w:p>
        </w:tc>
      </w:tr>
      <w:tr w:rsidR="009815F2" w:rsidRPr="00F853C2" w14:paraId="0FE3EB0D" w14:textId="77777777" w:rsidTr="004317C4">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524F782" w14:textId="77777777" w:rsidR="00F853C2" w:rsidRPr="00F853C2" w:rsidRDefault="00F853C2" w:rsidP="004317C4">
            <w:pPr>
              <w:pStyle w:val="TableText"/>
            </w:pPr>
            <w:r w:rsidRPr="00F853C2">
              <w:t xml:space="preserve">IPAC eGFR </w:t>
            </w:r>
          </w:p>
          <w:p w14:paraId="16380355" w14:textId="77777777" w:rsidR="00F853C2" w:rsidRPr="00F853C2" w:rsidRDefault="00F853C2" w:rsidP="004317C4">
            <w:pPr>
              <w:pStyle w:val="TableText"/>
              <w:rPr>
                <w:rFonts w:cs="Franklin Gothic Medium"/>
              </w:rPr>
            </w:pPr>
            <w:r w:rsidRPr="00F853C2">
              <w:t>(≥ 6-month follow-up)</w:t>
            </w:r>
            <w:r w:rsidRPr="00F853C2">
              <w:rPr>
                <w:vertAlign w:val="superscript"/>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483D4" w14:textId="77777777" w:rsidR="00F853C2" w:rsidRPr="00F853C2" w:rsidRDefault="00F853C2" w:rsidP="004317C4">
            <w:pPr>
              <w:pStyle w:val="TableText"/>
              <w:rPr>
                <w:rFonts w:cs="Franklin Gothic Medium"/>
              </w:rPr>
            </w:pPr>
            <w:r w:rsidRPr="00F853C2">
              <w:rPr>
                <w:rFonts w:cs="Franklin Gothic Medium"/>
              </w:rPr>
              <w:t>720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265CF" w14:textId="77777777" w:rsidR="00F853C2" w:rsidRPr="00F853C2" w:rsidRDefault="00F853C2" w:rsidP="004317C4">
            <w:pPr>
              <w:pStyle w:val="TableText"/>
              <w:rPr>
                <w:rFonts w:cs="Franklin Gothic Medium"/>
              </w:rPr>
            </w:pPr>
            <w:r w:rsidRPr="00F853C2">
              <w:rPr>
                <w:rFonts w:cs="Franklin Gothic Medium"/>
              </w:rPr>
              <w:t>317 days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89189" w14:textId="77777777" w:rsidR="00F853C2" w:rsidRPr="00F853C2" w:rsidRDefault="00F853C2" w:rsidP="004317C4">
            <w:pPr>
              <w:pStyle w:val="TableText"/>
              <w:rPr>
                <w:rFonts w:cs="Franklin Gothic Medium"/>
              </w:rPr>
            </w:pPr>
            <w:r w:rsidRPr="00F853C2">
              <w:t>49.6 (140.6)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41EB9" w14:textId="77777777" w:rsidR="00F853C2" w:rsidRPr="00F853C2" w:rsidRDefault="00F853C2" w:rsidP="004317C4">
            <w:pPr>
              <w:pStyle w:val="TableText"/>
              <w:rPr>
                <w:rFonts w:cs="Franklin Gothic Medium"/>
              </w:rPr>
            </w:pPr>
            <w:r w:rsidRPr="00F853C2">
              <w:t>48.1 (145.4)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B4CB1" w14:textId="513CE21B" w:rsidR="00F853C2" w:rsidRPr="00F853C2" w:rsidRDefault="00F853C2" w:rsidP="004317C4">
            <w:pPr>
              <w:pStyle w:val="TableText"/>
              <w:jc w:val="center"/>
            </w:pPr>
            <w:r w:rsidRPr="00F853C2">
              <w:t>-0.</w:t>
            </w:r>
            <w:r w:rsidR="00CF3526">
              <w:t>2</w:t>
            </w:r>
          </w:p>
          <w:p w14:paraId="10B9DF98" w14:textId="382A4F25" w:rsidR="00F853C2" w:rsidRPr="00F853C2" w:rsidRDefault="00F853C2" w:rsidP="004317C4">
            <w:pPr>
              <w:pStyle w:val="TableText"/>
              <w:jc w:val="center"/>
              <w:rPr>
                <w:rFonts w:cs="Franklin Gothic Medium"/>
              </w:rPr>
            </w:pPr>
            <w:r w:rsidRPr="00F853C2">
              <w:t>(-2.99 to 2.7)</w:t>
            </w:r>
            <w:r w:rsidR="006113DB">
              <w:rPr>
                <w:vertAlign w:val="superscript"/>
              </w:rPr>
              <w:t xml:space="preserve"> 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39406" w14:textId="77777777" w:rsidR="00F853C2" w:rsidRPr="004317C4" w:rsidRDefault="00F853C2" w:rsidP="004317C4">
            <w:pPr>
              <w:pStyle w:val="TableText"/>
              <w:rPr>
                <w:rFonts w:cs="Franklin Gothic Medium"/>
                <w:b/>
              </w:rPr>
            </w:pPr>
            <w:r w:rsidRPr="004317C4">
              <w:rPr>
                <w:b/>
                <w:bCs/>
              </w:rPr>
              <w:t>0.034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A67774" w14:textId="4F60CD46" w:rsidR="00FF44BF" w:rsidRPr="00D1312E" w:rsidRDefault="00FF44BF" w:rsidP="004317C4">
            <w:pPr>
              <w:pStyle w:val="TableText"/>
              <w:jc w:val="center"/>
            </w:pPr>
            <w:r w:rsidRPr="00D1312E">
              <w:t>-1.5</w:t>
            </w:r>
          </w:p>
          <w:p w14:paraId="7B1280CB" w14:textId="6E2B6D05" w:rsidR="00F853C2" w:rsidRPr="00F853C2" w:rsidRDefault="00FF44BF" w:rsidP="004317C4">
            <w:pPr>
              <w:pStyle w:val="TableText"/>
              <w:jc w:val="center"/>
            </w:pPr>
            <w:r w:rsidRPr="00D1312E">
              <w:t>(-4.0 to 1.0)</w:t>
            </w:r>
          </w:p>
        </w:tc>
      </w:tr>
      <w:tr w:rsidR="009815F2" w:rsidRPr="00F853C2" w14:paraId="32FE1EDA" w14:textId="77777777" w:rsidTr="004317C4">
        <w:tc>
          <w:tcPr>
            <w:tcW w:w="92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5BD1C94" w14:textId="77777777" w:rsidR="00F853C2" w:rsidRPr="00F853C2" w:rsidRDefault="00F853C2" w:rsidP="004317C4">
            <w:pPr>
              <w:pStyle w:val="TableText"/>
            </w:pPr>
            <w:r w:rsidRPr="00F853C2">
              <w:t>eGFR Follow-up Study (comparison in IPAC Final report)</w:t>
            </w:r>
          </w:p>
        </w:tc>
      </w:tr>
      <w:tr w:rsidR="009815F2" w:rsidRPr="00F853C2" w14:paraId="3B4324CB" w14:textId="77777777" w:rsidTr="004317C4">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F256CD" w14:textId="77777777" w:rsidR="00F853C2" w:rsidRPr="00F853C2" w:rsidRDefault="00F853C2" w:rsidP="004317C4">
            <w:pPr>
              <w:pStyle w:val="TableText"/>
            </w:pPr>
            <w:r w:rsidRPr="00F853C2">
              <w:t xml:space="preserve">eGFR Follow-up </w:t>
            </w:r>
          </w:p>
          <w:p w14:paraId="40F8ECDC" w14:textId="77777777" w:rsidR="00F853C2" w:rsidRPr="00F853C2" w:rsidRDefault="00F853C2" w:rsidP="004317C4">
            <w:pPr>
              <w:pStyle w:val="TableText"/>
            </w:pPr>
            <w:r w:rsidRPr="00F853C2">
              <w:t>(</w:t>
            </w:r>
            <w:proofErr w:type="gramStart"/>
            <w:r w:rsidRPr="00F853C2">
              <w:t>all</w:t>
            </w:r>
            <w:proofErr w:type="gramEnd"/>
            <w:r w:rsidRPr="00F853C2">
              <w:t xml:space="preserve"> participants)</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8A38D77" w14:textId="77777777" w:rsidR="00F853C2" w:rsidRPr="00F853C2" w:rsidRDefault="00F853C2" w:rsidP="004317C4">
            <w:pPr>
              <w:pStyle w:val="TableText"/>
              <w:rPr>
                <w:rFonts w:cs="Franklin Gothic Medium"/>
              </w:rPr>
            </w:pPr>
            <w:r w:rsidRPr="00F853C2">
              <w:rPr>
                <w:rFonts w:cs="Franklin Gothic Medium"/>
              </w:rPr>
              <w:t>550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76C408" w14:textId="77777777" w:rsidR="00F853C2" w:rsidRPr="00F853C2" w:rsidRDefault="00F853C2" w:rsidP="004317C4">
            <w:pPr>
              <w:pStyle w:val="TableText"/>
              <w:rPr>
                <w:rFonts w:cs="Franklin Gothic Medium"/>
              </w:rPr>
            </w:pPr>
            <w:r w:rsidRPr="00F853C2">
              <w:rPr>
                <w:rFonts w:cs="Franklin Gothic Medium"/>
              </w:rPr>
              <w:t>3.01yrs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4B2A6A" w14:textId="77777777" w:rsidR="00F853C2" w:rsidRPr="00F853C2" w:rsidRDefault="00F853C2" w:rsidP="004317C4">
            <w:pPr>
              <w:pStyle w:val="TableText"/>
            </w:pPr>
            <w:r w:rsidRPr="00F853C2">
              <w:t xml:space="preserve">83.9 </w:t>
            </w:r>
          </w:p>
          <w:p w14:paraId="56A71799" w14:textId="77777777" w:rsidR="00F853C2" w:rsidRPr="00F853C2" w:rsidRDefault="00F853C2" w:rsidP="004317C4">
            <w:pPr>
              <w:pStyle w:val="TableText"/>
            </w:pPr>
            <w:r w:rsidRPr="00F853C2">
              <w:t>(80.7, 87.3)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41226B" w14:textId="77777777" w:rsidR="00F853C2" w:rsidRPr="00F853C2" w:rsidRDefault="00F853C2" w:rsidP="004317C4">
            <w:pPr>
              <w:pStyle w:val="TableText"/>
            </w:pPr>
            <w:r w:rsidRPr="00F853C2">
              <w:t>70.1</w:t>
            </w:r>
          </w:p>
          <w:p w14:paraId="54D25AE8" w14:textId="77777777" w:rsidR="00F853C2" w:rsidRPr="00F853C2" w:rsidRDefault="00F853C2" w:rsidP="004317C4">
            <w:pPr>
              <w:pStyle w:val="TableText"/>
            </w:pPr>
            <w:r w:rsidRPr="00F853C2">
              <w:t>(66.1, 74.5)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F64FAC" w14:textId="4FAFD0A5" w:rsidR="00F853C2" w:rsidRPr="00F853C2" w:rsidRDefault="00F853C2" w:rsidP="004317C4">
            <w:pPr>
              <w:pStyle w:val="TableText"/>
              <w:jc w:val="center"/>
            </w:pPr>
            <w:r w:rsidRPr="00F853C2">
              <w:t>−3.0</w:t>
            </w:r>
          </w:p>
          <w:p w14:paraId="185B47B6" w14:textId="75A83561" w:rsidR="00F853C2" w:rsidRPr="00F853C2" w:rsidRDefault="00F853C2" w:rsidP="004317C4">
            <w:pPr>
              <w:pStyle w:val="TableText"/>
              <w:jc w:val="center"/>
            </w:pPr>
            <w:r w:rsidRPr="00F853C2">
              <w:t xml:space="preserve">(−3.6 to </w:t>
            </w:r>
            <w:r w:rsidR="00EF01D6">
              <w:t>-</w:t>
            </w:r>
            <w:r w:rsidRPr="00F853C2">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DADCE0" w14:textId="77777777" w:rsidR="00F853C2" w:rsidRPr="00F853C2" w:rsidRDefault="00F853C2" w:rsidP="004317C4">
            <w:pPr>
              <w:pStyle w:val="TableText"/>
            </w:pPr>
            <w:r w:rsidRPr="00F853C2">
              <w:t>NA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5822FD" w14:textId="77777777" w:rsidR="00F853C2" w:rsidRPr="00F853C2" w:rsidRDefault="00F853C2" w:rsidP="004317C4">
            <w:pPr>
              <w:pStyle w:val="TableText"/>
            </w:pPr>
            <w:r w:rsidRPr="00F853C2">
              <w:t>NA</w:t>
            </w:r>
          </w:p>
        </w:tc>
      </w:tr>
      <w:tr w:rsidR="009815F2" w:rsidRPr="00F853C2" w14:paraId="39AF626E" w14:textId="77777777" w:rsidTr="004317C4">
        <w:tc>
          <w:tcPr>
            <w:tcW w:w="1701" w:type="dxa"/>
            <w:tcBorders>
              <w:top w:val="single" w:sz="4" w:space="0" w:color="auto"/>
              <w:left w:val="single" w:sz="4" w:space="0" w:color="auto"/>
              <w:bottom w:val="single" w:sz="4" w:space="0" w:color="auto"/>
              <w:right w:val="single" w:sz="4" w:space="0" w:color="auto"/>
            </w:tcBorders>
            <w:shd w:val="clear" w:color="auto" w:fill="auto"/>
          </w:tcPr>
          <w:p w14:paraId="19E75FBB" w14:textId="77777777" w:rsidR="00F853C2" w:rsidRPr="00F853C2" w:rsidRDefault="00F853C2" w:rsidP="004317C4">
            <w:pPr>
              <w:pStyle w:val="TableText"/>
            </w:pPr>
            <w:r w:rsidRPr="00F853C2">
              <w:t xml:space="preserve">eGFR Follow-up </w:t>
            </w:r>
            <w:r w:rsidRPr="00F853C2">
              <w:br/>
              <w:t xml:space="preserve">(eGFR &lt;60 group)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C50568F" w14:textId="77777777" w:rsidR="00F853C2" w:rsidRPr="00F853C2" w:rsidRDefault="00F853C2" w:rsidP="004317C4">
            <w:pPr>
              <w:pStyle w:val="TableText"/>
              <w:rPr>
                <w:rFonts w:cs="Franklin Gothic Medium"/>
              </w:rPr>
            </w:pPr>
            <w:r w:rsidRPr="00F853C2">
              <w:rPr>
                <w:rFonts w:cs="Franklin Gothic Medium"/>
              </w:rPr>
              <w:t>85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158CAF" w14:textId="77777777" w:rsidR="00F853C2" w:rsidRPr="00F853C2" w:rsidRDefault="00F853C2" w:rsidP="004317C4">
            <w:pPr>
              <w:pStyle w:val="TableText"/>
              <w:rPr>
                <w:rFonts w:cs="Franklin Gothic Medium"/>
              </w:rPr>
            </w:pPr>
            <w:r w:rsidRPr="00F853C2">
              <w:rPr>
                <w:rFonts w:cs="Franklin Gothic Medium"/>
              </w:rPr>
              <w:t>NR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C2DC29" w14:textId="77777777" w:rsidR="00F853C2" w:rsidRPr="00F853C2" w:rsidRDefault="00F853C2" w:rsidP="004317C4">
            <w:pPr>
              <w:pStyle w:val="TableText"/>
            </w:pPr>
            <w:r w:rsidRPr="00F853C2">
              <w:t>&lt;60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84C86C" w14:textId="77777777" w:rsidR="00F853C2" w:rsidRPr="00F853C2" w:rsidRDefault="00F853C2" w:rsidP="004317C4">
            <w:pPr>
              <w:pStyle w:val="TableText"/>
            </w:pPr>
            <w:r w:rsidRPr="00F853C2">
              <w:t>NR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F56973" w14:textId="26E41818" w:rsidR="00965ABE" w:rsidRDefault="00F853C2" w:rsidP="004317C4">
            <w:pPr>
              <w:pStyle w:val="TableText"/>
              <w:jc w:val="center"/>
            </w:pPr>
            <w:r w:rsidRPr="00F853C2">
              <w:t>−5.0</w:t>
            </w:r>
          </w:p>
          <w:p w14:paraId="69097B33" w14:textId="7EE276D3" w:rsidR="00F853C2" w:rsidRPr="00F853C2" w:rsidRDefault="00F853C2" w:rsidP="004317C4">
            <w:pPr>
              <w:pStyle w:val="TableText"/>
              <w:jc w:val="center"/>
            </w:pPr>
            <w:r w:rsidRPr="00F853C2">
              <w:t>(−6.5, −3.6)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C84B8E" w14:textId="77777777" w:rsidR="00F853C2" w:rsidRPr="00F853C2" w:rsidRDefault="00F853C2" w:rsidP="004317C4">
            <w:pPr>
              <w:pStyle w:val="TableText"/>
            </w:pPr>
            <w:r w:rsidRPr="00F853C2">
              <w:t>NA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0750B1" w14:textId="77777777" w:rsidR="00F853C2" w:rsidRPr="00F853C2" w:rsidRDefault="00F853C2" w:rsidP="004317C4">
            <w:pPr>
              <w:pStyle w:val="TableText"/>
            </w:pPr>
            <w:r w:rsidRPr="00F853C2">
              <w:t>NA</w:t>
            </w:r>
          </w:p>
        </w:tc>
      </w:tr>
    </w:tbl>
    <w:p w14:paraId="7A101EC3" w14:textId="016F2C92" w:rsidR="00F853C2" w:rsidRPr="005C63DB" w:rsidRDefault="00F853C2" w:rsidP="00263876">
      <w:pPr>
        <w:pStyle w:val="TableFooter"/>
        <w:spacing w:before="0"/>
        <w:rPr>
          <w:rFonts w:ascii="Calibri Light" w:hAnsi="Calibri Light" w:cs="Wingdings"/>
          <w:sz w:val="20"/>
          <w:lang w:eastAsia="en-AU"/>
        </w:rPr>
      </w:pPr>
      <w:r w:rsidRPr="005C63DB">
        <w:rPr>
          <w:sz w:val="20"/>
        </w:rPr>
        <w:t>Source: Attachment C, Appendix 9, IPAC study report</w:t>
      </w:r>
    </w:p>
    <w:p w14:paraId="577909B9" w14:textId="77777777" w:rsidR="00F853C2" w:rsidRPr="00EF3724" w:rsidRDefault="00F853C2" w:rsidP="001A1F6B">
      <w:pPr>
        <w:pStyle w:val="TableFigureFooter"/>
        <w:spacing w:before="0"/>
        <w:rPr>
          <w:rFonts w:eastAsia="SimSun" w:cs="SimSun"/>
          <w:sz w:val="20"/>
          <w:szCs w:val="20"/>
        </w:rPr>
      </w:pPr>
      <w:r w:rsidRPr="005C63DB">
        <w:rPr>
          <w:sz w:val="20"/>
          <w:szCs w:val="20"/>
        </w:rPr>
        <w:t xml:space="preserve">eGFR = estimated Glomerular Filtration Rate; NA = not applicable, NR = not reported; </w:t>
      </w:r>
      <w:proofErr w:type="spellStart"/>
      <w:r w:rsidRPr="005C63DB">
        <w:rPr>
          <w:sz w:val="20"/>
          <w:szCs w:val="20"/>
        </w:rPr>
        <w:t>yrs</w:t>
      </w:r>
      <w:proofErr w:type="spellEnd"/>
      <w:r w:rsidRPr="005C63DB">
        <w:rPr>
          <w:sz w:val="20"/>
          <w:szCs w:val="20"/>
        </w:rPr>
        <w:t xml:space="preserve"> = </w:t>
      </w:r>
      <w:r w:rsidRPr="005C63DB">
        <w:rPr>
          <w:rFonts w:eastAsia="SimSun" w:cs="SimSun"/>
          <w:sz w:val="20"/>
          <w:szCs w:val="20"/>
        </w:rPr>
        <w:t>years;</w:t>
      </w:r>
      <w:r w:rsidRPr="005C63DB">
        <w:rPr>
          <w:rFonts w:ascii="Calibri Light" w:hAnsi="Calibri Light" w:cs="Wingdings"/>
          <w:sz w:val="20"/>
          <w:szCs w:val="20"/>
        </w:rPr>
        <w:t xml:space="preserve"> </w:t>
      </w:r>
      <w:r w:rsidRPr="0059261B">
        <w:rPr>
          <w:rFonts w:eastAsia="SimSun" w:cs="SimSun"/>
          <w:sz w:val="20"/>
          <w:szCs w:val="20"/>
        </w:rPr>
        <w:t>∆</w:t>
      </w:r>
      <w:r w:rsidRPr="006043B2">
        <w:rPr>
          <w:rFonts w:eastAsia="SimSun" w:cs="SimSun"/>
          <w:sz w:val="20"/>
          <w:szCs w:val="20"/>
        </w:rPr>
        <w:t xml:space="preserve"> = change in </w:t>
      </w:r>
    </w:p>
    <w:p w14:paraId="39CD76D8" w14:textId="2779985F" w:rsidR="00CB7273" w:rsidRPr="00CB7273" w:rsidRDefault="00F853C2" w:rsidP="002E0CBC">
      <w:pPr>
        <w:pStyle w:val="TableFigureFooter"/>
        <w:rPr>
          <w:rFonts w:eastAsia="SimSun" w:cs="SimSun"/>
          <w:sz w:val="20"/>
          <w:vertAlign w:val="superscript"/>
        </w:rPr>
      </w:pPr>
      <w:r w:rsidRPr="00F853C2">
        <w:rPr>
          <w:rFonts w:eastAsia="SimSun" w:cs="SimSun"/>
          <w:sz w:val="20"/>
          <w:vertAlign w:val="superscript"/>
        </w:rPr>
        <w:t xml:space="preserve">a </w:t>
      </w:r>
      <w:r w:rsidR="00CB7273" w:rsidRPr="00CB7273">
        <w:rPr>
          <w:rFonts w:eastAsia="SimSun" w:cs="SimSun"/>
          <w:sz w:val="20"/>
        </w:rPr>
        <w:t>P-value (paired data) were derived from the cluster-adjusted (ACCHS cluster) comparison of annualised differences against -3, as this is equivalent to a paired t-test. The value of -3 is the expected mean annual eGFR (ml/min/1.73m</w:t>
      </w:r>
      <w:r w:rsidR="00CB7273" w:rsidRPr="00CB7273">
        <w:rPr>
          <w:rFonts w:eastAsia="SimSun" w:cs="SimSun"/>
          <w:sz w:val="20"/>
          <w:vertAlign w:val="superscript"/>
        </w:rPr>
        <w:t>2</w:t>
      </w:r>
      <w:r w:rsidR="00CB7273" w:rsidRPr="00CB7273">
        <w:rPr>
          <w:rFonts w:eastAsia="SimSun" w:cs="SimSun"/>
          <w:sz w:val="20"/>
        </w:rPr>
        <w:t>) linear</w:t>
      </w:r>
    </w:p>
    <w:p w14:paraId="21FA2683" w14:textId="21B6FBD4" w:rsidR="00CB7273" w:rsidRPr="00263876" w:rsidRDefault="00CB7273" w:rsidP="00263876">
      <w:pPr>
        <w:pStyle w:val="TableFigureFooter"/>
        <w:rPr>
          <w:rFonts w:eastAsia="SimSun" w:cs="SimSun"/>
          <w:sz w:val="20"/>
        </w:rPr>
      </w:pPr>
      <w:r w:rsidRPr="00CB7273">
        <w:rPr>
          <w:rFonts w:eastAsia="SimSun" w:cs="SimSun"/>
          <w:sz w:val="20"/>
        </w:rPr>
        <w:t>decline in Aboriginal and Torres Strait Islander adults</w:t>
      </w:r>
      <w:r>
        <w:rPr>
          <w:rFonts w:eastAsia="SimSun" w:cs="SimSun"/>
          <w:sz w:val="20"/>
        </w:rPr>
        <w:t>.</w:t>
      </w:r>
    </w:p>
    <w:p w14:paraId="6F1D656B" w14:textId="2C37BF5C" w:rsidR="00DA28A7" w:rsidRDefault="00DA28A7" w:rsidP="00AF3D5D">
      <w:r w:rsidRPr="00DA28A7">
        <w:t xml:space="preserve">The MSAC Executive considered the reduction in eGFR from baseline would be lower based on the results reported. The MSAC Executive considered the comparison should be made with caution as the IPAC and eGFR Follow-Up Study were fundamentally different in design and may differ with respect to other patient characteristics (including use of </w:t>
      </w:r>
      <w:proofErr w:type="spellStart"/>
      <w:r w:rsidRPr="00DA28A7">
        <w:t>renoprotective</w:t>
      </w:r>
      <w:proofErr w:type="spellEnd"/>
      <w:r w:rsidRPr="00DA28A7">
        <w:t xml:space="preserve"> medicines). </w:t>
      </w:r>
      <w:r w:rsidR="00EB2E1D">
        <w:t xml:space="preserve">The applicant re-affirmed that </w:t>
      </w:r>
      <w:r w:rsidR="00231865">
        <w:t xml:space="preserve">the results of the IPAC study </w:t>
      </w:r>
      <w:r w:rsidR="00231865" w:rsidRPr="00231865">
        <w:t xml:space="preserve">demonstrated change in eGFR in this study, albeit small, represented a slowing of the rate of decline of eGFR in a population which </w:t>
      </w:r>
      <w:r w:rsidR="00231865" w:rsidRPr="00231865">
        <w:lastRenderedPageBreak/>
        <w:t>has been reported to experience a significantly higher eGFR decline than the non-Indigenous population.</w:t>
      </w:r>
    </w:p>
    <w:p w14:paraId="2B6FE824" w14:textId="7F77C5AC" w:rsidR="00FC6552" w:rsidRDefault="00FC6552" w:rsidP="00AF3D5D">
      <w:r w:rsidRPr="00FC6552">
        <w:t>The IPAC study reported a 0.08 mmol/L (95% CI -0.13, -0.03) reduction in low density lipoprotein cholesterol (LDL-C). The ADAR considered that as 72% of participants were prescribed statins, further reductions in LDL-C may be difficult to achieve or clinically unnecessary (mean baseline LDL-C 2.35mmol/L). The PBAC noted the results of the Cholesterol Treatment Trialists’ Collaboration individual patient data meta-analyses in the 2012 Review of Statin Therapies. The analyses confirmed that for statins, the degree of treatment benefit in clinical terms is related to the degree of LDL-C lowering, with the relative risk of major vascular events and major coronary events (relative risk per 1 mmol/L LDL-C reduction) being 0.76 (95% CI: 0.73-0.79). The analyses also showed that over the ranges of baseline LDL-C and LDL-C reductions observed in the trials, this relationship was consistent in patients with and without a history of cardiovascular disease, baseline level of risk and baseline cholesterol levels</w:t>
      </w:r>
      <w:r>
        <w:t>.</w:t>
      </w:r>
    </w:p>
    <w:p w14:paraId="5CC13E35" w14:textId="2FD22D8D" w:rsidR="0075306C" w:rsidRDefault="0075306C" w:rsidP="009B59D7">
      <w:r>
        <w:t xml:space="preserve">The mean calculated absolute 5-year CVD risk was significantly reduced by 1% (95% CI: -1.8% to </w:t>
      </w:r>
      <w:r w:rsidR="006043B2">
        <w:noBreakHyphen/>
      </w:r>
      <w:r>
        <w:t xml:space="preserve">0.12%, p=0.027). </w:t>
      </w:r>
      <w:r w:rsidR="009B59D7">
        <w:t>CVD risk as calculated using the National Vascular Disease Prevention Alliance (NVDPA) absolute cardiovascular disease risk tool</w:t>
      </w:r>
      <w:r w:rsidR="0029640D">
        <w:t xml:space="preserve"> which is based on the </w:t>
      </w:r>
      <w:r w:rsidR="0029640D" w:rsidRPr="0029640D">
        <w:t>1991 Framingham Risk Equation</w:t>
      </w:r>
      <w:r w:rsidR="0029640D">
        <w:t xml:space="preserve">. </w:t>
      </w:r>
      <w:r w:rsidR="00A73097" w:rsidRPr="00A73097">
        <w:t>Notwithstanding limitations of the Framingham risk equations, the MSAC Executive considered that this represented a very small potential benefit and could reflect the uncertainty of the clinical benefits that would be achieved from implementing the IPAC program.</w:t>
      </w:r>
    </w:p>
    <w:p w14:paraId="06EEA213" w14:textId="4943AB99" w:rsidR="00404D10" w:rsidRDefault="002338DB" w:rsidP="00404D10">
      <w:r w:rsidRPr="002338DB">
        <w:t>The IPAC study reported a 23.9% increase in the proportion of participants with ‘very good to excellent’ self-assessed health status. The IPAC study also reported improvements in prescribing quality.</w:t>
      </w:r>
    </w:p>
    <w:p w14:paraId="6D39BD01" w14:textId="47E673B6" w:rsidR="005D756A" w:rsidRDefault="00302660" w:rsidP="00AF3D5D">
      <w:r>
        <w:t xml:space="preserve">After considering, </w:t>
      </w:r>
      <w:r w:rsidR="00FA09E0">
        <w:t xml:space="preserve">the changes in glycated haemoglobin (HbA1c), estimated </w:t>
      </w:r>
      <w:r w:rsidR="00FA09E0" w:rsidRPr="00550DEE">
        <w:t>glomerular filtration rate (</w:t>
      </w:r>
      <w:r w:rsidR="00FA09E0">
        <w:t>e</w:t>
      </w:r>
      <w:r w:rsidR="00FA09E0" w:rsidRPr="00550DEE">
        <w:t>GFR)</w:t>
      </w:r>
      <w:r w:rsidR="00FA09E0">
        <w:t>, and 5-year cardiovascular risk</w:t>
      </w:r>
      <w:r>
        <w:t>, t</w:t>
      </w:r>
      <w:r w:rsidR="00FA09E0" w:rsidRPr="00174660">
        <w:t>he MSAC Executive considered that the additional information provided on individual biomedical outcomes did not demonstrate a clinically meaningful difference compared with usual care for the purposes of performing a cost-effectiveness analysis</w:t>
      </w:r>
      <w:r w:rsidR="00FA09E0">
        <w:t xml:space="preserve">. </w:t>
      </w:r>
      <w:r w:rsidR="002011A4">
        <w:t xml:space="preserve">The </w:t>
      </w:r>
      <w:r w:rsidR="000B156F" w:rsidRPr="000B156F">
        <w:t>MSAC Executive considered that in principle, the IPAC program would not contribute to further harm and may provide benefit, especially in what may be an underserved population that is known to have typically poorer health outcomes compared to the average Australian population</w:t>
      </w:r>
      <w:r w:rsidR="002011A4">
        <w:t xml:space="preserve">. </w:t>
      </w:r>
    </w:p>
    <w:p w14:paraId="31F5C99B" w14:textId="365346F4" w:rsidR="00FA09E0" w:rsidRPr="00F30687" w:rsidRDefault="00FA09E0" w:rsidP="00FA09E0">
      <w:pPr>
        <w:rPr>
          <w:i/>
          <w:iCs/>
        </w:rPr>
      </w:pPr>
      <w:r w:rsidRPr="00F30687">
        <w:rPr>
          <w:i/>
          <w:iCs/>
        </w:rPr>
        <w:t xml:space="preserve">MSAC </w:t>
      </w:r>
      <w:r w:rsidR="005367C1">
        <w:rPr>
          <w:i/>
          <w:iCs/>
        </w:rPr>
        <w:t xml:space="preserve">agreed with the MSAC Executive </w:t>
      </w:r>
      <w:r w:rsidRPr="00F30687">
        <w:rPr>
          <w:i/>
          <w:iCs/>
        </w:rPr>
        <w:t xml:space="preserve">that, after reviewing the additional information provided, the improvements in individual biomedical outcomes did not represent a clinically meaningful difference compared with usual care. </w:t>
      </w:r>
      <w:r w:rsidR="00B55D7F" w:rsidRPr="00F30687">
        <w:rPr>
          <w:i/>
          <w:iCs/>
        </w:rPr>
        <w:t>Regarding comparative effectiveness o</w:t>
      </w:r>
      <w:r w:rsidRPr="00F30687">
        <w:rPr>
          <w:i/>
          <w:iCs/>
        </w:rPr>
        <w:t xml:space="preserve">verall, MSAC considered, when the improvements in biomedical outcomes and positive qualitative outcomes </w:t>
      </w:r>
      <w:r w:rsidR="00B55D7F" w:rsidRPr="00F30687">
        <w:rPr>
          <w:i/>
          <w:iCs/>
        </w:rPr>
        <w:t xml:space="preserve">(Section 13) </w:t>
      </w:r>
      <w:r w:rsidRPr="00F30687">
        <w:rPr>
          <w:i/>
          <w:iCs/>
        </w:rPr>
        <w:t>were considered together in conjunction with improvements in prescribing quality, medication adherence and self-rated health status</w:t>
      </w:r>
      <w:r w:rsidR="00F30687">
        <w:rPr>
          <w:i/>
          <w:iCs/>
        </w:rPr>
        <w:t xml:space="preserve"> (previously described in MSAC 1678 PSD)</w:t>
      </w:r>
      <w:r w:rsidRPr="00F30687">
        <w:rPr>
          <w:i/>
          <w:iCs/>
        </w:rPr>
        <w:t>, that the totality in improvements reflected an acceptable clinical outcome, compared to usual care, in an underserved population that is known to have typically poorer health outcomes compared to the broader Australian population.</w:t>
      </w:r>
    </w:p>
    <w:p w14:paraId="0D09C9E4" w14:textId="49153B5C" w:rsidR="00772829" w:rsidRPr="00CE28E3" w:rsidRDefault="00C36633" w:rsidP="002A18BE">
      <w:pPr>
        <w:pStyle w:val="Heading2"/>
        <w:numPr>
          <w:ilvl w:val="0"/>
          <w:numId w:val="0"/>
        </w:numPr>
      </w:pPr>
      <w:bookmarkStart w:id="28" w:name="_Toc69491425"/>
      <w:r>
        <w:t>1</w:t>
      </w:r>
      <w:r w:rsidR="0039393C">
        <w:t>3</w:t>
      </w:r>
      <w:r>
        <w:t>.</w:t>
      </w:r>
      <w:r>
        <w:tab/>
      </w:r>
      <w:r w:rsidR="00772829" w:rsidRPr="00CE28E3">
        <w:t>Economic evaluation</w:t>
      </w:r>
      <w:bookmarkEnd w:id="28"/>
    </w:p>
    <w:p w14:paraId="72E27EF6" w14:textId="22E4F4EA" w:rsidR="00136A6E" w:rsidRDefault="00136A6E" w:rsidP="00136A6E">
      <w:r>
        <w:t xml:space="preserve">A cost-consequence analysis (CCA) </w:t>
      </w:r>
      <w:r w:rsidR="00097135">
        <w:t xml:space="preserve">was developed for the three models of implementation for the proposed IPAC program. </w:t>
      </w:r>
    </w:p>
    <w:p w14:paraId="3F421E97" w14:textId="62468486" w:rsidR="00C65532" w:rsidRDefault="00C65532" w:rsidP="00136A6E">
      <w:r w:rsidRPr="00C65532">
        <w:t xml:space="preserve">The MSAC Executive considered that the additional information provided on individual biomedical outcomes did not demonstrate a clinically meaningful difference compared with usual care for </w:t>
      </w:r>
      <w:r w:rsidRPr="00C65532">
        <w:lastRenderedPageBreak/>
        <w:t xml:space="preserve">the purposes of performing a cost-effectiveness analysis. </w:t>
      </w:r>
      <w:r w:rsidR="00F117EF" w:rsidRPr="00F117EF">
        <w:t xml:space="preserve">The MSAC Executive agreed with the Department’s proposal to proceed with a </w:t>
      </w:r>
      <w:r w:rsidR="00913618">
        <w:t>CCA</w:t>
      </w:r>
      <w:r w:rsidR="00F117EF" w:rsidRPr="00F117EF">
        <w:t xml:space="preserve"> to capture improvements across numerous outcomes which may better reflect the costs and outcomes of the IPAC program.</w:t>
      </w:r>
      <w:r w:rsidR="00913618">
        <w:t xml:space="preserve"> </w:t>
      </w:r>
      <w:r w:rsidR="004A4FDF" w:rsidRPr="009F6F06">
        <w:fldChar w:fldCharType="begin"/>
      </w:r>
      <w:r w:rsidR="004A4FDF" w:rsidRPr="009F6F06">
        <w:instrText xml:space="preserve"> REF _Ref69725820 \h </w:instrText>
      </w:r>
      <w:r w:rsidR="009F6F06">
        <w:instrText xml:space="preserve"> \* MERGEFORMAT </w:instrText>
      </w:r>
      <w:r w:rsidR="004A4FDF" w:rsidRPr="009F6F06">
        <w:fldChar w:fldCharType="separate"/>
      </w:r>
      <w:r w:rsidR="009F6F06" w:rsidRPr="0070417F">
        <w:t>Table </w:t>
      </w:r>
      <w:r w:rsidR="009F6F06" w:rsidRPr="0070417F">
        <w:rPr>
          <w:noProof/>
        </w:rPr>
        <w:t>9</w:t>
      </w:r>
      <w:r w:rsidR="004A4FDF" w:rsidRPr="009F6F06">
        <w:fldChar w:fldCharType="end"/>
      </w:r>
      <w:r w:rsidR="000542DD">
        <w:t xml:space="preserve"> presents a summary of the CCA</w:t>
      </w:r>
      <w:r w:rsidR="00913618">
        <w:t xml:space="preserve">. </w:t>
      </w:r>
    </w:p>
    <w:p w14:paraId="7832FEBA" w14:textId="4656F8A9" w:rsidR="00C107C3" w:rsidRPr="00263876" w:rsidRDefault="00C107C3" w:rsidP="00D65AE8">
      <w:pPr>
        <w:pStyle w:val="Caption"/>
        <w:rPr>
          <w:sz w:val="20"/>
        </w:rPr>
      </w:pPr>
      <w:bookmarkStart w:id="29" w:name="_Ref69725820"/>
      <w:r w:rsidRPr="00263876">
        <w:rPr>
          <w:sz w:val="20"/>
        </w:rPr>
        <w:t>Table</w:t>
      </w:r>
      <w:r w:rsidR="004A4FDF" w:rsidRPr="00263876">
        <w:rPr>
          <w:sz w:val="20"/>
        </w:rPr>
        <w:t> </w:t>
      </w:r>
      <w:r w:rsidRPr="00263876">
        <w:rPr>
          <w:noProof/>
          <w:sz w:val="20"/>
        </w:rPr>
        <w:fldChar w:fldCharType="begin"/>
      </w:r>
      <w:r w:rsidRPr="00263876">
        <w:rPr>
          <w:noProof/>
          <w:sz w:val="20"/>
        </w:rPr>
        <w:instrText xml:space="preserve"> SEQ Table \* ARABIC </w:instrText>
      </w:r>
      <w:r w:rsidRPr="00263876">
        <w:rPr>
          <w:noProof/>
          <w:sz w:val="20"/>
        </w:rPr>
        <w:fldChar w:fldCharType="separate"/>
      </w:r>
      <w:r w:rsidR="00FC2B00">
        <w:rPr>
          <w:noProof/>
          <w:sz w:val="20"/>
        </w:rPr>
        <w:t>9</w:t>
      </w:r>
      <w:r w:rsidRPr="00263876">
        <w:rPr>
          <w:noProof/>
          <w:sz w:val="20"/>
        </w:rPr>
        <w:fldChar w:fldCharType="end"/>
      </w:r>
      <w:bookmarkEnd w:id="29"/>
      <w:r w:rsidRPr="00263876">
        <w:rPr>
          <w:sz w:val="20"/>
        </w:rPr>
        <w:tab/>
        <w:t>Summary of the economic evaluation</w:t>
      </w:r>
    </w:p>
    <w:tbl>
      <w:tblPr>
        <w:tblStyle w:val="TableGrid1"/>
        <w:tblW w:w="5000" w:type="pct"/>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2317"/>
        <w:gridCol w:w="6699"/>
      </w:tblGrid>
      <w:tr w:rsidR="00C05700" w:rsidRPr="00263876" w14:paraId="3C0DF1BD" w14:textId="2726922C" w:rsidTr="00673819">
        <w:trPr>
          <w:cnfStyle w:val="100000000000" w:firstRow="1" w:lastRow="0" w:firstColumn="0" w:lastColumn="0" w:oddVBand="0" w:evenVBand="0" w:oddHBand="0" w:evenHBand="0" w:firstRowFirstColumn="0" w:firstRowLastColumn="0" w:lastRowFirstColumn="0" w:lastRowLastColumn="0"/>
          <w:tblHeader/>
        </w:trPr>
        <w:tc>
          <w:tcPr>
            <w:tcW w:w="1285" w:type="pct"/>
          </w:tcPr>
          <w:p w14:paraId="57632985" w14:textId="77777777" w:rsidR="00C05700" w:rsidRPr="00263876" w:rsidRDefault="00C05700" w:rsidP="00670650">
            <w:pPr>
              <w:pStyle w:val="TableHeading"/>
              <w:rPr>
                <w:rFonts w:ascii="Arial Narrow" w:hAnsi="Arial Narrow"/>
              </w:rPr>
            </w:pPr>
            <w:bookmarkStart w:id="30" w:name="Title_Table5"/>
            <w:bookmarkStart w:id="31" w:name="_Hlk68276446"/>
            <w:bookmarkEnd w:id="30"/>
            <w:r w:rsidRPr="00263876">
              <w:rPr>
                <w:rFonts w:ascii="Arial Narrow" w:hAnsi="Arial Narrow"/>
              </w:rPr>
              <w:t>Component</w:t>
            </w:r>
          </w:p>
        </w:tc>
        <w:tc>
          <w:tcPr>
            <w:tcW w:w="3715" w:type="pct"/>
          </w:tcPr>
          <w:p w14:paraId="123CA837" w14:textId="77777777" w:rsidR="00C05700" w:rsidRPr="00263876" w:rsidRDefault="00C05700" w:rsidP="00670650">
            <w:pPr>
              <w:pStyle w:val="TableHeading"/>
              <w:rPr>
                <w:rFonts w:ascii="Arial Narrow" w:hAnsi="Arial Narrow"/>
              </w:rPr>
            </w:pPr>
            <w:r w:rsidRPr="00263876">
              <w:rPr>
                <w:rFonts w:ascii="Arial Narrow" w:hAnsi="Arial Narrow"/>
              </w:rPr>
              <w:t>Description</w:t>
            </w:r>
          </w:p>
        </w:tc>
      </w:tr>
      <w:tr w:rsidR="00C05700" w:rsidRPr="00263876" w14:paraId="31113E27" w14:textId="755DAA21" w:rsidTr="00673819">
        <w:tc>
          <w:tcPr>
            <w:tcW w:w="1285" w:type="pct"/>
          </w:tcPr>
          <w:p w14:paraId="7DFFBC7E" w14:textId="77777777" w:rsidR="00C05700" w:rsidRPr="00263876" w:rsidRDefault="00C05700" w:rsidP="00670650">
            <w:pPr>
              <w:pStyle w:val="TableText"/>
              <w:keepNext/>
            </w:pPr>
            <w:r w:rsidRPr="00263876">
              <w:t>Perspective</w:t>
            </w:r>
          </w:p>
        </w:tc>
        <w:tc>
          <w:tcPr>
            <w:tcW w:w="3715" w:type="pct"/>
          </w:tcPr>
          <w:p w14:paraId="56EF2FFF" w14:textId="1319FEFF" w:rsidR="00C05700" w:rsidRPr="00263876" w:rsidRDefault="00C05700" w:rsidP="00670650">
            <w:pPr>
              <w:pStyle w:val="TableText"/>
              <w:keepNext/>
            </w:pPr>
            <w:r w:rsidRPr="00263876">
              <w:t>Health care system perspective</w:t>
            </w:r>
          </w:p>
        </w:tc>
      </w:tr>
      <w:tr w:rsidR="00C05700" w:rsidRPr="00263876" w14:paraId="3AE7C53E" w14:textId="3AF3CBC2" w:rsidTr="00673819">
        <w:trPr>
          <w:tblHeader/>
        </w:trPr>
        <w:tc>
          <w:tcPr>
            <w:tcW w:w="1285" w:type="pct"/>
          </w:tcPr>
          <w:p w14:paraId="7D8A22F3" w14:textId="77777777" w:rsidR="00C05700" w:rsidRPr="00263876" w:rsidRDefault="00C05700" w:rsidP="00670650">
            <w:pPr>
              <w:pStyle w:val="TableText"/>
              <w:keepNext/>
            </w:pPr>
            <w:r w:rsidRPr="00263876">
              <w:t>Population</w:t>
            </w:r>
          </w:p>
        </w:tc>
        <w:tc>
          <w:tcPr>
            <w:tcW w:w="3715" w:type="pct"/>
          </w:tcPr>
          <w:p w14:paraId="376BBABD" w14:textId="0D337E21" w:rsidR="00C05700" w:rsidRPr="00263876" w:rsidRDefault="00622186" w:rsidP="00670650">
            <w:pPr>
              <w:pStyle w:val="TableText"/>
              <w:keepNext/>
              <w:rPr>
                <w:color w:val="000000" w:themeColor="text1"/>
              </w:rPr>
            </w:pPr>
            <w:r w:rsidRPr="00263876">
              <w:rPr>
                <w:color w:val="000000" w:themeColor="text1"/>
              </w:rPr>
              <w:t>Clients of eligible Indigenous-specific primary health organisations</w:t>
            </w:r>
          </w:p>
        </w:tc>
      </w:tr>
      <w:tr w:rsidR="00C05700" w:rsidRPr="00263876" w14:paraId="750830A5" w14:textId="33978BE8" w:rsidTr="00673819">
        <w:tc>
          <w:tcPr>
            <w:tcW w:w="1285" w:type="pct"/>
          </w:tcPr>
          <w:p w14:paraId="59B80C68" w14:textId="77777777" w:rsidR="00C05700" w:rsidRPr="00263876" w:rsidRDefault="00C05700" w:rsidP="00670650">
            <w:pPr>
              <w:pStyle w:val="TableText"/>
              <w:keepNext/>
            </w:pPr>
            <w:r w:rsidRPr="00263876">
              <w:t>Comparator</w:t>
            </w:r>
          </w:p>
        </w:tc>
        <w:tc>
          <w:tcPr>
            <w:tcW w:w="3715" w:type="pct"/>
          </w:tcPr>
          <w:p w14:paraId="04C0D717" w14:textId="2442BFCE" w:rsidR="00C05700" w:rsidRPr="00263876" w:rsidRDefault="00622186" w:rsidP="00670650">
            <w:pPr>
              <w:pStyle w:val="TableText"/>
              <w:keepNext/>
            </w:pPr>
            <w:r w:rsidRPr="00263876">
              <w:t>Usual care (including existing MMR programs)</w:t>
            </w:r>
          </w:p>
        </w:tc>
      </w:tr>
      <w:tr w:rsidR="00C05700" w:rsidRPr="00263876" w14:paraId="352DFBB5" w14:textId="23E331A7" w:rsidTr="00673819">
        <w:tc>
          <w:tcPr>
            <w:tcW w:w="1285" w:type="pct"/>
          </w:tcPr>
          <w:p w14:paraId="563F18FC" w14:textId="1DAF1CB3" w:rsidR="00C05700" w:rsidRPr="00263876" w:rsidRDefault="00C05700" w:rsidP="00670650">
            <w:pPr>
              <w:pStyle w:val="TableText"/>
              <w:keepNext/>
            </w:pPr>
            <w:r w:rsidRPr="00263876">
              <w:t>Type of analysis</w:t>
            </w:r>
          </w:p>
        </w:tc>
        <w:tc>
          <w:tcPr>
            <w:tcW w:w="3715" w:type="pct"/>
          </w:tcPr>
          <w:p w14:paraId="4DAE5CE1" w14:textId="0C501A19" w:rsidR="00C05700" w:rsidRPr="00263876" w:rsidRDefault="00622186" w:rsidP="00670650">
            <w:pPr>
              <w:pStyle w:val="TableText"/>
              <w:keepNext/>
            </w:pPr>
            <w:r w:rsidRPr="00263876">
              <w:t>Cost consequence analysis</w:t>
            </w:r>
          </w:p>
        </w:tc>
      </w:tr>
      <w:tr w:rsidR="00C05700" w:rsidRPr="00263876" w14:paraId="6CB6FA6B" w14:textId="0CFF196E" w:rsidTr="00673819">
        <w:tc>
          <w:tcPr>
            <w:tcW w:w="1285" w:type="pct"/>
          </w:tcPr>
          <w:p w14:paraId="401E0BAC" w14:textId="77777777" w:rsidR="00C05700" w:rsidRPr="00263876" w:rsidRDefault="00C05700" w:rsidP="00670650">
            <w:pPr>
              <w:pStyle w:val="TableText"/>
              <w:keepNext/>
            </w:pPr>
            <w:r w:rsidRPr="00263876">
              <w:t>Outcomes</w:t>
            </w:r>
          </w:p>
        </w:tc>
        <w:tc>
          <w:tcPr>
            <w:tcW w:w="3715" w:type="pct"/>
          </w:tcPr>
          <w:p w14:paraId="1F94D0E7" w14:textId="77777777" w:rsidR="00FD7344" w:rsidRPr="00263876" w:rsidRDefault="003A5707" w:rsidP="00670650">
            <w:pPr>
              <w:pStyle w:val="TableText"/>
              <w:keepNext/>
            </w:pPr>
            <w:r w:rsidRPr="00263876">
              <w:t xml:space="preserve">Biomedical outcomes: </w:t>
            </w:r>
            <w:r w:rsidR="00242965" w:rsidRPr="00263876">
              <w:t xml:space="preserve">HbA1c, </w:t>
            </w:r>
            <w:r w:rsidR="00673819" w:rsidRPr="00263876">
              <w:t>lipids</w:t>
            </w:r>
            <w:r w:rsidR="00FD7344" w:rsidRPr="00263876">
              <w:t>,</w:t>
            </w:r>
            <w:r w:rsidR="00882D82" w:rsidRPr="00263876">
              <w:t xml:space="preserve"> </w:t>
            </w:r>
            <w:r w:rsidR="002C297B" w:rsidRPr="00263876">
              <w:t xml:space="preserve">5-year CVD risk, eGFR. </w:t>
            </w:r>
          </w:p>
          <w:p w14:paraId="5BB292CF" w14:textId="0D01F807" w:rsidR="00C05700" w:rsidRPr="00263876" w:rsidRDefault="002C297B" w:rsidP="00670650">
            <w:pPr>
              <w:pStyle w:val="TableText"/>
              <w:keepNext/>
            </w:pPr>
            <w:r w:rsidRPr="00263876">
              <w:t>Prescribing quality outcomes</w:t>
            </w:r>
            <w:r w:rsidR="004C027A" w:rsidRPr="00263876">
              <w:t>; Adherence outcomes</w:t>
            </w:r>
            <w:r w:rsidR="0075791B" w:rsidRPr="00263876">
              <w:t xml:space="preserve">; self-assessed health status. </w:t>
            </w:r>
          </w:p>
        </w:tc>
      </w:tr>
      <w:tr w:rsidR="00C05700" w:rsidRPr="00263876" w14:paraId="643C0794" w14:textId="7BA4E085" w:rsidTr="00673819">
        <w:tc>
          <w:tcPr>
            <w:tcW w:w="1285" w:type="pct"/>
          </w:tcPr>
          <w:p w14:paraId="42B1D84D" w14:textId="77777777" w:rsidR="00C05700" w:rsidRPr="00263876" w:rsidRDefault="00C05700" w:rsidP="00670650">
            <w:pPr>
              <w:pStyle w:val="TableText"/>
              <w:keepNext/>
            </w:pPr>
            <w:r w:rsidRPr="00263876">
              <w:t>Time horizon</w:t>
            </w:r>
          </w:p>
        </w:tc>
        <w:tc>
          <w:tcPr>
            <w:tcW w:w="3715" w:type="pct"/>
          </w:tcPr>
          <w:p w14:paraId="3BC3DE82" w14:textId="6871974D" w:rsidR="00C05700" w:rsidRPr="00263876" w:rsidRDefault="00B14631" w:rsidP="00670650">
            <w:pPr>
              <w:pStyle w:val="TableText"/>
              <w:keepNext/>
            </w:pPr>
            <w:r w:rsidRPr="00263876">
              <w:t xml:space="preserve">1 year. </w:t>
            </w:r>
            <w:r w:rsidR="003A5707" w:rsidRPr="00263876">
              <w:t xml:space="preserve">Clinical outcomes extrapolated from </w:t>
            </w:r>
            <w:r w:rsidRPr="00263876">
              <w:t>284 days (mean or median length of the follow-up of the study participants</w:t>
            </w:r>
            <w:r w:rsidR="003A5707" w:rsidRPr="00263876">
              <w:t>)</w:t>
            </w:r>
          </w:p>
        </w:tc>
      </w:tr>
    </w:tbl>
    <w:p w14:paraId="5E1BB991" w14:textId="53FC4D45" w:rsidR="00673819" w:rsidRDefault="00673819" w:rsidP="00673819">
      <w:pPr>
        <w:pStyle w:val="TableFooter"/>
      </w:pPr>
      <w:r>
        <w:t xml:space="preserve">Abbreviations: BP = blood pressure; CVD = cardiovascular disease; eGFR = estimated glomerular filtration rate; HbA1C = glycosylated haemoglobin; LDL-C = low density lipoprotein cholesterol; </w:t>
      </w:r>
      <w:r w:rsidR="00AA75CC">
        <w:t xml:space="preserve">MMR = Medication Management Review; </w:t>
      </w:r>
      <w:r>
        <w:t xml:space="preserve">TC = total cholesterol </w:t>
      </w:r>
    </w:p>
    <w:p w14:paraId="4225E8AB" w14:textId="755670FD" w:rsidR="00A7213F" w:rsidRDefault="003E410C" w:rsidP="005A1DAE">
      <w:r>
        <w:t>The CCA made the following assumptions:</w:t>
      </w:r>
    </w:p>
    <w:p w14:paraId="0D69D5D2" w14:textId="23CE35A3" w:rsidR="003E410C" w:rsidRDefault="00071DBC" w:rsidP="003E410C">
      <w:pPr>
        <w:pStyle w:val="ListParagraph"/>
        <w:numPr>
          <w:ilvl w:val="0"/>
          <w:numId w:val="29"/>
        </w:numPr>
      </w:pPr>
      <w:r>
        <w:t>There would be a 10% reduction in HMRs</w:t>
      </w:r>
      <w:r w:rsidR="004B222A">
        <w:t xml:space="preserve"> as 10% of IPAC </w:t>
      </w:r>
      <w:r w:rsidR="00D76801">
        <w:t xml:space="preserve">study </w:t>
      </w:r>
      <w:r w:rsidR="004B222A">
        <w:t>participants had received a HMR in the previous year</w:t>
      </w:r>
      <w:r w:rsidR="00843F4A">
        <w:t xml:space="preserve"> based on MBS</w:t>
      </w:r>
      <w:r w:rsidR="00717B8D">
        <w:t xml:space="preserve"> claims data for item </w:t>
      </w:r>
      <w:r w:rsidR="0031533A">
        <w:t>900 (</w:t>
      </w:r>
      <w:r w:rsidR="00843F4A" w:rsidRPr="00843F4A">
        <w:t>ADAR Attachment 12, p1</w:t>
      </w:r>
      <w:r w:rsidR="00717B8D">
        <w:t>7)</w:t>
      </w:r>
      <w:r w:rsidR="001A726A">
        <w:t xml:space="preserve">; </w:t>
      </w:r>
    </w:p>
    <w:p w14:paraId="40979285" w14:textId="5A09542B" w:rsidR="00717B8D" w:rsidRDefault="008B5214" w:rsidP="003E410C">
      <w:pPr>
        <w:pStyle w:val="ListParagraph"/>
        <w:numPr>
          <w:ilvl w:val="0"/>
          <w:numId w:val="29"/>
        </w:numPr>
      </w:pPr>
      <w:r>
        <w:t xml:space="preserve">GPs would refer </w:t>
      </w:r>
      <w:r w:rsidR="00F877F9">
        <w:t>a</w:t>
      </w:r>
      <w:r w:rsidR="004768E0">
        <w:t>ll eligible patients (</w:t>
      </w:r>
      <w:r w:rsidR="003745A7" w:rsidRPr="003745A7">
        <w:t xml:space="preserve">2.6% </w:t>
      </w:r>
      <w:r w:rsidR="00A97DE6">
        <w:t xml:space="preserve">people accessing </w:t>
      </w:r>
      <w:r w:rsidR="00767EC4">
        <w:t xml:space="preserve">Indigenous-specific health services) </w:t>
      </w:r>
      <w:r w:rsidR="00F877F9">
        <w:t>to a medic</w:t>
      </w:r>
      <w:r w:rsidR="00B96243">
        <w:t>ation management review and claim MBS item 900</w:t>
      </w:r>
      <w:r w:rsidR="001F4BB7">
        <w:t xml:space="preserve"> (</w:t>
      </w:r>
      <w:r w:rsidR="00387E9C">
        <w:t>medication review)</w:t>
      </w:r>
      <w:r w:rsidR="00B96243">
        <w:t>.</w:t>
      </w:r>
      <w:r w:rsidR="00DE3AA6">
        <w:t xml:space="preserve"> This would result in a</w:t>
      </w:r>
      <w:r w:rsidR="00DD0572">
        <w:t xml:space="preserve"> net</w:t>
      </w:r>
      <w:r w:rsidR="00DE3AA6">
        <w:t xml:space="preserve"> 90% </w:t>
      </w:r>
      <w:r w:rsidR="00DD0572">
        <w:t xml:space="preserve">increase in claims for </w:t>
      </w:r>
      <w:r w:rsidR="00B00E16">
        <w:t>MBS item 900</w:t>
      </w:r>
      <w:r w:rsidR="00387E9C">
        <w:t xml:space="preserve"> as this was only being provided to 10% of </w:t>
      </w:r>
      <w:r w:rsidR="00B85A2C">
        <w:t>the eligible population</w:t>
      </w:r>
      <w:r w:rsidR="001A726A">
        <w:t>;</w:t>
      </w:r>
      <w:r w:rsidR="00B85A2C">
        <w:t xml:space="preserve"> </w:t>
      </w:r>
    </w:p>
    <w:p w14:paraId="4E7B1770" w14:textId="59E9F8C2" w:rsidR="00067B41" w:rsidRDefault="0058247D" w:rsidP="00067B41">
      <w:pPr>
        <w:pStyle w:val="ListParagraph"/>
        <w:numPr>
          <w:ilvl w:val="0"/>
          <w:numId w:val="29"/>
        </w:numPr>
      </w:pPr>
      <w:r>
        <w:t xml:space="preserve">GP time spent receiving medication advice was not included in the CCA for the Departmental models </w:t>
      </w:r>
      <w:r w:rsidR="00F84C59">
        <w:t xml:space="preserve">as this should be captured by MBS item 900 which </w:t>
      </w:r>
      <w:r w:rsidR="00B8105B">
        <w:t>covers the full episode of care from referra</w:t>
      </w:r>
      <w:r w:rsidR="004D77B1">
        <w:t xml:space="preserve">l to </w:t>
      </w:r>
      <w:r w:rsidR="00F11E50">
        <w:t>development</w:t>
      </w:r>
      <w:r w:rsidR="00F11E50" w:rsidRPr="00F11E50">
        <w:t xml:space="preserve"> </w:t>
      </w:r>
      <w:r w:rsidR="062EAD6B">
        <w:t xml:space="preserve">of a </w:t>
      </w:r>
      <w:r w:rsidR="00F11E50" w:rsidRPr="00F11E50">
        <w:t xml:space="preserve">written medication management plan following </w:t>
      </w:r>
      <w:r w:rsidR="00067B41">
        <w:t xml:space="preserve">the medication review and </w:t>
      </w:r>
      <w:r w:rsidR="00F11E50" w:rsidRPr="00F11E50">
        <w:t>discussion with the patient</w:t>
      </w:r>
      <w:r w:rsidR="001A726A">
        <w:t>;</w:t>
      </w:r>
    </w:p>
    <w:p w14:paraId="41FFD585" w14:textId="3F761550" w:rsidR="0051124B" w:rsidRDefault="00AC5EB3" w:rsidP="00067B41">
      <w:pPr>
        <w:pStyle w:val="ListParagraph"/>
        <w:numPr>
          <w:ilvl w:val="0"/>
          <w:numId w:val="29"/>
        </w:numPr>
      </w:pPr>
      <w:r>
        <w:t>Integrated pharmacists cannot claim</w:t>
      </w:r>
      <w:r w:rsidR="00451F5A">
        <w:t xml:space="preserve"> reimbursement for HMRs</w:t>
      </w:r>
      <w:r w:rsidR="001A726A">
        <w:t>;</w:t>
      </w:r>
      <w:r w:rsidR="00451F5A">
        <w:t xml:space="preserve"> </w:t>
      </w:r>
    </w:p>
    <w:p w14:paraId="070ECF5B" w14:textId="5C6E9AEB" w:rsidR="00C265D1" w:rsidRDefault="00EF1304" w:rsidP="00067B41">
      <w:pPr>
        <w:pStyle w:val="ListParagraph"/>
        <w:numPr>
          <w:ilvl w:val="0"/>
          <w:numId w:val="29"/>
        </w:numPr>
      </w:pPr>
      <w:r>
        <w:t xml:space="preserve">GPs </w:t>
      </w:r>
      <w:r w:rsidR="00DE00E6">
        <w:t>save 0.</w:t>
      </w:r>
      <w:r w:rsidR="00526AE4">
        <w:t>94 hours per patient</w:t>
      </w:r>
      <w:r w:rsidR="0068537D">
        <w:t xml:space="preserve"> at cost of $86.80 per hour. </w:t>
      </w:r>
      <w:r w:rsidR="00192EDE">
        <w:t>This was based on estimates used in the ADAR (</w:t>
      </w:r>
      <w:r w:rsidR="009457BA" w:rsidRPr="009457BA">
        <w:t>Table 4, Appendix 25</w:t>
      </w:r>
      <w:r w:rsidR="009457BA">
        <w:t xml:space="preserve">; </w:t>
      </w:r>
      <w:r w:rsidR="003372DE" w:rsidRPr="003372DE">
        <w:t>Table 2, Appendix 25</w:t>
      </w:r>
      <w:r w:rsidR="003372DE">
        <w:t xml:space="preserve"> of the ADAR</w:t>
      </w:r>
      <w:r w:rsidR="003372DE" w:rsidRPr="003372DE">
        <w:t>)</w:t>
      </w:r>
      <w:r w:rsidR="003372DE">
        <w:t xml:space="preserve">. </w:t>
      </w:r>
    </w:p>
    <w:p w14:paraId="07B8FC57" w14:textId="5E37C019" w:rsidR="00C1592D" w:rsidRDefault="00AC4BCD" w:rsidP="005133DC">
      <w:r>
        <w:t xml:space="preserve">The estimated proportion of patients (2.6%) </w:t>
      </w:r>
      <w:r w:rsidR="00156AEF">
        <w:t>is likely a</w:t>
      </w:r>
      <w:r w:rsidR="00E42224">
        <w:t xml:space="preserve">n </w:t>
      </w:r>
      <w:r w:rsidR="00156AEF">
        <w:t xml:space="preserve">underestimate </w:t>
      </w:r>
      <w:r w:rsidR="00E42224">
        <w:t xml:space="preserve">of the proportion of clients of </w:t>
      </w:r>
      <w:r w:rsidR="00E42224" w:rsidRPr="00E42224">
        <w:t>Indigenous-specific health services</w:t>
      </w:r>
      <w:r w:rsidR="0086644D">
        <w:t xml:space="preserve"> that may receive services from an integrated pharmacist. </w:t>
      </w:r>
      <w:r w:rsidR="0099258C">
        <w:t xml:space="preserve">The </w:t>
      </w:r>
      <w:r w:rsidR="0025606D">
        <w:t xml:space="preserve">2018-19 National Aboriginal and Torres Strait Islander Health Survey </w:t>
      </w:r>
      <w:r w:rsidR="007848BC">
        <w:t>estimated</w:t>
      </w:r>
      <w:r w:rsidR="0025606D">
        <w:t xml:space="preserve"> that 67%</w:t>
      </w:r>
      <w:r w:rsidR="00392446">
        <w:t xml:space="preserve"> of </w:t>
      </w:r>
      <w:r w:rsidR="007D1FF9">
        <w:t>Aboriginal and Torres Strait Islander people</w:t>
      </w:r>
      <w:r w:rsidR="00392446">
        <w:t xml:space="preserve"> </w:t>
      </w:r>
      <w:r w:rsidR="007D1FF9">
        <w:t>had a current long term health condition. Although not all long</w:t>
      </w:r>
      <w:r w:rsidR="1E14CFB7">
        <w:t>-</w:t>
      </w:r>
      <w:r w:rsidR="007D1FF9">
        <w:t xml:space="preserve">term health conditions </w:t>
      </w:r>
      <w:r w:rsidR="00712967">
        <w:t>are managed using medicines, the survey estimated th</w:t>
      </w:r>
      <w:r w:rsidR="00351101">
        <w:t>e</w:t>
      </w:r>
      <w:r w:rsidR="007028F3">
        <w:t xml:space="preserve"> proportion of persons with the following conditions that are typically managed using medicines</w:t>
      </w:r>
      <w:r w:rsidR="00C1592D">
        <w:t>:</w:t>
      </w:r>
    </w:p>
    <w:p w14:paraId="1C6D2749" w14:textId="0188AAFD" w:rsidR="00C1592D" w:rsidRDefault="00712967" w:rsidP="00C1592D">
      <w:pPr>
        <w:pStyle w:val="ListParagraph"/>
        <w:numPr>
          <w:ilvl w:val="0"/>
          <w:numId w:val="37"/>
        </w:numPr>
      </w:pPr>
      <w:r>
        <w:t xml:space="preserve">7.9% had diabetes mellitus </w:t>
      </w:r>
    </w:p>
    <w:p w14:paraId="79765065" w14:textId="73146561" w:rsidR="00C1592D" w:rsidRDefault="00802D1C" w:rsidP="00C1592D">
      <w:pPr>
        <w:pStyle w:val="ListParagraph"/>
        <w:numPr>
          <w:ilvl w:val="0"/>
          <w:numId w:val="37"/>
        </w:numPr>
      </w:pPr>
      <w:r>
        <w:t xml:space="preserve">4.5% had elevated cholesterol </w:t>
      </w:r>
    </w:p>
    <w:p w14:paraId="19BC5497" w14:textId="7082204A" w:rsidR="005133DC" w:rsidRDefault="00C1592D" w:rsidP="00C1592D">
      <w:pPr>
        <w:pStyle w:val="ListParagraph"/>
        <w:numPr>
          <w:ilvl w:val="0"/>
          <w:numId w:val="37"/>
        </w:numPr>
      </w:pPr>
      <w:r>
        <w:t>5.2% had h</w:t>
      </w:r>
      <w:r w:rsidRPr="00C1592D">
        <w:t xml:space="preserve">eart, </w:t>
      </w:r>
      <w:proofErr w:type="gramStart"/>
      <w:r w:rsidRPr="00C1592D">
        <w:t>stroke</w:t>
      </w:r>
      <w:proofErr w:type="gramEnd"/>
      <w:r w:rsidRPr="00C1592D">
        <w:t xml:space="preserve"> and vascular disease</w:t>
      </w:r>
      <w:r>
        <w:t xml:space="preserve"> </w:t>
      </w:r>
    </w:p>
    <w:p w14:paraId="0790B691" w14:textId="7409F5BC" w:rsidR="00C1592D" w:rsidRDefault="00351101" w:rsidP="00C1592D">
      <w:pPr>
        <w:pStyle w:val="ListParagraph"/>
        <w:numPr>
          <w:ilvl w:val="0"/>
          <w:numId w:val="37"/>
        </w:numPr>
      </w:pPr>
      <w:r>
        <w:t>8.3% had hypertension, and</w:t>
      </w:r>
    </w:p>
    <w:p w14:paraId="56C533DE" w14:textId="2EC8B112" w:rsidR="00351101" w:rsidRDefault="00351101" w:rsidP="00C1592D">
      <w:pPr>
        <w:pStyle w:val="ListParagraph"/>
        <w:numPr>
          <w:ilvl w:val="0"/>
          <w:numId w:val="37"/>
        </w:numPr>
      </w:pPr>
      <w:r>
        <w:t xml:space="preserve">15.7% had asthma. </w:t>
      </w:r>
    </w:p>
    <w:p w14:paraId="2A9E05B3" w14:textId="7C267000" w:rsidR="003A738B" w:rsidRDefault="005251EA" w:rsidP="003A738B">
      <w:r>
        <w:t xml:space="preserve">Therefore, the applicant’s estimate that only 2.6% of patients would be eligible is likely an underestimate. </w:t>
      </w:r>
    </w:p>
    <w:p w14:paraId="58F50784" w14:textId="4B1DAB65" w:rsidR="00C0048F" w:rsidRPr="00263876" w:rsidRDefault="00C0048F" w:rsidP="00C0048F">
      <w:pPr>
        <w:pStyle w:val="Caption"/>
        <w:rPr>
          <w:sz w:val="20"/>
        </w:rPr>
      </w:pPr>
      <w:r w:rsidRPr="00263876">
        <w:rPr>
          <w:sz w:val="20"/>
        </w:rPr>
        <w:lastRenderedPageBreak/>
        <w:t>Table </w:t>
      </w:r>
      <w:r w:rsidRPr="00263876">
        <w:rPr>
          <w:sz w:val="20"/>
        </w:rPr>
        <w:fldChar w:fldCharType="begin"/>
      </w:r>
      <w:r w:rsidRPr="00263876">
        <w:rPr>
          <w:sz w:val="20"/>
        </w:rPr>
        <w:instrText>SEQ Table \* ARABIC</w:instrText>
      </w:r>
      <w:r w:rsidRPr="00263876">
        <w:rPr>
          <w:sz w:val="20"/>
        </w:rPr>
        <w:fldChar w:fldCharType="separate"/>
      </w:r>
      <w:r w:rsidR="00FC2B00">
        <w:rPr>
          <w:noProof/>
          <w:sz w:val="20"/>
        </w:rPr>
        <w:t>10</w:t>
      </w:r>
      <w:r w:rsidRPr="00263876">
        <w:rPr>
          <w:sz w:val="20"/>
        </w:rPr>
        <w:fldChar w:fldCharType="end"/>
      </w:r>
      <w:r w:rsidRPr="00263876">
        <w:rPr>
          <w:sz w:val="20"/>
        </w:rPr>
        <w:tab/>
      </w:r>
      <w:r w:rsidR="006255AB" w:rsidRPr="00263876">
        <w:rPr>
          <w:sz w:val="20"/>
        </w:rPr>
        <w:t xml:space="preserve">Cost of the proposed </w:t>
      </w:r>
      <w:r w:rsidR="0030590A" w:rsidRPr="00263876">
        <w:rPr>
          <w:sz w:val="20"/>
        </w:rPr>
        <w:t>implementation models</w:t>
      </w:r>
    </w:p>
    <w:tbl>
      <w:tblPr>
        <w:tblStyle w:val="TableGrid1"/>
        <w:tblW w:w="5000" w:type="pct"/>
        <w:shd w:val="clear" w:color="auto" w:fill="FFFFFF"/>
        <w:tblLayout w:type="fixed"/>
        <w:tblLook w:val="04A0" w:firstRow="1" w:lastRow="0" w:firstColumn="1" w:lastColumn="0" w:noHBand="0" w:noVBand="1"/>
      </w:tblPr>
      <w:tblGrid>
        <w:gridCol w:w="2825"/>
        <w:gridCol w:w="1560"/>
        <w:gridCol w:w="1416"/>
        <w:gridCol w:w="1560"/>
        <w:gridCol w:w="1655"/>
      </w:tblGrid>
      <w:tr w:rsidR="00E53C91" w:rsidRPr="00CE28E3" w14:paraId="38331883" w14:textId="2FCD14C8" w:rsidTr="009C0B34">
        <w:trPr>
          <w:cnfStyle w:val="100000000000" w:firstRow="1" w:lastRow="0" w:firstColumn="0" w:lastColumn="0" w:oddVBand="0" w:evenVBand="0" w:oddHBand="0" w:evenHBand="0" w:firstRowFirstColumn="0" w:firstRowLastColumn="0" w:lastRowFirstColumn="0" w:lastRowLastColumn="0"/>
          <w:cantSplit/>
          <w:tblHeader/>
        </w:trPr>
        <w:tc>
          <w:tcPr>
            <w:tcW w:w="1567" w:type="pct"/>
            <w:shd w:val="clear" w:color="auto" w:fill="FFFFFF" w:themeFill="background1"/>
          </w:tcPr>
          <w:bookmarkEnd w:id="31"/>
          <w:p w14:paraId="4B2E3E7A" w14:textId="77777777" w:rsidR="0030590A" w:rsidRPr="00CE28E3" w:rsidRDefault="0030590A" w:rsidP="0030590A">
            <w:pPr>
              <w:pStyle w:val="In-tableHeading"/>
            </w:pPr>
            <w:r>
              <w:t xml:space="preserve">Parameter </w:t>
            </w:r>
          </w:p>
        </w:tc>
        <w:tc>
          <w:tcPr>
            <w:tcW w:w="865" w:type="pct"/>
            <w:tcBorders>
              <w:top w:val="single" w:sz="4" w:space="0" w:color="auto"/>
              <w:left w:val="single" w:sz="4" w:space="0" w:color="auto"/>
              <w:bottom w:val="single" w:sz="4" w:space="0" w:color="auto"/>
              <w:right w:val="single" w:sz="4" w:space="0" w:color="auto"/>
            </w:tcBorders>
          </w:tcPr>
          <w:p w14:paraId="4330A3AD" w14:textId="00BC5A25" w:rsidR="00D61950" w:rsidRDefault="0030590A" w:rsidP="0030590A">
            <w:pPr>
              <w:pStyle w:val="In-tableHeading"/>
              <w:jc w:val="center"/>
              <w:rPr>
                <w:rFonts w:eastAsia="SimSun" w:cs="Symbol"/>
              </w:rPr>
            </w:pPr>
            <w:r>
              <w:rPr>
                <w:rFonts w:eastAsia="SimSun" w:cs="Symbol"/>
              </w:rPr>
              <w:t>Dep</w:t>
            </w:r>
            <w:r w:rsidR="009A45A2">
              <w:rPr>
                <w:rFonts w:eastAsia="SimSun" w:cs="Symbol"/>
              </w:rPr>
              <w:t>artment</w:t>
            </w:r>
            <w:r>
              <w:rPr>
                <w:rFonts w:eastAsia="SimSun" w:cs="Symbol"/>
              </w:rPr>
              <w:t xml:space="preserve"> </w:t>
            </w:r>
          </w:p>
          <w:p w14:paraId="481F9AE6" w14:textId="00BC5A25" w:rsidR="0030590A" w:rsidRPr="0030590A" w:rsidRDefault="0030590A" w:rsidP="0030590A">
            <w:pPr>
              <w:pStyle w:val="In-tableHeading"/>
              <w:jc w:val="center"/>
            </w:pPr>
            <w:r w:rsidRPr="0030590A">
              <w:rPr>
                <w:rFonts w:eastAsia="SimSun" w:cs="Symbol"/>
              </w:rPr>
              <w:t>Model 1</w:t>
            </w:r>
          </w:p>
        </w:tc>
        <w:tc>
          <w:tcPr>
            <w:tcW w:w="785" w:type="pct"/>
            <w:tcBorders>
              <w:top w:val="single" w:sz="4" w:space="0" w:color="auto"/>
              <w:left w:val="single" w:sz="4" w:space="0" w:color="auto"/>
              <w:bottom w:val="single" w:sz="4" w:space="0" w:color="auto"/>
              <w:right w:val="single" w:sz="4" w:space="0" w:color="auto"/>
            </w:tcBorders>
          </w:tcPr>
          <w:p w14:paraId="02C2FC9C" w14:textId="00BC5A25" w:rsidR="00D61950" w:rsidRDefault="009A45A2" w:rsidP="0030590A">
            <w:pPr>
              <w:pStyle w:val="In-tableHeading"/>
              <w:jc w:val="center"/>
              <w:rPr>
                <w:rFonts w:eastAsia="SimSun" w:cs="Symbol"/>
              </w:rPr>
            </w:pPr>
            <w:r>
              <w:rPr>
                <w:rFonts w:eastAsia="SimSun" w:cs="Symbol"/>
              </w:rPr>
              <w:t xml:space="preserve">Department </w:t>
            </w:r>
          </w:p>
          <w:p w14:paraId="7F863574" w14:textId="00BC5A25" w:rsidR="0030590A" w:rsidRPr="0030590A" w:rsidRDefault="0030590A" w:rsidP="0030590A">
            <w:pPr>
              <w:pStyle w:val="In-tableHeading"/>
              <w:jc w:val="center"/>
            </w:pPr>
            <w:r w:rsidRPr="0030590A">
              <w:rPr>
                <w:rFonts w:eastAsia="SimSun" w:cs="Symbol"/>
              </w:rPr>
              <w:t>Model 2</w:t>
            </w:r>
          </w:p>
        </w:tc>
        <w:tc>
          <w:tcPr>
            <w:tcW w:w="865" w:type="pct"/>
            <w:tcBorders>
              <w:top w:val="single" w:sz="4" w:space="0" w:color="auto"/>
              <w:left w:val="single" w:sz="4" w:space="0" w:color="auto"/>
              <w:bottom w:val="single" w:sz="4" w:space="0" w:color="auto"/>
              <w:right w:val="single" w:sz="4" w:space="0" w:color="auto"/>
            </w:tcBorders>
          </w:tcPr>
          <w:p w14:paraId="75AB5F14" w14:textId="00BC5A25" w:rsidR="00D61950" w:rsidRDefault="00464670" w:rsidP="0030590A">
            <w:pPr>
              <w:pStyle w:val="In-tableHeading"/>
              <w:jc w:val="center"/>
              <w:rPr>
                <w:rFonts w:eastAsia="SimSun" w:cs="Symbol"/>
              </w:rPr>
            </w:pPr>
            <w:r>
              <w:rPr>
                <w:rFonts w:eastAsia="SimSun" w:cs="Symbol"/>
              </w:rPr>
              <w:t xml:space="preserve">Department </w:t>
            </w:r>
          </w:p>
          <w:p w14:paraId="5ABDA36B" w14:textId="00BC5A25" w:rsidR="0030590A" w:rsidRPr="0030590A" w:rsidRDefault="0030590A" w:rsidP="0030590A">
            <w:pPr>
              <w:pStyle w:val="In-tableHeading"/>
              <w:jc w:val="center"/>
            </w:pPr>
            <w:r w:rsidRPr="0030590A">
              <w:rPr>
                <w:rFonts w:eastAsia="SimSun" w:cs="Symbol"/>
              </w:rPr>
              <w:t xml:space="preserve">Model </w:t>
            </w:r>
            <w:r w:rsidR="009A45A2">
              <w:rPr>
                <w:rFonts w:eastAsia="SimSun" w:cs="Symbol"/>
              </w:rPr>
              <w:t>3</w:t>
            </w:r>
          </w:p>
        </w:tc>
        <w:tc>
          <w:tcPr>
            <w:tcW w:w="918" w:type="pct"/>
            <w:tcBorders>
              <w:top w:val="single" w:sz="4" w:space="0" w:color="auto"/>
              <w:left w:val="single" w:sz="4" w:space="0" w:color="auto"/>
              <w:bottom w:val="single" w:sz="4" w:space="0" w:color="auto"/>
              <w:right w:val="single" w:sz="4" w:space="0" w:color="auto"/>
            </w:tcBorders>
          </w:tcPr>
          <w:p w14:paraId="1FDC9CA3" w14:textId="00BC5A25" w:rsidR="00D61950" w:rsidRDefault="0030590A" w:rsidP="0030590A">
            <w:pPr>
              <w:pStyle w:val="In-tableHeading"/>
              <w:jc w:val="center"/>
              <w:rPr>
                <w:rFonts w:eastAsia="SimSun" w:cs="Symbol"/>
              </w:rPr>
            </w:pPr>
            <w:r w:rsidRPr="0030590A">
              <w:rPr>
                <w:rFonts w:eastAsia="SimSun" w:cs="Symbol"/>
              </w:rPr>
              <w:t xml:space="preserve">ADAR </w:t>
            </w:r>
          </w:p>
          <w:p w14:paraId="69A2FAD8" w14:textId="00BC5A25" w:rsidR="0030590A" w:rsidRPr="0030590A" w:rsidRDefault="000A79BD" w:rsidP="0030590A">
            <w:pPr>
              <w:pStyle w:val="In-tableHeading"/>
              <w:jc w:val="center"/>
            </w:pPr>
            <w:r>
              <w:rPr>
                <w:rFonts w:eastAsia="SimSun" w:cs="Symbol"/>
              </w:rPr>
              <w:t>(</w:t>
            </w:r>
            <w:proofErr w:type="gramStart"/>
            <w:r>
              <w:rPr>
                <w:rFonts w:eastAsia="SimSun" w:cs="Symbol"/>
              </w:rPr>
              <w:t>trial</w:t>
            </w:r>
            <w:proofErr w:type="gramEnd"/>
            <w:r>
              <w:rPr>
                <w:rFonts w:eastAsia="SimSun" w:cs="Symbol"/>
              </w:rPr>
              <w:t xml:space="preserve"> based)</w:t>
            </w:r>
          </w:p>
        </w:tc>
      </w:tr>
      <w:tr w:rsidR="008D460B" w:rsidRPr="00CE28E3" w14:paraId="36936485" w14:textId="77777777" w:rsidTr="008D460B">
        <w:trPr>
          <w:cantSplit/>
        </w:trPr>
        <w:tc>
          <w:tcPr>
            <w:tcW w:w="5000" w:type="pct"/>
            <w:gridSpan w:val="5"/>
            <w:shd w:val="clear" w:color="auto" w:fill="auto"/>
            <w:vAlign w:val="center"/>
          </w:tcPr>
          <w:p w14:paraId="48DF38D0" w14:textId="64201A81" w:rsidR="008D460B" w:rsidRPr="008D460B" w:rsidRDefault="008D460B" w:rsidP="008D460B">
            <w:pPr>
              <w:pStyle w:val="TableText"/>
              <w:keepNext/>
              <w:rPr>
                <w:b/>
                <w:bCs/>
              </w:rPr>
            </w:pPr>
            <w:r w:rsidRPr="008D460B">
              <w:rPr>
                <w:b/>
                <w:bCs/>
              </w:rPr>
              <w:t>Direct costs</w:t>
            </w:r>
          </w:p>
        </w:tc>
      </w:tr>
      <w:tr w:rsidR="00DD11E4" w:rsidRPr="00CE28E3" w14:paraId="14DC3BFF" w14:textId="0D9D4943" w:rsidTr="00927E2D">
        <w:trPr>
          <w:cantSplit/>
        </w:trPr>
        <w:tc>
          <w:tcPr>
            <w:tcW w:w="1567" w:type="pct"/>
            <w:shd w:val="clear" w:color="auto" w:fill="auto"/>
          </w:tcPr>
          <w:p w14:paraId="1B402EDC" w14:textId="7254B16F" w:rsidR="00DD11E4" w:rsidRPr="00CE28E3" w:rsidRDefault="00DD11E4" w:rsidP="00DD11E4">
            <w:pPr>
              <w:pStyle w:val="TableText"/>
              <w:keepNext/>
            </w:pPr>
            <w:r>
              <w:t>Health services funded</w:t>
            </w:r>
          </w:p>
        </w:tc>
        <w:tc>
          <w:tcPr>
            <w:tcW w:w="865" w:type="pct"/>
            <w:shd w:val="clear" w:color="auto" w:fill="auto"/>
          </w:tcPr>
          <w:p w14:paraId="08527C86" w14:textId="7A0A9813" w:rsidR="00DD11E4" w:rsidRPr="00CE28E3" w:rsidRDefault="00DD11E4" w:rsidP="00DD11E4">
            <w:pPr>
              <w:pStyle w:val="TableText"/>
              <w:keepNext/>
              <w:jc w:val="center"/>
            </w:pPr>
            <w:r w:rsidRPr="0010593A">
              <w:t>229</w:t>
            </w:r>
          </w:p>
        </w:tc>
        <w:tc>
          <w:tcPr>
            <w:tcW w:w="785" w:type="pct"/>
            <w:shd w:val="clear" w:color="auto" w:fill="auto"/>
          </w:tcPr>
          <w:p w14:paraId="5F7FE8E9" w14:textId="36C39C01" w:rsidR="00DD11E4" w:rsidRPr="00CE28E3" w:rsidRDefault="00DD11E4" w:rsidP="00DD11E4">
            <w:pPr>
              <w:pStyle w:val="TableText"/>
              <w:keepNext/>
              <w:jc w:val="center"/>
            </w:pPr>
            <w:r w:rsidRPr="0010593A">
              <w:t>17</w:t>
            </w:r>
            <w:r w:rsidR="00FA0AF8">
              <w:t>1</w:t>
            </w:r>
          </w:p>
        </w:tc>
        <w:tc>
          <w:tcPr>
            <w:tcW w:w="865" w:type="pct"/>
            <w:shd w:val="clear" w:color="auto" w:fill="auto"/>
          </w:tcPr>
          <w:p w14:paraId="49171061" w14:textId="29F6BF6B" w:rsidR="00DD11E4" w:rsidRPr="00CE28E3" w:rsidRDefault="00DD11E4" w:rsidP="00DD11E4">
            <w:pPr>
              <w:pStyle w:val="TableText"/>
              <w:keepNext/>
              <w:jc w:val="center"/>
            </w:pPr>
            <w:r w:rsidRPr="0010593A">
              <w:t>17</w:t>
            </w:r>
            <w:r w:rsidR="00FA0AF8">
              <w:t>1</w:t>
            </w:r>
          </w:p>
        </w:tc>
        <w:tc>
          <w:tcPr>
            <w:tcW w:w="918" w:type="pct"/>
            <w:vAlign w:val="center"/>
          </w:tcPr>
          <w:p w14:paraId="6610564C" w14:textId="558A3946" w:rsidR="00DD11E4" w:rsidRPr="00CE28E3" w:rsidRDefault="00DD11E4" w:rsidP="00DD11E4">
            <w:pPr>
              <w:pStyle w:val="TableText"/>
              <w:keepNext/>
              <w:jc w:val="center"/>
            </w:pPr>
            <w:r>
              <w:t>140</w:t>
            </w:r>
          </w:p>
        </w:tc>
      </w:tr>
      <w:tr w:rsidR="00DD11E4" w:rsidRPr="00CE28E3" w14:paraId="330327A5" w14:textId="77777777" w:rsidTr="00927E2D">
        <w:trPr>
          <w:cantSplit/>
        </w:trPr>
        <w:tc>
          <w:tcPr>
            <w:tcW w:w="1567" w:type="pct"/>
            <w:shd w:val="clear" w:color="auto" w:fill="auto"/>
          </w:tcPr>
          <w:p w14:paraId="5E6A5943" w14:textId="2CAA89F9" w:rsidR="00DD11E4" w:rsidRPr="00CE28E3" w:rsidRDefault="00DD11E4" w:rsidP="00DD11E4">
            <w:pPr>
              <w:pStyle w:val="TableText"/>
              <w:keepNext/>
            </w:pPr>
            <w:r>
              <w:t>Pharmacist FTE</w:t>
            </w:r>
          </w:p>
        </w:tc>
        <w:tc>
          <w:tcPr>
            <w:tcW w:w="865" w:type="pct"/>
            <w:shd w:val="clear" w:color="auto" w:fill="auto"/>
            <w:vAlign w:val="center"/>
          </w:tcPr>
          <w:p w14:paraId="30EF5880" w14:textId="23354C16" w:rsidR="00DD11E4" w:rsidRPr="00CE28E3" w:rsidRDefault="00DD11E4" w:rsidP="00DD11E4">
            <w:pPr>
              <w:pStyle w:val="TableText"/>
              <w:keepNext/>
              <w:jc w:val="center"/>
            </w:pPr>
            <w:r w:rsidRPr="00D7113D">
              <w:t>140</w:t>
            </w:r>
          </w:p>
        </w:tc>
        <w:tc>
          <w:tcPr>
            <w:tcW w:w="785" w:type="pct"/>
            <w:shd w:val="clear" w:color="auto" w:fill="auto"/>
            <w:vAlign w:val="center"/>
          </w:tcPr>
          <w:p w14:paraId="6922F553" w14:textId="4EB4A0DD" w:rsidR="00DD11E4" w:rsidRPr="00CE28E3" w:rsidRDefault="00DD11E4" w:rsidP="00DD11E4">
            <w:pPr>
              <w:pStyle w:val="TableText"/>
              <w:keepNext/>
              <w:jc w:val="center"/>
            </w:pPr>
            <w:r w:rsidRPr="00D7113D">
              <w:t>111</w:t>
            </w:r>
          </w:p>
        </w:tc>
        <w:tc>
          <w:tcPr>
            <w:tcW w:w="865" w:type="pct"/>
            <w:shd w:val="clear" w:color="auto" w:fill="auto"/>
            <w:vAlign w:val="center"/>
          </w:tcPr>
          <w:p w14:paraId="7D2A4E49" w14:textId="028C12F5" w:rsidR="00DD11E4" w:rsidRPr="00CE28E3" w:rsidRDefault="00DD11E4" w:rsidP="00DD11E4">
            <w:pPr>
              <w:pStyle w:val="TableText"/>
              <w:keepNext/>
              <w:jc w:val="center"/>
            </w:pPr>
            <w:r w:rsidRPr="00D7113D">
              <w:t>93</w:t>
            </w:r>
          </w:p>
        </w:tc>
        <w:tc>
          <w:tcPr>
            <w:tcW w:w="918" w:type="pct"/>
          </w:tcPr>
          <w:p w14:paraId="5B0A3E41" w14:textId="26441A6C" w:rsidR="00DD11E4" w:rsidRPr="00CE28E3" w:rsidRDefault="00DD11E4" w:rsidP="00DD11E4">
            <w:pPr>
              <w:pStyle w:val="TableText"/>
              <w:keepNext/>
              <w:jc w:val="center"/>
            </w:pPr>
            <w:r>
              <w:t>77.4</w:t>
            </w:r>
          </w:p>
        </w:tc>
      </w:tr>
      <w:tr w:rsidR="00DD11E4" w:rsidRPr="00CE28E3" w14:paraId="6712E776" w14:textId="77777777" w:rsidTr="009C0B34">
        <w:trPr>
          <w:cantSplit/>
        </w:trPr>
        <w:tc>
          <w:tcPr>
            <w:tcW w:w="1567" w:type="pct"/>
            <w:shd w:val="clear" w:color="auto" w:fill="auto"/>
          </w:tcPr>
          <w:p w14:paraId="52CBB5E0" w14:textId="6FBF6D05" w:rsidR="00DD11E4" w:rsidRPr="00CE28E3" w:rsidRDefault="00DD11E4" w:rsidP="00DD11E4">
            <w:pPr>
              <w:pStyle w:val="TableText"/>
              <w:keepNext/>
            </w:pPr>
            <w:r>
              <w:t>Pharmacist salary</w:t>
            </w:r>
          </w:p>
        </w:tc>
        <w:tc>
          <w:tcPr>
            <w:tcW w:w="865" w:type="pct"/>
            <w:shd w:val="clear" w:color="auto" w:fill="auto"/>
            <w:vAlign w:val="center"/>
          </w:tcPr>
          <w:p w14:paraId="6C0D3DE5" w14:textId="1DC65C78" w:rsidR="00DD11E4" w:rsidRPr="00CE28E3" w:rsidRDefault="00DD11E4" w:rsidP="00DD11E4">
            <w:pPr>
              <w:pStyle w:val="TableText"/>
              <w:keepNext/>
              <w:jc w:val="center"/>
            </w:pPr>
            <w:r w:rsidRPr="00EB1BE2">
              <w:t>$20,408,258</w:t>
            </w:r>
          </w:p>
        </w:tc>
        <w:tc>
          <w:tcPr>
            <w:tcW w:w="785" w:type="pct"/>
            <w:shd w:val="clear" w:color="auto" w:fill="auto"/>
            <w:vAlign w:val="center"/>
          </w:tcPr>
          <w:p w14:paraId="530C6D21" w14:textId="5DD6209D" w:rsidR="00DD11E4" w:rsidRPr="00CE28E3" w:rsidRDefault="00DD11E4" w:rsidP="00DD11E4">
            <w:pPr>
              <w:pStyle w:val="TableText"/>
              <w:keepNext/>
              <w:jc w:val="center"/>
            </w:pPr>
            <w:r w:rsidRPr="00EB1BE2">
              <w:t>$16,062,327</w:t>
            </w:r>
          </w:p>
        </w:tc>
        <w:tc>
          <w:tcPr>
            <w:tcW w:w="865" w:type="pct"/>
            <w:shd w:val="clear" w:color="auto" w:fill="auto"/>
            <w:vAlign w:val="center"/>
          </w:tcPr>
          <w:p w14:paraId="1EC37D68" w14:textId="7AAE09A3" w:rsidR="00DD11E4" w:rsidRPr="00CE28E3" w:rsidRDefault="00DD11E4" w:rsidP="00DD11E4">
            <w:pPr>
              <w:pStyle w:val="TableText"/>
              <w:keepNext/>
              <w:jc w:val="center"/>
            </w:pPr>
            <w:r w:rsidRPr="00EB1BE2">
              <w:t>$13,712,045</w:t>
            </w:r>
          </w:p>
        </w:tc>
        <w:tc>
          <w:tcPr>
            <w:tcW w:w="918" w:type="pct"/>
            <w:vAlign w:val="center"/>
          </w:tcPr>
          <w:p w14:paraId="4CAEC045" w14:textId="6EB58C33" w:rsidR="00DD11E4" w:rsidRPr="00010B32" w:rsidRDefault="00DD11E4" w:rsidP="00F15C01">
            <w:pPr>
              <w:pStyle w:val="Tabletext0"/>
              <w:jc w:val="center"/>
            </w:pPr>
            <w:r w:rsidRPr="00010B32">
              <w:t>$1</w:t>
            </w:r>
            <w:r w:rsidR="00EE5F78">
              <w:t>1</w:t>
            </w:r>
            <w:r w:rsidRPr="00010B32">
              <w:t>,8</w:t>
            </w:r>
            <w:r w:rsidR="00EE5F78">
              <w:t>0</w:t>
            </w:r>
            <w:r w:rsidRPr="00010B32">
              <w:t>0,000</w:t>
            </w:r>
            <w:r>
              <w:br/>
              <w:t>(trial based)</w:t>
            </w:r>
          </w:p>
        </w:tc>
      </w:tr>
      <w:tr w:rsidR="00DD11E4" w:rsidRPr="00CE28E3" w14:paraId="1DC7D9F8" w14:textId="77777777" w:rsidTr="009C0B34">
        <w:trPr>
          <w:cantSplit/>
        </w:trPr>
        <w:tc>
          <w:tcPr>
            <w:tcW w:w="1567" w:type="pct"/>
            <w:shd w:val="clear" w:color="auto" w:fill="auto"/>
            <w:vAlign w:val="center"/>
          </w:tcPr>
          <w:p w14:paraId="14BD5B64" w14:textId="1807B985" w:rsidR="00DD11E4" w:rsidRPr="00CE28E3" w:rsidRDefault="00DD11E4" w:rsidP="00DD11E4">
            <w:pPr>
              <w:pStyle w:val="TableText"/>
              <w:keepNext/>
            </w:pPr>
            <w:r>
              <w:t>Eligible patients</w:t>
            </w:r>
          </w:p>
        </w:tc>
        <w:tc>
          <w:tcPr>
            <w:tcW w:w="865" w:type="pct"/>
            <w:shd w:val="clear" w:color="auto" w:fill="auto"/>
            <w:vAlign w:val="center"/>
          </w:tcPr>
          <w:p w14:paraId="3F67B5E3" w14:textId="5EE495F6" w:rsidR="00DD11E4" w:rsidRPr="00CE28E3" w:rsidRDefault="00DD11E4" w:rsidP="00DD11E4">
            <w:pPr>
              <w:pStyle w:val="TableText"/>
              <w:keepNext/>
              <w:jc w:val="center"/>
            </w:pPr>
            <w:r w:rsidRPr="00CF761F">
              <w:t>15,594</w:t>
            </w:r>
          </w:p>
        </w:tc>
        <w:tc>
          <w:tcPr>
            <w:tcW w:w="785" w:type="pct"/>
            <w:shd w:val="clear" w:color="auto" w:fill="auto"/>
            <w:vAlign w:val="center"/>
          </w:tcPr>
          <w:p w14:paraId="08B9A5E7" w14:textId="4EE756F9" w:rsidR="00DD11E4" w:rsidRPr="00CE28E3" w:rsidRDefault="00DD11E4" w:rsidP="00DD11E4">
            <w:pPr>
              <w:pStyle w:val="TableText"/>
              <w:keepNext/>
              <w:jc w:val="center"/>
            </w:pPr>
            <w:r w:rsidRPr="00CF761F">
              <w:t>14,227</w:t>
            </w:r>
          </w:p>
        </w:tc>
        <w:tc>
          <w:tcPr>
            <w:tcW w:w="865" w:type="pct"/>
            <w:shd w:val="clear" w:color="auto" w:fill="auto"/>
            <w:vAlign w:val="center"/>
          </w:tcPr>
          <w:p w14:paraId="551E39A0" w14:textId="57660C02" w:rsidR="00DD11E4" w:rsidRPr="00CE28E3" w:rsidRDefault="00DD11E4" w:rsidP="00DD11E4">
            <w:pPr>
              <w:pStyle w:val="TableText"/>
              <w:keepNext/>
              <w:jc w:val="center"/>
            </w:pPr>
            <w:r w:rsidRPr="00CF761F">
              <w:t>14,227</w:t>
            </w:r>
          </w:p>
        </w:tc>
        <w:tc>
          <w:tcPr>
            <w:tcW w:w="918" w:type="pct"/>
          </w:tcPr>
          <w:p w14:paraId="4BD3AE7F" w14:textId="77777777" w:rsidR="00DD11E4" w:rsidRDefault="00DD11E4" w:rsidP="00DD11E4">
            <w:pPr>
              <w:pStyle w:val="TableText"/>
              <w:keepNext/>
              <w:jc w:val="center"/>
            </w:pPr>
            <w:r>
              <w:t xml:space="preserve">1,456 </w:t>
            </w:r>
          </w:p>
          <w:p w14:paraId="2A911EDF" w14:textId="36F50479" w:rsidR="00DD11E4" w:rsidRDefault="00DD11E4" w:rsidP="00DD11E4">
            <w:pPr>
              <w:pStyle w:val="TableText"/>
              <w:keepNext/>
              <w:jc w:val="center"/>
            </w:pPr>
            <w:r>
              <w:t>(</w:t>
            </w:r>
            <w:proofErr w:type="gramStart"/>
            <w:r>
              <w:t>trial</w:t>
            </w:r>
            <w:proofErr w:type="gramEnd"/>
            <w:r>
              <w:t>-based)</w:t>
            </w:r>
          </w:p>
          <w:p w14:paraId="4330B487" w14:textId="77777777" w:rsidR="00DD11E4" w:rsidRDefault="00DD11E4" w:rsidP="00DD11E4">
            <w:pPr>
              <w:pStyle w:val="TableText"/>
              <w:keepNext/>
              <w:jc w:val="center"/>
            </w:pPr>
            <w:r>
              <w:t xml:space="preserve">11,000 </w:t>
            </w:r>
          </w:p>
          <w:p w14:paraId="03959D80" w14:textId="40421BC9" w:rsidR="00DD11E4" w:rsidRPr="00CE28E3" w:rsidRDefault="00DD11E4" w:rsidP="00DD11E4">
            <w:pPr>
              <w:pStyle w:val="TableText"/>
              <w:keepNext/>
              <w:jc w:val="center"/>
            </w:pPr>
            <w:r>
              <w:t>(</w:t>
            </w:r>
            <w:proofErr w:type="gramStart"/>
            <w:r>
              <w:t>full</w:t>
            </w:r>
            <w:proofErr w:type="gramEnd"/>
            <w:r>
              <w:t xml:space="preserve"> program)</w:t>
            </w:r>
          </w:p>
        </w:tc>
      </w:tr>
      <w:tr w:rsidR="00DD11E4" w:rsidRPr="00CE28E3" w14:paraId="27C30B48" w14:textId="77777777" w:rsidTr="009C0B34">
        <w:trPr>
          <w:cantSplit/>
        </w:trPr>
        <w:tc>
          <w:tcPr>
            <w:tcW w:w="1567" w:type="pct"/>
            <w:shd w:val="clear" w:color="auto" w:fill="auto"/>
            <w:vAlign w:val="center"/>
          </w:tcPr>
          <w:p w14:paraId="5DAF23EF" w14:textId="18EBD692" w:rsidR="00DD11E4" w:rsidRDefault="00DD11E4" w:rsidP="00DD11E4">
            <w:pPr>
              <w:pStyle w:val="TableText"/>
              <w:keepNext/>
            </w:pPr>
            <w:r>
              <w:t>Pharmacist allowances</w:t>
            </w:r>
          </w:p>
        </w:tc>
        <w:tc>
          <w:tcPr>
            <w:tcW w:w="865" w:type="pct"/>
            <w:shd w:val="clear" w:color="auto" w:fill="auto"/>
            <w:vAlign w:val="center"/>
          </w:tcPr>
          <w:p w14:paraId="230268EF" w14:textId="71809F83" w:rsidR="00DD11E4" w:rsidRPr="00CF761F" w:rsidRDefault="00DD11E4" w:rsidP="00DD11E4">
            <w:pPr>
              <w:pStyle w:val="TableText"/>
              <w:keepNext/>
              <w:jc w:val="center"/>
            </w:pPr>
            <w:r>
              <w:t>Not included</w:t>
            </w:r>
          </w:p>
        </w:tc>
        <w:tc>
          <w:tcPr>
            <w:tcW w:w="785" w:type="pct"/>
            <w:shd w:val="clear" w:color="auto" w:fill="auto"/>
            <w:vAlign w:val="center"/>
          </w:tcPr>
          <w:p w14:paraId="2E805BE3" w14:textId="02263341" w:rsidR="00DD11E4" w:rsidRPr="00CF761F" w:rsidRDefault="00DD11E4" w:rsidP="00DD11E4">
            <w:pPr>
              <w:pStyle w:val="TableText"/>
              <w:keepNext/>
              <w:jc w:val="center"/>
            </w:pPr>
            <w:r>
              <w:t>Not included</w:t>
            </w:r>
          </w:p>
        </w:tc>
        <w:tc>
          <w:tcPr>
            <w:tcW w:w="865" w:type="pct"/>
            <w:shd w:val="clear" w:color="auto" w:fill="auto"/>
            <w:vAlign w:val="center"/>
          </w:tcPr>
          <w:p w14:paraId="0D51DCC0" w14:textId="477C76EE" w:rsidR="00DD11E4" w:rsidRPr="00CF761F" w:rsidRDefault="00DD11E4" w:rsidP="00DD11E4">
            <w:pPr>
              <w:pStyle w:val="TableText"/>
              <w:keepNext/>
              <w:jc w:val="center"/>
            </w:pPr>
            <w:r>
              <w:t>Not included</w:t>
            </w:r>
          </w:p>
        </w:tc>
        <w:tc>
          <w:tcPr>
            <w:tcW w:w="918" w:type="pct"/>
          </w:tcPr>
          <w:p w14:paraId="188E5797" w14:textId="0A93E099" w:rsidR="00DD11E4" w:rsidRDefault="00DD11E4" w:rsidP="00DD11E4">
            <w:pPr>
              <w:pStyle w:val="TableText"/>
              <w:keepNext/>
              <w:jc w:val="center"/>
            </w:pPr>
            <w:r w:rsidRPr="005730DD">
              <w:t>$136,658</w:t>
            </w:r>
          </w:p>
        </w:tc>
      </w:tr>
      <w:tr w:rsidR="00DD11E4" w:rsidRPr="00CE28E3" w14:paraId="74D73E5D" w14:textId="77777777" w:rsidTr="00500EC3">
        <w:trPr>
          <w:cantSplit/>
        </w:trPr>
        <w:tc>
          <w:tcPr>
            <w:tcW w:w="1567" w:type="pct"/>
            <w:shd w:val="clear" w:color="auto" w:fill="auto"/>
            <w:vAlign w:val="center"/>
          </w:tcPr>
          <w:p w14:paraId="40CE9A4D" w14:textId="7311ED25" w:rsidR="00DD11E4" w:rsidRDefault="00DD11E4" w:rsidP="00DD11E4">
            <w:pPr>
              <w:pStyle w:val="TableText"/>
              <w:keepNext/>
            </w:pPr>
            <w:r w:rsidRPr="00955F9A">
              <w:t>Out-of-pocket pharmacists’ payments</w:t>
            </w:r>
          </w:p>
        </w:tc>
        <w:tc>
          <w:tcPr>
            <w:tcW w:w="865" w:type="pct"/>
            <w:shd w:val="clear" w:color="auto" w:fill="auto"/>
            <w:vAlign w:val="center"/>
          </w:tcPr>
          <w:p w14:paraId="5102579C" w14:textId="3DF476DC" w:rsidR="00DD11E4" w:rsidRPr="00CF761F" w:rsidRDefault="00DD11E4" w:rsidP="00DD11E4">
            <w:pPr>
              <w:pStyle w:val="TableText"/>
              <w:keepNext/>
              <w:jc w:val="center"/>
            </w:pPr>
            <w:r>
              <w:t>Not included</w:t>
            </w:r>
          </w:p>
        </w:tc>
        <w:tc>
          <w:tcPr>
            <w:tcW w:w="785" w:type="pct"/>
            <w:shd w:val="clear" w:color="auto" w:fill="auto"/>
            <w:vAlign w:val="center"/>
          </w:tcPr>
          <w:p w14:paraId="61E7DB21" w14:textId="6680A7AB" w:rsidR="00DD11E4" w:rsidRPr="00CF761F" w:rsidRDefault="00DD11E4" w:rsidP="00DD11E4">
            <w:pPr>
              <w:pStyle w:val="TableText"/>
              <w:keepNext/>
              <w:jc w:val="center"/>
            </w:pPr>
            <w:r>
              <w:t>Not included</w:t>
            </w:r>
          </w:p>
        </w:tc>
        <w:tc>
          <w:tcPr>
            <w:tcW w:w="865" w:type="pct"/>
            <w:shd w:val="clear" w:color="auto" w:fill="auto"/>
            <w:vAlign w:val="center"/>
          </w:tcPr>
          <w:p w14:paraId="16CE6A91" w14:textId="70AD2B7A" w:rsidR="00DD11E4" w:rsidRPr="00CF761F" w:rsidRDefault="00DD11E4" w:rsidP="00DD11E4">
            <w:pPr>
              <w:pStyle w:val="TableText"/>
              <w:keepNext/>
              <w:jc w:val="center"/>
            </w:pPr>
            <w:r>
              <w:t>Not included</w:t>
            </w:r>
          </w:p>
        </w:tc>
        <w:tc>
          <w:tcPr>
            <w:tcW w:w="918" w:type="pct"/>
            <w:vAlign w:val="center"/>
          </w:tcPr>
          <w:p w14:paraId="07DAED88" w14:textId="434823D2" w:rsidR="00DD11E4" w:rsidRDefault="00DD11E4" w:rsidP="00500EC3">
            <w:pPr>
              <w:pStyle w:val="TableText"/>
              <w:keepNext/>
              <w:jc w:val="center"/>
            </w:pPr>
            <w:r w:rsidRPr="00F71742">
              <w:t>$9,741</w:t>
            </w:r>
          </w:p>
        </w:tc>
      </w:tr>
      <w:tr w:rsidR="00DD11E4" w:rsidRPr="00CE28E3" w14:paraId="43EA6F75" w14:textId="77777777" w:rsidTr="009C0B34">
        <w:trPr>
          <w:cantSplit/>
        </w:trPr>
        <w:tc>
          <w:tcPr>
            <w:tcW w:w="1567" w:type="pct"/>
            <w:shd w:val="clear" w:color="auto" w:fill="auto"/>
            <w:vAlign w:val="center"/>
          </w:tcPr>
          <w:p w14:paraId="13B9FD0D" w14:textId="02871AC3" w:rsidR="00DD11E4" w:rsidRDefault="00DD11E4" w:rsidP="00DD11E4">
            <w:pPr>
              <w:pStyle w:val="TableText"/>
              <w:keepNext/>
            </w:pPr>
            <w:r>
              <w:t>Pharmacist training</w:t>
            </w:r>
          </w:p>
        </w:tc>
        <w:tc>
          <w:tcPr>
            <w:tcW w:w="865" w:type="pct"/>
            <w:shd w:val="clear" w:color="auto" w:fill="auto"/>
            <w:vAlign w:val="center"/>
          </w:tcPr>
          <w:p w14:paraId="612D92A5" w14:textId="3E69D7CA" w:rsidR="00DD11E4" w:rsidRPr="00CF761F" w:rsidRDefault="00DD11E4" w:rsidP="00DD11E4">
            <w:pPr>
              <w:pStyle w:val="TableText"/>
              <w:keepNext/>
              <w:jc w:val="center"/>
            </w:pPr>
            <w:r>
              <w:t>Not included</w:t>
            </w:r>
          </w:p>
        </w:tc>
        <w:tc>
          <w:tcPr>
            <w:tcW w:w="785" w:type="pct"/>
            <w:shd w:val="clear" w:color="auto" w:fill="auto"/>
            <w:vAlign w:val="center"/>
          </w:tcPr>
          <w:p w14:paraId="2C5FA340" w14:textId="7D882C95" w:rsidR="00DD11E4" w:rsidRPr="00CF761F" w:rsidRDefault="00DD11E4" w:rsidP="00DD11E4">
            <w:pPr>
              <w:pStyle w:val="TableText"/>
              <w:keepNext/>
              <w:jc w:val="center"/>
            </w:pPr>
            <w:r>
              <w:t>Not included</w:t>
            </w:r>
          </w:p>
        </w:tc>
        <w:tc>
          <w:tcPr>
            <w:tcW w:w="865" w:type="pct"/>
            <w:shd w:val="clear" w:color="auto" w:fill="auto"/>
            <w:vAlign w:val="center"/>
          </w:tcPr>
          <w:p w14:paraId="6C06A9E3" w14:textId="6C2345EA" w:rsidR="00DD11E4" w:rsidRPr="00CF761F" w:rsidRDefault="00DD11E4" w:rsidP="00DD11E4">
            <w:pPr>
              <w:pStyle w:val="TableText"/>
              <w:keepNext/>
              <w:jc w:val="center"/>
            </w:pPr>
            <w:r>
              <w:t>Not included</w:t>
            </w:r>
          </w:p>
        </w:tc>
        <w:tc>
          <w:tcPr>
            <w:tcW w:w="918" w:type="pct"/>
          </w:tcPr>
          <w:p w14:paraId="56B048EC" w14:textId="5CBCED34" w:rsidR="00DD11E4" w:rsidRDefault="00DD11E4" w:rsidP="00DD11E4">
            <w:pPr>
              <w:pStyle w:val="TableText"/>
              <w:keepNext/>
              <w:jc w:val="center"/>
            </w:pPr>
            <w:r w:rsidRPr="000D704F">
              <w:t>$64,820</w:t>
            </w:r>
          </w:p>
        </w:tc>
      </w:tr>
      <w:tr w:rsidR="00DD11E4" w:rsidRPr="00CE28E3" w14:paraId="5A11A7ED" w14:textId="77777777" w:rsidTr="00802573">
        <w:trPr>
          <w:cantSplit/>
        </w:trPr>
        <w:tc>
          <w:tcPr>
            <w:tcW w:w="1567" w:type="pct"/>
            <w:shd w:val="clear" w:color="auto" w:fill="auto"/>
            <w:vAlign w:val="center"/>
          </w:tcPr>
          <w:p w14:paraId="2CBE398B" w14:textId="38317F6C" w:rsidR="00DD11E4" w:rsidRDefault="00DD11E4" w:rsidP="00DD11E4">
            <w:pPr>
              <w:pStyle w:val="TableText"/>
              <w:keepNext/>
            </w:pPr>
            <w:r>
              <w:t>Cost of ACCHS support for integrated pharmacist</w:t>
            </w:r>
          </w:p>
        </w:tc>
        <w:tc>
          <w:tcPr>
            <w:tcW w:w="865" w:type="pct"/>
            <w:shd w:val="clear" w:color="auto" w:fill="auto"/>
            <w:vAlign w:val="center"/>
          </w:tcPr>
          <w:p w14:paraId="18B2582C" w14:textId="203E1088" w:rsidR="00DD11E4" w:rsidRPr="00CF761F" w:rsidRDefault="00DD11E4" w:rsidP="00DD11E4">
            <w:pPr>
              <w:pStyle w:val="TableText"/>
              <w:keepNext/>
              <w:jc w:val="center"/>
            </w:pPr>
            <w:r>
              <w:t>Not included</w:t>
            </w:r>
          </w:p>
        </w:tc>
        <w:tc>
          <w:tcPr>
            <w:tcW w:w="785" w:type="pct"/>
            <w:shd w:val="clear" w:color="auto" w:fill="auto"/>
            <w:vAlign w:val="center"/>
          </w:tcPr>
          <w:p w14:paraId="0CED5F30" w14:textId="080CE1E3" w:rsidR="00DD11E4" w:rsidRPr="00CF761F" w:rsidRDefault="00DD11E4" w:rsidP="00DD11E4">
            <w:pPr>
              <w:pStyle w:val="TableText"/>
              <w:keepNext/>
              <w:jc w:val="center"/>
            </w:pPr>
            <w:r>
              <w:t>Not included</w:t>
            </w:r>
          </w:p>
        </w:tc>
        <w:tc>
          <w:tcPr>
            <w:tcW w:w="865" w:type="pct"/>
            <w:shd w:val="clear" w:color="auto" w:fill="auto"/>
            <w:vAlign w:val="center"/>
          </w:tcPr>
          <w:p w14:paraId="096967B1" w14:textId="714288F2" w:rsidR="00DD11E4" w:rsidRPr="00CF761F" w:rsidRDefault="00DD11E4" w:rsidP="00DD11E4">
            <w:pPr>
              <w:pStyle w:val="TableText"/>
              <w:keepNext/>
              <w:jc w:val="center"/>
            </w:pPr>
            <w:r>
              <w:t>Not included</w:t>
            </w:r>
          </w:p>
        </w:tc>
        <w:tc>
          <w:tcPr>
            <w:tcW w:w="918" w:type="pct"/>
            <w:vAlign w:val="center"/>
          </w:tcPr>
          <w:p w14:paraId="2BBBAE12" w14:textId="110134F1" w:rsidR="00DD11E4" w:rsidRDefault="00DD11E4" w:rsidP="00DD11E4">
            <w:pPr>
              <w:pStyle w:val="TableText"/>
              <w:keepNext/>
              <w:jc w:val="center"/>
            </w:pPr>
            <w:r w:rsidRPr="002D0CBC">
              <w:t>$52,158</w:t>
            </w:r>
          </w:p>
        </w:tc>
      </w:tr>
      <w:tr w:rsidR="00DD11E4" w:rsidRPr="00CE28E3" w14:paraId="19C9B360" w14:textId="77777777" w:rsidTr="009C0B34">
        <w:trPr>
          <w:cantSplit/>
        </w:trPr>
        <w:tc>
          <w:tcPr>
            <w:tcW w:w="1567" w:type="pct"/>
            <w:shd w:val="clear" w:color="auto" w:fill="auto"/>
          </w:tcPr>
          <w:p w14:paraId="15A44810" w14:textId="504D192A" w:rsidR="00DD11E4" w:rsidRDefault="00DD11E4" w:rsidP="00DD11E4">
            <w:pPr>
              <w:pStyle w:val="TableText"/>
              <w:keepNext/>
            </w:pPr>
            <w:r>
              <w:t>Cost per patient (direct costs)</w:t>
            </w:r>
          </w:p>
        </w:tc>
        <w:tc>
          <w:tcPr>
            <w:tcW w:w="865" w:type="pct"/>
            <w:shd w:val="clear" w:color="auto" w:fill="auto"/>
            <w:vAlign w:val="center"/>
          </w:tcPr>
          <w:p w14:paraId="5A6D4123" w14:textId="28912B26" w:rsidR="00DD11E4" w:rsidRPr="00CE28E3" w:rsidRDefault="00DD11E4" w:rsidP="00DD11E4">
            <w:pPr>
              <w:pStyle w:val="TableText"/>
              <w:keepNext/>
              <w:jc w:val="center"/>
            </w:pPr>
            <w:r w:rsidRPr="00370D16">
              <w:t>$1,309</w:t>
            </w:r>
          </w:p>
        </w:tc>
        <w:tc>
          <w:tcPr>
            <w:tcW w:w="785" w:type="pct"/>
            <w:shd w:val="clear" w:color="auto" w:fill="auto"/>
            <w:vAlign w:val="center"/>
          </w:tcPr>
          <w:p w14:paraId="2C68C5D1" w14:textId="643115A9" w:rsidR="00DD11E4" w:rsidRPr="00CE28E3" w:rsidRDefault="00DD11E4" w:rsidP="00DD11E4">
            <w:pPr>
              <w:pStyle w:val="TableText"/>
              <w:keepNext/>
              <w:jc w:val="center"/>
            </w:pPr>
            <w:r w:rsidRPr="00370D16">
              <w:t>$1,129</w:t>
            </w:r>
          </w:p>
        </w:tc>
        <w:tc>
          <w:tcPr>
            <w:tcW w:w="865" w:type="pct"/>
            <w:shd w:val="clear" w:color="auto" w:fill="auto"/>
            <w:vAlign w:val="center"/>
          </w:tcPr>
          <w:p w14:paraId="4A799E32" w14:textId="4A18F1D3" w:rsidR="00DD11E4" w:rsidRPr="00CE28E3" w:rsidRDefault="00DD11E4" w:rsidP="00DD11E4">
            <w:pPr>
              <w:pStyle w:val="TableText"/>
              <w:keepNext/>
              <w:jc w:val="center"/>
            </w:pPr>
            <w:r w:rsidRPr="00370D16">
              <w:t>$964</w:t>
            </w:r>
          </w:p>
        </w:tc>
        <w:tc>
          <w:tcPr>
            <w:tcW w:w="918" w:type="pct"/>
            <w:vAlign w:val="center"/>
          </w:tcPr>
          <w:p w14:paraId="36B6B1A4" w14:textId="16B9CFD6" w:rsidR="00DD11E4" w:rsidRPr="00CE28E3" w:rsidRDefault="00DD11E4" w:rsidP="00DD11E4">
            <w:pPr>
              <w:pStyle w:val="TableText"/>
              <w:keepNext/>
              <w:jc w:val="center"/>
            </w:pPr>
            <w:r>
              <w:t xml:space="preserve">Not calculated </w:t>
            </w:r>
          </w:p>
        </w:tc>
      </w:tr>
      <w:tr w:rsidR="00DD11E4" w:rsidRPr="00CE28E3" w14:paraId="3F95E624" w14:textId="77777777" w:rsidTr="00D711CA">
        <w:trPr>
          <w:cantSplit/>
        </w:trPr>
        <w:tc>
          <w:tcPr>
            <w:tcW w:w="5000" w:type="pct"/>
            <w:gridSpan w:val="5"/>
            <w:shd w:val="clear" w:color="auto" w:fill="auto"/>
            <w:vAlign w:val="center"/>
          </w:tcPr>
          <w:p w14:paraId="3401AEA6" w14:textId="57385D71" w:rsidR="00DD11E4" w:rsidRPr="00B056AD" w:rsidRDefault="00DD11E4" w:rsidP="00DD11E4">
            <w:pPr>
              <w:pStyle w:val="TableText"/>
              <w:keepNext/>
              <w:rPr>
                <w:b/>
                <w:bCs/>
              </w:rPr>
            </w:pPr>
            <w:r w:rsidRPr="00B056AD">
              <w:rPr>
                <w:b/>
                <w:bCs/>
              </w:rPr>
              <w:t>Changes in health resource use</w:t>
            </w:r>
          </w:p>
        </w:tc>
      </w:tr>
      <w:tr w:rsidR="00DD11E4" w:rsidRPr="00CE28E3" w14:paraId="4E1675F3" w14:textId="77777777" w:rsidTr="009C0B34">
        <w:trPr>
          <w:cantSplit/>
        </w:trPr>
        <w:tc>
          <w:tcPr>
            <w:tcW w:w="1567" w:type="pct"/>
            <w:shd w:val="clear" w:color="auto" w:fill="auto"/>
          </w:tcPr>
          <w:p w14:paraId="75D47192" w14:textId="477309BE" w:rsidR="00DD11E4" w:rsidRPr="00461D85" w:rsidRDefault="00DD11E4" w:rsidP="00DD11E4">
            <w:pPr>
              <w:pStyle w:val="TableText"/>
              <w:keepNext/>
              <w:rPr>
                <w:vertAlign w:val="superscript"/>
              </w:rPr>
            </w:pPr>
            <w:r>
              <w:t xml:space="preserve">Reduction in HMR </w:t>
            </w:r>
            <w:r>
              <w:rPr>
                <w:vertAlign w:val="superscript"/>
              </w:rPr>
              <w:t>a</w:t>
            </w:r>
          </w:p>
          <w:p w14:paraId="47CCC2EC" w14:textId="4B14BE46" w:rsidR="00DD11E4" w:rsidRDefault="00DD11E4" w:rsidP="00DD11E4">
            <w:pPr>
              <w:pStyle w:val="TableText"/>
              <w:keepNext/>
            </w:pPr>
            <w:r>
              <w:t>(10% of patients)</w:t>
            </w:r>
          </w:p>
        </w:tc>
        <w:tc>
          <w:tcPr>
            <w:tcW w:w="865" w:type="pct"/>
            <w:shd w:val="clear" w:color="auto" w:fill="auto"/>
            <w:vAlign w:val="center"/>
          </w:tcPr>
          <w:p w14:paraId="155EBFAA" w14:textId="75DE4DA6" w:rsidR="00DD11E4" w:rsidRPr="00CE28E3" w:rsidRDefault="00DD11E4" w:rsidP="00DD11E4">
            <w:pPr>
              <w:pStyle w:val="TableText"/>
              <w:keepNext/>
              <w:jc w:val="center"/>
            </w:pPr>
            <w:r w:rsidRPr="00F770CE">
              <w:t>-$391,600</w:t>
            </w:r>
          </w:p>
        </w:tc>
        <w:tc>
          <w:tcPr>
            <w:tcW w:w="785" w:type="pct"/>
            <w:shd w:val="clear" w:color="auto" w:fill="auto"/>
            <w:vAlign w:val="center"/>
          </w:tcPr>
          <w:p w14:paraId="6EEB8DC2" w14:textId="6C55BD08" w:rsidR="00DD11E4" w:rsidRPr="00CE28E3" w:rsidRDefault="00DD11E4" w:rsidP="00DD11E4">
            <w:pPr>
              <w:pStyle w:val="TableText"/>
              <w:keepNext/>
              <w:jc w:val="center"/>
            </w:pPr>
            <w:r w:rsidRPr="00F770CE">
              <w:t>-$357,294</w:t>
            </w:r>
          </w:p>
        </w:tc>
        <w:tc>
          <w:tcPr>
            <w:tcW w:w="865" w:type="pct"/>
            <w:shd w:val="clear" w:color="auto" w:fill="auto"/>
            <w:vAlign w:val="center"/>
          </w:tcPr>
          <w:p w14:paraId="5DAA43BC" w14:textId="3041D31E" w:rsidR="00DD11E4" w:rsidRPr="00CE28E3" w:rsidRDefault="00DD11E4" w:rsidP="00DD11E4">
            <w:pPr>
              <w:pStyle w:val="TableText"/>
              <w:keepNext/>
              <w:jc w:val="center"/>
            </w:pPr>
            <w:r w:rsidRPr="00F770CE">
              <w:t>-$357,294</w:t>
            </w:r>
          </w:p>
        </w:tc>
        <w:tc>
          <w:tcPr>
            <w:tcW w:w="918" w:type="pct"/>
            <w:vAlign w:val="center"/>
          </w:tcPr>
          <w:p w14:paraId="67F571AA" w14:textId="3F4BAA4D" w:rsidR="00DD11E4" w:rsidRPr="00461D85" w:rsidRDefault="00DD11E4" w:rsidP="00F15C01">
            <w:pPr>
              <w:pStyle w:val="Tabletext0"/>
              <w:jc w:val="center"/>
              <w:rPr>
                <w:vertAlign w:val="superscript"/>
              </w:rPr>
            </w:pPr>
            <w:r w:rsidRPr="00237997">
              <w:t>$</w:t>
            </w:r>
            <w:r w:rsidRPr="004E337D">
              <w:t>206,559</w:t>
            </w:r>
            <w:r>
              <w:t xml:space="preserve"> </w:t>
            </w:r>
            <w:r>
              <w:rPr>
                <w:vertAlign w:val="superscript"/>
              </w:rPr>
              <w:t>b</w:t>
            </w:r>
          </w:p>
        </w:tc>
      </w:tr>
      <w:tr w:rsidR="00DD11E4" w:rsidRPr="00CE28E3" w14:paraId="55DB0863" w14:textId="40764667" w:rsidTr="009C0B34">
        <w:trPr>
          <w:cantSplit/>
        </w:trPr>
        <w:tc>
          <w:tcPr>
            <w:tcW w:w="1567" w:type="pct"/>
            <w:shd w:val="clear" w:color="auto" w:fill="auto"/>
          </w:tcPr>
          <w:p w14:paraId="5FF6688C" w14:textId="54BAAF76" w:rsidR="00DD11E4" w:rsidRPr="00CE28E3" w:rsidRDefault="00DD11E4" w:rsidP="00DD11E4">
            <w:pPr>
              <w:pStyle w:val="TableText"/>
              <w:keepNext/>
            </w:pPr>
            <w:r>
              <w:t>Changes in GP referral for medication review (90% of patients)</w:t>
            </w:r>
          </w:p>
        </w:tc>
        <w:tc>
          <w:tcPr>
            <w:tcW w:w="865" w:type="pct"/>
            <w:shd w:val="clear" w:color="auto" w:fill="auto"/>
            <w:vAlign w:val="center"/>
          </w:tcPr>
          <w:p w14:paraId="0B15A492" w14:textId="2A7301E1" w:rsidR="00DD11E4" w:rsidRPr="00CE28E3" w:rsidRDefault="00DD11E4" w:rsidP="00DD11E4">
            <w:pPr>
              <w:pStyle w:val="TableText"/>
              <w:keepNext/>
              <w:jc w:val="center"/>
            </w:pPr>
            <w:r w:rsidRPr="008E392E">
              <w:t>$1,837,775</w:t>
            </w:r>
          </w:p>
        </w:tc>
        <w:tc>
          <w:tcPr>
            <w:tcW w:w="785" w:type="pct"/>
            <w:shd w:val="clear" w:color="auto" w:fill="auto"/>
            <w:vAlign w:val="center"/>
          </w:tcPr>
          <w:p w14:paraId="5857231E" w14:textId="191BDD7F" w:rsidR="00DD11E4" w:rsidRPr="00CE28E3" w:rsidRDefault="00DD11E4" w:rsidP="00DD11E4">
            <w:pPr>
              <w:pStyle w:val="TableText"/>
              <w:keepNext/>
              <w:jc w:val="center"/>
            </w:pPr>
            <w:r w:rsidRPr="008E392E">
              <w:t>$1,676,774</w:t>
            </w:r>
          </w:p>
        </w:tc>
        <w:tc>
          <w:tcPr>
            <w:tcW w:w="865" w:type="pct"/>
            <w:shd w:val="clear" w:color="auto" w:fill="auto"/>
            <w:vAlign w:val="center"/>
          </w:tcPr>
          <w:p w14:paraId="21EB2AF0" w14:textId="5D0D12EC" w:rsidR="00DD11E4" w:rsidRPr="00CE28E3" w:rsidRDefault="00DD11E4" w:rsidP="00DD11E4">
            <w:pPr>
              <w:pStyle w:val="TableText"/>
              <w:keepNext/>
              <w:jc w:val="center"/>
            </w:pPr>
            <w:r w:rsidRPr="008E392E">
              <w:t>$1,676,774</w:t>
            </w:r>
          </w:p>
        </w:tc>
        <w:tc>
          <w:tcPr>
            <w:tcW w:w="918" w:type="pct"/>
            <w:vAlign w:val="center"/>
          </w:tcPr>
          <w:p w14:paraId="1477AE45" w14:textId="2C5F8EA3" w:rsidR="00DD11E4" w:rsidRPr="00CE28E3" w:rsidRDefault="00DD11E4" w:rsidP="00F15C01">
            <w:pPr>
              <w:pStyle w:val="Tabletext0"/>
              <w:jc w:val="center"/>
            </w:pPr>
            <w:r>
              <w:t>-</w:t>
            </w:r>
          </w:p>
        </w:tc>
      </w:tr>
      <w:tr w:rsidR="00DD11E4" w:rsidRPr="00CE28E3" w14:paraId="4B1EA2A7" w14:textId="77777777" w:rsidTr="009C0B34">
        <w:trPr>
          <w:cantSplit/>
        </w:trPr>
        <w:tc>
          <w:tcPr>
            <w:tcW w:w="1567" w:type="pct"/>
            <w:shd w:val="clear" w:color="auto" w:fill="auto"/>
          </w:tcPr>
          <w:p w14:paraId="7A8C5BC5" w14:textId="67D73605" w:rsidR="00DD11E4" w:rsidRPr="00CE28E3" w:rsidRDefault="00DD11E4" w:rsidP="00DD11E4">
            <w:pPr>
              <w:pStyle w:val="TableText"/>
              <w:keepNext/>
            </w:pPr>
            <w:r>
              <w:t>GP time spent receiving medication advice</w:t>
            </w:r>
          </w:p>
        </w:tc>
        <w:tc>
          <w:tcPr>
            <w:tcW w:w="865" w:type="pct"/>
            <w:shd w:val="clear" w:color="auto" w:fill="auto"/>
            <w:vAlign w:val="center"/>
          </w:tcPr>
          <w:p w14:paraId="75A98C00" w14:textId="553EAB15" w:rsidR="00DD11E4" w:rsidRPr="00CE28E3" w:rsidRDefault="00DD11E4" w:rsidP="00DD11E4">
            <w:pPr>
              <w:pStyle w:val="TableText"/>
              <w:keepNext/>
              <w:jc w:val="center"/>
            </w:pPr>
            <w:r>
              <w:t>Not applicable</w:t>
            </w:r>
          </w:p>
        </w:tc>
        <w:tc>
          <w:tcPr>
            <w:tcW w:w="785" w:type="pct"/>
            <w:shd w:val="clear" w:color="auto" w:fill="auto"/>
            <w:vAlign w:val="center"/>
          </w:tcPr>
          <w:p w14:paraId="046CCA86" w14:textId="17891ACB" w:rsidR="00DD11E4" w:rsidRPr="00CE28E3" w:rsidRDefault="00DD11E4" w:rsidP="00DD11E4">
            <w:pPr>
              <w:pStyle w:val="TableText"/>
              <w:keepNext/>
              <w:jc w:val="center"/>
            </w:pPr>
            <w:r>
              <w:t>Not applicable</w:t>
            </w:r>
          </w:p>
        </w:tc>
        <w:tc>
          <w:tcPr>
            <w:tcW w:w="865" w:type="pct"/>
            <w:shd w:val="clear" w:color="auto" w:fill="auto"/>
            <w:vAlign w:val="center"/>
          </w:tcPr>
          <w:p w14:paraId="5CA22728" w14:textId="01D592CD" w:rsidR="00DD11E4" w:rsidRPr="00CE28E3" w:rsidRDefault="00DD11E4" w:rsidP="00DD11E4">
            <w:pPr>
              <w:pStyle w:val="TableText"/>
              <w:keepNext/>
              <w:jc w:val="center"/>
            </w:pPr>
            <w:r>
              <w:t>Not applicable</w:t>
            </w:r>
          </w:p>
        </w:tc>
        <w:tc>
          <w:tcPr>
            <w:tcW w:w="918" w:type="pct"/>
            <w:vAlign w:val="center"/>
          </w:tcPr>
          <w:p w14:paraId="53C51760" w14:textId="194690B9" w:rsidR="00DD11E4" w:rsidRPr="00DB5085" w:rsidRDefault="00DD11E4" w:rsidP="00F15C01">
            <w:pPr>
              <w:pStyle w:val="Tabletext0"/>
              <w:jc w:val="center"/>
            </w:pPr>
            <w:r w:rsidRPr="00DB5085">
              <w:t>$62,420</w:t>
            </w:r>
          </w:p>
        </w:tc>
      </w:tr>
      <w:tr w:rsidR="00DD11E4" w:rsidRPr="00CE28E3" w14:paraId="4996ED22" w14:textId="77777777" w:rsidTr="00C76191">
        <w:trPr>
          <w:cantSplit/>
        </w:trPr>
        <w:tc>
          <w:tcPr>
            <w:tcW w:w="1567" w:type="pct"/>
            <w:shd w:val="clear" w:color="auto" w:fill="auto"/>
            <w:vAlign w:val="center"/>
          </w:tcPr>
          <w:p w14:paraId="5F680CC4" w14:textId="51A87055" w:rsidR="00DD11E4" w:rsidRPr="00CE28E3" w:rsidRDefault="00DD11E4" w:rsidP="00DD11E4">
            <w:pPr>
              <w:pStyle w:val="TableText"/>
              <w:keepNext/>
            </w:pPr>
            <w:r>
              <w:t>Increased cost of PBS medicines</w:t>
            </w:r>
          </w:p>
        </w:tc>
        <w:tc>
          <w:tcPr>
            <w:tcW w:w="865" w:type="pct"/>
            <w:shd w:val="clear" w:color="auto" w:fill="auto"/>
            <w:vAlign w:val="center"/>
          </w:tcPr>
          <w:p w14:paraId="35BEA7A0" w14:textId="7656EBB1" w:rsidR="00DD11E4" w:rsidRPr="00CE28E3" w:rsidRDefault="00DD11E4" w:rsidP="00DD11E4">
            <w:pPr>
              <w:pStyle w:val="TableText"/>
              <w:keepNext/>
              <w:jc w:val="center"/>
            </w:pPr>
            <w:r w:rsidRPr="00315A66">
              <w:t>$5,925,982</w:t>
            </w:r>
          </w:p>
        </w:tc>
        <w:tc>
          <w:tcPr>
            <w:tcW w:w="785" w:type="pct"/>
            <w:shd w:val="clear" w:color="auto" w:fill="auto"/>
            <w:vAlign w:val="center"/>
          </w:tcPr>
          <w:p w14:paraId="6E317898" w14:textId="7F9CE7E6" w:rsidR="00DD11E4" w:rsidRPr="00CE28E3" w:rsidRDefault="00DD11E4" w:rsidP="00DD11E4">
            <w:pPr>
              <w:pStyle w:val="TableText"/>
              <w:keepNext/>
              <w:jc w:val="center"/>
            </w:pPr>
            <w:r w:rsidRPr="00315A66">
              <w:t>$5,406,828</w:t>
            </w:r>
          </w:p>
        </w:tc>
        <w:tc>
          <w:tcPr>
            <w:tcW w:w="865" w:type="pct"/>
            <w:shd w:val="clear" w:color="auto" w:fill="auto"/>
            <w:vAlign w:val="center"/>
          </w:tcPr>
          <w:p w14:paraId="7AEC4664" w14:textId="41795379" w:rsidR="00DD11E4" w:rsidRPr="00CE28E3" w:rsidRDefault="00DD11E4" w:rsidP="00DD11E4">
            <w:pPr>
              <w:pStyle w:val="TableText"/>
              <w:keepNext/>
              <w:jc w:val="center"/>
            </w:pPr>
            <w:r w:rsidRPr="00315A66">
              <w:t>$5,406,828</w:t>
            </w:r>
          </w:p>
        </w:tc>
        <w:tc>
          <w:tcPr>
            <w:tcW w:w="918" w:type="pct"/>
            <w:vAlign w:val="center"/>
          </w:tcPr>
          <w:p w14:paraId="55556F2D" w14:textId="3870D30B" w:rsidR="00DD11E4" w:rsidRPr="00360336" w:rsidRDefault="00DD11E4" w:rsidP="00F15C01">
            <w:pPr>
              <w:pStyle w:val="Tabletext0"/>
              <w:jc w:val="center"/>
            </w:pPr>
            <w:r w:rsidRPr="00360336">
              <w:t>$553,849</w:t>
            </w:r>
          </w:p>
        </w:tc>
      </w:tr>
      <w:tr w:rsidR="00DD11E4" w:rsidRPr="00CE28E3" w14:paraId="47DAD021" w14:textId="77777777" w:rsidTr="00382A89">
        <w:trPr>
          <w:cantSplit/>
        </w:trPr>
        <w:tc>
          <w:tcPr>
            <w:tcW w:w="1567" w:type="pct"/>
            <w:shd w:val="clear" w:color="auto" w:fill="auto"/>
          </w:tcPr>
          <w:p w14:paraId="69B229B6" w14:textId="3DA3F9FD" w:rsidR="00DD11E4" w:rsidRDefault="00DD11E4" w:rsidP="00DD11E4">
            <w:pPr>
              <w:pStyle w:val="TableText"/>
              <w:keepNext/>
            </w:pPr>
            <w:r>
              <w:t xml:space="preserve">GP time saved </w:t>
            </w:r>
            <w:r>
              <w:br/>
              <w:t xml:space="preserve">(0.94 hours per patient) </w:t>
            </w:r>
          </w:p>
        </w:tc>
        <w:tc>
          <w:tcPr>
            <w:tcW w:w="865" w:type="pct"/>
            <w:shd w:val="clear" w:color="auto" w:fill="auto"/>
            <w:vAlign w:val="center"/>
          </w:tcPr>
          <w:p w14:paraId="72F71A89" w14:textId="6F21781A" w:rsidR="00DD11E4" w:rsidRPr="00CE28E3" w:rsidRDefault="00DD11E4" w:rsidP="00DD11E4">
            <w:pPr>
              <w:pStyle w:val="TableText"/>
              <w:keepNext/>
              <w:jc w:val="center"/>
            </w:pPr>
            <w:r w:rsidRPr="002A314D">
              <w:t>-$1,269,853</w:t>
            </w:r>
          </w:p>
        </w:tc>
        <w:tc>
          <w:tcPr>
            <w:tcW w:w="785" w:type="pct"/>
            <w:shd w:val="clear" w:color="auto" w:fill="auto"/>
            <w:vAlign w:val="center"/>
          </w:tcPr>
          <w:p w14:paraId="0CC1EE70" w14:textId="720978B3" w:rsidR="00DD11E4" w:rsidRPr="00CE28E3" w:rsidRDefault="00DD11E4" w:rsidP="00DD11E4">
            <w:pPr>
              <w:pStyle w:val="TableText"/>
              <w:keepNext/>
              <w:jc w:val="center"/>
            </w:pPr>
            <w:r w:rsidRPr="002A314D">
              <w:t>-$1,158,606</w:t>
            </w:r>
          </w:p>
        </w:tc>
        <w:tc>
          <w:tcPr>
            <w:tcW w:w="865" w:type="pct"/>
            <w:shd w:val="clear" w:color="auto" w:fill="auto"/>
            <w:vAlign w:val="center"/>
          </w:tcPr>
          <w:p w14:paraId="06E4EB20" w14:textId="70686396" w:rsidR="00DD11E4" w:rsidRPr="00CE28E3" w:rsidRDefault="00DD11E4" w:rsidP="00DD11E4">
            <w:pPr>
              <w:pStyle w:val="TableText"/>
              <w:keepNext/>
              <w:jc w:val="center"/>
            </w:pPr>
            <w:r w:rsidRPr="002A314D">
              <w:t>-$1,158,606</w:t>
            </w:r>
          </w:p>
        </w:tc>
        <w:tc>
          <w:tcPr>
            <w:tcW w:w="918" w:type="pct"/>
            <w:vAlign w:val="center"/>
          </w:tcPr>
          <w:p w14:paraId="171CD317" w14:textId="5355C7F1" w:rsidR="00DD11E4" w:rsidRPr="00204CDD" w:rsidRDefault="00DD11E4" w:rsidP="00F15C01">
            <w:pPr>
              <w:pStyle w:val="Tabletext0"/>
              <w:jc w:val="center"/>
              <w:rPr>
                <w:vertAlign w:val="superscript"/>
              </w:rPr>
            </w:pPr>
            <w:r>
              <w:t xml:space="preserve">- </w:t>
            </w:r>
            <w:r>
              <w:rPr>
                <w:vertAlign w:val="superscript"/>
              </w:rPr>
              <w:t>c</w:t>
            </w:r>
          </w:p>
        </w:tc>
      </w:tr>
      <w:tr w:rsidR="00DD11E4" w:rsidRPr="00CE28E3" w14:paraId="437C6CE9" w14:textId="77777777" w:rsidTr="009C0B34">
        <w:trPr>
          <w:cantSplit/>
        </w:trPr>
        <w:tc>
          <w:tcPr>
            <w:tcW w:w="1567" w:type="pct"/>
            <w:shd w:val="clear" w:color="auto" w:fill="auto"/>
          </w:tcPr>
          <w:p w14:paraId="44D81FFE" w14:textId="027466FC" w:rsidR="00DD11E4" w:rsidRPr="00BE1C00" w:rsidRDefault="00DD11E4" w:rsidP="00DD11E4">
            <w:pPr>
              <w:pStyle w:val="TableText"/>
              <w:keepNext/>
              <w:rPr>
                <w:b/>
                <w:bCs/>
              </w:rPr>
            </w:pPr>
            <w:r w:rsidRPr="00BE1C00">
              <w:rPr>
                <w:b/>
                <w:bCs/>
              </w:rPr>
              <w:t>Cost per patient</w:t>
            </w:r>
          </w:p>
        </w:tc>
        <w:tc>
          <w:tcPr>
            <w:tcW w:w="865" w:type="pct"/>
            <w:shd w:val="clear" w:color="auto" w:fill="auto"/>
          </w:tcPr>
          <w:p w14:paraId="32502E3D" w14:textId="0E583AFD" w:rsidR="00DD11E4" w:rsidRPr="006F41C0" w:rsidRDefault="00DD11E4" w:rsidP="00DD11E4">
            <w:pPr>
              <w:pStyle w:val="TableText"/>
              <w:keepNext/>
              <w:jc w:val="center"/>
              <w:rPr>
                <w:b/>
                <w:bCs/>
              </w:rPr>
            </w:pPr>
            <w:r w:rsidRPr="006F41C0">
              <w:rPr>
                <w:b/>
                <w:bCs/>
              </w:rPr>
              <w:t>$1,703</w:t>
            </w:r>
          </w:p>
        </w:tc>
        <w:tc>
          <w:tcPr>
            <w:tcW w:w="785" w:type="pct"/>
            <w:shd w:val="clear" w:color="auto" w:fill="auto"/>
          </w:tcPr>
          <w:p w14:paraId="490AA144" w14:textId="69DBA831" w:rsidR="00DD11E4" w:rsidRPr="006F41C0" w:rsidRDefault="00DD11E4" w:rsidP="00DD11E4">
            <w:pPr>
              <w:pStyle w:val="TableText"/>
              <w:keepNext/>
              <w:jc w:val="center"/>
              <w:rPr>
                <w:b/>
                <w:bCs/>
              </w:rPr>
            </w:pPr>
            <w:r w:rsidRPr="006F41C0">
              <w:rPr>
                <w:b/>
                <w:bCs/>
              </w:rPr>
              <w:t>$1,523</w:t>
            </w:r>
          </w:p>
        </w:tc>
        <w:tc>
          <w:tcPr>
            <w:tcW w:w="865" w:type="pct"/>
            <w:shd w:val="clear" w:color="auto" w:fill="auto"/>
          </w:tcPr>
          <w:p w14:paraId="37D99601" w14:textId="2AD0470E" w:rsidR="00DD11E4" w:rsidRPr="006F41C0" w:rsidRDefault="00DD11E4" w:rsidP="00DD11E4">
            <w:pPr>
              <w:pStyle w:val="TableText"/>
              <w:keepNext/>
              <w:jc w:val="center"/>
              <w:rPr>
                <w:b/>
                <w:bCs/>
              </w:rPr>
            </w:pPr>
            <w:r w:rsidRPr="006F41C0">
              <w:rPr>
                <w:b/>
                <w:bCs/>
              </w:rPr>
              <w:t>$1,358</w:t>
            </w:r>
          </w:p>
        </w:tc>
        <w:tc>
          <w:tcPr>
            <w:tcW w:w="918" w:type="pct"/>
          </w:tcPr>
          <w:p w14:paraId="315C7836" w14:textId="6F2360CA" w:rsidR="00DD11E4" w:rsidRPr="00BE1C00" w:rsidRDefault="00DD11E4" w:rsidP="00DD11E4">
            <w:pPr>
              <w:pStyle w:val="TableText"/>
              <w:keepNext/>
              <w:jc w:val="center"/>
              <w:rPr>
                <w:b/>
                <w:bCs/>
              </w:rPr>
            </w:pPr>
            <w:r w:rsidRPr="00BE1C00">
              <w:rPr>
                <w:b/>
                <w:bCs/>
              </w:rPr>
              <w:t>$1,5</w:t>
            </w:r>
            <w:r>
              <w:rPr>
                <w:b/>
                <w:bCs/>
              </w:rPr>
              <w:t>25</w:t>
            </w:r>
          </w:p>
        </w:tc>
      </w:tr>
    </w:tbl>
    <w:p w14:paraId="53BD3ABA" w14:textId="2D05397D" w:rsidR="00DC64AB" w:rsidRDefault="00DC64AB" w:rsidP="007252FA">
      <w:pPr>
        <w:pStyle w:val="TableFooter"/>
      </w:pPr>
      <w:r>
        <w:t xml:space="preserve">Source: </w:t>
      </w:r>
      <w:r w:rsidR="0040586D">
        <w:t xml:space="preserve">Calculated for the Departmental Overview; </w:t>
      </w:r>
      <w:r w:rsidR="00152E11">
        <w:t xml:space="preserve">Table 4, </w:t>
      </w:r>
      <w:r w:rsidR="0040586D">
        <w:t xml:space="preserve">p28 MSAC Application 1678 Public Summary Document. Revised CCA spreadsheet. </w:t>
      </w:r>
    </w:p>
    <w:p w14:paraId="7FC3F86C" w14:textId="6EB5E91F" w:rsidR="00C0048F" w:rsidRDefault="00390E6E" w:rsidP="007252FA">
      <w:pPr>
        <w:pStyle w:val="TableFooter"/>
      </w:pPr>
      <w:r>
        <w:t>Abbreviations</w:t>
      </w:r>
      <w:r w:rsidR="007252FA">
        <w:t xml:space="preserve">: </w:t>
      </w:r>
      <w:r w:rsidR="001502AC">
        <w:t xml:space="preserve">ACCHS – Aboriginal Community Controlled Health Service: </w:t>
      </w:r>
      <w:r w:rsidR="007252FA">
        <w:t xml:space="preserve">ADAR = applicant developed assessment report; </w:t>
      </w:r>
      <w:r w:rsidR="00734EAB">
        <w:t xml:space="preserve">CCA = cost-consequence analysis; </w:t>
      </w:r>
      <w:r w:rsidR="007352C9">
        <w:t xml:space="preserve">GP = general practitioner; </w:t>
      </w:r>
      <w:r w:rsidR="00C728CE">
        <w:t>HMR = Home Medicines Review</w:t>
      </w:r>
    </w:p>
    <w:p w14:paraId="43384417" w14:textId="40EC73D7" w:rsidR="00734EAB" w:rsidRDefault="00734EAB" w:rsidP="007252FA">
      <w:pPr>
        <w:pStyle w:val="TableFooter"/>
      </w:pPr>
      <w:proofErr w:type="spellStart"/>
      <w:r>
        <w:rPr>
          <w:vertAlign w:val="superscript"/>
        </w:rPr>
        <w:t>a</w:t>
      </w:r>
      <w:proofErr w:type="spellEnd"/>
      <w:r>
        <w:rPr>
          <w:vertAlign w:val="superscript"/>
        </w:rPr>
        <w:t xml:space="preserve"> </w:t>
      </w:r>
      <w:r>
        <w:t xml:space="preserve">Changes in HMR costs are not fully comparable between the Departmental models and the revised ADAR CCA </w:t>
      </w:r>
      <w:r w:rsidR="00814ABC">
        <w:t xml:space="preserve">previously considered by MSAC. </w:t>
      </w:r>
      <w:r w:rsidR="009730A2">
        <w:t xml:space="preserve">The </w:t>
      </w:r>
      <w:r w:rsidR="00FB0249">
        <w:t xml:space="preserve">CCA for the Departmental models </w:t>
      </w:r>
      <w:r w:rsidR="00390D4A">
        <w:t xml:space="preserve">estimated reduced </w:t>
      </w:r>
      <w:r w:rsidR="00DF6909">
        <w:t xml:space="preserve">HMR costs for </w:t>
      </w:r>
      <w:r w:rsidR="0083296E">
        <w:t xml:space="preserve">the 10% of the eligible population estimated to </w:t>
      </w:r>
      <w:r w:rsidR="00461D85">
        <w:t xml:space="preserve">currently </w:t>
      </w:r>
      <w:r w:rsidR="0083296E">
        <w:t>use HMRs</w:t>
      </w:r>
      <w:r w:rsidR="00AB6797">
        <w:t xml:space="preserve"> at a cost of </w:t>
      </w:r>
      <w:r w:rsidR="00AB6797" w:rsidRPr="00AB6797">
        <w:t>$251.13</w:t>
      </w:r>
      <w:r w:rsidR="004F1AC1">
        <w:t xml:space="preserve"> per patient. </w:t>
      </w:r>
    </w:p>
    <w:p w14:paraId="51366FEE" w14:textId="541B96A1" w:rsidR="00461D85" w:rsidRDefault="00461D85" w:rsidP="007252FA">
      <w:pPr>
        <w:pStyle w:val="TableFooter"/>
      </w:pPr>
      <w:r>
        <w:rPr>
          <w:vertAlign w:val="superscript"/>
        </w:rPr>
        <w:t>b</w:t>
      </w:r>
      <w:r>
        <w:t xml:space="preserve"> This cost included </w:t>
      </w:r>
      <w:r w:rsidR="00AB6797">
        <w:t xml:space="preserve">costs for </w:t>
      </w:r>
      <w:r w:rsidR="00AB6797" w:rsidRPr="00AB6797">
        <w:t>MBS 900 and HMR</w:t>
      </w:r>
      <w:r w:rsidR="00AB6797">
        <w:t xml:space="preserve"> fees for pharmacists</w:t>
      </w:r>
      <w:r w:rsidR="00AB6797" w:rsidRPr="00AB6797">
        <w:t>, additional costs for medication reviews where MBS 900 was not claimed, medication review follow-up (not publicly funded under the HMR program at the time of ADAR development).</w:t>
      </w:r>
    </w:p>
    <w:p w14:paraId="7E85A8F5" w14:textId="10C9D524" w:rsidR="00204CDD" w:rsidRPr="00461D85" w:rsidRDefault="00500EC3" w:rsidP="007252FA">
      <w:pPr>
        <w:pStyle w:val="TableFooter"/>
      </w:pPr>
      <w:r>
        <w:rPr>
          <w:vertAlign w:val="superscript"/>
        </w:rPr>
        <w:t xml:space="preserve">c </w:t>
      </w:r>
      <w:r w:rsidRPr="00500EC3">
        <w:t>Included in the original ADAR</w:t>
      </w:r>
      <w:r>
        <w:rPr>
          <w:vertAlign w:val="superscript"/>
        </w:rPr>
        <w:t xml:space="preserve"> </w:t>
      </w:r>
      <w:r>
        <w:t xml:space="preserve">but removed from the revised base case in the considered by MSAC. </w:t>
      </w:r>
    </w:p>
    <w:p w14:paraId="219FC7F1" w14:textId="026B795C" w:rsidR="00A77BA0" w:rsidRPr="00A77BA0" w:rsidRDefault="00CE5DC9" w:rsidP="00A77BA0">
      <w:pPr>
        <w:spacing w:before="240"/>
        <w:rPr>
          <w:rFonts w:eastAsia="SimSun" w:cs="Franklin Gothic Medium"/>
        </w:rPr>
      </w:pPr>
      <w:r w:rsidRPr="00CE5DC9">
        <w:rPr>
          <w:rFonts w:eastAsia="SimSun" w:cs="Franklin Gothic Medium"/>
        </w:rPr>
        <w:fldChar w:fldCharType="begin"/>
      </w:r>
      <w:r w:rsidRPr="00CE5DC9">
        <w:rPr>
          <w:rFonts w:eastAsia="SimSun" w:cs="Franklin Gothic Medium"/>
        </w:rPr>
        <w:instrText xml:space="preserve"> REF _Ref86550310 \h  \* MERGEFORMAT </w:instrText>
      </w:r>
      <w:r w:rsidRPr="00CE5DC9">
        <w:rPr>
          <w:rFonts w:eastAsia="SimSun" w:cs="Franklin Gothic Medium"/>
        </w:rPr>
      </w:r>
      <w:r w:rsidRPr="00CE5DC9">
        <w:rPr>
          <w:rFonts w:eastAsia="SimSun" w:cs="Franklin Gothic Medium"/>
        </w:rPr>
        <w:fldChar w:fldCharType="separate"/>
      </w:r>
      <w:r w:rsidR="00BB2F0F" w:rsidRPr="0070417F">
        <w:rPr>
          <w:rFonts w:eastAsia="SimSun" w:cs="Franklin Gothic Medium"/>
        </w:rPr>
        <w:t>Table 11</w:t>
      </w:r>
      <w:r w:rsidRPr="00CE5DC9">
        <w:rPr>
          <w:rFonts w:eastAsia="SimSun" w:cs="Franklin Gothic Medium"/>
        </w:rPr>
        <w:fldChar w:fldCharType="end"/>
      </w:r>
      <w:r w:rsidRPr="6682C5C4">
        <w:rPr>
          <w:rFonts w:eastAsiaTheme="minorEastAsia"/>
        </w:rPr>
        <w:t xml:space="preserve"> pre</w:t>
      </w:r>
      <w:r w:rsidRPr="00CE5DC9">
        <w:rPr>
          <w:rFonts w:eastAsia="SimSun" w:cs="Franklin Gothic Medium"/>
        </w:rPr>
        <w:t xml:space="preserve">sents the results of the revised cost </w:t>
      </w:r>
      <w:r w:rsidR="5C8E2B84" w:rsidRPr="1ABB0F60">
        <w:rPr>
          <w:rFonts w:eastAsia="SimSun" w:cs="Franklin Gothic Medium"/>
        </w:rPr>
        <w:t>consequence</w:t>
      </w:r>
      <w:r w:rsidRPr="00CE5DC9">
        <w:rPr>
          <w:rFonts w:eastAsia="SimSun" w:cs="Franklin Gothic Medium"/>
        </w:rPr>
        <w:t xml:space="preserve"> analys</w:t>
      </w:r>
      <w:r w:rsidR="00CC14F2">
        <w:rPr>
          <w:rFonts w:eastAsia="SimSun" w:cs="Franklin Gothic Medium"/>
        </w:rPr>
        <w:t>i</w:t>
      </w:r>
      <w:r w:rsidRPr="00CE5DC9">
        <w:rPr>
          <w:rFonts w:eastAsia="SimSun" w:cs="Franklin Gothic Medium"/>
        </w:rPr>
        <w:t>s.</w:t>
      </w:r>
      <w:bookmarkStart w:id="32" w:name="_Ref86550310"/>
      <w:bookmarkStart w:id="33" w:name="_Toc43902274"/>
      <w:r w:rsidR="00A77BA0">
        <w:rPr>
          <w:sz w:val="20"/>
        </w:rPr>
        <w:br w:type="page"/>
      </w:r>
    </w:p>
    <w:p w14:paraId="0357FCA6" w14:textId="0800CC06" w:rsidR="00CE5DC9" w:rsidRPr="00263876" w:rsidRDefault="00CE5DC9" w:rsidP="001A1F6B">
      <w:pPr>
        <w:pStyle w:val="Caption"/>
        <w:rPr>
          <w:rFonts w:eastAsia="SimSun"/>
          <w:b w:val="0"/>
          <w:sz w:val="20"/>
          <w:vertAlign w:val="superscript"/>
        </w:rPr>
      </w:pPr>
      <w:r w:rsidRPr="00263876">
        <w:rPr>
          <w:sz w:val="20"/>
        </w:rPr>
        <w:lastRenderedPageBreak/>
        <w:t xml:space="preserve">Table </w:t>
      </w:r>
      <w:r w:rsidRPr="00263876">
        <w:rPr>
          <w:sz w:val="20"/>
        </w:rPr>
        <w:fldChar w:fldCharType="begin"/>
      </w:r>
      <w:r w:rsidRPr="00263876">
        <w:rPr>
          <w:sz w:val="20"/>
        </w:rPr>
        <w:instrText>SEQ Table \* ARABIC</w:instrText>
      </w:r>
      <w:r w:rsidRPr="00263876">
        <w:rPr>
          <w:sz w:val="20"/>
        </w:rPr>
        <w:fldChar w:fldCharType="separate"/>
      </w:r>
      <w:r w:rsidR="00FC2B00">
        <w:rPr>
          <w:noProof/>
          <w:sz w:val="20"/>
        </w:rPr>
        <w:t>11</w:t>
      </w:r>
      <w:r w:rsidRPr="00263876">
        <w:rPr>
          <w:sz w:val="20"/>
        </w:rPr>
        <w:fldChar w:fldCharType="end"/>
      </w:r>
      <w:bookmarkEnd w:id="32"/>
      <w:r w:rsidR="001A1F6B" w:rsidRPr="00263876">
        <w:rPr>
          <w:sz w:val="20"/>
        </w:rPr>
        <w:t xml:space="preserve"> </w:t>
      </w:r>
      <w:r w:rsidRPr="00263876">
        <w:rPr>
          <w:sz w:val="20"/>
        </w:rPr>
        <w:t xml:space="preserve">Cost-consequence analysis comparing mean incremental cost with changes in </w:t>
      </w:r>
      <w:r w:rsidRPr="00263876">
        <w:rPr>
          <w:rFonts w:eastAsia="SimSun"/>
          <w:b w:val="0"/>
          <w:sz w:val="20"/>
        </w:rPr>
        <w:t>outcomes</w:t>
      </w:r>
      <w:r w:rsidRPr="00263876">
        <w:rPr>
          <w:rFonts w:eastAsia="SimSun"/>
          <w:b w:val="0"/>
          <w:sz w:val="20"/>
          <w:vertAlign w:val="superscript"/>
        </w:rPr>
        <w:t>1</w:t>
      </w:r>
      <w:bookmarkEnd w:id="33"/>
    </w:p>
    <w:tbl>
      <w:tblPr>
        <w:tblStyle w:val="TableGrid11"/>
        <w:tblW w:w="5000" w:type="pct"/>
        <w:tblInd w:w="0" w:type="dxa"/>
        <w:tblLook w:val="04A0" w:firstRow="1" w:lastRow="0" w:firstColumn="1" w:lastColumn="0" w:noHBand="0" w:noVBand="1"/>
      </w:tblPr>
      <w:tblGrid>
        <w:gridCol w:w="3540"/>
        <w:gridCol w:w="1098"/>
        <w:gridCol w:w="1098"/>
        <w:gridCol w:w="1098"/>
        <w:gridCol w:w="1100"/>
        <w:gridCol w:w="1082"/>
      </w:tblGrid>
      <w:tr w:rsidR="00F71F3F" w:rsidRPr="00CE5DC9" w14:paraId="54494F2B" w14:textId="77777777" w:rsidTr="00B34B97">
        <w:trPr>
          <w:cnfStyle w:val="100000000000" w:firstRow="1" w:lastRow="0" w:firstColumn="0" w:lastColumn="0" w:oddVBand="0" w:evenVBand="0" w:oddHBand="0" w:evenHBand="0" w:firstRowFirstColumn="0" w:firstRowLastColumn="0" w:lastRowFirstColumn="0" w:lastRowLastColumn="0"/>
        </w:trPr>
        <w:tc>
          <w:tcPr>
            <w:tcW w:w="1963" w:type="pct"/>
            <w:tcBorders>
              <w:top w:val="single" w:sz="4" w:space="0" w:color="auto"/>
              <w:left w:val="single" w:sz="4" w:space="0" w:color="auto"/>
              <w:bottom w:val="single" w:sz="4" w:space="0" w:color="auto"/>
              <w:right w:val="single" w:sz="4" w:space="0" w:color="auto"/>
            </w:tcBorders>
            <w:hideMark/>
          </w:tcPr>
          <w:p w14:paraId="61842181" w14:textId="77777777" w:rsidR="00CE5DC9" w:rsidRPr="001A1F6B" w:rsidRDefault="00CE5DC9" w:rsidP="00EF7F4F">
            <w:pPr>
              <w:widowControl w:val="0"/>
              <w:spacing w:before="0" w:after="0"/>
              <w:rPr>
                <w:rFonts w:ascii="Arial Narrow" w:hAnsi="Arial Narrow" w:cs="Symbol"/>
                <w:b/>
              </w:rPr>
            </w:pPr>
            <w:r w:rsidRPr="001A1F6B">
              <w:rPr>
                <w:rFonts w:ascii="Arial Narrow" w:eastAsia="SimSun" w:hAnsi="Arial Narrow" w:cs="Symbol"/>
                <w:b/>
              </w:rPr>
              <w:t>Parameter</w:t>
            </w:r>
          </w:p>
        </w:tc>
        <w:tc>
          <w:tcPr>
            <w:tcW w:w="2437" w:type="pct"/>
            <w:gridSpan w:val="4"/>
            <w:tcBorders>
              <w:top w:val="single" w:sz="4" w:space="0" w:color="auto"/>
              <w:left w:val="single" w:sz="4" w:space="0" w:color="auto"/>
              <w:bottom w:val="single" w:sz="4" w:space="0" w:color="auto"/>
              <w:right w:val="single" w:sz="4" w:space="0" w:color="auto"/>
            </w:tcBorders>
            <w:hideMark/>
          </w:tcPr>
          <w:p w14:paraId="25062A5B" w14:textId="5C42E74A" w:rsidR="00CE5DC9" w:rsidRPr="001A1F6B" w:rsidRDefault="00264D51" w:rsidP="00EF7F4F">
            <w:pPr>
              <w:widowControl w:val="0"/>
              <w:spacing w:before="0" w:after="0"/>
              <w:ind w:firstLine="60"/>
              <w:jc w:val="center"/>
              <w:rPr>
                <w:rFonts w:ascii="Arial Narrow" w:eastAsia="SimSun" w:hAnsi="Arial Narrow" w:cs="Symbol"/>
                <w:b/>
              </w:rPr>
            </w:pPr>
            <w:r w:rsidRPr="001A1F6B">
              <w:rPr>
                <w:rFonts w:ascii="Arial Narrow" w:eastAsia="SimSun" w:hAnsi="Arial Narrow" w:cs="Symbol"/>
                <w:b/>
              </w:rPr>
              <w:t xml:space="preserve">Proposed </w:t>
            </w:r>
            <w:r w:rsidR="00097839" w:rsidRPr="001A1F6B">
              <w:rPr>
                <w:rFonts w:ascii="Arial Narrow" w:eastAsia="SimSun" w:hAnsi="Arial Narrow" w:cs="Symbol"/>
                <w:b/>
              </w:rPr>
              <w:t xml:space="preserve">funding model </w:t>
            </w:r>
          </w:p>
        </w:tc>
        <w:tc>
          <w:tcPr>
            <w:tcW w:w="600" w:type="pct"/>
            <w:tcBorders>
              <w:top w:val="single" w:sz="4" w:space="0" w:color="auto"/>
              <w:left w:val="single" w:sz="4" w:space="0" w:color="auto"/>
              <w:bottom w:val="single" w:sz="4" w:space="0" w:color="auto"/>
              <w:right w:val="single" w:sz="4" w:space="0" w:color="auto"/>
            </w:tcBorders>
            <w:hideMark/>
          </w:tcPr>
          <w:p w14:paraId="7893AC63" w14:textId="77777777" w:rsidR="00CE5DC9" w:rsidRPr="001A1F6B" w:rsidRDefault="00CE5DC9" w:rsidP="00EF7F4F">
            <w:pPr>
              <w:widowControl w:val="0"/>
              <w:spacing w:before="0" w:after="0"/>
              <w:ind w:firstLine="19"/>
              <w:jc w:val="center"/>
              <w:rPr>
                <w:rFonts w:ascii="Arial Narrow" w:eastAsia="SimSun" w:hAnsi="Arial Narrow" w:cs="Symbol"/>
                <w:b/>
              </w:rPr>
            </w:pPr>
            <w:r w:rsidRPr="001A1F6B">
              <w:rPr>
                <w:rFonts w:ascii="Arial Narrow" w:eastAsia="SimSun" w:hAnsi="Arial Narrow" w:cs="Symbol"/>
                <w:b/>
              </w:rPr>
              <w:t>p-value</w:t>
            </w:r>
            <w:r w:rsidRPr="001A1F6B">
              <w:rPr>
                <w:rFonts w:ascii="Arial Narrow" w:eastAsia="SimSun" w:hAnsi="Arial Narrow" w:cs="Symbol"/>
                <w:b/>
                <w:vertAlign w:val="superscript"/>
              </w:rPr>
              <w:t>1</w:t>
            </w:r>
          </w:p>
        </w:tc>
      </w:tr>
      <w:tr w:rsidR="00097839" w:rsidRPr="00CE5DC9" w14:paraId="5A3AD241" w14:textId="77777777" w:rsidTr="00E21FB2">
        <w:tc>
          <w:tcPr>
            <w:tcW w:w="1963" w:type="pct"/>
            <w:tcBorders>
              <w:top w:val="single" w:sz="4" w:space="0" w:color="auto"/>
              <w:left w:val="single" w:sz="4" w:space="0" w:color="auto"/>
              <w:bottom w:val="single" w:sz="4" w:space="0" w:color="auto"/>
              <w:right w:val="single" w:sz="4" w:space="0" w:color="auto"/>
            </w:tcBorders>
          </w:tcPr>
          <w:p w14:paraId="2D4A14B4" w14:textId="5C2CEE73" w:rsidR="00097839" w:rsidRPr="001A1F6B" w:rsidRDefault="003834AA" w:rsidP="00EF7F4F">
            <w:pPr>
              <w:widowControl w:val="0"/>
              <w:spacing w:before="0" w:after="0"/>
              <w:rPr>
                <w:rFonts w:ascii="Arial Narrow" w:eastAsia="SimSun" w:hAnsi="Arial Narrow" w:cs="Symbol"/>
                <w:b/>
              </w:rPr>
            </w:pPr>
            <w:r w:rsidRPr="001A1F6B">
              <w:rPr>
                <w:rFonts w:ascii="Arial Narrow" w:eastAsia="SimSun" w:hAnsi="Arial Narrow" w:cs="Symbol"/>
              </w:rPr>
              <w:t>Funding model</w:t>
            </w:r>
          </w:p>
        </w:tc>
        <w:tc>
          <w:tcPr>
            <w:tcW w:w="609" w:type="pct"/>
            <w:tcBorders>
              <w:top w:val="single" w:sz="4" w:space="0" w:color="auto"/>
              <w:left w:val="single" w:sz="4" w:space="0" w:color="auto"/>
              <w:bottom w:val="single" w:sz="4" w:space="0" w:color="auto"/>
              <w:right w:val="single" w:sz="4" w:space="0" w:color="auto"/>
            </w:tcBorders>
          </w:tcPr>
          <w:p w14:paraId="299C5621" w14:textId="5C880EAC" w:rsidR="00097839" w:rsidRPr="001A1F6B" w:rsidRDefault="00097839" w:rsidP="00EF7F4F">
            <w:pPr>
              <w:widowControl w:val="0"/>
              <w:spacing w:before="0" w:after="0"/>
              <w:ind w:firstLine="60"/>
              <w:jc w:val="center"/>
              <w:rPr>
                <w:rFonts w:ascii="Arial Narrow" w:eastAsia="SimSun" w:hAnsi="Arial Narrow" w:cs="Symbol"/>
                <w:b/>
              </w:rPr>
            </w:pPr>
            <w:r w:rsidRPr="001A1F6B">
              <w:rPr>
                <w:rFonts w:ascii="Arial Narrow" w:eastAsia="SimSun" w:hAnsi="Arial Narrow" w:cs="Symbol"/>
                <w:b/>
              </w:rPr>
              <w:t>Model 1</w:t>
            </w:r>
          </w:p>
        </w:tc>
        <w:tc>
          <w:tcPr>
            <w:tcW w:w="609" w:type="pct"/>
            <w:tcBorders>
              <w:top w:val="single" w:sz="4" w:space="0" w:color="auto"/>
              <w:left w:val="single" w:sz="4" w:space="0" w:color="auto"/>
              <w:bottom w:val="single" w:sz="4" w:space="0" w:color="auto"/>
              <w:right w:val="single" w:sz="4" w:space="0" w:color="auto"/>
            </w:tcBorders>
          </w:tcPr>
          <w:p w14:paraId="6DA10986" w14:textId="1B17B37E" w:rsidR="00097839" w:rsidRPr="001A1F6B" w:rsidRDefault="00097839" w:rsidP="00EF7F4F">
            <w:pPr>
              <w:widowControl w:val="0"/>
              <w:spacing w:before="0" w:after="0"/>
              <w:ind w:firstLine="60"/>
              <w:jc w:val="center"/>
              <w:rPr>
                <w:rFonts w:ascii="Arial Narrow" w:eastAsia="SimSun" w:hAnsi="Arial Narrow" w:cs="Symbol"/>
                <w:b/>
              </w:rPr>
            </w:pPr>
            <w:r w:rsidRPr="001A1F6B">
              <w:rPr>
                <w:rFonts w:ascii="Arial Narrow" w:eastAsia="SimSun" w:hAnsi="Arial Narrow" w:cs="Symbol"/>
                <w:b/>
              </w:rPr>
              <w:t>Model 2</w:t>
            </w:r>
          </w:p>
        </w:tc>
        <w:tc>
          <w:tcPr>
            <w:tcW w:w="609" w:type="pct"/>
            <w:tcBorders>
              <w:top w:val="single" w:sz="4" w:space="0" w:color="auto"/>
              <w:left w:val="single" w:sz="4" w:space="0" w:color="auto"/>
              <w:bottom w:val="single" w:sz="4" w:space="0" w:color="auto"/>
              <w:right w:val="single" w:sz="4" w:space="0" w:color="auto"/>
            </w:tcBorders>
          </w:tcPr>
          <w:p w14:paraId="55F75C34" w14:textId="39EC93CD" w:rsidR="00097839" w:rsidRPr="001A1F6B" w:rsidRDefault="00097839" w:rsidP="00EF7F4F">
            <w:pPr>
              <w:widowControl w:val="0"/>
              <w:spacing w:before="0" w:after="0"/>
              <w:ind w:firstLine="60"/>
              <w:jc w:val="center"/>
              <w:rPr>
                <w:rFonts w:ascii="Arial Narrow" w:eastAsia="SimSun" w:hAnsi="Arial Narrow" w:cs="Symbol"/>
                <w:b/>
              </w:rPr>
            </w:pPr>
            <w:r w:rsidRPr="001A1F6B">
              <w:rPr>
                <w:rFonts w:ascii="Arial Narrow" w:eastAsia="SimSun" w:hAnsi="Arial Narrow" w:cs="Symbol"/>
                <w:b/>
              </w:rPr>
              <w:t xml:space="preserve">Model </w:t>
            </w:r>
            <w:r w:rsidR="009A45A2" w:rsidRPr="001A1F6B">
              <w:rPr>
                <w:rFonts w:ascii="Arial Narrow" w:eastAsia="SimSun" w:hAnsi="Arial Narrow" w:cs="Symbol"/>
                <w:b/>
              </w:rPr>
              <w:t>3</w:t>
            </w:r>
          </w:p>
        </w:tc>
        <w:tc>
          <w:tcPr>
            <w:tcW w:w="610" w:type="pct"/>
            <w:tcBorders>
              <w:top w:val="single" w:sz="4" w:space="0" w:color="auto"/>
              <w:left w:val="single" w:sz="4" w:space="0" w:color="auto"/>
              <w:bottom w:val="single" w:sz="4" w:space="0" w:color="auto"/>
              <w:right w:val="single" w:sz="4" w:space="0" w:color="auto"/>
            </w:tcBorders>
          </w:tcPr>
          <w:p w14:paraId="0E090B8B" w14:textId="304ABA2A" w:rsidR="00097839" w:rsidRPr="001A1F6B" w:rsidRDefault="003834AA" w:rsidP="00EF7F4F">
            <w:pPr>
              <w:widowControl w:val="0"/>
              <w:spacing w:before="0" w:after="0"/>
              <w:ind w:firstLine="60"/>
              <w:jc w:val="center"/>
              <w:rPr>
                <w:rFonts w:ascii="Arial Narrow" w:eastAsia="SimSun" w:hAnsi="Arial Narrow" w:cs="Symbol"/>
                <w:b/>
              </w:rPr>
            </w:pPr>
            <w:r w:rsidRPr="001A1F6B">
              <w:rPr>
                <w:rFonts w:ascii="Arial Narrow" w:eastAsia="SimSun" w:hAnsi="Arial Narrow" w:cs="Symbol"/>
                <w:b/>
              </w:rPr>
              <w:t xml:space="preserve">ADAR </w:t>
            </w:r>
          </w:p>
        </w:tc>
        <w:tc>
          <w:tcPr>
            <w:tcW w:w="600" w:type="pct"/>
            <w:tcBorders>
              <w:top w:val="single" w:sz="4" w:space="0" w:color="auto"/>
              <w:left w:val="single" w:sz="4" w:space="0" w:color="auto"/>
              <w:bottom w:val="single" w:sz="4" w:space="0" w:color="auto"/>
              <w:right w:val="single" w:sz="4" w:space="0" w:color="auto"/>
            </w:tcBorders>
          </w:tcPr>
          <w:p w14:paraId="0C0C9849" w14:textId="77777777" w:rsidR="00097839" w:rsidRPr="001A1F6B" w:rsidRDefault="00097839" w:rsidP="00EF7F4F">
            <w:pPr>
              <w:widowControl w:val="0"/>
              <w:spacing w:before="0" w:after="0"/>
              <w:ind w:firstLine="19"/>
              <w:jc w:val="center"/>
              <w:rPr>
                <w:rFonts w:ascii="Arial Narrow" w:eastAsia="SimSun" w:hAnsi="Arial Narrow" w:cs="Symbol"/>
                <w:b/>
              </w:rPr>
            </w:pPr>
          </w:p>
        </w:tc>
      </w:tr>
      <w:tr w:rsidR="00500EC3" w:rsidRPr="00CE5DC9" w14:paraId="630712F0" w14:textId="77777777" w:rsidTr="00ED33F6">
        <w:tc>
          <w:tcPr>
            <w:tcW w:w="1963" w:type="pct"/>
            <w:tcBorders>
              <w:top w:val="single" w:sz="4" w:space="0" w:color="auto"/>
              <w:left w:val="single" w:sz="4" w:space="0" w:color="auto"/>
              <w:bottom w:val="single" w:sz="4" w:space="0" w:color="auto"/>
              <w:right w:val="single" w:sz="4" w:space="0" w:color="auto"/>
            </w:tcBorders>
            <w:vAlign w:val="center"/>
          </w:tcPr>
          <w:p w14:paraId="319C300B" w14:textId="2E79DBC4" w:rsidR="00500EC3" w:rsidRPr="001A1F6B" w:rsidRDefault="00500EC3" w:rsidP="00EF7F4F">
            <w:pPr>
              <w:widowControl w:val="0"/>
              <w:spacing w:before="0" w:after="0"/>
              <w:rPr>
                <w:rFonts w:ascii="Arial Narrow" w:eastAsia="SimSun" w:hAnsi="Arial Narrow" w:cs="Symbol"/>
              </w:rPr>
            </w:pPr>
            <w:r w:rsidRPr="001A1F6B">
              <w:rPr>
                <w:rFonts w:ascii="Arial Narrow" w:eastAsia="SimSun" w:hAnsi="Arial Narrow" w:cs="Symbol"/>
              </w:rPr>
              <w:t>Net cost (including cost offsets)</w:t>
            </w:r>
          </w:p>
        </w:tc>
        <w:tc>
          <w:tcPr>
            <w:tcW w:w="609" w:type="pct"/>
            <w:tcBorders>
              <w:top w:val="single" w:sz="4" w:space="0" w:color="auto"/>
              <w:left w:val="single" w:sz="4" w:space="0" w:color="auto"/>
              <w:bottom w:val="single" w:sz="4" w:space="0" w:color="auto"/>
              <w:right w:val="single" w:sz="4" w:space="0" w:color="auto"/>
            </w:tcBorders>
            <w:vAlign w:val="center"/>
          </w:tcPr>
          <w:p w14:paraId="319CD6EA" w14:textId="7C16ED5C" w:rsidR="00500EC3" w:rsidRPr="00CE5DC9" w:rsidRDefault="00500EC3" w:rsidP="00EF7F4F">
            <w:pPr>
              <w:pStyle w:val="TableText"/>
              <w:widowControl w:val="0"/>
              <w:jc w:val="center"/>
              <w:rPr>
                <w:rFonts w:eastAsia="SimSun"/>
              </w:rPr>
            </w:pPr>
            <w:r w:rsidRPr="004D0DC4">
              <w:t>$1,703</w:t>
            </w:r>
          </w:p>
        </w:tc>
        <w:tc>
          <w:tcPr>
            <w:tcW w:w="609" w:type="pct"/>
            <w:tcBorders>
              <w:top w:val="single" w:sz="4" w:space="0" w:color="auto"/>
              <w:left w:val="single" w:sz="4" w:space="0" w:color="auto"/>
              <w:bottom w:val="single" w:sz="4" w:space="0" w:color="auto"/>
              <w:right w:val="single" w:sz="4" w:space="0" w:color="auto"/>
            </w:tcBorders>
            <w:vAlign w:val="center"/>
          </w:tcPr>
          <w:p w14:paraId="68EDA938" w14:textId="169CEACB" w:rsidR="00500EC3" w:rsidRPr="00CE5DC9" w:rsidRDefault="00500EC3" w:rsidP="00EF7F4F">
            <w:pPr>
              <w:pStyle w:val="TableText"/>
              <w:widowControl w:val="0"/>
              <w:jc w:val="center"/>
              <w:rPr>
                <w:rFonts w:eastAsia="SimSun"/>
              </w:rPr>
            </w:pPr>
            <w:r w:rsidRPr="004D0DC4">
              <w:t>$1,523</w:t>
            </w:r>
          </w:p>
        </w:tc>
        <w:tc>
          <w:tcPr>
            <w:tcW w:w="609" w:type="pct"/>
            <w:tcBorders>
              <w:top w:val="single" w:sz="4" w:space="0" w:color="auto"/>
              <w:left w:val="single" w:sz="4" w:space="0" w:color="auto"/>
              <w:bottom w:val="single" w:sz="4" w:space="0" w:color="auto"/>
              <w:right w:val="single" w:sz="4" w:space="0" w:color="auto"/>
            </w:tcBorders>
            <w:vAlign w:val="center"/>
          </w:tcPr>
          <w:p w14:paraId="0081BDDD" w14:textId="1CE837B4" w:rsidR="00500EC3" w:rsidRPr="00CE5DC9" w:rsidRDefault="00500EC3" w:rsidP="00EF7F4F">
            <w:pPr>
              <w:pStyle w:val="TableText"/>
              <w:widowControl w:val="0"/>
              <w:jc w:val="center"/>
              <w:rPr>
                <w:rFonts w:eastAsia="SimSun"/>
              </w:rPr>
            </w:pPr>
            <w:r w:rsidRPr="004D0DC4">
              <w:t>$1,358</w:t>
            </w:r>
          </w:p>
        </w:tc>
        <w:tc>
          <w:tcPr>
            <w:tcW w:w="610" w:type="pct"/>
            <w:tcBorders>
              <w:top w:val="single" w:sz="4" w:space="0" w:color="auto"/>
              <w:left w:val="single" w:sz="4" w:space="0" w:color="auto"/>
              <w:bottom w:val="single" w:sz="4" w:space="0" w:color="auto"/>
              <w:right w:val="single" w:sz="4" w:space="0" w:color="auto"/>
            </w:tcBorders>
            <w:vAlign w:val="center"/>
          </w:tcPr>
          <w:p w14:paraId="4FEBE844" w14:textId="047FEC28" w:rsidR="00500EC3" w:rsidRPr="001A1F6B" w:rsidRDefault="00500EC3" w:rsidP="00EF7F4F">
            <w:pPr>
              <w:widowControl w:val="0"/>
              <w:spacing w:before="0" w:after="0"/>
              <w:jc w:val="center"/>
              <w:rPr>
                <w:rFonts w:ascii="Arial Narrow" w:eastAsia="SimSun" w:hAnsi="Arial Narrow" w:cs="Symbol"/>
              </w:rPr>
            </w:pPr>
            <w:r w:rsidRPr="001A1F6B">
              <w:rPr>
                <w:rFonts w:ascii="Arial Narrow" w:eastAsia="SimSun" w:hAnsi="Arial Narrow" w:cs="Symbol"/>
              </w:rPr>
              <w:t>$1,525 </w:t>
            </w:r>
            <w:r w:rsidRPr="001A1F6B">
              <w:rPr>
                <w:rFonts w:ascii="Arial Narrow" w:eastAsia="SimSun" w:hAnsi="Arial Narrow" w:cs="SimSun"/>
                <w:vertAlign w:val="superscript"/>
              </w:rPr>
              <w:t>2</w:t>
            </w:r>
          </w:p>
        </w:tc>
        <w:tc>
          <w:tcPr>
            <w:tcW w:w="600" w:type="pct"/>
            <w:tcBorders>
              <w:left w:val="single" w:sz="4" w:space="0" w:color="auto"/>
              <w:bottom w:val="single" w:sz="4" w:space="0" w:color="auto"/>
              <w:right w:val="single" w:sz="4" w:space="0" w:color="auto"/>
            </w:tcBorders>
            <w:vAlign w:val="center"/>
          </w:tcPr>
          <w:p w14:paraId="283A637A" w14:textId="68C96CBA" w:rsidR="00500EC3" w:rsidRPr="001A1F6B" w:rsidRDefault="00ED33F6" w:rsidP="00EF7F4F">
            <w:pPr>
              <w:widowControl w:val="0"/>
              <w:spacing w:before="0" w:after="0"/>
              <w:ind w:firstLine="19"/>
              <w:jc w:val="center"/>
              <w:rPr>
                <w:rFonts w:ascii="Arial Narrow" w:eastAsia="SimSun" w:hAnsi="Arial Narrow" w:cs="Symbol"/>
              </w:rPr>
            </w:pPr>
            <w:r w:rsidRPr="001A1F6B">
              <w:rPr>
                <w:rFonts w:ascii="Arial Narrow" w:eastAsia="SimSun" w:hAnsi="Arial Narrow" w:cs="Symbol"/>
              </w:rPr>
              <w:t>Not applicable</w:t>
            </w:r>
          </w:p>
        </w:tc>
      </w:tr>
      <w:tr w:rsidR="00F71F3F" w:rsidRPr="00CE5DC9" w14:paraId="4D4A5A3F" w14:textId="77777777" w:rsidTr="00B34B97">
        <w:tc>
          <w:tcPr>
            <w:tcW w:w="1963" w:type="pct"/>
            <w:tcBorders>
              <w:top w:val="single" w:sz="4" w:space="0" w:color="auto"/>
              <w:left w:val="single" w:sz="4" w:space="0" w:color="auto"/>
              <w:bottom w:val="single" w:sz="4" w:space="0" w:color="auto"/>
              <w:right w:val="single" w:sz="4" w:space="0" w:color="auto"/>
            </w:tcBorders>
            <w:hideMark/>
          </w:tcPr>
          <w:p w14:paraId="1B6F128B" w14:textId="5522ADFE" w:rsidR="00CE5DC9" w:rsidRPr="001A1F6B" w:rsidRDefault="00CE5DC9" w:rsidP="00EF7F4F">
            <w:pPr>
              <w:widowControl w:val="0"/>
              <w:spacing w:before="0" w:after="0"/>
              <w:rPr>
                <w:rFonts w:ascii="Arial Narrow" w:eastAsia="SimSun" w:hAnsi="Arial Narrow" w:cs="Symbol"/>
              </w:rPr>
            </w:pPr>
          </w:p>
        </w:tc>
        <w:tc>
          <w:tcPr>
            <w:tcW w:w="2437" w:type="pct"/>
            <w:gridSpan w:val="4"/>
            <w:tcBorders>
              <w:top w:val="single" w:sz="4" w:space="0" w:color="auto"/>
              <w:left w:val="single" w:sz="4" w:space="0" w:color="auto"/>
              <w:bottom w:val="single" w:sz="4" w:space="0" w:color="auto"/>
              <w:right w:val="single" w:sz="4" w:space="0" w:color="auto"/>
            </w:tcBorders>
            <w:vAlign w:val="center"/>
            <w:hideMark/>
          </w:tcPr>
          <w:p w14:paraId="0F2723E2" w14:textId="35471F13" w:rsidR="00CE5DC9" w:rsidRPr="001A1F6B" w:rsidRDefault="00CE5DC9" w:rsidP="00EF7F4F">
            <w:pPr>
              <w:widowControl w:val="0"/>
              <w:spacing w:before="0" w:after="0"/>
              <w:jc w:val="center"/>
              <w:rPr>
                <w:rFonts w:ascii="Arial Narrow" w:eastAsia="SimSun" w:hAnsi="Arial Narrow" w:cs="Symbol"/>
              </w:rPr>
            </w:pPr>
          </w:p>
        </w:tc>
        <w:tc>
          <w:tcPr>
            <w:tcW w:w="600" w:type="pct"/>
            <w:tcBorders>
              <w:top w:val="single" w:sz="4" w:space="0" w:color="auto"/>
              <w:left w:val="single" w:sz="4" w:space="0" w:color="auto"/>
              <w:bottom w:val="single" w:sz="4" w:space="0" w:color="auto"/>
              <w:right w:val="single" w:sz="4" w:space="0" w:color="auto"/>
            </w:tcBorders>
            <w:vAlign w:val="center"/>
            <w:hideMark/>
          </w:tcPr>
          <w:p w14:paraId="6B985038" w14:textId="77777777" w:rsidR="00CE5DC9" w:rsidRPr="001A1F6B" w:rsidRDefault="00CE5DC9" w:rsidP="00EF7F4F">
            <w:pPr>
              <w:widowControl w:val="0"/>
              <w:spacing w:before="0" w:after="0"/>
              <w:ind w:firstLine="19"/>
              <w:jc w:val="center"/>
              <w:rPr>
                <w:rFonts w:ascii="Arial Narrow" w:eastAsia="SimSun" w:hAnsi="Arial Narrow" w:cs="Symbol"/>
              </w:rPr>
            </w:pPr>
            <w:r w:rsidRPr="001A1F6B">
              <w:rPr>
                <w:rFonts w:ascii="Arial Narrow" w:eastAsia="SimSun" w:hAnsi="Arial Narrow" w:cs="Symbol"/>
              </w:rPr>
              <w:t>-</w:t>
            </w:r>
          </w:p>
        </w:tc>
      </w:tr>
      <w:tr w:rsidR="00CE5DC9" w:rsidRPr="00CE5DC9" w14:paraId="7B3E3B2B" w14:textId="77777777" w:rsidTr="00CE5DC9">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3874FDED" w14:textId="77777777" w:rsidR="00CE5DC9" w:rsidRPr="001A1F6B" w:rsidRDefault="00CE5DC9" w:rsidP="00EF7F4F">
            <w:pPr>
              <w:widowControl w:val="0"/>
              <w:spacing w:before="0" w:after="0"/>
              <w:rPr>
                <w:rFonts w:ascii="Arial Narrow" w:eastAsia="SimSun" w:hAnsi="Arial Narrow" w:cs="Symbol"/>
              </w:rPr>
            </w:pPr>
            <w:r w:rsidRPr="001A1F6B">
              <w:rPr>
                <w:rFonts w:ascii="Arial Narrow" w:eastAsia="SimSun" w:hAnsi="Arial Narrow" w:cs="Symbol"/>
                <w:b/>
              </w:rPr>
              <w:t>Biomedical outcomes (change in mean (SD, 95% CI))</w:t>
            </w:r>
          </w:p>
        </w:tc>
      </w:tr>
      <w:tr w:rsidR="00F71F3F" w:rsidRPr="00CE5DC9" w14:paraId="00591D99" w14:textId="77777777" w:rsidTr="00B34B97">
        <w:tc>
          <w:tcPr>
            <w:tcW w:w="1963" w:type="pct"/>
            <w:tcBorders>
              <w:top w:val="single" w:sz="4" w:space="0" w:color="auto"/>
              <w:left w:val="single" w:sz="4" w:space="0" w:color="auto"/>
              <w:bottom w:val="single" w:sz="4" w:space="0" w:color="auto"/>
              <w:right w:val="single" w:sz="4" w:space="0" w:color="auto"/>
            </w:tcBorders>
            <w:vAlign w:val="center"/>
            <w:hideMark/>
          </w:tcPr>
          <w:p w14:paraId="1D70EB2A" w14:textId="77777777" w:rsidR="00CE5DC9" w:rsidRPr="001A1F6B" w:rsidRDefault="00CE5DC9" w:rsidP="00EF7F4F">
            <w:pPr>
              <w:widowControl w:val="0"/>
              <w:spacing w:before="0" w:after="0"/>
              <w:rPr>
                <w:rFonts w:ascii="Arial Narrow" w:eastAsia="SimSun" w:hAnsi="Arial Narrow" w:cs="Symbol"/>
              </w:rPr>
            </w:pPr>
            <w:r w:rsidRPr="001A1F6B">
              <w:rPr>
                <w:rFonts w:ascii="Arial Narrow" w:eastAsia="SimSun" w:hAnsi="Arial Narrow" w:cs="Symbol"/>
              </w:rPr>
              <w:t>HbA1c mmol/mol [% units] (n=539 in T2DM)</w:t>
            </w:r>
          </w:p>
        </w:tc>
        <w:tc>
          <w:tcPr>
            <w:tcW w:w="2437" w:type="pct"/>
            <w:gridSpan w:val="4"/>
            <w:tcBorders>
              <w:top w:val="single" w:sz="4" w:space="0" w:color="auto"/>
              <w:left w:val="single" w:sz="4" w:space="0" w:color="auto"/>
              <w:bottom w:val="single" w:sz="4" w:space="0" w:color="auto"/>
              <w:right w:val="single" w:sz="4" w:space="0" w:color="auto"/>
            </w:tcBorders>
            <w:vAlign w:val="center"/>
            <w:hideMark/>
          </w:tcPr>
          <w:p w14:paraId="0FFA7E8E" w14:textId="77777777" w:rsidR="00CE5DC9" w:rsidRPr="001A1F6B" w:rsidRDefault="00CE5DC9" w:rsidP="00EF7F4F">
            <w:pPr>
              <w:widowControl w:val="0"/>
              <w:spacing w:before="0" w:after="0"/>
              <w:ind w:firstLine="60"/>
              <w:jc w:val="center"/>
              <w:rPr>
                <w:rFonts w:ascii="Arial Narrow" w:eastAsia="SimSun" w:hAnsi="Arial Narrow" w:cs="Symbol"/>
                <w:i/>
              </w:rPr>
            </w:pPr>
            <w:r w:rsidRPr="001A1F6B">
              <w:rPr>
                <w:rFonts w:ascii="Arial Narrow" w:eastAsia="SimSun" w:hAnsi="Arial Narrow" w:cs="Symbol"/>
              </w:rPr>
              <w:t>-2.8 (19.5, -4.5 to -1.0)</w:t>
            </w:r>
          </w:p>
        </w:tc>
        <w:tc>
          <w:tcPr>
            <w:tcW w:w="600" w:type="pct"/>
            <w:tcBorders>
              <w:top w:val="single" w:sz="4" w:space="0" w:color="auto"/>
              <w:left w:val="single" w:sz="4" w:space="0" w:color="auto"/>
              <w:bottom w:val="single" w:sz="4" w:space="0" w:color="auto"/>
              <w:right w:val="single" w:sz="4" w:space="0" w:color="auto"/>
            </w:tcBorders>
            <w:vAlign w:val="center"/>
            <w:hideMark/>
          </w:tcPr>
          <w:p w14:paraId="17D5CE54" w14:textId="77777777" w:rsidR="00CE5DC9" w:rsidRPr="001A1F6B" w:rsidRDefault="00CE5DC9" w:rsidP="00EF7F4F">
            <w:pPr>
              <w:widowControl w:val="0"/>
              <w:spacing w:before="0" w:after="0"/>
              <w:ind w:firstLine="19"/>
              <w:jc w:val="center"/>
              <w:rPr>
                <w:rFonts w:ascii="Arial Narrow" w:eastAsia="SimSun" w:hAnsi="Arial Narrow" w:cs="Symbol"/>
              </w:rPr>
            </w:pPr>
            <w:r w:rsidRPr="001A1F6B">
              <w:rPr>
                <w:rFonts w:ascii="Arial Narrow" w:eastAsia="SimSun" w:hAnsi="Arial Narrow" w:cs="Symbol"/>
              </w:rPr>
              <w:t>0.001</w:t>
            </w:r>
          </w:p>
        </w:tc>
      </w:tr>
      <w:tr w:rsidR="00F71F3F" w:rsidRPr="00CE5DC9" w14:paraId="41C67A5F" w14:textId="77777777" w:rsidTr="00B34B97">
        <w:tc>
          <w:tcPr>
            <w:tcW w:w="1963" w:type="pct"/>
            <w:tcBorders>
              <w:top w:val="single" w:sz="4" w:space="0" w:color="auto"/>
              <w:left w:val="single" w:sz="4" w:space="0" w:color="auto"/>
              <w:bottom w:val="single" w:sz="4" w:space="0" w:color="auto"/>
              <w:right w:val="single" w:sz="4" w:space="0" w:color="auto"/>
            </w:tcBorders>
            <w:hideMark/>
          </w:tcPr>
          <w:p w14:paraId="75D12915" w14:textId="77777777" w:rsidR="00CE5DC9" w:rsidRPr="001A1F6B" w:rsidRDefault="00CE5DC9" w:rsidP="00EF7F4F">
            <w:pPr>
              <w:widowControl w:val="0"/>
              <w:spacing w:before="0" w:after="0"/>
              <w:rPr>
                <w:rFonts w:ascii="Arial Narrow" w:eastAsia="SimSun" w:hAnsi="Arial Narrow" w:cs="Symbol"/>
              </w:rPr>
            </w:pPr>
            <w:r w:rsidRPr="001A1F6B">
              <w:rPr>
                <w:rFonts w:ascii="Arial Narrow" w:eastAsia="SimSun" w:hAnsi="Arial Narrow" w:cs="Symbol"/>
              </w:rPr>
              <w:t>DBP, mmHg (n=1045)</w:t>
            </w:r>
          </w:p>
        </w:tc>
        <w:tc>
          <w:tcPr>
            <w:tcW w:w="2437" w:type="pct"/>
            <w:gridSpan w:val="4"/>
            <w:tcBorders>
              <w:top w:val="single" w:sz="4" w:space="0" w:color="auto"/>
              <w:left w:val="single" w:sz="4" w:space="0" w:color="auto"/>
              <w:bottom w:val="single" w:sz="4" w:space="0" w:color="auto"/>
              <w:right w:val="single" w:sz="4" w:space="0" w:color="auto"/>
            </w:tcBorders>
            <w:vAlign w:val="center"/>
            <w:hideMark/>
          </w:tcPr>
          <w:p w14:paraId="7421F4CD" w14:textId="77777777" w:rsidR="00CE5DC9" w:rsidRPr="001A1F6B" w:rsidRDefault="00CE5DC9" w:rsidP="00EF7F4F">
            <w:pPr>
              <w:widowControl w:val="0"/>
              <w:spacing w:before="0" w:after="0"/>
              <w:ind w:firstLine="60"/>
              <w:jc w:val="center"/>
              <w:rPr>
                <w:rFonts w:ascii="Arial Narrow" w:eastAsia="SimSun" w:hAnsi="Arial Narrow" w:cs="Symbol"/>
              </w:rPr>
            </w:pPr>
            <w:r w:rsidRPr="001A1F6B">
              <w:rPr>
                <w:rFonts w:ascii="Arial Narrow" w:eastAsia="SimSun" w:hAnsi="Arial Narrow" w:cs="Symbol"/>
              </w:rPr>
              <w:t>-0.8 (9.4, -1.4 to -0.2)</w:t>
            </w:r>
          </w:p>
        </w:tc>
        <w:tc>
          <w:tcPr>
            <w:tcW w:w="600" w:type="pct"/>
            <w:tcBorders>
              <w:top w:val="single" w:sz="4" w:space="0" w:color="auto"/>
              <w:left w:val="single" w:sz="4" w:space="0" w:color="auto"/>
              <w:bottom w:val="single" w:sz="4" w:space="0" w:color="auto"/>
              <w:right w:val="single" w:sz="4" w:space="0" w:color="auto"/>
            </w:tcBorders>
            <w:vAlign w:val="center"/>
            <w:hideMark/>
          </w:tcPr>
          <w:p w14:paraId="55B95388" w14:textId="77777777" w:rsidR="00CE5DC9" w:rsidRPr="001A1F6B" w:rsidRDefault="00CE5DC9" w:rsidP="00EF7F4F">
            <w:pPr>
              <w:widowControl w:val="0"/>
              <w:spacing w:before="0" w:after="0"/>
              <w:ind w:firstLine="19"/>
              <w:jc w:val="center"/>
              <w:rPr>
                <w:rFonts w:ascii="Arial Narrow" w:eastAsia="SimSun" w:hAnsi="Arial Narrow" w:cs="Symbol"/>
              </w:rPr>
            </w:pPr>
            <w:r w:rsidRPr="001A1F6B">
              <w:rPr>
                <w:rFonts w:ascii="Arial Narrow" w:eastAsia="SimSun" w:hAnsi="Arial Narrow" w:cs="Symbol"/>
              </w:rPr>
              <w:t>0.008</w:t>
            </w:r>
          </w:p>
        </w:tc>
      </w:tr>
      <w:tr w:rsidR="00F71F3F" w:rsidRPr="00CE5DC9" w14:paraId="4A83A1D2" w14:textId="77777777" w:rsidTr="00B34B97">
        <w:tc>
          <w:tcPr>
            <w:tcW w:w="1963" w:type="pct"/>
            <w:tcBorders>
              <w:top w:val="single" w:sz="4" w:space="0" w:color="auto"/>
              <w:left w:val="single" w:sz="4" w:space="0" w:color="auto"/>
              <w:bottom w:val="single" w:sz="4" w:space="0" w:color="auto"/>
              <w:right w:val="single" w:sz="4" w:space="0" w:color="auto"/>
            </w:tcBorders>
            <w:hideMark/>
          </w:tcPr>
          <w:p w14:paraId="765172EA" w14:textId="77777777" w:rsidR="00CE5DC9" w:rsidRPr="001A1F6B" w:rsidRDefault="00CE5DC9" w:rsidP="00EF7F4F">
            <w:pPr>
              <w:widowControl w:val="0"/>
              <w:spacing w:before="0" w:after="0"/>
              <w:rPr>
                <w:rFonts w:ascii="Arial Narrow" w:eastAsia="SimSun" w:hAnsi="Arial Narrow" w:cs="Symbol"/>
              </w:rPr>
            </w:pPr>
            <w:r w:rsidRPr="001A1F6B">
              <w:rPr>
                <w:rFonts w:ascii="Arial Narrow" w:eastAsia="SimSun" w:hAnsi="Arial Narrow" w:cs="Symbol"/>
              </w:rPr>
              <w:t>TC, mmol/L (n=660)</w:t>
            </w:r>
          </w:p>
        </w:tc>
        <w:tc>
          <w:tcPr>
            <w:tcW w:w="2437" w:type="pct"/>
            <w:gridSpan w:val="4"/>
            <w:tcBorders>
              <w:top w:val="single" w:sz="4" w:space="0" w:color="auto"/>
              <w:left w:val="single" w:sz="4" w:space="0" w:color="auto"/>
              <w:bottom w:val="single" w:sz="4" w:space="0" w:color="auto"/>
              <w:right w:val="single" w:sz="4" w:space="0" w:color="auto"/>
            </w:tcBorders>
            <w:vAlign w:val="center"/>
            <w:hideMark/>
          </w:tcPr>
          <w:p w14:paraId="2DB26422" w14:textId="77777777" w:rsidR="00CE5DC9" w:rsidRPr="001A1F6B" w:rsidRDefault="00CE5DC9" w:rsidP="00EF7F4F">
            <w:pPr>
              <w:widowControl w:val="0"/>
              <w:spacing w:before="0" w:after="0"/>
              <w:ind w:firstLine="60"/>
              <w:jc w:val="center"/>
              <w:rPr>
                <w:rFonts w:ascii="Arial Narrow" w:eastAsia="SimSun" w:hAnsi="Arial Narrow" w:cs="Symbol"/>
              </w:rPr>
            </w:pPr>
            <w:r w:rsidRPr="001A1F6B">
              <w:rPr>
                <w:rFonts w:ascii="Arial Narrow" w:eastAsia="SimSun" w:hAnsi="Arial Narrow" w:cs="Symbol"/>
              </w:rPr>
              <w:t xml:space="preserve">-0.15 </w:t>
            </w:r>
            <w:r w:rsidRPr="001A1F6B">
              <w:rPr>
                <w:rFonts w:ascii="Arial Narrow" w:eastAsia="SimSun" w:hAnsi="Arial Narrow" w:cs="Symbol"/>
              </w:rPr>
              <w:br/>
              <w:t>(0.77, -0.22 to -0.09)</w:t>
            </w:r>
          </w:p>
        </w:tc>
        <w:tc>
          <w:tcPr>
            <w:tcW w:w="600" w:type="pct"/>
            <w:tcBorders>
              <w:top w:val="single" w:sz="4" w:space="0" w:color="auto"/>
              <w:left w:val="single" w:sz="4" w:space="0" w:color="auto"/>
              <w:bottom w:val="single" w:sz="4" w:space="0" w:color="auto"/>
              <w:right w:val="single" w:sz="4" w:space="0" w:color="auto"/>
            </w:tcBorders>
            <w:vAlign w:val="center"/>
            <w:hideMark/>
          </w:tcPr>
          <w:p w14:paraId="2FB84033" w14:textId="77777777" w:rsidR="00CE5DC9" w:rsidRPr="001A1F6B" w:rsidRDefault="00CE5DC9" w:rsidP="00EF7F4F">
            <w:pPr>
              <w:widowControl w:val="0"/>
              <w:spacing w:before="0" w:after="0"/>
              <w:ind w:firstLine="19"/>
              <w:jc w:val="center"/>
              <w:rPr>
                <w:rFonts w:ascii="Arial Narrow" w:eastAsia="SimSun" w:hAnsi="Arial Narrow" w:cs="Symbol"/>
              </w:rPr>
            </w:pPr>
            <w:r w:rsidRPr="001A1F6B">
              <w:rPr>
                <w:rFonts w:ascii="Arial Narrow" w:eastAsia="SimSun" w:hAnsi="Arial Narrow" w:cs="Symbol"/>
              </w:rPr>
              <w:t>&lt;0.001</w:t>
            </w:r>
          </w:p>
        </w:tc>
      </w:tr>
      <w:tr w:rsidR="00F71F3F" w:rsidRPr="00CE5DC9" w14:paraId="64DA03DA" w14:textId="77777777" w:rsidTr="00B34B97">
        <w:tc>
          <w:tcPr>
            <w:tcW w:w="1963" w:type="pct"/>
            <w:tcBorders>
              <w:top w:val="single" w:sz="4" w:space="0" w:color="auto"/>
              <w:left w:val="single" w:sz="4" w:space="0" w:color="auto"/>
              <w:bottom w:val="single" w:sz="4" w:space="0" w:color="auto"/>
              <w:right w:val="single" w:sz="4" w:space="0" w:color="auto"/>
            </w:tcBorders>
            <w:hideMark/>
          </w:tcPr>
          <w:p w14:paraId="36E3BF18" w14:textId="77777777" w:rsidR="00CE5DC9" w:rsidRPr="001A1F6B" w:rsidRDefault="00CE5DC9" w:rsidP="00EF7F4F">
            <w:pPr>
              <w:widowControl w:val="0"/>
              <w:spacing w:before="0" w:after="0"/>
              <w:rPr>
                <w:rFonts w:ascii="Arial Narrow" w:eastAsia="SimSun" w:hAnsi="Arial Narrow" w:cs="Symbol"/>
              </w:rPr>
            </w:pPr>
            <w:r w:rsidRPr="001A1F6B">
              <w:rPr>
                <w:rFonts w:ascii="Arial Narrow" w:eastAsia="SimSun" w:hAnsi="Arial Narrow" w:cs="Symbol"/>
              </w:rPr>
              <w:t>LDL-C mmol/L (n=575)</w:t>
            </w:r>
          </w:p>
        </w:tc>
        <w:tc>
          <w:tcPr>
            <w:tcW w:w="2437" w:type="pct"/>
            <w:gridSpan w:val="4"/>
            <w:tcBorders>
              <w:top w:val="single" w:sz="4" w:space="0" w:color="auto"/>
              <w:left w:val="single" w:sz="4" w:space="0" w:color="auto"/>
              <w:bottom w:val="single" w:sz="4" w:space="0" w:color="auto"/>
              <w:right w:val="single" w:sz="4" w:space="0" w:color="auto"/>
            </w:tcBorders>
            <w:vAlign w:val="center"/>
            <w:hideMark/>
          </w:tcPr>
          <w:p w14:paraId="5A26D256" w14:textId="77777777" w:rsidR="00CE5DC9" w:rsidRPr="001A1F6B" w:rsidRDefault="00CE5DC9" w:rsidP="00EF7F4F">
            <w:pPr>
              <w:widowControl w:val="0"/>
              <w:spacing w:before="0" w:after="0"/>
              <w:ind w:firstLine="60"/>
              <w:jc w:val="center"/>
              <w:rPr>
                <w:rFonts w:ascii="Arial Narrow" w:eastAsia="SimSun" w:hAnsi="Arial Narrow" w:cs="Symbol"/>
              </w:rPr>
            </w:pPr>
            <w:r w:rsidRPr="001A1F6B">
              <w:rPr>
                <w:rFonts w:ascii="Arial Narrow" w:eastAsia="SimSun" w:hAnsi="Arial Narrow" w:cs="Symbol"/>
              </w:rPr>
              <w:t xml:space="preserve">-0.08 </w:t>
            </w:r>
            <w:r w:rsidRPr="001A1F6B">
              <w:rPr>
                <w:rFonts w:ascii="Arial Narrow" w:eastAsia="SimSun" w:hAnsi="Arial Narrow" w:cs="Symbol"/>
              </w:rPr>
              <w:br/>
              <w:t>(0.48, -0.13 to -0.03)</w:t>
            </w:r>
          </w:p>
        </w:tc>
        <w:tc>
          <w:tcPr>
            <w:tcW w:w="600" w:type="pct"/>
            <w:tcBorders>
              <w:top w:val="single" w:sz="4" w:space="0" w:color="auto"/>
              <w:left w:val="single" w:sz="4" w:space="0" w:color="auto"/>
              <w:bottom w:val="single" w:sz="4" w:space="0" w:color="auto"/>
              <w:right w:val="single" w:sz="4" w:space="0" w:color="auto"/>
            </w:tcBorders>
            <w:vAlign w:val="center"/>
            <w:hideMark/>
          </w:tcPr>
          <w:p w14:paraId="1E60062F" w14:textId="77777777" w:rsidR="00CE5DC9" w:rsidRPr="001A1F6B" w:rsidRDefault="00CE5DC9" w:rsidP="00EF7F4F">
            <w:pPr>
              <w:widowControl w:val="0"/>
              <w:spacing w:before="0" w:after="0"/>
              <w:ind w:firstLine="19"/>
              <w:jc w:val="center"/>
              <w:rPr>
                <w:rFonts w:ascii="Arial Narrow" w:eastAsia="SimSun" w:hAnsi="Arial Narrow" w:cs="Symbol"/>
              </w:rPr>
            </w:pPr>
            <w:r w:rsidRPr="001A1F6B">
              <w:rPr>
                <w:rFonts w:ascii="Arial Narrow" w:eastAsia="SimSun" w:hAnsi="Arial Narrow" w:cs="Symbol"/>
              </w:rPr>
              <w:t>0.001</w:t>
            </w:r>
          </w:p>
        </w:tc>
      </w:tr>
      <w:tr w:rsidR="00F71F3F" w:rsidRPr="00CE5DC9" w14:paraId="41F0CC92" w14:textId="77777777" w:rsidTr="00B34B97">
        <w:tc>
          <w:tcPr>
            <w:tcW w:w="1963" w:type="pct"/>
            <w:tcBorders>
              <w:top w:val="single" w:sz="4" w:space="0" w:color="auto"/>
              <w:left w:val="single" w:sz="4" w:space="0" w:color="auto"/>
              <w:bottom w:val="single" w:sz="4" w:space="0" w:color="auto"/>
              <w:right w:val="single" w:sz="4" w:space="0" w:color="auto"/>
            </w:tcBorders>
            <w:hideMark/>
          </w:tcPr>
          <w:p w14:paraId="1AD2A6AD" w14:textId="77777777" w:rsidR="00CE5DC9" w:rsidRPr="001A1F6B" w:rsidRDefault="00CE5DC9" w:rsidP="00EF7F4F">
            <w:pPr>
              <w:widowControl w:val="0"/>
              <w:spacing w:before="0" w:after="0"/>
              <w:rPr>
                <w:rFonts w:ascii="Arial Narrow" w:eastAsia="SimSun" w:hAnsi="Arial Narrow" w:cs="Symbol"/>
              </w:rPr>
            </w:pPr>
            <w:r w:rsidRPr="001A1F6B">
              <w:rPr>
                <w:rFonts w:ascii="Arial Narrow" w:eastAsia="SimSun" w:hAnsi="Arial Narrow" w:cs="Symbol"/>
              </w:rPr>
              <w:t>TG mmol/L (n=730)</w:t>
            </w:r>
          </w:p>
        </w:tc>
        <w:tc>
          <w:tcPr>
            <w:tcW w:w="2437" w:type="pct"/>
            <w:gridSpan w:val="4"/>
            <w:tcBorders>
              <w:top w:val="single" w:sz="4" w:space="0" w:color="auto"/>
              <w:left w:val="single" w:sz="4" w:space="0" w:color="auto"/>
              <w:bottom w:val="single" w:sz="4" w:space="0" w:color="auto"/>
              <w:right w:val="single" w:sz="4" w:space="0" w:color="auto"/>
            </w:tcBorders>
            <w:vAlign w:val="center"/>
            <w:hideMark/>
          </w:tcPr>
          <w:p w14:paraId="1E510494" w14:textId="77777777" w:rsidR="00CE5DC9" w:rsidRPr="001A1F6B" w:rsidRDefault="00CE5DC9" w:rsidP="00EF7F4F">
            <w:pPr>
              <w:widowControl w:val="0"/>
              <w:spacing w:before="0" w:after="0"/>
              <w:ind w:firstLine="60"/>
              <w:jc w:val="center"/>
              <w:rPr>
                <w:rFonts w:ascii="Arial Narrow" w:eastAsia="SimSun" w:hAnsi="Arial Narrow" w:cs="Symbol"/>
              </w:rPr>
            </w:pPr>
            <w:r w:rsidRPr="001A1F6B">
              <w:rPr>
                <w:rFonts w:ascii="Arial Narrow" w:eastAsia="SimSun" w:hAnsi="Arial Narrow" w:cs="Symbol"/>
              </w:rPr>
              <w:t xml:space="preserve">-0.11 </w:t>
            </w:r>
            <w:r w:rsidRPr="001A1F6B">
              <w:rPr>
                <w:rFonts w:ascii="Arial Narrow" w:eastAsia="SimSun" w:hAnsi="Arial Narrow" w:cs="Symbol"/>
              </w:rPr>
              <w:br/>
              <w:t>(1.08, -0.20 to -0.01)</w:t>
            </w:r>
          </w:p>
        </w:tc>
        <w:tc>
          <w:tcPr>
            <w:tcW w:w="600" w:type="pct"/>
            <w:tcBorders>
              <w:top w:val="single" w:sz="4" w:space="0" w:color="auto"/>
              <w:left w:val="single" w:sz="4" w:space="0" w:color="auto"/>
              <w:bottom w:val="single" w:sz="4" w:space="0" w:color="auto"/>
              <w:right w:val="single" w:sz="4" w:space="0" w:color="auto"/>
            </w:tcBorders>
            <w:vAlign w:val="center"/>
            <w:hideMark/>
          </w:tcPr>
          <w:p w14:paraId="2529716B" w14:textId="77777777" w:rsidR="00CE5DC9" w:rsidRPr="001A1F6B" w:rsidRDefault="00CE5DC9" w:rsidP="00EF7F4F">
            <w:pPr>
              <w:widowControl w:val="0"/>
              <w:spacing w:before="0" w:after="0"/>
              <w:ind w:firstLine="19"/>
              <w:jc w:val="center"/>
              <w:rPr>
                <w:rFonts w:ascii="Arial Narrow" w:eastAsia="SimSun" w:hAnsi="Arial Narrow" w:cs="Symbol"/>
              </w:rPr>
            </w:pPr>
            <w:r w:rsidRPr="001A1F6B">
              <w:rPr>
                <w:rFonts w:ascii="Arial Narrow" w:eastAsia="SimSun" w:hAnsi="Arial Narrow" w:cs="Symbol"/>
              </w:rPr>
              <w:t>0.006</w:t>
            </w:r>
          </w:p>
        </w:tc>
      </w:tr>
      <w:tr w:rsidR="00F71F3F" w:rsidRPr="00CE5DC9" w14:paraId="238FAC3A" w14:textId="77777777" w:rsidTr="00B34B97">
        <w:tc>
          <w:tcPr>
            <w:tcW w:w="1963" w:type="pct"/>
            <w:tcBorders>
              <w:top w:val="single" w:sz="4" w:space="0" w:color="auto"/>
              <w:left w:val="single" w:sz="4" w:space="0" w:color="auto"/>
              <w:bottom w:val="single" w:sz="4" w:space="0" w:color="auto"/>
              <w:right w:val="single" w:sz="4" w:space="0" w:color="auto"/>
            </w:tcBorders>
            <w:hideMark/>
          </w:tcPr>
          <w:p w14:paraId="4DE4C771" w14:textId="77777777" w:rsidR="00CE5DC9" w:rsidRPr="001A1F6B" w:rsidRDefault="00CE5DC9" w:rsidP="00EF7F4F">
            <w:pPr>
              <w:widowControl w:val="0"/>
              <w:spacing w:before="0" w:after="0"/>
              <w:rPr>
                <w:rFonts w:ascii="Arial Narrow" w:eastAsia="SimSun" w:hAnsi="Arial Narrow" w:cs="Symbol"/>
              </w:rPr>
            </w:pPr>
            <w:r w:rsidRPr="001A1F6B">
              <w:rPr>
                <w:rFonts w:ascii="Arial Narrow" w:eastAsia="SimSun" w:hAnsi="Arial Narrow" w:cs="Symbol"/>
              </w:rPr>
              <w:t>CVD 5-year risk % units (n=38)</w:t>
            </w:r>
          </w:p>
        </w:tc>
        <w:tc>
          <w:tcPr>
            <w:tcW w:w="2437" w:type="pct"/>
            <w:gridSpan w:val="4"/>
            <w:tcBorders>
              <w:top w:val="single" w:sz="4" w:space="0" w:color="auto"/>
              <w:left w:val="single" w:sz="4" w:space="0" w:color="auto"/>
              <w:bottom w:val="single" w:sz="4" w:space="0" w:color="auto"/>
              <w:right w:val="single" w:sz="4" w:space="0" w:color="auto"/>
            </w:tcBorders>
            <w:vAlign w:val="center"/>
            <w:hideMark/>
          </w:tcPr>
          <w:p w14:paraId="5CC4220D" w14:textId="77777777" w:rsidR="00CE5DC9" w:rsidRPr="001A1F6B" w:rsidRDefault="00CE5DC9" w:rsidP="00EF7F4F">
            <w:pPr>
              <w:widowControl w:val="0"/>
              <w:spacing w:before="0" w:after="0"/>
              <w:jc w:val="center"/>
              <w:rPr>
                <w:rFonts w:ascii="Arial Narrow" w:eastAsia="SimSun" w:hAnsi="Arial Narrow" w:cs="Symbol"/>
              </w:rPr>
            </w:pPr>
            <w:r w:rsidRPr="001A1F6B">
              <w:rPr>
                <w:rFonts w:ascii="Arial Narrow" w:eastAsia="SimSun" w:hAnsi="Arial Narrow" w:cs="Symbol"/>
              </w:rPr>
              <w:t>-1.0 (2.6, -1.8 to -0.12)</w:t>
            </w:r>
          </w:p>
        </w:tc>
        <w:tc>
          <w:tcPr>
            <w:tcW w:w="600" w:type="pct"/>
            <w:tcBorders>
              <w:top w:val="single" w:sz="4" w:space="0" w:color="auto"/>
              <w:left w:val="single" w:sz="4" w:space="0" w:color="auto"/>
              <w:bottom w:val="single" w:sz="4" w:space="0" w:color="auto"/>
              <w:right w:val="single" w:sz="4" w:space="0" w:color="auto"/>
            </w:tcBorders>
            <w:vAlign w:val="center"/>
            <w:hideMark/>
          </w:tcPr>
          <w:p w14:paraId="6B5B2B0E" w14:textId="77777777" w:rsidR="00CE5DC9" w:rsidRPr="001A1F6B" w:rsidRDefault="00CE5DC9" w:rsidP="00EF7F4F">
            <w:pPr>
              <w:widowControl w:val="0"/>
              <w:spacing w:before="0" w:after="0"/>
              <w:jc w:val="center"/>
              <w:rPr>
                <w:rFonts w:ascii="Arial Narrow" w:eastAsia="SimSun" w:hAnsi="Arial Narrow" w:cs="Symbol"/>
              </w:rPr>
            </w:pPr>
            <w:r w:rsidRPr="001A1F6B">
              <w:rPr>
                <w:rFonts w:ascii="Arial Narrow" w:eastAsia="SimSun" w:hAnsi="Arial Narrow" w:cs="Symbol"/>
              </w:rPr>
              <w:t>0.027</w:t>
            </w:r>
          </w:p>
        </w:tc>
      </w:tr>
      <w:tr w:rsidR="00F71F3F" w:rsidRPr="00CE5DC9" w14:paraId="7580B72E" w14:textId="77777777" w:rsidTr="00B34B97">
        <w:tc>
          <w:tcPr>
            <w:tcW w:w="1963" w:type="pct"/>
            <w:tcBorders>
              <w:top w:val="single" w:sz="4" w:space="0" w:color="auto"/>
              <w:left w:val="single" w:sz="4" w:space="0" w:color="auto"/>
              <w:bottom w:val="single" w:sz="4" w:space="0" w:color="auto"/>
              <w:right w:val="single" w:sz="4" w:space="0" w:color="auto"/>
            </w:tcBorders>
            <w:hideMark/>
          </w:tcPr>
          <w:p w14:paraId="59CEF586" w14:textId="77777777" w:rsidR="00CE5DC9" w:rsidRPr="001A1F6B" w:rsidRDefault="00CE5DC9" w:rsidP="00EF7F4F">
            <w:pPr>
              <w:widowControl w:val="0"/>
              <w:spacing w:before="0" w:after="0"/>
              <w:rPr>
                <w:rFonts w:ascii="Arial Narrow" w:eastAsia="SimSun" w:hAnsi="Arial Narrow" w:cs="Symbol"/>
              </w:rPr>
            </w:pPr>
            <w:r w:rsidRPr="001A1F6B">
              <w:rPr>
                <w:rFonts w:ascii="Arial Narrow" w:eastAsia="SimSun" w:hAnsi="Arial Narrow" w:cs="Symbol"/>
              </w:rPr>
              <w:t>eGFR (no minimum follow-up time) ml/min/1.73m</w:t>
            </w:r>
            <w:r w:rsidRPr="001A1F6B">
              <w:rPr>
                <w:rFonts w:ascii="Arial Narrow" w:eastAsia="SimSun" w:hAnsi="Arial Narrow" w:cs="Symbol"/>
                <w:vertAlign w:val="superscript"/>
              </w:rPr>
              <w:t>2</w:t>
            </w:r>
            <w:r w:rsidRPr="001A1F6B">
              <w:rPr>
                <w:rFonts w:ascii="Arial Narrow" w:eastAsia="SimSun" w:hAnsi="Arial Narrow" w:cs="Symbol"/>
              </w:rPr>
              <w:t xml:space="preserve"> (n=895)</w:t>
            </w:r>
          </w:p>
        </w:tc>
        <w:tc>
          <w:tcPr>
            <w:tcW w:w="2437" w:type="pct"/>
            <w:gridSpan w:val="4"/>
            <w:tcBorders>
              <w:top w:val="single" w:sz="4" w:space="0" w:color="auto"/>
              <w:left w:val="single" w:sz="4" w:space="0" w:color="auto"/>
              <w:bottom w:val="single" w:sz="4" w:space="0" w:color="auto"/>
              <w:right w:val="single" w:sz="4" w:space="0" w:color="auto"/>
            </w:tcBorders>
            <w:vAlign w:val="center"/>
            <w:hideMark/>
          </w:tcPr>
          <w:p w14:paraId="73AE0851" w14:textId="77777777" w:rsidR="00CE5DC9" w:rsidRPr="001A1F6B" w:rsidRDefault="00CE5DC9" w:rsidP="00EF7F4F">
            <w:pPr>
              <w:widowControl w:val="0"/>
              <w:spacing w:before="0" w:after="0"/>
              <w:jc w:val="center"/>
              <w:rPr>
                <w:rFonts w:ascii="Arial Narrow" w:eastAsia="SimSun" w:hAnsi="Arial Narrow" w:cs="Symbol"/>
              </w:rPr>
            </w:pPr>
            <w:r w:rsidRPr="001A1F6B">
              <w:rPr>
                <w:rFonts w:ascii="Arial Narrow" w:eastAsia="SimSun" w:hAnsi="Arial Narrow" w:cs="Symbol"/>
              </w:rPr>
              <w:t>1.9 (25.7, 0.1 to 3.7)</w:t>
            </w:r>
          </w:p>
        </w:tc>
        <w:tc>
          <w:tcPr>
            <w:tcW w:w="600" w:type="pct"/>
            <w:tcBorders>
              <w:top w:val="single" w:sz="4" w:space="0" w:color="auto"/>
              <w:left w:val="single" w:sz="4" w:space="0" w:color="auto"/>
              <w:bottom w:val="single" w:sz="4" w:space="0" w:color="auto"/>
              <w:right w:val="single" w:sz="4" w:space="0" w:color="auto"/>
            </w:tcBorders>
            <w:vAlign w:val="center"/>
            <w:hideMark/>
          </w:tcPr>
          <w:p w14:paraId="7682082E" w14:textId="77777777" w:rsidR="00CE5DC9" w:rsidRPr="001A1F6B" w:rsidRDefault="00CE5DC9" w:rsidP="00EF7F4F">
            <w:pPr>
              <w:widowControl w:val="0"/>
              <w:spacing w:before="0" w:after="0"/>
              <w:jc w:val="center"/>
              <w:rPr>
                <w:rFonts w:ascii="Arial Narrow" w:eastAsia="SimSun" w:hAnsi="Arial Narrow" w:cs="Symbol"/>
              </w:rPr>
            </w:pPr>
            <w:r w:rsidRPr="001A1F6B">
              <w:rPr>
                <w:rFonts w:ascii="Arial Narrow" w:eastAsia="SimSun" w:hAnsi="Arial Narrow" w:cs="Symbol"/>
              </w:rPr>
              <w:t>&lt;0.001</w:t>
            </w:r>
          </w:p>
        </w:tc>
      </w:tr>
      <w:tr w:rsidR="00F71F3F" w:rsidRPr="00CE5DC9" w14:paraId="41360F2B" w14:textId="77777777" w:rsidTr="00B34B97">
        <w:tc>
          <w:tcPr>
            <w:tcW w:w="1963" w:type="pct"/>
            <w:tcBorders>
              <w:top w:val="single" w:sz="4" w:space="0" w:color="auto"/>
              <w:left w:val="single" w:sz="4" w:space="0" w:color="auto"/>
              <w:bottom w:val="single" w:sz="4" w:space="0" w:color="auto"/>
              <w:right w:val="single" w:sz="4" w:space="0" w:color="auto"/>
            </w:tcBorders>
            <w:hideMark/>
          </w:tcPr>
          <w:p w14:paraId="7336DE57" w14:textId="77777777" w:rsidR="00CE5DC9" w:rsidRPr="001A1F6B" w:rsidRDefault="00CE5DC9" w:rsidP="00EF7F4F">
            <w:pPr>
              <w:widowControl w:val="0"/>
              <w:spacing w:before="0" w:after="0"/>
              <w:rPr>
                <w:rFonts w:ascii="Arial Narrow" w:eastAsia="SimSun" w:hAnsi="Arial Narrow" w:cs="Symbol"/>
                <w:b/>
              </w:rPr>
            </w:pPr>
            <w:r w:rsidRPr="001A1F6B">
              <w:rPr>
                <w:rFonts w:ascii="Arial Narrow" w:eastAsia="SimSun" w:hAnsi="Arial Narrow" w:cs="Symbol"/>
                <w:b/>
              </w:rPr>
              <w:t xml:space="preserve">Prescribing quality </w:t>
            </w:r>
          </w:p>
        </w:tc>
        <w:tc>
          <w:tcPr>
            <w:tcW w:w="2437" w:type="pct"/>
            <w:gridSpan w:val="4"/>
            <w:tcBorders>
              <w:top w:val="single" w:sz="4" w:space="0" w:color="auto"/>
              <w:left w:val="single" w:sz="4" w:space="0" w:color="auto"/>
              <w:bottom w:val="single" w:sz="4" w:space="0" w:color="auto"/>
              <w:right w:val="single" w:sz="4" w:space="0" w:color="auto"/>
            </w:tcBorders>
            <w:vAlign w:val="center"/>
          </w:tcPr>
          <w:p w14:paraId="1AFC9895" w14:textId="77777777" w:rsidR="00CE5DC9" w:rsidRPr="001A1F6B" w:rsidRDefault="00CE5DC9" w:rsidP="00EF7F4F">
            <w:pPr>
              <w:widowControl w:val="0"/>
              <w:spacing w:before="0" w:after="0"/>
              <w:jc w:val="center"/>
              <w:rPr>
                <w:rFonts w:ascii="Arial Narrow" w:eastAsia="SimSun" w:hAnsi="Arial Narrow" w:cs="Symbol"/>
              </w:rPr>
            </w:pPr>
          </w:p>
        </w:tc>
        <w:tc>
          <w:tcPr>
            <w:tcW w:w="600" w:type="pct"/>
            <w:tcBorders>
              <w:top w:val="single" w:sz="4" w:space="0" w:color="auto"/>
              <w:left w:val="single" w:sz="4" w:space="0" w:color="auto"/>
              <w:bottom w:val="single" w:sz="4" w:space="0" w:color="auto"/>
              <w:right w:val="single" w:sz="4" w:space="0" w:color="auto"/>
            </w:tcBorders>
            <w:vAlign w:val="center"/>
          </w:tcPr>
          <w:p w14:paraId="67765209" w14:textId="77777777" w:rsidR="00CE5DC9" w:rsidRPr="001A1F6B" w:rsidRDefault="00CE5DC9" w:rsidP="00EF7F4F">
            <w:pPr>
              <w:widowControl w:val="0"/>
              <w:spacing w:before="0" w:after="0"/>
              <w:jc w:val="center"/>
              <w:rPr>
                <w:rFonts w:ascii="Arial Narrow" w:eastAsia="SimSun" w:hAnsi="Arial Narrow" w:cs="Symbol"/>
              </w:rPr>
            </w:pPr>
          </w:p>
        </w:tc>
      </w:tr>
      <w:tr w:rsidR="00F71F3F" w:rsidRPr="00CE5DC9" w14:paraId="2528F67D" w14:textId="77777777" w:rsidTr="00B34B97">
        <w:tc>
          <w:tcPr>
            <w:tcW w:w="1963" w:type="pct"/>
            <w:tcBorders>
              <w:top w:val="single" w:sz="4" w:space="0" w:color="auto"/>
              <w:left w:val="single" w:sz="4" w:space="0" w:color="auto"/>
              <w:bottom w:val="single" w:sz="4" w:space="0" w:color="auto"/>
              <w:right w:val="single" w:sz="4" w:space="0" w:color="auto"/>
            </w:tcBorders>
            <w:hideMark/>
          </w:tcPr>
          <w:p w14:paraId="51F0ADAD" w14:textId="77777777" w:rsidR="00CE5DC9" w:rsidRPr="001A1F6B" w:rsidRDefault="00CE5DC9" w:rsidP="00EF7F4F">
            <w:pPr>
              <w:widowControl w:val="0"/>
              <w:spacing w:before="0" w:after="0"/>
              <w:rPr>
                <w:rFonts w:ascii="Arial Narrow" w:eastAsia="SimSun" w:hAnsi="Arial Narrow" w:cs="Symbol"/>
              </w:rPr>
            </w:pPr>
            <w:r w:rsidRPr="001A1F6B">
              <w:rPr>
                <w:rFonts w:ascii="Arial Narrow" w:eastAsia="SimSun" w:hAnsi="Arial Narrow" w:cs="Symbol"/>
              </w:rPr>
              <w:t>Medication appropriateness index score per participant (relative change)</w:t>
            </w:r>
          </w:p>
        </w:tc>
        <w:tc>
          <w:tcPr>
            <w:tcW w:w="2437" w:type="pct"/>
            <w:gridSpan w:val="4"/>
            <w:tcBorders>
              <w:top w:val="single" w:sz="4" w:space="0" w:color="auto"/>
              <w:left w:val="single" w:sz="4" w:space="0" w:color="auto"/>
              <w:bottom w:val="single" w:sz="4" w:space="0" w:color="auto"/>
              <w:right w:val="single" w:sz="4" w:space="0" w:color="auto"/>
            </w:tcBorders>
            <w:vAlign w:val="center"/>
            <w:hideMark/>
          </w:tcPr>
          <w:p w14:paraId="1943A383" w14:textId="77777777" w:rsidR="00CE5DC9" w:rsidRPr="001A1F6B" w:rsidRDefault="00CE5DC9" w:rsidP="00EF7F4F">
            <w:pPr>
              <w:widowControl w:val="0"/>
              <w:spacing w:before="0" w:after="0"/>
              <w:jc w:val="center"/>
              <w:rPr>
                <w:rFonts w:ascii="Arial Narrow" w:eastAsia="SimSun" w:hAnsi="Arial Narrow" w:cs="Symbol"/>
              </w:rPr>
            </w:pPr>
            <w:r w:rsidRPr="001A1F6B">
              <w:rPr>
                <w:rFonts w:ascii="Arial Narrow" w:eastAsia="SimSun" w:hAnsi="Arial Narrow" w:cs="Symbol"/>
              </w:rPr>
              <w:t>↓46.8%</w:t>
            </w:r>
          </w:p>
        </w:tc>
        <w:tc>
          <w:tcPr>
            <w:tcW w:w="600" w:type="pct"/>
            <w:tcBorders>
              <w:top w:val="single" w:sz="4" w:space="0" w:color="auto"/>
              <w:left w:val="single" w:sz="4" w:space="0" w:color="auto"/>
              <w:bottom w:val="single" w:sz="4" w:space="0" w:color="auto"/>
              <w:right w:val="single" w:sz="4" w:space="0" w:color="auto"/>
            </w:tcBorders>
            <w:vAlign w:val="center"/>
            <w:hideMark/>
          </w:tcPr>
          <w:p w14:paraId="52E48E03" w14:textId="77777777" w:rsidR="00CE5DC9" w:rsidRPr="001A1F6B" w:rsidRDefault="00CE5DC9" w:rsidP="00EF7F4F">
            <w:pPr>
              <w:widowControl w:val="0"/>
              <w:spacing w:before="0" w:after="0"/>
              <w:ind w:left="-38" w:firstLine="38"/>
              <w:jc w:val="center"/>
              <w:rPr>
                <w:rFonts w:ascii="Arial Narrow" w:eastAsia="SimSun" w:hAnsi="Arial Narrow" w:cs="Symbol"/>
              </w:rPr>
            </w:pPr>
            <w:r w:rsidRPr="001A1F6B">
              <w:rPr>
                <w:rFonts w:ascii="Arial Narrow" w:eastAsia="SimSun" w:hAnsi="Arial Narrow" w:cs="Symbol"/>
              </w:rPr>
              <w:t>0.003</w:t>
            </w:r>
          </w:p>
        </w:tc>
      </w:tr>
      <w:tr w:rsidR="00F71F3F" w:rsidRPr="00CE5DC9" w14:paraId="50BEE84F" w14:textId="77777777" w:rsidTr="00B34B97">
        <w:tc>
          <w:tcPr>
            <w:tcW w:w="1963" w:type="pct"/>
            <w:tcBorders>
              <w:top w:val="single" w:sz="4" w:space="0" w:color="auto"/>
              <w:left w:val="single" w:sz="4" w:space="0" w:color="auto"/>
              <w:bottom w:val="single" w:sz="4" w:space="0" w:color="auto"/>
              <w:right w:val="single" w:sz="4" w:space="0" w:color="auto"/>
            </w:tcBorders>
            <w:hideMark/>
          </w:tcPr>
          <w:p w14:paraId="2F84D461" w14:textId="2051369B" w:rsidR="00CE5DC9" w:rsidRPr="001A1F6B" w:rsidRDefault="00CE5DC9" w:rsidP="00EF7F4F">
            <w:pPr>
              <w:widowControl w:val="0"/>
              <w:spacing w:before="0" w:after="0"/>
              <w:rPr>
                <w:rFonts w:ascii="Arial Narrow" w:eastAsia="SimSun" w:hAnsi="Arial Narrow" w:cs="Symbol"/>
              </w:rPr>
            </w:pPr>
            <w:r w:rsidRPr="001A1F6B">
              <w:rPr>
                <w:rFonts w:ascii="Arial Narrow" w:eastAsia="SimSun" w:hAnsi="Arial Narrow" w:cs="Symbol"/>
              </w:rPr>
              <w:t>Mean number of medications per participant with ≥1 inappropriateness rating</w:t>
            </w:r>
            <w:r w:rsidR="003A6FAF" w:rsidRPr="001A1F6B">
              <w:rPr>
                <w:rFonts w:ascii="Arial Narrow" w:eastAsia="SimSun" w:hAnsi="Arial Narrow" w:cs="Symbol"/>
              </w:rPr>
              <w:t xml:space="preserve"> </w:t>
            </w:r>
            <w:r w:rsidRPr="001A1F6B">
              <w:rPr>
                <w:rFonts w:ascii="Arial Narrow" w:eastAsia="SimSun" w:hAnsi="Arial Narrow" w:cs="Symbol"/>
              </w:rPr>
              <w:t>(relative change)</w:t>
            </w:r>
          </w:p>
        </w:tc>
        <w:tc>
          <w:tcPr>
            <w:tcW w:w="2437" w:type="pct"/>
            <w:gridSpan w:val="4"/>
            <w:tcBorders>
              <w:top w:val="single" w:sz="4" w:space="0" w:color="auto"/>
              <w:left w:val="single" w:sz="4" w:space="0" w:color="auto"/>
              <w:bottom w:val="single" w:sz="4" w:space="0" w:color="auto"/>
              <w:right w:val="single" w:sz="4" w:space="0" w:color="auto"/>
            </w:tcBorders>
            <w:vAlign w:val="center"/>
            <w:hideMark/>
          </w:tcPr>
          <w:p w14:paraId="15D46535" w14:textId="77777777" w:rsidR="00CE5DC9" w:rsidRPr="001A1F6B" w:rsidRDefault="00CE5DC9" w:rsidP="00EF7F4F">
            <w:pPr>
              <w:widowControl w:val="0"/>
              <w:spacing w:before="0" w:after="0"/>
              <w:jc w:val="center"/>
              <w:rPr>
                <w:rFonts w:ascii="Arial Narrow" w:eastAsia="SimSun" w:hAnsi="Arial Narrow" w:cs="Symbol"/>
              </w:rPr>
            </w:pPr>
            <w:r w:rsidRPr="001A1F6B">
              <w:rPr>
                <w:rFonts w:ascii="Arial Narrow" w:eastAsia="SimSun" w:hAnsi="Arial Narrow" w:cs="SimSun"/>
                <w:lang w:eastAsia="en-GB"/>
              </w:rPr>
              <w:t>↓44.4%</w:t>
            </w:r>
          </w:p>
        </w:tc>
        <w:tc>
          <w:tcPr>
            <w:tcW w:w="600" w:type="pct"/>
            <w:tcBorders>
              <w:top w:val="single" w:sz="4" w:space="0" w:color="auto"/>
              <w:left w:val="single" w:sz="4" w:space="0" w:color="auto"/>
              <w:bottom w:val="single" w:sz="4" w:space="0" w:color="auto"/>
              <w:right w:val="single" w:sz="4" w:space="0" w:color="auto"/>
            </w:tcBorders>
            <w:vAlign w:val="center"/>
            <w:hideMark/>
          </w:tcPr>
          <w:p w14:paraId="103B5F2D" w14:textId="77777777" w:rsidR="00CE5DC9" w:rsidRPr="001A1F6B" w:rsidRDefault="00CE5DC9" w:rsidP="00EF7F4F">
            <w:pPr>
              <w:widowControl w:val="0"/>
              <w:spacing w:before="0" w:after="0"/>
              <w:ind w:left="-32"/>
              <w:jc w:val="center"/>
              <w:rPr>
                <w:rFonts w:ascii="Arial Narrow" w:eastAsia="SimSun" w:hAnsi="Arial Narrow" w:cs="Symbol"/>
              </w:rPr>
            </w:pPr>
            <w:r w:rsidRPr="001A1F6B">
              <w:rPr>
                <w:rFonts w:ascii="Arial Narrow" w:eastAsia="SimSun" w:hAnsi="Arial Narrow" w:cs="Franklin Gothic Medium"/>
              </w:rPr>
              <w:t>0.001</w:t>
            </w:r>
          </w:p>
        </w:tc>
      </w:tr>
      <w:tr w:rsidR="00F71F3F" w:rsidRPr="00CE5DC9" w14:paraId="59AE9556" w14:textId="77777777" w:rsidTr="00B34B97">
        <w:tc>
          <w:tcPr>
            <w:tcW w:w="1963" w:type="pct"/>
            <w:tcBorders>
              <w:top w:val="single" w:sz="4" w:space="0" w:color="auto"/>
              <w:left w:val="single" w:sz="4" w:space="0" w:color="auto"/>
              <w:bottom w:val="single" w:sz="4" w:space="0" w:color="auto"/>
              <w:right w:val="single" w:sz="4" w:space="0" w:color="auto"/>
            </w:tcBorders>
            <w:hideMark/>
          </w:tcPr>
          <w:p w14:paraId="46E309EC" w14:textId="77777777" w:rsidR="00CE5DC9" w:rsidRPr="001A1F6B" w:rsidRDefault="00CE5DC9" w:rsidP="00EF7F4F">
            <w:pPr>
              <w:widowControl w:val="0"/>
              <w:spacing w:before="0" w:after="0"/>
              <w:ind w:firstLine="22"/>
              <w:rPr>
                <w:rFonts w:ascii="Arial Narrow" w:eastAsia="SimSun" w:hAnsi="Arial Narrow" w:cs="Symbol"/>
              </w:rPr>
            </w:pPr>
            <w:r w:rsidRPr="001A1F6B">
              <w:rPr>
                <w:rFonts w:ascii="Arial Narrow" w:eastAsia="SimSun" w:hAnsi="Arial Narrow" w:cs="Symbol"/>
              </w:rPr>
              <w:t xml:space="preserve">Participants with any medications that met ≥1 overuse criterion </w:t>
            </w:r>
          </w:p>
        </w:tc>
        <w:tc>
          <w:tcPr>
            <w:tcW w:w="2437" w:type="pct"/>
            <w:gridSpan w:val="4"/>
            <w:tcBorders>
              <w:top w:val="single" w:sz="4" w:space="0" w:color="auto"/>
              <w:left w:val="single" w:sz="4" w:space="0" w:color="auto"/>
              <w:bottom w:val="single" w:sz="4" w:space="0" w:color="auto"/>
              <w:right w:val="single" w:sz="4" w:space="0" w:color="auto"/>
            </w:tcBorders>
            <w:vAlign w:val="center"/>
            <w:hideMark/>
          </w:tcPr>
          <w:p w14:paraId="0F0079CE" w14:textId="77777777" w:rsidR="00CE5DC9" w:rsidRPr="001A1F6B" w:rsidRDefault="00CE5DC9" w:rsidP="00EF7F4F">
            <w:pPr>
              <w:widowControl w:val="0"/>
              <w:spacing w:before="0" w:after="0"/>
              <w:ind w:hanging="16"/>
              <w:jc w:val="center"/>
              <w:rPr>
                <w:rFonts w:ascii="Arial Narrow" w:eastAsia="SimSun" w:hAnsi="Arial Narrow" w:cs="Symbol"/>
              </w:rPr>
            </w:pPr>
            <w:r w:rsidRPr="001A1F6B">
              <w:rPr>
                <w:rFonts w:ascii="Arial Narrow" w:eastAsia="SimSun" w:hAnsi="Arial Narrow" w:cs="SimSun"/>
                <w:lang w:eastAsia="en-GB"/>
              </w:rPr>
              <w:t>-12.6%</w:t>
            </w:r>
          </w:p>
        </w:tc>
        <w:tc>
          <w:tcPr>
            <w:tcW w:w="600" w:type="pct"/>
            <w:tcBorders>
              <w:top w:val="single" w:sz="4" w:space="0" w:color="auto"/>
              <w:left w:val="single" w:sz="4" w:space="0" w:color="auto"/>
              <w:bottom w:val="single" w:sz="4" w:space="0" w:color="auto"/>
              <w:right w:val="single" w:sz="4" w:space="0" w:color="auto"/>
            </w:tcBorders>
            <w:vAlign w:val="center"/>
            <w:hideMark/>
          </w:tcPr>
          <w:p w14:paraId="204D89DD" w14:textId="77777777" w:rsidR="00CE5DC9" w:rsidRPr="001A1F6B" w:rsidRDefault="00CE5DC9" w:rsidP="00EF7F4F">
            <w:pPr>
              <w:widowControl w:val="0"/>
              <w:spacing w:before="0" w:after="0"/>
              <w:jc w:val="center"/>
              <w:rPr>
                <w:rFonts w:ascii="Arial Narrow" w:eastAsia="SimSun" w:hAnsi="Arial Narrow" w:cs="Symbol"/>
              </w:rPr>
            </w:pPr>
            <w:r w:rsidRPr="001A1F6B">
              <w:rPr>
                <w:rFonts w:ascii="Arial Narrow" w:eastAsia="SimSun" w:hAnsi="Arial Narrow" w:cs="SimSun"/>
                <w:lang w:eastAsia="en-GB"/>
              </w:rPr>
              <w:t>&lt;0.001</w:t>
            </w:r>
          </w:p>
        </w:tc>
      </w:tr>
      <w:tr w:rsidR="00F71F3F" w:rsidRPr="00CE5DC9" w14:paraId="1A75DCE4" w14:textId="77777777" w:rsidTr="00B34B97">
        <w:tc>
          <w:tcPr>
            <w:tcW w:w="1963" w:type="pct"/>
            <w:tcBorders>
              <w:top w:val="single" w:sz="4" w:space="0" w:color="auto"/>
              <w:left w:val="single" w:sz="4" w:space="0" w:color="auto"/>
              <w:bottom w:val="single" w:sz="4" w:space="0" w:color="auto"/>
              <w:right w:val="single" w:sz="4" w:space="0" w:color="auto"/>
            </w:tcBorders>
            <w:hideMark/>
          </w:tcPr>
          <w:p w14:paraId="19A3EAF9" w14:textId="77777777" w:rsidR="00CE5DC9" w:rsidRPr="001A1F6B" w:rsidRDefault="00CE5DC9" w:rsidP="00EF7F4F">
            <w:pPr>
              <w:widowControl w:val="0"/>
              <w:spacing w:before="0" w:after="0"/>
              <w:rPr>
                <w:rFonts w:ascii="Arial Narrow" w:eastAsia="SimSun" w:hAnsi="Arial Narrow" w:cs="Symbol"/>
              </w:rPr>
            </w:pPr>
            <w:r w:rsidRPr="001A1F6B">
              <w:rPr>
                <w:rFonts w:ascii="Arial Narrow" w:eastAsia="SimSun" w:hAnsi="Arial Narrow" w:cs="Symbol"/>
              </w:rPr>
              <w:t>Mean PPOs/participant (relative change))</w:t>
            </w:r>
          </w:p>
        </w:tc>
        <w:tc>
          <w:tcPr>
            <w:tcW w:w="2437" w:type="pct"/>
            <w:gridSpan w:val="4"/>
            <w:tcBorders>
              <w:top w:val="single" w:sz="4" w:space="0" w:color="auto"/>
              <w:left w:val="single" w:sz="4" w:space="0" w:color="auto"/>
              <w:bottom w:val="single" w:sz="4" w:space="0" w:color="auto"/>
              <w:right w:val="single" w:sz="4" w:space="0" w:color="auto"/>
            </w:tcBorders>
            <w:vAlign w:val="center"/>
            <w:hideMark/>
          </w:tcPr>
          <w:p w14:paraId="407A070F" w14:textId="77777777" w:rsidR="00CE5DC9" w:rsidRPr="001A1F6B" w:rsidRDefault="00CE5DC9" w:rsidP="00EF7F4F">
            <w:pPr>
              <w:widowControl w:val="0"/>
              <w:spacing w:before="0" w:after="0"/>
              <w:jc w:val="center"/>
              <w:rPr>
                <w:rFonts w:ascii="Arial Narrow" w:eastAsia="SimSun" w:hAnsi="Arial Narrow" w:cs="Symbol"/>
              </w:rPr>
            </w:pPr>
            <w:r w:rsidRPr="001A1F6B">
              <w:rPr>
                <w:rFonts w:ascii="Arial Narrow" w:eastAsia="SimSun" w:hAnsi="Arial Narrow" w:cs="Symbol"/>
              </w:rPr>
              <w:t>↓60.3%</w:t>
            </w:r>
          </w:p>
        </w:tc>
        <w:tc>
          <w:tcPr>
            <w:tcW w:w="600" w:type="pct"/>
            <w:tcBorders>
              <w:top w:val="single" w:sz="4" w:space="0" w:color="auto"/>
              <w:left w:val="single" w:sz="4" w:space="0" w:color="auto"/>
              <w:bottom w:val="single" w:sz="4" w:space="0" w:color="auto"/>
              <w:right w:val="single" w:sz="4" w:space="0" w:color="auto"/>
            </w:tcBorders>
            <w:vAlign w:val="center"/>
            <w:hideMark/>
          </w:tcPr>
          <w:p w14:paraId="246D918F" w14:textId="77777777" w:rsidR="00CE5DC9" w:rsidRPr="001A1F6B" w:rsidRDefault="00CE5DC9" w:rsidP="00EF7F4F">
            <w:pPr>
              <w:widowControl w:val="0"/>
              <w:spacing w:before="0" w:after="0"/>
              <w:ind w:left="-24"/>
              <w:jc w:val="center"/>
              <w:rPr>
                <w:rFonts w:ascii="Arial Narrow" w:eastAsia="SimSun" w:hAnsi="Arial Narrow" w:cs="Symbol"/>
              </w:rPr>
            </w:pPr>
            <w:r w:rsidRPr="001A1F6B">
              <w:rPr>
                <w:rFonts w:ascii="Arial Narrow" w:eastAsia="SimSun" w:hAnsi="Arial Narrow" w:cs="Symbol"/>
              </w:rPr>
              <w:t>&lt;0.001</w:t>
            </w:r>
          </w:p>
        </w:tc>
      </w:tr>
      <w:tr w:rsidR="00F71F3F" w:rsidRPr="00CE5DC9" w14:paraId="5BF20EE7" w14:textId="77777777" w:rsidTr="00B34B97">
        <w:tc>
          <w:tcPr>
            <w:tcW w:w="1963" w:type="pct"/>
            <w:tcBorders>
              <w:top w:val="single" w:sz="4" w:space="0" w:color="auto"/>
              <w:left w:val="single" w:sz="4" w:space="0" w:color="auto"/>
              <w:bottom w:val="single" w:sz="4" w:space="0" w:color="auto"/>
              <w:right w:val="single" w:sz="4" w:space="0" w:color="auto"/>
            </w:tcBorders>
            <w:hideMark/>
          </w:tcPr>
          <w:p w14:paraId="36A7C44F" w14:textId="77777777" w:rsidR="00CE5DC9" w:rsidRPr="001A1F6B" w:rsidRDefault="00CE5DC9" w:rsidP="00EF7F4F">
            <w:pPr>
              <w:widowControl w:val="0"/>
              <w:spacing w:before="0" w:after="0"/>
              <w:rPr>
                <w:rFonts w:ascii="Arial Narrow" w:eastAsia="SimSun" w:hAnsi="Arial Narrow" w:cs="Symbol"/>
                <w:b/>
              </w:rPr>
            </w:pPr>
            <w:r w:rsidRPr="001A1F6B">
              <w:rPr>
                <w:rFonts w:ascii="Arial Narrow" w:eastAsia="SimSun" w:hAnsi="Arial Narrow" w:cs="Symbol"/>
                <w:b/>
              </w:rPr>
              <w:t>Medication reviews</w:t>
            </w:r>
          </w:p>
        </w:tc>
        <w:tc>
          <w:tcPr>
            <w:tcW w:w="2437" w:type="pct"/>
            <w:gridSpan w:val="4"/>
            <w:tcBorders>
              <w:top w:val="single" w:sz="4" w:space="0" w:color="auto"/>
              <w:left w:val="single" w:sz="4" w:space="0" w:color="auto"/>
              <w:bottom w:val="single" w:sz="4" w:space="0" w:color="auto"/>
              <w:right w:val="single" w:sz="4" w:space="0" w:color="auto"/>
            </w:tcBorders>
            <w:vAlign w:val="center"/>
          </w:tcPr>
          <w:p w14:paraId="5D22EE5A" w14:textId="77777777" w:rsidR="00CE5DC9" w:rsidRPr="001A1F6B" w:rsidRDefault="00CE5DC9" w:rsidP="00EF7F4F">
            <w:pPr>
              <w:widowControl w:val="0"/>
              <w:spacing w:before="0" w:after="0"/>
              <w:jc w:val="center"/>
              <w:rPr>
                <w:rFonts w:ascii="Arial Narrow" w:eastAsia="SimSun" w:hAnsi="Arial Narrow" w:cs="Symbol"/>
              </w:rPr>
            </w:pPr>
          </w:p>
        </w:tc>
        <w:tc>
          <w:tcPr>
            <w:tcW w:w="600" w:type="pct"/>
            <w:tcBorders>
              <w:top w:val="single" w:sz="4" w:space="0" w:color="auto"/>
              <w:left w:val="single" w:sz="4" w:space="0" w:color="auto"/>
              <w:bottom w:val="single" w:sz="4" w:space="0" w:color="auto"/>
              <w:right w:val="single" w:sz="4" w:space="0" w:color="auto"/>
            </w:tcBorders>
            <w:vAlign w:val="center"/>
          </w:tcPr>
          <w:p w14:paraId="201EE2DE" w14:textId="77777777" w:rsidR="00CE5DC9" w:rsidRPr="001A1F6B" w:rsidRDefault="00CE5DC9" w:rsidP="00EF7F4F">
            <w:pPr>
              <w:widowControl w:val="0"/>
              <w:spacing w:before="0" w:after="0"/>
              <w:jc w:val="center"/>
              <w:rPr>
                <w:rFonts w:ascii="Arial Narrow" w:eastAsia="SimSun" w:hAnsi="Arial Narrow" w:cs="Symbol"/>
              </w:rPr>
            </w:pPr>
          </w:p>
        </w:tc>
      </w:tr>
      <w:tr w:rsidR="00F71F3F" w:rsidRPr="00CE5DC9" w14:paraId="4D418DB2" w14:textId="77777777" w:rsidTr="00B34B97">
        <w:tc>
          <w:tcPr>
            <w:tcW w:w="1963" w:type="pct"/>
            <w:tcBorders>
              <w:top w:val="single" w:sz="4" w:space="0" w:color="auto"/>
              <w:left w:val="single" w:sz="4" w:space="0" w:color="auto"/>
              <w:bottom w:val="single" w:sz="4" w:space="0" w:color="auto"/>
              <w:right w:val="single" w:sz="4" w:space="0" w:color="auto"/>
            </w:tcBorders>
            <w:hideMark/>
          </w:tcPr>
          <w:p w14:paraId="70328CDB" w14:textId="77777777" w:rsidR="00CE5DC9" w:rsidRPr="001A1F6B" w:rsidRDefault="00CE5DC9" w:rsidP="00EF7F4F">
            <w:pPr>
              <w:widowControl w:val="0"/>
              <w:spacing w:before="0" w:after="0"/>
              <w:rPr>
                <w:rFonts w:ascii="Arial Narrow" w:eastAsia="SimSun" w:hAnsi="Arial Narrow" w:cs="Symbol"/>
              </w:rPr>
            </w:pPr>
            <w:r w:rsidRPr="001A1F6B">
              <w:rPr>
                <w:rFonts w:ascii="Arial Narrow" w:eastAsia="SimSun" w:hAnsi="Arial Narrow" w:cs="Symbol"/>
              </w:rPr>
              <w:t>Participants with HMR (%)</w:t>
            </w:r>
          </w:p>
        </w:tc>
        <w:tc>
          <w:tcPr>
            <w:tcW w:w="2437" w:type="pct"/>
            <w:gridSpan w:val="4"/>
            <w:tcBorders>
              <w:top w:val="single" w:sz="4" w:space="0" w:color="auto"/>
              <w:left w:val="single" w:sz="4" w:space="0" w:color="auto"/>
              <w:bottom w:val="single" w:sz="4" w:space="0" w:color="auto"/>
              <w:right w:val="single" w:sz="4" w:space="0" w:color="auto"/>
            </w:tcBorders>
            <w:vAlign w:val="center"/>
            <w:hideMark/>
          </w:tcPr>
          <w:p w14:paraId="5E529EB3" w14:textId="77777777" w:rsidR="00CE5DC9" w:rsidRPr="001A1F6B" w:rsidRDefault="00CE5DC9" w:rsidP="00EF7F4F">
            <w:pPr>
              <w:widowControl w:val="0"/>
              <w:spacing w:before="0" w:after="0"/>
              <w:jc w:val="center"/>
              <w:rPr>
                <w:rFonts w:ascii="Arial Narrow" w:eastAsia="SimSun" w:hAnsi="Arial Narrow" w:cs="Symbol"/>
              </w:rPr>
            </w:pPr>
            <w:r w:rsidRPr="001A1F6B">
              <w:rPr>
                <w:rFonts w:ascii="Arial Narrow" w:eastAsia="SimSun" w:hAnsi="Arial Narrow" w:cs="Symbol"/>
              </w:rPr>
              <w:t>41.8%</w:t>
            </w:r>
          </w:p>
        </w:tc>
        <w:tc>
          <w:tcPr>
            <w:tcW w:w="600" w:type="pct"/>
            <w:tcBorders>
              <w:top w:val="single" w:sz="4" w:space="0" w:color="auto"/>
              <w:left w:val="single" w:sz="4" w:space="0" w:color="auto"/>
              <w:bottom w:val="single" w:sz="4" w:space="0" w:color="auto"/>
              <w:right w:val="single" w:sz="4" w:space="0" w:color="auto"/>
            </w:tcBorders>
            <w:vAlign w:val="center"/>
            <w:hideMark/>
          </w:tcPr>
          <w:p w14:paraId="229F1DA8" w14:textId="77777777" w:rsidR="00CE5DC9" w:rsidRPr="001A1F6B" w:rsidRDefault="00CE5DC9" w:rsidP="00EF7F4F">
            <w:pPr>
              <w:widowControl w:val="0"/>
              <w:spacing w:before="0" w:after="0"/>
              <w:ind w:left="-24"/>
              <w:jc w:val="center"/>
              <w:rPr>
                <w:rFonts w:ascii="Arial Narrow" w:eastAsia="SimSun" w:hAnsi="Arial Narrow" w:cs="Symbol"/>
              </w:rPr>
            </w:pPr>
            <w:r w:rsidRPr="001A1F6B">
              <w:rPr>
                <w:rFonts w:ascii="Arial Narrow" w:eastAsia="SimSun" w:hAnsi="Arial Narrow" w:cs="Symbol"/>
              </w:rPr>
              <w:t>-</w:t>
            </w:r>
          </w:p>
        </w:tc>
      </w:tr>
      <w:tr w:rsidR="00F71F3F" w:rsidRPr="00CE5DC9" w14:paraId="26E5170F" w14:textId="77777777" w:rsidTr="00B34B97">
        <w:tc>
          <w:tcPr>
            <w:tcW w:w="1963" w:type="pct"/>
            <w:tcBorders>
              <w:top w:val="single" w:sz="4" w:space="0" w:color="auto"/>
              <w:left w:val="single" w:sz="4" w:space="0" w:color="auto"/>
              <w:bottom w:val="single" w:sz="4" w:space="0" w:color="auto"/>
              <w:right w:val="single" w:sz="4" w:space="0" w:color="auto"/>
            </w:tcBorders>
            <w:hideMark/>
          </w:tcPr>
          <w:p w14:paraId="66E5D36F" w14:textId="77777777" w:rsidR="00CE5DC9" w:rsidRPr="001A1F6B" w:rsidRDefault="00CE5DC9" w:rsidP="00EF7F4F">
            <w:pPr>
              <w:widowControl w:val="0"/>
              <w:spacing w:before="0" w:after="0"/>
              <w:rPr>
                <w:rFonts w:ascii="Arial Narrow" w:eastAsia="SimSun" w:hAnsi="Arial Narrow" w:cs="Symbol"/>
              </w:rPr>
            </w:pPr>
            <w:r w:rsidRPr="001A1F6B">
              <w:rPr>
                <w:rFonts w:ascii="Arial Narrow" w:eastAsia="SimSun" w:hAnsi="Arial Narrow" w:cs="Symbol"/>
              </w:rPr>
              <w:t>Participants with non-HMR</w:t>
            </w:r>
          </w:p>
        </w:tc>
        <w:tc>
          <w:tcPr>
            <w:tcW w:w="2437" w:type="pct"/>
            <w:gridSpan w:val="4"/>
            <w:tcBorders>
              <w:top w:val="single" w:sz="4" w:space="0" w:color="auto"/>
              <w:left w:val="single" w:sz="4" w:space="0" w:color="auto"/>
              <w:bottom w:val="single" w:sz="4" w:space="0" w:color="auto"/>
              <w:right w:val="single" w:sz="4" w:space="0" w:color="auto"/>
            </w:tcBorders>
            <w:vAlign w:val="center"/>
            <w:hideMark/>
          </w:tcPr>
          <w:p w14:paraId="19ED2723" w14:textId="77777777" w:rsidR="00CE5DC9" w:rsidRPr="001A1F6B" w:rsidRDefault="00CE5DC9" w:rsidP="00EF7F4F">
            <w:pPr>
              <w:widowControl w:val="0"/>
              <w:spacing w:before="0" w:after="0"/>
              <w:jc w:val="center"/>
              <w:rPr>
                <w:rFonts w:ascii="Arial Narrow" w:eastAsia="SimSun" w:hAnsi="Arial Narrow" w:cs="Symbol"/>
              </w:rPr>
            </w:pPr>
            <w:r w:rsidRPr="001A1F6B">
              <w:rPr>
                <w:rFonts w:ascii="Arial Narrow" w:eastAsia="SimSun" w:hAnsi="Arial Narrow" w:cs="Symbol"/>
              </w:rPr>
              <w:t xml:space="preserve">49.4% </w:t>
            </w:r>
          </w:p>
        </w:tc>
        <w:tc>
          <w:tcPr>
            <w:tcW w:w="600" w:type="pct"/>
            <w:tcBorders>
              <w:top w:val="single" w:sz="4" w:space="0" w:color="auto"/>
              <w:left w:val="single" w:sz="4" w:space="0" w:color="auto"/>
              <w:bottom w:val="single" w:sz="4" w:space="0" w:color="auto"/>
              <w:right w:val="single" w:sz="4" w:space="0" w:color="auto"/>
            </w:tcBorders>
            <w:vAlign w:val="center"/>
            <w:hideMark/>
          </w:tcPr>
          <w:p w14:paraId="3A032D13" w14:textId="77777777" w:rsidR="00CE5DC9" w:rsidRPr="001A1F6B" w:rsidRDefault="00CE5DC9" w:rsidP="00EF7F4F">
            <w:pPr>
              <w:widowControl w:val="0"/>
              <w:spacing w:before="0" w:after="0"/>
              <w:jc w:val="center"/>
              <w:rPr>
                <w:rFonts w:ascii="Arial Narrow" w:eastAsia="SimSun" w:hAnsi="Arial Narrow" w:cs="Symbol"/>
              </w:rPr>
            </w:pPr>
            <w:r w:rsidRPr="001A1F6B">
              <w:rPr>
                <w:rFonts w:ascii="Arial Narrow" w:eastAsia="SimSun" w:hAnsi="Arial Narrow" w:cs="Symbol"/>
              </w:rPr>
              <w:t>-</w:t>
            </w:r>
          </w:p>
        </w:tc>
      </w:tr>
      <w:tr w:rsidR="00F71F3F" w:rsidRPr="00CE5DC9" w14:paraId="18AB5F9C" w14:textId="77777777" w:rsidTr="00B34B97">
        <w:tc>
          <w:tcPr>
            <w:tcW w:w="1963" w:type="pct"/>
            <w:tcBorders>
              <w:top w:val="single" w:sz="4" w:space="0" w:color="auto"/>
              <w:left w:val="single" w:sz="4" w:space="0" w:color="auto"/>
              <w:bottom w:val="single" w:sz="4" w:space="0" w:color="auto"/>
              <w:right w:val="single" w:sz="4" w:space="0" w:color="auto"/>
            </w:tcBorders>
            <w:hideMark/>
          </w:tcPr>
          <w:p w14:paraId="3DB2562B" w14:textId="77777777" w:rsidR="00CE5DC9" w:rsidRPr="001A1F6B" w:rsidRDefault="00CE5DC9" w:rsidP="00EF7F4F">
            <w:pPr>
              <w:widowControl w:val="0"/>
              <w:spacing w:before="0" w:after="0"/>
              <w:rPr>
                <w:rFonts w:ascii="Arial Narrow" w:eastAsia="SimSun" w:hAnsi="Arial Narrow" w:cs="Symbol"/>
                <w:b/>
              </w:rPr>
            </w:pPr>
            <w:r w:rsidRPr="001A1F6B">
              <w:rPr>
                <w:rFonts w:ascii="Arial Narrow" w:eastAsia="SimSun" w:hAnsi="Arial Narrow" w:cs="Symbol"/>
                <w:b/>
              </w:rPr>
              <w:t>Adherence to medications</w:t>
            </w:r>
          </w:p>
        </w:tc>
        <w:tc>
          <w:tcPr>
            <w:tcW w:w="2437" w:type="pct"/>
            <w:gridSpan w:val="4"/>
            <w:tcBorders>
              <w:top w:val="single" w:sz="4" w:space="0" w:color="auto"/>
              <w:left w:val="single" w:sz="4" w:space="0" w:color="auto"/>
              <w:bottom w:val="single" w:sz="4" w:space="0" w:color="auto"/>
              <w:right w:val="single" w:sz="4" w:space="0" w:color="auto"/>
            </w:tcBorders>
            <w:vAlign w:val="center"/>
          </w:tcPr>
          <w:p w14:paraId="7DA0808A" w14:textId="77777777" w:rsidR="00CE5DC9" w:rsidRPr="001A1F6B" w:rsidRDefault="00CE5DC9" w:rsidP="00EF7F4F">
            <w:pPr>
              <w:widowControl w:val="0"/>
              <w:spacing w:before="0" w:after="0"/>
              <w:jc w:val="center"/>
              <w:rPr>
                <w:rFonts w:ascii="Arial Narrow" w:eastAsia="SimSun" w:hAnsi="Arial Narrow" w:cs="Symbol"/>
              </w:rPr>
            </w:pPr>
          </w:p>
        </w:tc>
        <w:tc>
          <w:tcPr>
            <w:tcW w:w="600" w:type="pct"/>
            <w:tcBorders>
              <w:top w:val="single" w:sz="4" w:space="0" w:color="auto"/>
              <w:left w:val="single" w:sz="4" w:space="0" w:color="auto"/>
              <w:bottom w:val="single" w:sz="4" w:space="0" w:color="auto"/>
              <w:right w:val="single" w:sz="4" w:space="0" w:color="auto"/>
            </w:tcBorders>
            <w:vAlign w:val="center"/>
          </w:tcPr>
          <w:p w14:paraId="117034EF" w14:textId="77777777" w:rsidR="00CE5DC9" w:rsidRPr="001A1F6B" w:rsidRDefault="00CE5DC9" w:rsidP="00EF7F4F">
            <w:pPr>
              <w:widowControl w:val="0"/>
              <w:spacing w:before="0" w:after="0"/>
              <w:jc w:val="center"/>
              <w:rPr>
                <w:rFonts w:ascii="Arial Narrow" w:eastAsia="SimSun" w:hAnsi="Arial Narrow" w:cs="Symbol"/>
              </w:rPr>
            </w:pPr>
          </w:p>
        </w:tc>
      </w:tr>
      <w:tr w:rsidR="00F71F3F" w:rsidRPr="00CE5DC9" w14:paraId="2279E543" w14:textId="77777777" w:rsidTr="00B34B97">
        <w:tc>
          <w:tcPr>
            <w:tcW w:w="1963" w:type="pct"/>
            <w:tcBorders>
              <w:top w:val="single" w:sz="4" w:space="0" w:color="auto"/>
              <w:left w:val="single" w:sz="4" w:space="0" w:color="auto"/>
              <w:bottom w:val="single" w:sz="4" w:space="0" w:color="auto"/>
              <w:right w:val="single" w:sz="4" w:space="0" w:color="auto"/>
            </w:tcBorders>
            <w:hideMark/>
          </w:tcPr>
          <w:p w14:paraId="017FB2A7" w14:textId="77777777" w:rsidR="00CE5DC9" w:rsidRPr="001A1F6B" w:rsidRDefault="00CE5DC9" w:rsidP="00EF7F4F">
            <w:pPr>
              <w:widowControl w:val="0"/>
              <w:spacing w:before="0" w:after="0"/>
              <w:rPr>
                <w:rFonts w:ascii="Arial Narrow" w:eastAsia="SimSun" w:hAnsi="Arial Narrow" w:cs="Symbol"/>
              </w:rPr>
            </w:pPr>
            <w:proofErr w:type="gramStart"/>
            <w:r w:rsidRPr="001A1F6B">
              <w:rPr>
                <w:rFonts w:ascii="Arial Narrow" w:eastAsia="SimSun" w:hAnsi="Arial Narrow" w:cs="Symbol"/>
              </w:rPr>
              <w:t>Participants</w:t>
            </w:r>
            <w:proofErr w:type="gramEnd"/>
            <w:r w:rsidRPr="001A1F6B">
              <w:rPr>
                <w:rFonts w:ascii="Arial Narrow" w:eastAsia="SimSun" w:hAnsi="Arial Narrow" w:cs="Symbol"/>
              </w:rPr>
              <w:t xml:space="preserve"> adherent (NMARS, absolute change)</w:t>
            </w:r>
          </w:p>
        </w:tc>
        <w:tc>
          <w:tcPr>
            <w:tcW w:w="2437" w:type="pct"/>
            <w:gridSpan w:val="4"/>
            <w:tcBorders>
              <w:top w:val="single" w:sz="4" w:space="0" w:color="auto"/>
              <w:left w:val="single" w:sz="4" w:space="0" w:color="auto"/>
              <w:bottom w:val="single" w:sz="4" w:space="0" w:color="auto"/>
              <w:right w:val="single" w:sz="4" w:space="0" w:color="auto"/>
            </w:tcBorders>
            <w:vAlign w:val="center"/>
            <w:hideMark/>
          </w:tcPr>
          <w:p w14:paraId="1AF54F04" w14:textId="77777777" w:rsidR="00CE5DC9" w:rsidRPr="001A1F6B" w:rsidRDefault="00CE5DC9" w:rsidP="00EF7F4F">
            <w:pPr>
              <w:widowControl w:val="0"/>
              <w:spacing w:before="0" w:after="0"/>
              <w:jc w:val="center"/>
              <w:rPr>
                <w:rFonts w:ascii="Arial Narrow" w:eastAsia="SimSun" w:hAnsi="Arial Narrow" w:cs="Symbol"/>
              </w:rPr>
            </w:pPr>
            <w:r w:rsidRPr="001A1F6B">
              <w:rPr>
                <w:rFonts w:ascii="Arial Narrow" w:eastAsia="SimSun" w:hAnsi="Arial Narrow" w:cs="SimSun"/>
                <w:lang w:eastAsia="en-GB"/>
              </w:rPr>
              <w:t>↑</w:t>
            </w:r>
            <w:r w:rsidRPr="001A1F6B">
              <w:rPr>
                <w:rFonts w:ascii="Arial Narrow" w:eastAsia="SimSun" w:hAnsi="Arial Narrow" w:cs="Symbol"/>
              </w:rPr>
              <w:t xml:space="preserve">12.8% </w:t>
            </w:r>
          </w:p>
        </w:tc>
        <w:tc>
          <w:tcPr>
            <w:tcW w:w="600" w:type="pct"/>
            <w:tcBorders>
              <w:top w:val="single" w:sz="4" w:space="0" w:color="auto"/>
              <w:left w:val="single" w:sz="4" w:space="0" w:color="auto"/>
              <w:bottom w:val="single" w:sz="4" w:space="0" w:color="auto"/>
              <w:right w:val="single" w:sz="4" w:space="0" w:color="auto"/>
            </w:tcBorders>
            <w:vAlign w:val="center"/>
            <w:hideMark/>
          </w:tcPr>
          <w:p w14:paraId="4FE51595" w14:textId="77777777" w:rsidR="00CE5DC9" w:rsidRPr="001A1F6B" w:rsidRDefault="00CE5DC9" w:rsidP="00EF7F4F">
            <w:pPr>
              <w:widowControl w:val="0"/>
              <w:spacing w:before="0" w:after="0"/>
              <w:ind w:hanging="24"/>
              <w:jc w:val="center"/>
              <w:rPr>
                <w:rFonts w:ascii="Arial Narrow" w:eastAsia="SimSun" w:hAnsi="Arial Narrow" w:cs="Symbol"/>
              </w:rPr>
            </w:pPr>
            <w:r w:rsidRPr="001A1F6B">
              <w:rPr>
                <w:rFonts w:ascii="Arial Narrow" w:eastAsia="SimSun" w:hAnsi="Arial Narrow" w:cs="Symbol"/>
              </w:rPr>
              <w:t>&lt;0.001</w:t>
            </w:r>
          </w:p>
        </w:tc>
      </w:tr>
      <w:tr w:rsidR="00F71F3F" w:rsidRPr="00CE5DC9" w14:paraId="589C7F8B" w14:textId="77777777" w:rsidTr="00B34B97">
        <w:tc>
          <w:tcPr>
            <w:tcW w:w="1963" w:type="pct"/>
            <w:tcBorders>
              <w:top w:val="single" w:sz="4" w:space="0" w:color="auto"/>
              <w:left w:val="single" w:sz="4" w:space="0" w:color="auto"/>
              <w:bottom w:val="single" w:sz="4" w:space="0" w:color="auto"/>
              <w:right w:val="single" w:sz="4" w:space="0" w:color="auto"/>
            </w:tcBorders>
            <w:hideMark/>
          </w:tcPr>
          <w:p w14:paraId="395CFB54" w14:textId="77777777" w:rsidR="00CE5DC9" w:rsidRPr="001A1F6B" w:rsidRDefault="00CE5DC9" w:rsidP="00EF7F4F">
            <w:pPr>
              <w:widowControl w:val="0"/>
              <w:spacing w:before="0" w:after="0"/>
              <w:rPr>
                <w:rFonts w:ascii="Arial Narrow" w:eastAsia="SimSun" w:hAnsi="Arial Narrow" w:cs="Symbol"/>
              </w:rPr>
            </w:pPr>
            <w:proofErr w:type="gramStart"/>
            <w:r w:rsidRPr="001A1F6B">
              <w:rPr>
                <w:rFonts w:ascii="Arial Narrow" w:eastAsia="SimSun" w:hAnsi="Arial Narrow" w:cs="Symbol"/>
              </w:rPr>
              <w:t>Participants</w:t>
            </w:r>
            <w:proofErr w:type="gramEnd"/>
            <w:r w:rsidRPr="001A1F6B">
              <w:rPr>
                <w:rFonts w:ascii="Arial Narrow" w:eastAsia="SimSun" w:hAnsi="Arial Narrow" w:cs="Symbol"/>
              </w:rPr>
              <w:t xml:space="preserve"> adherent (SIQ, absolute change)</w:t>
            </w:r>
          </w:p>
        </w:tc>
        <w:tc>
          <w:tcPr>
            <w:tcW w:w="2437" w:type="pct"/>
            <w:gridSpan w:val="4"/>
            <w:tcBorders>
              <w:top w:val="single" w:sz="4" w:space="0" w:color="auto"/>
              <w:left w:val="single" w:sz="4" w:space="0" w:color="auto"/>
              <w:bottom w:val="single" w:sz="4" w:space="0" w:color="auto"/>
              <w:right w:val="single" w:sz="4" w:space="0" w:color="auto"/>
            </w:tcBorders>
            <w:vAlign w:val="center"/>
            <w:hideMark/>
          </w:tcPr>
          <w:p w14:paraId="3F22A400" w14:textId="77777777" w:rsidR="00CE5DC9" w:rsidRPr="001A1F6B" w:rsidRDefault="00CE5DC9" w:rsidP="00EF7F4F">
            <w:pPr>
              <w:widowControl w:val="0"/>
              <w:spacing w:before="0" w:after="0"/>
              <w:jc w:val="center"/>
              <w:rPr>
                <w:rFonts w:ascii="Arial Narrow" w:eastAsia="SimSun" w:hAnsi="Arial Narrow" w:cs="Symbol"/>
              </w:rPr>
            </w:pPr>
            <w:r w:rsidRPr="001A1F6B">
              <w:rPr>
                <w:rFonts w:ascii="Arial Narrow" w:eastAsia="SimSun" w:hAnsi="Arial Narrow" w:cs="SimSun"/>
                <w:lang w:eastAsia="en-GB"/>
              </w:rPr>
              <w:t>↑</w:t>
            </w:r>
            <w:r w:rsidRPr="001A1F6B">
              <w:rPr>
                <w:rFonts w:ascii="Arial Narrow" w:eastAsia="SimSun" w:hAnsi="Arial Narrow" w:cs="Symbol"/>
              </w:rPr>
              <w:t>10.3%</w:t>
            </w:r>
          </w:p>
        </w:tc>
        <w:tc>
          <w:tcPr>
            <w:tcW w:w="600" w:type="pct"/>
            <w:tcBorders>
              <w:top w:val="single" w:sz="4" w:space="0" w:color="auto"/>
              <w:left w:val="single" w:sz="4" w:space="0" w:color="auto"/>
              <w:bottom w:val="single" w:sz="4" w:space="0" w:color="auto"/>
              <w:right w:val="single" w:sz="4" w:space="0" w:color="auto"/>
            </w:tcBorders>
            <w:vAlign w:val="center"/>
            <w:hideMark/>
          </w:tcPr>
          <w:p w14:paraId="2EFA6FB7" w14:textId="77777777" w:rsidR="00CE5DC9" w:rsidRPr="001A1F6B" w:rsidRDefault="00CE5DC9" w:rsidP="00EF7F4F">
            <w:pPr>
              <w:widowControl w:val="0"/>
              <w:spacing w:before="0" w:after="0"/>
              <w:jc w:val="center"/>
              <w:rPr>
                <w:rFonts w:ascii="Arial Narrow" w:eastAsia="SimSun" w:hAnsi="Arial Narrow" w:cs="Symbol"/>
              </w:rPr>
            </w:pPr>
            <w:r w:rsidRPr="001A1F6B">
              <w:rPr>
                <w:rFonts w:ascii="Arial Narrow" w:eastAsia="SimSun" w:hAnsi="Arial Narrow" w:cs="Symbol"/>
              </w:rPr>
              <w:t>&lt;0.001</w:t>
            </w:r>
          </w:p>
        </w:tc>
      </w:tr>
      <w:tr w:rsidR="00F71F3F" w:rsidRPr="00CE5DC9" w14:paraId="14FC11B6" w14:textId="77777777" w:rsidTr="00B34B97">
        <w:tc>
          <w:tcPr>
            <w:tcW w:w="1963" w:type="pct"/>
            <w:tcBorders>
              <w:top w:val="single" w:sz="4" w:space="0" w:color="auto"/>
              <w:left w:val="single" w:sz="4" w:space="0" w:color="auto"/>
              <w:bottom w:val="single" w:sz="4" w:space="0" w:color="auto"/>
              <w:right w:val="single" w:sz="4" w:space="0" w:color="auto"/>
            </w:tcBorders>
            <w:hideMark/>
          </w:tcPr>
          <w:p w14:paraId="06D5DCF4" w14:textId="77777777" w:rsidR="00CE5DC9" w:rsidRPr="001A1F6B" w:rsidRDefault="00CE5DC9" w:rsidP="00EF7F4F">
            <w:pPr>
              <w:widowControl w:val="0"/>
              <w:spacing w:before="0" w:after="0"/>
              <w:rPr>
                <w:rFonts w:ascii="Arial Narrow" w:eastAsia="SimSun" w:hAnsi="Arial Narrow" w:cs="Symbol"/>
                <w:b/>
              </w:rPr>
            </w:pPr>
            <w:r w:rsidRPr="001A1F6B">
              <w:rPr>
                <w:rFonts w:ascii="Arial Narrow" w:eastAsia="SimSun" w:hAnsi="Arial Narrow" w:cs="Symbol"/>
                <w:b/>
              </w:rPr>
              <w:t>Self-assessed health status</w:t>
            </w:r>
          </w:p>
        </w:tc>
        <w:tc>
          <w:tcPr>
            <w:tcW w:w="2437" w:type="pct"/>
            <w:gridSpan w:val="4"/>
            <w:tcBorders>
              <w:top w:val="single" w:sz="4" w:space="0" w:color="auto"/>
              <w:left w:val="single" w:sz="4" w:space="0" w:color="auto"/>
              <w:bottom w:val="single" w:sz="4" w:space="0" w:color="auto"/>
              <w:right w:val="single" w:sz="4" w:space="0" w:color="auto"/>
            </w:tcBorders>
            <w:vAlign w:val="center"/>
          </w:tcPr>
          <w:p w14:paraId="558A2DDE" w14:textId="77777777" w:rsidR="00CE5DC9" w:rsidRPr="001A1F6B" w:rsidRDefault="00CE5DC9" w:rsidP="00EF7F4F">
            <w:pPr>
              <w:widowControl w:val="0"/>
              <w:spacing w:before="0" w:after="0"/>
              <w:jc w:val="center"/>
              <w:rPr>
                <w:rFonts w:ascii="Arial Narrow" w:eastAsia="SimSun" w:hAnsi="Arial Narrow" w:cs="Symbol"/>
              </w:rPr>
            </w:pPr>
          </w:p>
        </w:tc>
        <w:tc>
          <w:tcPr>
            <w:tcW w:w="600" w:type="pct"/>
            <w:tcBorders>
              <w:top w:val="single" w:sz="4" w:space="0" w:color="auto"/>
              <w:left w:val="single" w:sz="4" w:space="0" w:color="auto"/>
              <w:bottom w:val="single" w:sz="4" w:space="0" w:color="auto"/>
              <w:right w:val="single" w:sz="4" w:space="0" w:color="auto"/>
            </w:tcBorders>
            <w:vAlign w:val="center"/>
          </w:tcPr>
          <w:p w14:paraId="310E8474" w14:textId="77777777" w:rsidR="00CE5DC9" w:rsidRPr="001A1F6B" w:rsidRDefault="00CE5DC9" w:rsidP="00EF7F4F">
            <w:pPr>
              <w:widowControl w:val="0"/>
              <w:spacing w:before="0" w:after="0"/>
              <w:jc w:val="center"/>
              <w:rPr>
                <w:rFonts w:ascii="Arial Narrow" w:eastAsia="SimSun" w:hAnsi="Arial Narrow" w:cs="Symbol"/>
              </w:rPr>
            </w:pPr>
          </w:p>
        </w:tc>
      </w:tr>
      <w:tr w:rsidR="00F71F3F" w:rsidRPr="00CE5DC9" w14:paraId="4891968B" w14:textId="77777777" w:rsidTr="00B34B97">
        <w:tc>
          <w:tcPr>
            <w:tcW w:w="1963" w:type="pct"/>
            <w:tcBorders>
              <w:top w:val="single" w:sz="4" w:space="0" w:color="auto"/>
              <w:left w:val="single" w:sz="4" w:space="0" w:color="auto"/>
              <w:bottom w:val="single" w:sz="4" w:space="0" w:color="auto"/>
              <w:right w:val="single" w:sz="4" w:space="0" w:color="auto"/>
            </w:tcBorders>
            <w:hideMark/>
          </w:tcPr>
          <w:p w14:paraId="2540361B" w14:textId="3F370363" w:rsidR="00CE5DC9" w:rsidRPr="001A1F6B" w:rsidRDefault="00CE5DC9" w:rsidP="00EF7F4F">
            <w:pPr>
              <w:widowControl w:val="0"/>
              <w:spacing w:before="0" w:after="0"/>
              <w:rPr>
                <w:rFonts w:ascii="Arial Narrow" w:eastAsia="SimSun" w:hAnsi="Arial Narrow" w:cs="Symbol"/>
              </w:rPr>
            </w:pPr>
            <w:r w:rsidRPr="001A1F6B">
              <w:rPr>
                <w:rFonts w:ascii="Arial Narrow" w:eastAsia="SimSun" w:hAnsi="Arial Narrow" w:cs="Symbol"/>
              </w:rPr>
              <w:t>Participants with ‘very good to excellent’ self-assessed health status (absolute change)</w:t>
            </w:r>
          </w:p>
        </w:tc>
        <w:tc>
          <w:tcPr>
            <w:tcW w:w="2437" w:type="pct"/>
            <w:gridSpan w:val="4"/>
            <w:tcBorders>
              <w:top w:val="single" w:sz="4" w:space="0" w:color="auto"/>
              <w:left w:val="single" w:sz="4" w:space="0" w:color="auto"/>
              <w:bottom w:val="single" w:sz="4" w:space="0" w:color="auto"/>
              <w:right w:val="single" w:sz="4" w:space="0" w:color="auto"/>
            </w:tcBorders>
            <w:vAlign w:val="center"/>
            <w:hideMark/>
          </w:tcPr>
          <w:p w14:paraId="2B686C1F" w14:textId="77777777" w:rsidR="00CE5DC9" w:rsidRPr="001A1F6B" w:rsidRDefault="00CE5DC9" w:rsidP="00EF7F4F">
            <w:pPr>
              <w:widowControl w:val="0"/>
              <w:spacing w:before="0" w:after="0"/>
              <w:jc w:val="center"/>
              <w:rPr>
                <w:rFonts w:ascii="Arial Narrow" w:eastAsia="SimSun" w:hAnsi="Arial Narrow" w:cs="Symbol"/>
              </w:rPr>
            </w:pPr>
            <w:r w:rsidRPr="001A1F6B">
              <w:rPr>
                <w:rFonts w:ascii="Arial Narrow" w:eastAsia="SimSun" w:hAnsi="Arial Narrow" w:cs="SimSun"/>
                <w:lang w:eastAsia="en-GB"/>
              </w:rPr>
              <w:t>↑</w:t>
            </w:r>
            <w:r w:rsidRPr="001A1F6B">
              <w:rPr>
                <w:rFonts w:ascii="Arial Narrow" w:eastAsia="SimSun" w:hAnsi="Arial Narrow" w:cs="Symbol"/>
              </w:rPr>
              <w:t>23.9%</w:t>
            </w:r>
          </w:p>
        </w:tc>
        <w:tc>
          <w:tcPr>
            <w:tcW w:w="600" w:type="pct"/>
            <w:tcBorders>
              <w:top w:val="single" w:sz="4" w:space="0" w:color="auto"/>
              <w:left w:val="single" w:sz="4" w:space="0" w:color="auto"/>
              <w:bottom w:val="single" w:sz="4" w:space="0" w:color="auto"/>
              <w:right w:val="single" w:sz="4" w:space="0" w:color="auto"/>
            </w:tcBorders>
            <w:vAlign w:val="center"/>
            <w:hideMark/>
          </w:tcPr>
          <w:p w14:paraId="6008B195" w14:textId="77777777" w:rsidR="00CE5DC9" w:rsidRPr="001A1F6B" w:rsidRDefault="00CE5DC9" w:rsidP="00EF7F4F">
            <w:pPr>
              <w:widowControl w:val="0"/>
              <w:spacing w:before="0" w:after="0"/>
              <w:jc w:val="center"/>
              <w:rPr>
                <w:rFonts w:ascii="Arial Narrow" w:eastAsia="SimSun" w:hAnsi="Arial Narrow" w:cs="Symbol"/>
              </w:rPr>
            </w:pPr>
            <w:r w:rsidRPr="001A1F6B">
              <w:rPr>
                <w:rFonts w:ascii="Arial Narrow" w:eastAsia="SimSun" w:hAnsi="Arial Narrow" w:cs="Symbol"/>
              </w:rPr>
              <w:t>&lt;0.001</w:t>
            </w:r>
          </w:p>
        </w:tc>
      </w:tr>
    </w:tbl>
    <w:p w14:paraId="14491E2D" w14:textId="53C91AD7" w:rsidR="00CE5DC9" w:rsidRPr="00F15C01" w:rsidRDefault="00CE5DC9" w:rsidP="00F15C01">
      <w:pPr>
        <w:pStyle w:val="TableFooter"/>
      </w:pPr>
      <w:r w:rsidRPr="00F15C01">
        <w:t xml:space="preserve">Source: Table 29, p120 of the ADAR </w:t>
      </w:r>
      <w:r w:rsidR="00B544B5" w:rsidRPr="00F15C01">
        <w:t xml:space="preserve">and calculated by the Department </w:t>
      </w:r>
    </w:p>
    <w:p w14:paraId="5417695B" w14:textId="5D971BE6" w:rsidR="00CE5DC9" w:rsidRPr="00F15C01" w:rsidRDefault="00CE5DC9" w:rsidP="00F15C01">
      <w:pPr>
        <w:pStyle w:val="TableFooter"/>
      </w:pPr>
      <w:r w:rsidRPr="00F15C01">
        <w:t>1</w:t>
      </w:r>
      <w:r w:rsidR="00EF3724">
        <w:t xml:space="preserve"> </w:t>
      </w:r>
      <w:r w:rsidRPr="00F15C01">
        <w:t xml:space="preserve">Data pertains to biomedical indices with mean difference that was statistically significant at the 0.05 level, as sourced from clinical endpoint analysis report (Appendix 9). </w:t>
      </w:r>
    </w:p>
    <w:p w14:paraId="2131AD10" w14:textId="0916408B" w:rsidR="00CE5DC9" w:rsidRPr="00F15C01" w:rsidRDefault="00CE5DC9" w:rsidP="00F15C01">
      <w:pPr>
        <w:pStyle w:val="TableFooter"/>
      </w:pPr>
      <w:r w:rsidRPr="00F15C01">
        <w:t>2</w:t>
      </w:r>
      <w:r w:rsidR="00EF3724">
        <w:t xml:space="preserve"> </w:t>
      </w:r>
      <w:r w:rsidRPr="00F15C01">
        <w:t xml:space="preserve">Recalculated by the commentary, but does not correct for unaccounted methodological limitations </w:t>
      </w:r>
    </w:p>
    <w:p w14:paraId="09C912F6" w14:textId="35B6BCE2" w:rsidR="00CE5DC9" w:rsidRPr="00F15C01" w:rsidRDefault="00CE5DC9" w:rsidP="00F15C01">
      <w:pPr>
        <w:pStyle w:val="TableFooter"/>
      </w:pPr>
      <w:r w:rsidRPr="00F15C01">
        <w:t>2</w:t>
      </w:r>
      <w:r w:rsidR="00EF3724">
        <w:t xml:space="preserve"> </w:t>
      </w:r>
      <w:r w:rsidRPr="00F15C01">
        <w:t>Calculated by the commentary</w:t>
      </w:r>
    </w:p>
    <w:p w14:paraId="01E91A2C" w14:textId="77777777" w:rsidR="00CE5DC9" w:rsidRPr="00F15C01" w:rsidRDefault="00CE5DC9" w:rsidP="00F15C01">
      <w:pPr>
        <w:pStyle w:val="TableFooter"/>
      </w:pPr>
      <w:r w:rsidRPr="00F15C01">
        <w:t>Abbreviations: BP = blood pressure; CVD = cardiovascular disease; DBP = diastolic blood pressure; eGFR = estimated glomerular filtration rate; HbA1C = glycosylated haemoglobin; HMR = Home Medicines Review; LDL-C = low density lipoprotein cholesterol; NMARS = NACCHO Medication Adherence Response Scale; PPO = potential prescribing omission; SIQ = single item question; TC = total cholesterol; TG = triglycerides; T2DM = type 2 diabetes mellitus</w:t>
      </w:r>
    </w:p>
    <w:p w14:paraId="694646B5" w14:textId="396C3013" w:rsidR="00A77BA0" w:rsidRPr="00A77BA0" w:rsidRDefault="00274239" w:rsidP="00A77BA0">
      <w:pPr>
        <w:pStyle w:val="NormalBeforeBullet"/>
        <w:spacing w:before="240"/>
        <w:rPr>
          <w:rFonts w:ascii="Franklin Gothic Book" w:hAnsi="Franklin Gothic Book"/>
        </w:rPr>
      </w:pPr>
      <w:r w:rsidRPr="00F50587">
        <w:rPr>
          <w:rFonts w:ascii="Franklin Gothic Book" w:hAnsi="Franklin Gothic Book"/>
        </w:rPr>
        <w:t>The estimated cost per patient was $1,703 for Model 1, $1,523 for Model 2</w:t>
      </w:r>
      <w:r w:rsidR="005C032B" w:rsidRPr="00F50587">
        <w:rPr>
          <w:rFonts w:ascii="Franklin Gothic Book" w:hAnsi="Franklin Gothic Book"/>
        </w:rPr>
        <w:t>,</w:t>
      </w:r>
      <w:r w:rsidRPr="00F50587">
        <w:rPr>
          <w:rFonts w:ascii="Franklin Gothic Book" w:hAnsi="Franklin Gothic Book"/>
        </w:rPr>
        <w:t xml:space="preserve"> </w:t>
      </w:r>
      <w:r w:rsidR="005C032B" w:rsidRPr="00F50587">
        <w:rPr>
          <w:rFonts w:ascii="Franklin Gothic Book" w:hAnsi="Franklin Gothic Book"/>
        </w:rPr>
        <w:t xml:space="preserve">$1,358 </w:t>
      </w:r>
      <w:r w:rsidRPr="00F50587">
        <w:rPr>
          <w:rFonts w:ascii="Franklin Gothic Book" w:hAnsi="Franklin Gothic Book"/>
        </w:rPr>
        <w:t>Model 3</w:t>
      </w:r>
      <w:r w:rsidR="005C032B" w:rsidRPr="00F50587">
        <w:rPr>
          <w:rFonts w:ascii="Franklin Gothic Book" w:hAnsi="Franklin Gothic Book"/>
        </w:rPr>
        <w:t xml:space="preserve"> and $1,525 for the ADAR model. </w:t>
      </w:r>
      <w:r w:rsidR="005D766A" w:rsidRPr="00F50587">
        <w:rPr>
          <w:rFonts w:ascii="Franklin Gothic Book" w:hAnsi="Franklin Gothic Book"/>
        </w:rPr>
        <w:t xml:space="preserve">It is likely that the cost </w:t>
      </w:r>
      <w:r w:rsidR="00773B52" w:rsidRPr="00F50587">
        <w:rPr>
          <w:rFonts w:ascii="Franklin Gothic Book" w:hAnsi="Franklin Gothic Book"/>
        </w:rPr>
        <w:t>per patient would be lower in practice</w:t>
      </w:r>
      <w:r w:rsidR="005369B8" w:rsidRPr="00F50587">
        <w:rPr>
          <w:rFonts w:ascii="Franklin Gothic Book" w:hAnsi="Franklin Gothic Book"/>
        </w:rPr>
        <w:t xml:space="preserve"> if the integrated pharmacist </w:t>
      </w:r>
      <w:r w:rsidR="009223C6" w:rsidRPr="00F50587">
        <w:rPr>
          <w:rFonts w:ascii="Franklin Gothic Book" w:hAnsi="Franklin Gothic Book"/>
        </w:rPr>
        <w:t xml:space="preserve">is able to achieve </w:t>
      </w:r>
      <w:r w:rsidR="00CD6F0F" w:rsidRPr="00F50587">
        <w:rPr>
          <w:rFonts w:ascii="Franklin Gothic Book" w:hAnsi="Franklin Gothic Book"/>
        </w:rPr>
        <w:t xml:space="preserve">similar outcomes to the IPAC study in a larger group of </w:t>
      </w:r>
      <w:r w:rsidR="008E5376" w:rsidRPr="00F50587">
        <w:rPr>
          <w:rFonts w:ascii="Franklin Gothic Book" w:hAnsi="Franklin Gothic Book"/>
        </w:rPr>
        <w:t xml:space="preserve">patients. The current cost per patient was estimated </w:t>
      </w:r>
      <w:r w:rsidR="002315AB" w:rsidRPr="00F50587">
        <w:rPr>
          <w:rFonts w:ascii="Franklin Gothic Book" w:hAnsi="Franklin Gothic Book"/>
        </w:rPr>
        <w:t xml:space="preserve">based on the applicant’s estimate that only 2.6% of patients would be eligible. </w:t>
      </w:r>
      <w:r w:rsidR="00B544B5" w:rsidRPr="00F50587">
        <w:rPr>
          <w:rFonts w:ascii="Franklin Gothic Book" w:hAnsi="Franklin Gothic Book"/>
        </w:rPr>
        <w:t xml:space="preserve">Increasing the eligible population </w:t>
      </w:r>
      <w:r w:rsidR="00777A68" w:rsidRPr="00F50587">
        <w:rPr>
          <w:rFonts w:ascii="Franklin Gothic Book" w:hAnsi="Franklin Gothic Book"/>
        </w:rPr>
        <w:t>to 5% and 10% results in a substantial decrease in the per-patient cost of the intervention</w:t>
      </w:r>
      <w:r w:rsidR="008F0F0E" w:rsidRPr="00F50587">
        <w:rPr>
          <w:rFonts w:ascii="Franklin Gothic Book" w:hAnsi="Franklin Gothic Book"/>
        </w:rPr>
        <w:t xml:space="preserve"> (</w:t>
      </w:r>
      <w:r w:rsidR="008F0F0E" w:rsidRPr="00F50587">
        <w:rPr>
          <w:rFonts w:ascii="Franklin Gothic Book" w:hAnsi="Franklin Gothic Book"/>
        </w:rPr>
        <w:fldChar w:fldCharType="begin"/>
      </w:r>
      <w:r w:rsidR="008F0F0E" w:rsidRPr="00F50587">
        <w:rPr>
          <w:rFonts w:ascii="Franklin Gothic Book" w:hAnsi="Franklin Gothic Book"/>
        </w:rPr>
        <w:instrText xml:space="preserve"> REF _Ref128569309 \h </w:instrText>
      </w:r>
      <w:r w:rsidR="00F50587">
        <w:rPr>
          <w:rFonts w:ascii="Franklin Gothic Book" w:hAnsi="Franklin Gothic Book"/>
        </w:rPr>
        <w:instrText xml:space="preserve"> \* MERGEFORMAT </w:instrText>
      </w:r>
      <w:r w:rsidR="008F0F0E" w:rsidRPr="00F50587">
        <w:rPr>
          <w:rFonts w:ascii="Franklin Gothic Book" w:hAnsi="Franklin Gothic Book"/>
        </w:rPr>
      </w:r>
      <w:r w:rsidR="008F0F0E" w:rsidRPr="00F50587">
        <w:rPr>
          <w:rFonts w:ascii="Franklin Gothic Book" w:hAnsi="Franklin Gothic Book"/>
        </w:rPr>
        <w:fldChar w:fldCharType="separate"/>
      </w:r>
      <w:r w:rsidR="00BB2F0F" w:rsidRPr="0070417F">
        <w:rPr>
          <w:rFonts w:ascii="Franklin Gothic Book" w:hAnsi="Franklin Gothic Book"/>
        </w:rPr>
        <w:t xml:space="preserve">Table </w:t>
      </w:r>
      <w:r w:rsidR="00BB2F0F" w:rsidRPr="0070417F">
        <w:rPr>
          <w:rFonts w:ascii="Franklin Gothic Book" w:hAnsi="Franklin Gothic Book"/>
          <w:noProof/>
        </w:rPr>
        <w:t>12</w:t>
      </w:r>
      <w:r w:rsidR="008F0F0E" w:rsidRPr="00F50587">
        <w:rPr>
          <w:rFonts w:ascii="Franklin Gothic Book" w:hAnsi="Franklin Gothic Book"/>
        </w:rPr>
        <w:fldChar w:fldCharType="end"/>
      </w:r>
      <w:r w:rsidR="008F0F0E" w:rsidRPr="00F50587">
        <w:rPr>
          <w:rFonts w:ascii="Franklin Gothic Book" w:hAnsi="Franklin Gothic Book"/>
        </w:rPr>
        <w:t xml:space="preserve">). </w:t>
      </w:r>
      <w:bookmarkStart w:id="34" w:name="_Ref128569309"/>
      <w:r w:rsidR="00A77BA0">
        <w:rPr>
          <w:sz w:val="20"/>
        </w:rPr>
        <w:br w:type="page"/>
      </w:r>
    </w:p>
    <w:p w14:paraId="6F7B0359" w14:textId="701B7AE3" w:rsidR="00A17074" w:rsidRPr="00F50587" w:rsidRDefault="00A17074" w:rsidP="00A17074">
      <w:pPr>
        <w:pStyle w:val="Caption"/>
        <w:rPr>
          <w:sz w:val="20"/>
        </w:rPr>
      </w:pPr>
      <w:r w:rsidRPr="00F50587">
        <w:rPr>
          <w:sz w:val="20"/>
        </w:rPr>
        <w:lastRenderedPageBreak/>
        <w:t xml:space="preserve">Table </w:t>
      </w:r>
      <w:r w:rsidR="00EF4077" w:rsidRPr="00F50587">
        <w:rPr>
          <w:sz w:val="20"/>
        </w:rPr>
        <w:fldChar w:fldCharType="begin"/>
      </w:r>
      <w:r w:rsidR="00EF4077" w:rsidRPr="00F50587">
        <w:rPr>
          <w:sz w:val="20"/>
        </w:rPr>
        <w:instrText xml:space="preserve"> SEQ Table \* ARABIC </w:instrText>
      </w:r>
      <w:r w:rsidR="00EF4077" w:rsidRPr="00F50587">
        <w:rPr>
          <w:sz w:val="20"/>
        </w:rPr>
        <w:fldChar w:fldCharType="separate"/>
      </w:r>
      <w:r w:rsidR="00FC2B00">
        <w:rPr>
          <w:noProof/>
          <w:sz w:val="20"/>
        </w:rPr>
        <w:t>12</w:t>
      </w:r>
      <w:r w:rsidR="00EF4077" w:rsidRPr="00F50587">
        <w:rPr>
          <w:noProof/>
          <w:sz w:val="20"/>
        </w:rPr>
        <w:fldChar w:fldCharType="end"/>
      </w:r>
      <w:bookmarkEnd w:id="34"/>
      <w:r w:rsidRPr="00F50587">
        <w:rPr>
          <w:sz w:val="20"/>
        </w:rPr>
        <w:t>: Sensitivity analysis</w:t>
      </w:r>
    </w:p>
    <w:tbl>
      <w:tblPr>
        <w:tblStyle w:val="TableGrid11"/>
        <w:tblW w:w="5000" w:type="pct"/>
        <w:tblInd w:w="0" w:type="dxa"/>
        <w:tblLook w:val="04A0" w:firstRow="1" w:lastRow="0" w:firstColumn="1" w:lastColumn="0" w:noHBand="0" w:noVBand="1"/>
      </w:tblPr>
      <w:tblGrid>
        <w:gridCol w:w="3539"/>
        <w:gridCol w:w="1132"/>
        <w:gridCol w:w="1277"/>
        <w:gridCol w:w="1277"/>
        <w:gridCol w:w="1791"/>
      </w:tblGrid>
      <w:tr w:rsidR="00A17074" w:rsidRPr="00A17074" w14:paraId="59475A0E" w14:textId="77777777" w:rsidTr="0026795D">
        <w:trPr>
          <w:cnfStyle w:val="100000000000" w:firstRow="1" w:lastRow="0" w:firstColumn="0" w:lastColumn="0" w:oddVBand="0" w:evenVBand="0" w:oddHBand="0" w:evenHBand="0" w:firstRowFirstColumn="0" w:firstRowLastColumn="0" w:lastRowFirstColumn="0" w:lastRowLastColumn="0"/>
        </w:trPr>
        <w:tc>
          <w:tcPr>
            <w:tcW w:w="1963" w:type="pct"/>
            <w:tcBorders>
              <w:top w:val="single" w:sz="4" w:space="0" w:color="auto"/>
              <w:left w:val="single" w:sz="4" w:space="0" w:color="auto"/>
              <w:bottom w:val="single" w:sz="4" w:space="0" w:color="auto"/>
              <w:right w:val="single" w:sz="4" w:space="0" w:color="auto"/>
            </w:tcBorders>
            <w:hideMark/>
          </w:tcPr>
          <w:p w14:paraId="7E14E78F" w14:textId="77777777" w:rsidR="00A17074" w:rsidRPr="001A1F6B" w:rsidRDefault="00A17074" w:rsidP="00A17074">
            <w:pPr>
              <w:widowControl w:val="0"/>
              <w:spacing w:before="0" w:after="0"/>
              <w:rPr>
                <w:rFonts w:ascii="Arial Narrow" w:hAnsi="Arial Narrow" w:cs="Symbol"/>
                <w:b/>
              </w:rPr>
            </w:pPr>
            <w:r w:rsidRPr="001A1F6B">
              <w:rPr>
                <w:rFonts w:ascii="Arial Narrow" w:eastAsia="SimSun" w:hAnsi="Arial Narrow" w:cs="Symbol"/>
                <w:b/>
              </w:rPr>
              <w:t>Parameter</w:t>
            </w:r>
          </w:p>
        </w:tc>
        <w:tc>
          <w:tcPr>
            <w:tcW w:w="3037" w:type="pct"/>
            <w:gridSpan w:val="4"/>
            <w:tcBorders>
              <w:top w:val="single" w:sz="4" w:space="0" w:color="auto"/>
              <w:left w:val="single" w:sz="4" w:space="0" w:color="auto"/>
              <w:bottom w:val="single" w:sz="4" w:space="0" w:color="auto"/>
              <w:right w:val="single" w:sz="4" w:space="0" w:color="auto"/>
            </w:tcBorders>
            <w:hideMark/>
          </w:tcPr>
          <w:p w14:paraId="03045BEE" w14:textId="77777777" w:rsidR="00A17074" w:rsidRPr="001A1F6B" w:rsidRDefault="00A17074" w:rsidP="00A17074">
            <w:pPr>
              <w:widowControl w:val="0"/>
              <w:spacing w:before="0" w:after="0"/>
              <w:ind w:firstLine="60"/>
              <w:jc w:val="center"/>
              <w:rPr>
                <w:rFonts w:ascii="Arial Narrow" w:eastAsia="SimSun" w:hAnsi="Arial Narrow" w:cs="Symbol"/>
                <w:b/>
              </w:rPr>
            </w:pPr>
            <w:r w:rsidRPr="001A1F6B">
              <w:rPr>
                <w:rFonts w:ascii="Arial Narrow" w:eastAsia="SimSun" w:hAnsi="Arial Narrow" w:cs="Symbol"/>
                <w:b/>
              </w:rPr>
              <w:t xml:space="preserve">Proposed funding model </w:t>
            </w:r>
          </w:p>
        </w:tc>
      </w:tr>
      <w:tr w:rsidR="0026795D" w:rsidRPr="00A17074" w14:paraId="0F74CB0B" w14:textId="77777777" w:rsidTr="0026795D">
        <w:tc>
          <w:tcPr>
            <w:tcW w:w="1963" w:type="pct"/>
            <w:tcBorders>
              <w:top w:val="single" w:sz="4" w:space="0" w:color="auto"/>
              <w:left w:val="single" w:sz="4" w:space="0" w:color="auto"/>
              <w:bottom w:val="single" w:sz="4" w:space="0" w:color="auto"/>
              <w:right w:val="single" w:sz="4" w:space="0" w:color="auto"/>
            </w:tcBorders>
          </w:tcPr>
          <w:p w14:paraId="2156A574" w14:textId="77777777" w:rsidR="00A17074" w:rsidRPr="001A1F6B" w:rsidRDefault="00A17074" w:rsidP="00A17074">
            <w:pPr>
              <w:widowControl w:val="0"/>
              <w:spacing w:before="0" w:after="0"/>
              <w:rPr>
                <w:rFonts w:ascii="Arial Narrow" w:eastAsia="SimSun" w:hAnsi="Arial Narrow" w:cs="Symbol"/>
                <w:b/>
              </w:rPr>
            </w:pPr>
            <w:r w:rsidRPr="001A1F6B">
              <w:rPr>
                <w:rFonts w:ascii="Arial Narrow" w:eastAsia="SimSun" w:hAnsi="Arial Narrow" w:cs="Symbol"/>
                <w:b/>
              </w:rPr>
              <w:t>Funding model</w:t>
            </w:r>
          </w:p>
        </w:tc>
        <w:tc>
          <w:tcPr>
            <w:tcW w:w="628" w:type="pct"/>
            <w:tcBorders>
              <w:top w:val="single" w:sz="4" w:space="0" w:color="auto"/>
              <w:left w:val="single" w:sz="4" w:space="0" w:color="auto"/>
              <w:bottom w:val="single" w:sz="4" w:space="0" w:color="auto"/>
              <w:right w:val="single" w:sz="4" w:space="0" w:color="auto"/>
            </w:tcBorders>
          </w:tcPr>
          <w:p w14:paraId="14161FDF" w14:textId="77777777" w:rsidR="00A17074" w:rsidRPr="001A1F6B" w:rsidRDefault="00A17074" w:rsidP="00A17074">
            <w:pPr>
              <w:widowControl w:val="0"/>
              <w:spacing w:before="0" w:after="0"/>
              <w:ind w:firstLine="60"/>
              <w:jc w:val="center"/>
              <w:rPr>
                <w:rFonts w:ascii="Arial Narrow" w:eastAsia="SimSun" w:hAnsi="Arial Narrow" w:cs="Symbol"/>
                <w:b/>
              </w:rPr>
            </w:pPr>
            <w:r w:rsidRPr="001A1F6B">
              <w:rPr>
                <w:rFonts w:ascii="Arial Narrow" w:eastAsia="SimSun" w:hAnsi="Arial Narrow" w:cs="Symbol"/>
                <w:b/>
              </w:rPr>
              <w:t>Model 1</w:t>
            </w:r>
          </w:p>
        </w:tc>
        <w:tc>
          <w:tcPr>
            <w:tcW w:w="708" w:type="pct"/>
            <w:tcBorders>
              <w:top w:val="single" w:sz="4" w:space="0" w:color="auto"/>
              <w:left w:val="single" w:sz="4" w:space="0" w:color="auto"/>
              <w:bottom w:val="single" w:sz="4" w:space="0" w:color="auto"/>
              <w:right w:val="single" w:sz="4" w:space="0" w:color="auto"/>
            </w:tcBorders>
          </w:tcPr>
          <w:p w14:paraId="2FD1617D" w14:textId="77777777" w:rsidR="00A17074" w:rsidRPr="001A1F6B" w:rsidRDefault="00A17074" w:rsidP="00A17074">
            <w:pPr>
              <w:widowControl w:val="0"/>
              <w:spacing w:before="0" w:after="0"/>
              <w:ind w:firstLine="60"/>
              <w:jc w:val="center"/>
              <w:rPr>
                <w:rFonts w:ascii="Arial Narrow" w:eastAsia="SimSun" w:hAnsi="Arial Narrow" w:cs="Symbol"/>
                <w:b/>
              </w:rPr>
            </w:pPr>
            <w:r w:rsidRPr="001A1F6B">
              <w:rPr>
                <w:rFonts w:ascii="Arial Narrow" w:eastAsia="SimSun" w:hAnsi="Arial Narrow" w:cs="Symbol"/>
                <w:b/>
              </w:rPr>
              <w:t>Model 2</w:t>
            </w:r>
          </w:p>
        </w:tc>
        <w:tc>
          <w:tcPr>
            <w:tcW w:w="708" w:type="pct"/>
            <w:tcBorders>
              <w:top w:val="single" w:sz="4" w:space="0" w:color="auto"/>
              <w:left w:val="single" w:sz="4" w:space="0" w:color="auto"/>
              <w:bottom w:val="single" w:sz="4" w:space="0" w:color="auto"/>
              <w:right w:val="single" w:sz="4" w:space="0" w:color="auto"/>
            </w:tcBorders>
          </w:tcPr>
          <w:p w14:paraId="0E95CA16" w14:textId="77777777" w:rsidR="00A17074" w:rsidRPr="001A1F6B" w:rsidRDefault="00A17074" w:rsidP="00A17074">
            <w:pPr>
              <w:widowControl w:val="0"/>
              <w:spacing w:before="0" w:after="0"/>
              <w:ind w:firstLine="60"/>
              <w:jc w:val="center"/>
              <w:rPr>
                <w:rFonts w:ascii="Arial Narrow" w:eastAsia="SimSun" w:hAnsi="Arial Narrow" w:cs="Symbol"/>
                <w:b/>
              </w:rPr>
            </w:pPr>
            <w:r w:rsidRPr="001A1F6B">
              <w:rPr>
                <w:rFonts w:ascii="Arial Narrow" w:eastAsia="SimSun" w:hAnsi="Arial Narrow" w:cs="Symbol"/>
                <w:b/>
              </w:rPr>
              <w:t>Model 3</w:t>
            </w:r>
          </w:p>
        </w:tc>
        <w:tc>
          <w:tcPr>
            <w:tcW w:w="993" w:type="pct"/>
            <w:tcBorders>
              <w:top w:val="single" w:sz="4" w:space="0" w:color="auto"/>
              <w:left w:val="single" w:sz="4" w:space="0" w:color="auto"/>
              <w:bottom w:val="single" w:sz="4" w:space="0" w:color="auto"/>
              <w:right w:val="single" w:sz="4" w:space="0" w:color="auto"/>
            </w:tcBorders>
          </w:tcPr>
          <w:p w14:paraId="23766105" w14:textId="77777777" w:rsidR="00A17074" w:rsidRPr="001A1F6B" w:rsidRDefault="00A17074" w:rsidP="00A17074">
            <w:pPr>
              <w:widowControl w:val="0"/>
              <w:spacing w:before="0" w:after="0"/>
              <w:ind w:firstLine="60"/>
              <w:jc w:val="center"/>
              <w:rPr>
                <w:rFonts w:ascii="Arial Narrow" w:eastAsia="SimSun" w:hAnsi="Arial Narrow" w:cs="Symbol"/>
                <w:b/>
              </w:rPr>
            </w:pPr>
            <w:r w:rsidRPr="001A1F6B">
              <w:rPr>
                <w:rFonts w:ascii="Arial Narrow" w:eastAsia="SimSun" w:hAnsi="Arial Narrow" w:cs="Symbol"/>
                <w:b/>
              </w:rPr>
              <w:t xml:space="preserve">ADAR </w:t>
            </w:r>
          </w:p>
        </w:tc>
      </w:tr>
      <w:tr w:rsidR="0026795D" w:rsidRPr="00A17074" w14:paraId="7C67EDFA" w14:textId="77777777" w:rsidTr="0026795D">
        <w:tc>
          <w:tcPr>
            <w:tcW w:w="5000" w:type="pct"/>
            <w:gridSpan w:val="5"/>
            <w:tcBorders>
              <w:top w:val="single" w:sz="4" w:space="0" w:color="auto"/>
              <w:left w:val="single" w:sz="4" w:space="0" w:color="auto"/>
              <w:bottom w:val="single" w:sz="4" w:space="0" w:color="auto"/>
              <w:right w:val="single" w:sz="4" w:space="0" w:color="auto"/>
            </w:tcBorders>
            <w:vAlign w:val="center"/>
          </w:tcPr>
          <w:p w14:paraId="30425948" w14:textId="397EFAE3" w:rsidR="0026795D" w:rsidRPr="001A1F6B" w:rsidRDefault="0026795D" w:rsidP="0026795D">
            <w:pPr>
              <w:widowControl w:val="0"/>
              <w:spacing w:before="0" w:after="0"/>
              <w:rPr>
                <w:rFonts w:ascii="Arial Narrow" w:hAnsi="Arial Narrow" w:cs="Symbol"/>
                <w:b/>
              </w:rPr>
            </w:pPr>
            <w:r w:rsidRPr="001A1F6B">
              <w:rPr>
                <w:rFonts w:ascii="Arial Narrow" w:hAnsi="Arial Narrow" w:cs="Symbol"/>
                <w:b/>
              </w:rPr>
              <w:t>Base case (2.6%</w:t>
            </w:r>
            <w:r w:rsidR="004E08F0" w:rsidRPr="001A1F6B">
              <w:rPr>
                <w:rFonts w:ascii="Arial Narrow" w:hAnsi="Arial Narrow" w:cs="Symbol"/>
                <w:b/>
              </w:rPr>
              <w:t xml:space="preserve"> </w:t>
            </w:r>
            <w:r w:rsidRPr="001A1F6B">
              <w:rPr>
                <w:rFonts w:ascii="Arial Narrow" w:hAnsi="Arial Narrow" w:cs="Symbol"/>
                <w:b/>
              </w:rPr>
              <w:t>of patients eligible</w:t>
            </w:r>
            <w:r w:rsidR="004E08F0" w:rsidRPr="001A1F6B">
              <w:rPr>
                <w:rFonts w:ascii="Arial Narrow" w:hAnsi="Arial Narrow" w:cs="Symbol"/>
                <w:b/>
              </w:rPr>
              <w:t>)</w:t>
            </w:r>
            <w:r w:rsidRPr="001A1F6B">
              <w:rPr>
                <w:rFonts w:ascii="Arial Narrow" w:hAnsi="Arial Narrow" w:cs="Symbol"/>
                <w:b/>
              </w:rPr>
              <w:t xml:space="preserve"> </w:t>
            </w:r>
          </w:p>
        </w:tc>
      </w:tr>
      <w:tr w:rsidR="0026795D" w:rsidRPr="00A17074" w14:paraId="59CABF92" w14:textId="77777777" w:rsidTr="00F3441F">
        <w:tc>
          <w:tcPr>
            <w:tcW w:w="1963" w:type="pct"/>
            <w:tcBorders>
              <w:top w:val="single" w:sz="4" w:space="0" w:color="auto"/>
              <w:left w:val="single" w:sz="4" w:space="0" w:color="auto"/>
              <w:bottom w:val="single" w:sz="4" w:space="0" w:color="auto"/>
              <w:right w:val="single" w:sz="4" w:space="0" w:color="auto"/>
            </w:tcBorders>
            <w:vAlign w:val="center"/>
          </w:tcPr>
          <w:p w14:paraId="52BEF0AF" w14:textId="66B4F254" w:rsidR="0026795D" w:rsidRPr="001A1F6B" w:rsidRDefault="0026795D" w:rsidP="0026795D">
            <w:pPr>
              <w:widowControl w:val="0"/>
              <w:spacing w:before="0" w:after="0"/>
              <w:rPr>
                <w:rFonts w:ascii="Arial Narrow" w:eastAsia="SimSun" w:hAnsi="Arial Narrow" w:cs="Symbol"/>
              </w:rPr>
            </w:pPr>
            <w:r w:rsidRPr="001A1F6B">
              <w:rPr>
                <w:rFonts w:ascii="Arial Narrow" w:eastAsia="SimSun" w:hAnsi="Arial Narrow" w:cs="Symbol"/>
              </w:rPr>
              <w:t xml:space="preserve">Eligible patients </w:t>
            </w:r>
          </w:p>
        </w:tc>
        <w:tc>
          <w:tcPr>
            <w:tcW w:w="628" w:type="pct"/>
            <w:tcBorders>
              <w:top w:val="single" w:sz="4" w:space="0" w:color="auto"/>
              <w:left w:val="single" w:sz="4" w:space="0" w:color="auto"/>
              <w:bottom w:val="single" w:sz="4" w:space="0" w:color="auto"/>
              <w:right w:val="single" w:sz="4" w:space="0" w:color="auto"/>
            </w:tcBorders>
            <w:vAlign w:val="center"/>
          </w:tcPr>
          <w:p w14:paraId="02244165" w14:textId="6BCE604B" w:rsidR="0026795D" w:rsidRPr="00A17074" w:rsidRDefault="0026795D" w:rsidP="00F3441F">
            <w:pPr>
              <w:pStyle w:val="Tabletext0"/>
              <w:jc w:val="center"/>
            </w:pPr>
            <w:r w:rsidRPr="009704CE">
              <w:t>15,594</w:t>
            </w:r>
          </w:p>
        </w:tc>
        <w:tc>
          <w:tcPr>
            <w:tcW w:w="708" w:type="pct"/>
            <w:tcBorders>
              <w:top w:val="single" w:sz="4" w:space="0" w:color="auto"/>
              <w:left w:val="single" w:sz="4" w:space="0" w:color="auto"/>
              <w:bottom w:val="single" w:sz="4" w:space="0" w:color="auto"/>
              <w:right w:val="single" w:sz="4" w:space="0" w:color="auto"/>
            </w:tcBorders>
            <w:vAlign w:val="center"/>
          </w:tcPr>
          <w:p w14:paraId="43ED6EAC" w14:textId="67510CBD" w:rsidR="0026795D" w:rsidRPr="00A17074" w:rsidRDefault="0026795D" w:rsidP="00F3441F">
            <w:pPr>
              <w:pStyle w:val="Tabletext0"/>
              <w:jc w:val="center"/>
            </w:pPr>
            <w:r w:rsidRPr="009704CE">
              <w:t>14,227</w:t>
            </w:r>
          </w:p>
        </w:tc>
        <w:tc>
          <w:tcPr>
            <w:tcW w:w="708" w:type="pct"/>
            <w:tcBorders>
              <w:top w:val="single" w:sz="4" w:space="0" w:color="auto"/>
              <w:left w:val="single" w:sz="4" w:space="0" w:color="auto"/>
              <w:bottom w:val="single" w:sz="4" w:space="0" w:color="auto"/>
              <w:right w:val="single" w:sz="4" w:space="0" w:color="auto"/>
            </w:tcBorders>
            <w:vAlign w:val="center"/>
          </w:tcPr>
          <w:p w14:paraId="06BB920F" w14:textId="2B62934A" w:rsidR="0026795D" w:rsidRPr="00A17074" w:rsidRDefault="0026795D" w:rsidP="00F3441F">
            <w:pPr>
              <w:pStyle w:val="Tabletext0"/>
              <w:jc w:val="center"/>
            </w:pPr>
            <w:r w:rsidRPr="009704CE">
              <w:t>14,227</w:t>
            </w:r>
          </w:p>
        </w:tc>
        <w:tc>
          <w:tcPr>
            <w:tcW w:w="993" w:type="pct"/>
            <w:tcBorders>
              <w:top w:val="single" w:sz="4" w:space="0" w:color="auto"/>
              <w:left w:val="single" w:sz="4" w:space="0" w:color="auto"/>
              <w:bottom w:val="single" w:sz="4" w:space="0" w:color="auto"/>
              <w:right w:val="single" w:sz="4" w:space="0" w:color="auto"/>
            </w:tcBorders>
            <w:vAlign w:val="center"/>
          </w:tcPr>
          <w:p w14:paraId="4381E7CC" w14:textId="77777777" w:rsidR="0026795D" w:rsidRPr="001A1F6B" w:rsidRDefault="0026795D" w:rsidP="0026795D">
            <w:pPr>
              <w:widowControl w:val="0"/>
              <w:spacing w:before="0" w:after="0"/>
              <w:jc w:val="center"/>
              <w:rPr>
                <w:rFonts w:ascii="Arial Narrow" w:hAnsi="Arial Narrow" w:cs="Symbol"/>
              </w:rPr>
            </w:pPr>
            <w:r w:rsidRPr="001A1F6B">
              <w:rPr>
                <w:rFonts w:ascii="Arial Narrow" w:hAnsi="Arial Narrow" w:cs="Symbol"/>
              </w:rPr>
              <w:t xml:space="preserve">11,000 </w:t>
            </w:r>
          </w:p>
          <w:p w14:paraId="64DEFE32" w14:textId="48AD82DB" w:rsidR="0026795D" w:rsidRPr="001A1F6B" w:rsidRDefault="0026795D" w:rsidP="0026795D">
            <w:pPr>
              <w:widowControl w:val="0"/>
              <w:spacing w:before="0" w:after="0"/>
              <w:jc w:val="center"/>
              <w:rPr>
                <w:rFonts w:ascii="Arial Narrow" w:hAnsi="Arial Narrow" w:cs="Symbol"/>
              </w:rPr>
            </w:pPr>
            <w:r w:rsidRPr="001A1F6B">
              <w:rPr>
                <w:rFonts w:ascii="Arial Narrow" w:hAnsi="Arial Narrow" w:cs="Symbol"/>
              </w:rPr>
              <w:t>(</w:t>
            </w:r>
            <w:proofErr w:type="gramStart"/>
            <w:r w:rsidRPr="001A1F6B">
              <w:rPr>
                <w:rFonts w:ascii="Arial Narrow" w:hAnsi="Arial Narrow" w:cs="Symbol"/>
              </w:rPr>
              <w:t>full</w:t>
            </w:r>
            <w:proofErr w:type="gramEnd"/>
            <w:r w:rsidRPr="001A1F6B">
              <w:rPr>
                <w:rFonts w:ascii="Arial Narrow" w:hAnsi="Arial Narrow" w:cs="Symbol"/>
              </w:rPr>
              <w:t xml:space="preserve"> program)</w:t>
            </w:r>
          </w:p>
        </w:tc>
      </w:tr>
      <w:tr w:rsidR="0026795D" w:rsidRPr="00A17074" w14:paraId="7C5C26B5" w14:textId="77777777" w:rsidTr="0026795D">
        <w:tc>
          <w:tcPr>
            <w:tcW w:w="1963" w:type="pct"/>
            <w:tcBorders>
              <w:top w:val="single" w:sz="4" w:space="0" w:color="auto"/>
              <w:left w:val="single" w:sz="4" w:space="0" w:color="auto"/>
              <w:bottom w:val="single" w:sz="4" w:space="0" w:color="auto"/>
              <w:right w:val="single" w:sz="4" w:space="0" w:color="auto"/>
            </w:tcBorders>
            <w:vAlign w:val="center"/>
          </w:tcPr>
          <w:p w14:paraId="0E9E30C0" w14:textId="12ABE66D" w:rsidR="0026795D" w:rsidRPr="001A1F6B" w:rsidRDefault="0026795D" w:rsidP="0026795D">
            <w:pPr>
              <w:widowControl w:val="0"/>
              <w:spacing w:before="0" w:after="0"/>
              <w:rPr>
                <w:rFonts w:ascii="Arial Narrow" w:eastAsia="SimSun" w:hAnsi="Arial Narrow" w:cs="Symbol"/>
              </w:rPr>
            </w:pPr>
            <w:r w:rsidRPr="001A1F6B">
              <w:rPr>
                <w:rFonts w:ascii="Arial Narrow" w:eastAsia="SimSun" w:hAnsi="Arial Narrow" w:cs="Symbol"/>
              </w:rPr>
              <w:t>Cost per patient (direct costs)</w:t>
            </w:r>
          </w:p>
        </w:tc>
        <w:tc>
          <w:tcPr>
            <w:tcW w:w="628" w:type="pct"/>
            <w:shd w:val="clear" w:color="auto" w:fill="auto"/>
            <w:vAlign w:val="center"/>
          </w:tcPr>
          <w:p w14:paraId="65C101BA" w14:textId="13068D74" w:rsidR="0026795D" w:rsidRPr="00A17074" w:rsidRDefault="0026795D" w:rsidP="0026795D">
            <w:pPr>
              <w:pStyle w:val="Tabletext0"/>
              <w:jc w:val="center"/>
              <w:rPr>
                <w:rFonts w:eastAsia="SimSun"/>
                <w:lang w:eastAsia="en-US"/>
              </w:rPr>
            </w:pPr>
            <w:r w:rsidRPr="00370D16">
              <w:t>$1,309</w:t>
            </w:r>
          </w:p>
        </w:tc>
        <w:tc>
          <w:tcPr>
            <w:tcW w:w="708" w:type="pct"/>
            <w:shd w:val="clear" w:color="auto" w:fill="auto"/>
            <w:vAlign w:val="center"/>
          </w:tcPr>
          <w:p w14:paraId="386C1D74" w14:textId="7D6D5EDF" w:rsidR="0026795D" w:rsidRPr="00A17074" w:rsidRDefault="0026795D" w:rsidP="0026795D">
            <w:pPr>
              <w:pStyle w:val="Tabletext0"/>
              <w:jc w:val="center"/>
              <w:rPr>
                <w:rFonts w:eastAsia="SimSun"/>
                <w:lang w:eastAsia="en-US"/>
              </w:rPr>
            </w:pPr>
            <w:r w:rsidRPr="00370D16">
              <w:t>$1,129</w:t>
            </w:r>
          </w:p>
        </w:tc>
        <w:tc>
          <w:tcPr>
            <w:tcW w:w="708" w:type="pct"/>
            <w:shd w:val="clear" w:color="auto" w:fill="auto"/>
            <w:vAlign w:val="center"/>
          </w:tcPr>
          <w:p w14:paraId="26B2BFA9" w14:textId="67DD9901" w:rsidR="0026795D" w:rsidRPr="00A17074" w:rsidRDefault="0026795D" w:rsidP="0026795D">
            <w:pPr>
              <w:pStyle w:val="Tabletext0"/>
              <w:jc w:val="center"/>
              <w:rPr>
                <w:rFonts w:eastAsia="SimSun"/>
                <w:lang w:eastAsia="en-US"/>
              </w:rPr>
            </w:pPr>
            <w:r w:rsidRPr="00370D16">
              <w:t>$964</w:t>
            </w:r>
          </w:p>
        </w:tc>
        <w:tc>
          <w:tcPr>
            <w:tcW w:w="993" w:type="pct"/>
            <w:vAlign w:val="center"/>
          </w:tcPr>
          <w:p w14:paraId="326F8C0A" w14:textId="3A60EAF7" w:rsidR="0026795D" w:rsidRPr="00A17074" w:rsidRDefault="0026795D" w:rsidP="0026795D">
            <w:pPr>
              <w:pStyle w:val="Tabletext0"/>
              <w:jc w:val="center"/>
              <w:rPr>
                <w:rFonts w:eastAsia="SimSun"/>
                <w:lang w:eastAsia="en-US"/>
              </w:rPr>
            </w:pPr>
            <w:r>
              <w:t>Not calculated</w:t>
            </w:r>
          </w:p>
        </w:tc>
      </w:tr>
      <w:tr w:rsidR="0026795D" w:rsidRPr="00A17074" w14:paraId="29450424" w14:textId="77777777" w:rsidTr="0026795D">
        <w:tc>
          <w:tcPr>
            <w:tcW w:w="1963" w:type="pct"/>
            <w:tcBorders>
              <w:top w:val="single" w:sz="4" w:space="0" w:color="auto"/>
              <w:left w:val="single" w:sz="4" w:space="0" w:color="auto"/>
              <w:bottom w:val="single" w:sz="4" w:space="0" w:color="auto"/>
              <w:right w:val="single" w:sz="4" w:space="0" w:color="auto"/>
            </w:tcBorders>
            <w:vAlign w:val="center"/>
          </w:tcPr>
          <w:p w14:paraId="7DF8DBAB" w14:textId="71DD857D" w:rsidR="0026795D" w:rsidRPr="001A1F6B" w:rsidRDefault="0026795D" w:rsidP="0026795D">
            <w:pPr>
              <w:widowControl w:val="0"/>
              <w:spacing w:before="0" w:after="0"/>
              <w:rPr>
                <w:rFonts w:ascii="Arial Narrow" w:eastAsia="SimSun" w:hAnsi="Arial Narrow" w:cs="Symbol"/>
              </w:rPr>
            </w:pPr>
            <w:r w:rsidRPr="001A1F6B">
              <w:rPr>
                <w:rFonts w:ascii="Arial Narrow" w:eastAsia="SimSun" w:hAnsi="Arial Narrow" w:cs="Symbol"/>
              </w:rPr>
              <w:t>Net cost per patient (including cost offsets)</w:t>
            </w:r>
          </w:p>
        </w:tc>
        <w:tc>
          <w:tcPr>
            <w:tcW w:w="628" w:type="pct"/>
            <w:tcBorders>
              <w:top w:val="single" w:sz="4" w:space="0" w:color="auto"/>
              <w:left w:val="single" w:sz="4" w:space="0" w:color="auto"/>
              <w:bottom w:val="single" w:sz="4" w:space="0" w:color="auto"/>
              <w:right w:val="single" w:sz="4" w:space="0" w:color="auto"/>
            </w:tcBorders>
            <w:vAlign w:val="center"/>
          </w:tcPr>
          <w:p w14:paraId="4F102F9F" w14:textId="65BA4CE9" w:rsidR="0026795D" w:rsidRPr="001A1F6B" w:rsidRDefault="0026795D" w:rsidP="0026795D">
            <w:pPr>
              <w:widowControl w:val="0"/>
              <w:spacing w:before="40"/>
              <w:jc w:val="center"/>
              <w:rPr>
                <w:rFonts w:ascii="Arial Narrow" w:hAnsi="Arial Narrow"/>
              </w:rPr>
            </w:pPr>
            <w:r w:rsidRPr="001A1F6B">
              <w:rPr>
                <w:rFonts w:ascii="Arial Narrow" w:hAnsi="Arial Narrow"/>
              </w:rPr>
              <w:t>$1,703</w:t>
            </w:r>
          </w:p>
        </w:tc>
        <w:tc>
          <w:tcPr>
            <w:tcW w:w="708" w:type="pct"/>
            <w:tcBorders>
              <w:top w:val="single" w:sz="4" w:space="0" w:color="auto"/>
              <w:left w:val="single" w:sz="4" w:space="0" w:color="auto"/>
              <w:bottom w:val="single" w:sz="4" w:space="0" w:color="auto"/>
              <w:right w:val="single" w:sz="4" w:space="0" w:color="auto"/>
            </w:tcBorders>
            <w:vAlign w:val="center"/>
          </w:tcPr>
          <w:p w14:paraId="3AFFD462" w14:textId="37257E15" w:rsidR="0026795D" w:rsidRPr="001A1F6B" w:rsidRDefault="0026795D" w:rsidP="0026795D">
            <w:pPr>
              <w:widowControl w:val="0"/>
              <w:spacing w:before="40"/>
              <w:jc w:val="center"/>
              <w:rPr>
                <w:rFonts w:ascii="Arial Narrow" w:hAnsi="Arial Narrow"/>
              </w:rPr>
            </w:pPr>
            <w:r w:rsidRPr="001A1F6B">
              <w:rPr>
                <w:rFonts w:ascii="Arial Narrow" w:hAnsi="Arial Narrow"/>
              </w:rPr>
              <w:t>$1,523</w:t>
            </w:r>
          </w:p>
        </w:tc>
        <w:tc>
          <w:tcPr>
            <w:tcW w:w="708" w:type="pct"/>
            <w:tcBorders>
              <w:top w:val="single" w:sz="4" w:space="0" w:color="auto"/>
              <w:left w:val="single" w:sz="4" w:space="0" w:color="auto"/>
              <w:bottom w:val="single" w:sz="4" w:space="0" w:color="auto"/>
              <w:right w:val="single" w:sz="4" w:space="0" w:color="auto"/>
            </w:tcBorders>
            <w:vAlign w:val="center"/>
          </w:tcPr>
          <w:p w14:paraId="0383837B" w14:textId="3462B3A3" w:rsidR="0026795D" w:rsidRPr="001A1F6B" w:rsidRDefault="0026795D" w:rsidP="0026795D">
            <w:pPr>
              <w:widowControl w:val="0"/>
              <w:spacing w:before="40"/>
              <w:jc w:val="center"/>
              <w:rPr>
                <w:rFonts w:ascii="Arial Narrow" w:hAnsi="Arial Narrow"/>
              </w:rPr>
            </w:pPr>
            <w:r w:rsidRPr="001A1F6B">
              <w:rPr>
                <w:rFonts w:ascii="Arial Narrow" w:hAnsi="Arial Narrow"/>
              </w:rPr>
              <w:t>$1,358</w:t>
            </w:r>
          </w:p>
        </w:tc>
        <w:tc>
          <w:tcPr>
            <w:tcW w:w="993" w:type="pct"/>
            <w:tcBorders>
              <w:top w:val="single" w:sz="4" w:space="0" w:color="auto"/>
              <w:left w:val="single" w:sz="4" w:space="0" w:color="auto"/>
              <w:bottom w:val="single" w:sz="4" w:space="0" w:color="auto"/>
              <w:right w:val="single" w:sz="4" w:space="0" w:color="auto"/>
            </w:tcBorders>
            <w:vAlign w:val="center"/>
          </w:tcPr>
          <w:p w14:paraId="6757AAEC" w14:textId="0D2BE7A0" w:rsidR="0026795D" w:rsidRPr="001A1F6B" w:rsidRDefault="0026795D" w:rsidP="0026795D">
            <w:pPr>
              <w:widowControl w:val="0"/>
              <w:spacing w:before="0" w:after="0"/>
              <w:jc w:val="center"/>
              <w:rPr>
                <w:rFonts w:ascii="Arial Narrow" w:hAnsi="Arial Narrow" w:cs="Symbol"/>
              </w:rPr>
            </w:pPr>
            <w:r w:rsidRPr="001A1F6B">
              <w:rPr>
                <w:rFonts w:ascii="Arial Narrow" w:eastAsia="SimSun" w:hAnsi="Arial Narrow" w:cs="Symbol"/>
              </w:rPr>
              <w:t>$1,525 </w:t>
            </w:r>
          </w:p>
        </w:tc>
      </w:tr>
      <w:tr w:rsidR="004E08F0" w:rsidRPr="00A17074" w14:paraId="14295865" w14:textId="77777777" w:rsidTr="004E08F0">
        <w:tc>
          <w:tcPr>
            <w:tcW w:w="5000" w:type="pct"/>
            <w:gridSpan w:val="5"/>
            <w:tcBorders>
              <w:top w:val="single" w:sz="4" w:space="0" w:color="auto"/>
              <w:left w:val="single" w:sz="4" w:space="0" w:color="auto"/>
              <w:bottom w:val="single" w:sz="4" w:space="0" w:color="auto"/>
              <w:right w:val="single" w:sz="4" w:space="0" w:color="auto"/>
            </w:tcBorders>
            <w:vAlign w:val="center"/>
          </w:tcPr>
          <w:p w14:paraId="6880116C" w14:textId="7D2B8F16" w:rsidR="004E08F0" w:rsidRPr="001A1F6B" w:rsidRDefault="004E08F0" w:rsidP="004E08F0">
            <w:pPr>
              <w:widowControl w:val="0"/>
              <w:spacing w:before="0" w:after="0"/>
              <w:rPr>
                <w:rFonts w:ascii="Arial Narrow" w:hAnsi="Arial Narrow" w:cs="Symbol"/>
                <w:b/>
              </w:rPr>
            </w:pPr>
            <w:r w:rsidRPr="001A1F6B">
              <w:rPr>
                <w:rFonts w:ascii="Arial Narrow" w:eastAsia="SimSun" w:hAnsi="Arial Narrow" w:cs="Symbol"/>
                <w:b/>
              </w:rPr>
              <w:t>Sensitivity analysis 1 (5% of patients eligible)</w:t>
            </w:r>
          </w:p>
        </w:tc>
      </w:tr>
      <w:tr w:rsidR="000C2FDE" w:rsidRPr="00A17074" w14:paraId="34ADD868" w14:textId="77777777" w:rsidTr="00C30D60">
        <w:tc>
          <w:tcPr>
            <w:tcW w:w="1963" w:type="pct"/>
            <w:tcBorders>
              <w:top w:val="single" w:sz="4" w:space="0" w:color="auto"/>
              <w:left w:val="single" w:sz="4" w:space="0" w:color="auto"/>
              <w:bottom w:val="single" w:sz="4" w:space="0" w:color="auto"/>
              <w:right w:val="single" w:sz="4" w:space="0" w:color="auto"/>
            </w:tcBorders>
            <w:vAlign w:val="center"/>
          </w:tcPr>
          <w:p w14:paraId="0EC786D9" w14:textId="2EBDB55A" w:rsidR="000C2FDE" w:rsidRPr="001A1F6B" w:rsidRDefault="000C2FDE" w:rsidP="000C2FDE">
            <w:pPr>
              <w:widowControl w:val="0"/>
              <w:spacing w:before="0" w:after="0"/>
              <w:rPr>
                <w:rFonts w:ascii="Arial Narrow" w:eastAsia="SimSun" w:hAnsi="Arial Narrow" w:cs="Symbol"/>
              </w:rPr>
            </w:pPr>
            <w:r w:rsidRPr="001A1F6B">
              <w:rPr>
                <w:rFonts w:ascii="Arial Narrow" w:eastAsia="SimSun" w:hAnsi="Arial Narrow" w:cs="Symbol"/>
              </w:rPr>
              <w:t xml:space="preserve">Eligible patients </w:t>
            </w:r>
          </w:p>
        </w:tc>
        <w:tc>
          <w:tcPr>
            <w:tcW w:w="628" w:type="pct"/>
            <w:tcBorders>
              <w:top w:val="single" w:sz="4" w:space="0" w:color="auto"/>
              <w:left w:val="single" w:sz="4" w:space="0" w:color="auto"/>
              <w:bottom w:val="single" w:sz="4" w:space="0" w:color="auto"/>
              <w:right w:val="single" w:sz="4" w:space="0" w:color="auto"/>
            </w:tcBorders>
          </w:tcPr>
          <w:p w14:paraId="178CD8C0" w14:textId="1915D977" w:rsidR="000C2FDE" w:rsidRPr="00A17074" w:rsidRDefault="000C2FDE" w:rsidP="00BE3467">
            <w:pPr>
              <w:pStyle w:val="TableText"/>
              <w:jc w:val="center"/>
            </w:pPr>
            <w:r w:rsidRPr="00E23D44">
              <w:t>29,988</w:t>
            </w:r>
          </w:p>
        </w:tc>
        <w:tc>
          <w:tcPr>
            <w:tcW w:w="708" w:type="pct"/>
            <w:tcBorders>
              <w:top w:val="single" w:sz="4" w:space="0" w:color="auto"/>
              <w:left w:val="single" w:sz="4" w:space="0" w:color="auto"/>
              <w:bottom w:val="single" w:sz="4" w:space="0" w:color="auto"/>
              <w:right w:val="single" w:sz="4" w:space="0" w:color="auto"/>
            </w:tcBorders>
          </w:tcPr>
          <w:p w14:paraId="1163EDC8" w14:textId="391C0B4C" w:rsidR="000C2FDE" w:rsidRPr="00A17074" w:rsidRDefault="000C2FDE" w:rsidP="00BE3467">
            <w:pPr>
              <w:pStyle w:val="TableText"/>
              <w:jc w:val="center"/>
            </w:pPr>
            <w:r w:rsidRPr="00E23D44">
              <w:t>27,360</w:t>
            </w:r>
          </w:p>
        </w:tc>
        <w:tc>
          <w:tcPr>
            <w:tcW w:w="708" w:type="pct"/>
            <w:tcBorders>
              <w:top w:val="single" w:sz="4" w:space="0" w:color="auto"/>
              <w:left w:val="single" w:sz="4" w:space="0" w:color="auto"/>
              <w:bottom w:val="single" w:sz="4" w:space="0" w:color="auto"/>
              <w:right w:val="single" w:sz="4" w:space="0" w:color="auto"/>
            </w:tcBorders>
          </w:tcPr>
          <w:p w14:paraId="41A5D5B1" w14:textId="48CAFFBB" w:rsidR="000C2FDE" w:rsidRPr="00A17074" w:rsidRDefault="000C2FDE" w:rsidP="00BE3467">
            <w:pPr>
              <w:pStyle w:val="TableText"/>
              <w:jc w:val="center"/>
            </w:pPr>
            <w:r w:rsidRPr="00E23D44">
              <w:t>27,360</w:t>
            </w:r>
          </w:p>
        </w:tc>
        <w:tc>
          <w:tcPr>
            <w:tcW w:w="993" w:type="pct"/>
            <w:tcBorders>
              <w:top w:val="single" w:sz="4" w:space="0" w:color="auto"/>
              <w:left w:val="single" w:sz="4" w:space="0" w:color="auto"/>
              <w:bottom w:val="single" w:sz="4" w:space="0" w:color="auto"/>
              <w:right w:val="single" w:sz="4" w:space="0" w:color="auto"/>
            </w:tcBorders>
            <w:vAlign w:val="center"/>
          </w:tcPr>
          <w:p w14:paraId="1203BE72" w14:textId="717A5282" w:rsidR="000C2FDE" w:rsidRPr="001A1F6B" w:rsidRDefault="008F34B5" w:rsidP="000C2FDE">
            <w:pPr>
              <w:widowControl w:val="0"/>
              <w:spacing w:before="0" w:after="0"/>
              <w:jc w:val="center"/>
              <w:rPr>
                <w:rFonts w:ascii="Arial Narrow" w:hAnsi="Arial Narrow" w:cs="Symbol"/>
              </w:rPr>
            </w:pPr>
            <w:r w:rsidRPr="001A1F6B">
              <w:rPr>
                <w:rFonts w:ascii="Arial Narrow" w:hAnsi="Arial Narrow" w:cs="Symbol"/>
              </w:rPr>
              <w:t>-</w:t>
            </w:r>
          </w:p>
        </w:tc>
      </w:tr>
      <w:tr w:rsidR="000B3354" w:rsidRPr="00A17074" w14:paraId="48236CE4" w14:textId="77777777" w:rsidTr="00C30D60">
        <w:tc>
          <w:tcPr>
            <w:tcW w:w="1963" w:type="pct"/>
            <w:tcBorders>
              <w:top w:val="single" w:sz="4" w:space="0" w:color="auto"/>
              <w:left w:val="single" w:sz="4" w:space="0" w:color="auto"/>
              <w:bottom w:val="single" w:sz="4" w:space="0" w:color="auto"/>
              <w:right w:val="single" w:sz="4" w:space="0" w:color="auto"/>
            </w:tcBorders>
            <w:vAlign w:val="center"/>
          </w:tcPr>
          <w:p w14:paraId="39E5A37D" w14:textId="3EE2FEA9" w:rsidR="000B3354" w:rsidRPr="001A1F6B" w:rsidRDefault="000B3354" w:rsidP="000B3354">
            <w:pPr>
              <w:widowControl w:val="0"/>
              <w:spacing w:before="0" w:after="0"/>
              <w:rPr>
                <w:rFonts w:ascii="Arial Narrow" w:eastAsia="SimSun" w:hAnsi="Arial Narrow" w:cs="Symbol"/>
              </w:rPr>
            </w:pPr>
            <w:r w:rsidRPr="001A1F6B">
              <w:rPr>
                <w:rFonts w:ascii="Arial Narrow" w:eastAsia="SimSun" w:hAnsi="Arial Narrow" w:cs="Symbol"/>
              </w:rPr>
              <w:t>Cost per patient (direct costs)</w:t>
            </w:r>
          </w:p>
        </w:tc>
        <w:tc>
          <w:tcPr>
            <w:tcW w:w="628" w:type="pct"/>
            <w:tcBorders>
              <w:top w:val="single" w:sz="4" w:space="0" w:color="auto"/>
              <w:left w:val="single" w:sz="4" w:space="0" w:color="auto"/>
              <w:bottom w:val="single" w:sz="4" w:space="0" w:color="auto"/>
              <w:right w:val="single" w:sz="4" w:space="0" w:color="auto"/>
            </w:tcBorders>
          </w:tcPr>
          <w:p w14:paraId="39BDBF36" w14:textId="67D9CB52" w:rsidR="000B3354" w:rsidRPr="00A17074" w:rsidRDefault="000B3354" w:rsidP="00BE3467">
            <w:pPr>
              <w:pStyle w:val="TableText"/>
              <w:jc w:val="center"/>
            </w:pPr>
            <w:r w:rsidRPr="00D47E23">
              <w:t>$681</w:t>
            </w:r>
          </w:p>
        </w:tc>
        <w:tc>
          <w:tcPr>
            <w:tcW w:w="708" w:type="pct"/>
            <w:tcBorders>
              <w:top w:val="single" w:sz="4" w:space="0" w:color="auto"/>
              <w:left w:val="single" w:sz="4" w:space="0" w:color="auto"/>
              <w:bottom w:val="single" w:sz="4" w:space="0" w:color="auto"/>
              <w:right w:val="single" w:sz="4" w:space="0" w:color="auto"/>
            </w:tcBorders>
          </w:tcPr>
          <w:p w14:paraId="3F5D5B6D" w14:textId="2959EFBE" w:rsidR="000B3354" w:rsidRPr="00A17074" w:rsidRDefault="000B3354" w:rsidP="00BE3467">
            <w:pPr>
              <w:pStyle w:val="TableText"/>
              <w:jc w:val="center"/>
            </w:pPr>
            <w:r w:rsidRPr="00D47E23">
              <w:t>$587</w:t>
            </w:r>
          </w:p>
        </w:tc>
        <w:tc>
          <w:tcPr>
            <w:tcW w:w="708" w:type="pct"/>
            <w:tcBorders>
              <w:top w:val="single" w:sz="4" w:space="0" w:color="auto"/>
              <w:left w:val="single" w:sz="4" w:space="0" w:color="auto"/>
              <w:bottom w:val="single" w:sz="4" w:space="0" w:color="auto"/>
              <w:right w:val="single" w:sz="4" w:space="0" w:color="auto"/>
            </w:tcBorders>
          </w:tcPr>
          <w:p w14:paraId="7B893225" w14:textId="7A4F1586" w:rsidR="000B3354" w:rsidRPr="00A17074" w:rsidRDefault="000B3354" w:rsidP="00BE3467">
            <w:pPr>
              <w:pStyle w:val="TableText"/>
              <w:jc w:val="center"/>
            </w:pPr>
            <w:r w:rsidRPr="00D47E23">
              <w:t>$501</w:t>
            </w:r>
          </w:p>
        </w:tc>
        <w:tc>
          <w:tcPr>
            <w:tcW w:w="993" w:type="pct"/>
            <w:tcBorders>
              <w:top w:val="single" w:sz="4" w:space="0" w:color="auto"/>
              <w:left w:val="single" w:sz="4" w:space="0" w:color="auto"/>
              <w:bottom w:val="single" w:sz="4" w:space="0" w:color="auto"/>
              <w:right w:val="single" w:sz="4" w:space="0" w:color="auto"/>
            </w:tcBorders>
            <w:vAlign w:val="center"/>
          </w:tcPr>
          <w:p w14:paraId="5955B591" w14:textId="7CBC462D" w:rsidR="000B3354" w:rsidRPr="001A1F6B" w:rsidRDefault="008F34B5" w:rsidP="000B3354">
            <w:pPr>
              <w:widowControl w:val="0"/>
              <w:spacing w:before="0" w:after="0"/>
              <w:jc w:val="center"/>
              <w:rPr>
                <w:rFonts w:ascii="Arial Narrow" w:hAnsi="Arial Narrow" w:cs="Symbol"/>
              </w:rPr>
            </w:pPr>
            <w:r w:rsidRPr="001A1F6B">
              <w:rPr>
                <w:rFonts w:ascii="Arial Narrow" w:hAnsi="Arial Narrow" w:cs="Symbol"/>
              </w:rPr>
              <w:t>-</w:t>
            </w:r>
          </w:p>
        </w:tc>
      </w:tr>
      <w:tr w:rsidR="008F34B5" w:rsidRPr="00A17074" w14:paraId="1908ADCA" w14:textId="77777777" w:rsidTr="00C30D60">
        <w:tc>
          <w:tcPr>
            <w:tcW w:w="1963" w:type="pct"/>
            <w:tcBorders>
              <w:top w:val="single" w:sz="4" w:space="0" w:color="auto"/>
              <w:left w:val="single" w:sz="4" w:space="0" w:color="auto"/>
              <w:bottom w:val="single" w:sz="4" w:space="0" w:color="auto"/>
              <w:right w:val="single" w:sz="4" w:space="0" w:color="auto"/>
            </w:tcBorders>
            <w:vAlign w:val="center"/>
          </w:tcPr>
          <w:p w14:paraId="0B9FD255" w14:textId="25505F61" w:rsidR="008F34B5" w:rsidRPr="001A1F6B" w:rsidRDefault="008F34B5" w:rsidP="008F34B5">
            <w:pPr>
              <w:widowControl w:val="0"/>
              <w:spacing w:before="0" w:after="0"/>
              <w:rPr>
                <w:rFonts w:ascii="Arial Narrow" w:eastAsia="SimSun" w:hAnsi="Arial Narrow" w:cs="Symbol"/>
              </w:rPr>
            </w:pPr>
            <w:r w:rsidRPr="001A1F6B">
              <w:rPr>
                <w:rFonts w:ascii="Arial Narrow" w:eastAsia="SimSun" w:hAnsi="Arial Narrow" w:cs="Symbol"/>
              </w:rPr>
              <w:t>Net cost per patient (including cost offsets)</w:t>
            </w:r>
          </w:p>
        </w:tc>
        <w:tc>
          <w:tcPr>
            <w:tcW w:w="628" w:type="pct"/>
            <w:tcBorders>
              <w:top w:val="single" w:sz="4" w:space="0" w:color="auto"/>
              <w:left w:val="single" w:sz="4" w:space="0" w:color="auto"/>
              <w:bottom w:val="single" w:sz="4" w:space="0" w:color="auto"/>
              <w:right w:val="single" w:sz="4" w:space="0" w:color="auto"/>
            </w:tcBorders>
          </w:tcPr>
          <w:p w14:paraId="0D54AD52" w14:textId="76A5FF7B" w:rsidR="008F34B5" w:rsidRPr="00A17074" w:rsidRDefault="008F34B5" w:rsidP="00BE3467">
            <w:pPr>
              <w:pStyle w:val="TableText"/>
              <w:jc w:val="center"/>
            </w:pPr>
            <w:r w:rsidRPr="00977350">
              <w:t>$1,075</w:t>
            </w:r>
          </w:p>
        </w:tc>
        <w:tc>
          <w:tcPr>
            <w:tcW w:w="708" w:type="pct"/>
            <w:tcBorders>
              <w:top w:val="single" w:sz="4" w:space="0" w:color="auto"/>
              <w:left w:val="single" w:sz="4" w:space="0" w:color="auto"/>
              <w:bottom w:val="single" w:sz="4" w:space="0" w:color="auto"/>
              <w:right w:val="single" w:sz="4" w:space="0" w:color="auto"/>
            </w:tcBorders>
          </w:tcPr>
          <w:p w14:paraId="0489DD3D" w14:textId="59470B24" w:rsidR="008F34B5" w:rsidRPr="00A17074" w:rsidRDefault="008F34B5" w:rsidP="00BE3467">
            <w:pPr>
              <w:pStyle w:val="TableText"/>
              <w:jc w:val="center"/>
            </w:pPr>
            <w:r w:rsidRPr="00977350">
              <w:t>$981</w:t>
            </w:r>
          </w:p>
        </w:tc>
        <w:tc>
          <w:tcPr>
            <w:tcW w:w="708" w:type="pct"/>
            <w:tcBorders>
              <w:top w:val="single" w:sz="4" w:space="0" w:color="auto"/>
              <w:left w:val="single" w:sz="4" w:space="0" w:color="auto"/>
              <w:bottom w:val="single" w:sz="4" w:space="0" w:color="auto"/>
              <w:right w:val="single" w:sz="4" w:space="0" w:color="auto"/>
            </w:tcBorders>
          </w:tcPr>
          <w:p w14:paraId="37F91459" w14:textId="15834EDB" w:rsidR="008F34B5" w:rsidRPr="00A17074" w:rsidRDefault="008F34B5" w:rsidP="00BE3467">
            <w:pPr>
              <w:pStyle w:val="TableText"/>
              <w:jc w:val="center"/>
            </w:pPr>
            <w:r w:rsidRPr="00977350">
              <w:t>$895</w:t>
            </w:r>
          </w:p>
        </w:tc>
        <w:tc>
          <w:tcPr>
            <w:tcW w:w="993" w:type="pct"/>
            <w:tcBorders>
              <w:top w:val="single" w:sz="4" w:space="0" w:color="auto"/>
              <w:left w:val="single" w:sz="4" w:space="0" w:color="auto"/>
              <w:bottom w:val="single" w:sz="4" w:space="0" w:color="auto"/>
              <w:right w:val="single" w:sz="4" w:space="0" w:color="auto"/>
            </w:tcBorders>
            <w:vAlign w:val="center"/>
          </w:tcPr>
          <w:p w14:paraId="698E7418" w14:textId="5DDD1D6A" w:rsidR="008F34B5" w:rsidRPr="001A1F6B" w:rsidRDefault="008F34B5" w:rsidP="008F34B5">
            <w:pPr>
              <w:widowControl w:val="0"/>
              <w:spacing w:before="0" w:after="0"/>
              <w:jc w:val="center"/>
              <w:rPr>
                <w:rFonts w:ascii="Arial Narrow" w:hAnsi="Arial Narrow" w:cs="Symbol"/>
              </w:rPr>
            </w:pPr>
            <w:r w:rsidRPr="001A1F6B">
              <w:rPr>
                <w:rFonts w:ascii="Arial Narrow" w:hAnsi="Arial Narrow" w:cs="Symbol"/>
              </w:rPr>
              <w:t>-</w:t>
            </w:r>
          </w:p>
        </w:tc>
      </w:tr>
      <w:tr w:rsidR="00B2191E" w:rsidRPr="00A17074" w14:paraId="38A4CE18" w14:textId="77777777" w:rsidTr="00B2191E">
        <w:tc>
          <w:tcPr>
            <w:tcW w:w="5000" w:type="pct"/>
            <w:gridSpan w:val="5"/>
            <w:tcBorders>
              <w:top w:val="single" w:sz="4" w:space="0" w:color="auto"/>
              <w:left w:val="single" w:sz="4" w:space="0" w:color="auto"/>
              <w:bottom w:val="single" w:sz="4" w:space="0" w:color="auto"/>
              <w:right w:val="single" w:sz="4" w:space="0" w:color="auto"/>
            </w:tcBorders>
            <w:vAlign w:val="center"/>
          </w:tcPr>
          <w:p w14:paraId="244CFD79" w14:textId="3684609D" w:rsidR="00B2191E" w:rsidRPr="001A1F6B" w:rsidRDefault="00B2191E" w:rsidP="00B2191E">
            <w:pPr>
              <w:widowControl w:val="0"/>
              <w:spacing w:before="0" w:after="0"/>
              <w:rPr>
                <w:rFonts w:ascii="Arial Narrow" w:hAnsi="Arial Narrow" w:cs="Symbol"/>
              </w:rPr>
            </w:pPr>
            <w:r w:rsidRPr="001A1F6B">
              <w:rPr>
                <w:rFonts w:ascii="Arial Narrow" w:eastAsia="SimSun" w:hAnsi="Arial Narrow" w:cs="Symbol"/>
                <w:b/>
              </w:rPr>
              <w:t>Sensitivity analysis 2 (10% of patients eligible)</w:t>
            </w:r>
          </w:p>
        </w:tc>
      </w:tr>
      <w:tr w:rsidR="00BE3467" w:rsidRPr="00A17074" w14:paraId="6781CC33" w14:textId="77777777" w:rsidTr="00C30D60">
        <w:tc>
          <w:tcPr>
            <w:tcW w:w="1963" w:type="pct"/>
            <w:tcBorders>
              <w:top w:val="single" w:sz="4" w:space="0" w:color="auto"/>
              <w:left w:val="single" w:sz="4" w:space="0" w:color="auto"/>
              <w:bottom w:val="single" w:sz="4" w:space="0" w:color="auto"/>
              <w:right w:val="single" w:sz="4" w:space="0" w:color="auto"/>
            </w:tcBorders>
          </w:tcPr>
          <w:p w14:paraId="6E3FBCFA" w14:textId="2C4EE6C5" w:rsidR="00BE3467" w:rsidRDefault="00BE3467" w:rsidP="00BE3467">
            <w:pPr>
              <w:pStyle w:val="TableText"/>
              <w:rPr>
                <w:rFonts w:eastAsia="SimSun" w:cs="Symbol"/>
              </w:rPr>
            </w:pPr>
            <w:r w:rsidRPr="007700CF">
              <w:t xml:space="preserve">Eligible patients </w:t>
            </w:r>
          </w:p>
        </w:tc>
        <w:tc>
          <w:tcPr>
            <w:tcW w:w="628" w:type="pct"/>
            <w:tcBorders>
              <w:top w:val="single" w:sz="4" w:space="0" w:color="auto"/>
              <w:left w:val="single" w:sz="4" w:space="0" w:color="auto"/>
              <w:bottom w:val="single" w:sz="4" w:space="0" w:color="auto"/>
              <w:right w:val="single" w:sz="4" w:space="0" w:color="auto"/>
            </w:tcBorders>
          </w:tcPr>
          <w:p w14:paraId="1E41C666" w14:textId="52655EBC" w:rsidR="00BE3467" w:rsidRPr="00A17074" w:rsidRDefault="00BE3467" w:rsidP="00BE3467">
            <w:pPr>
              <w:pStyle w:val="TableText"/>
              <w:jc w:val="center"/>
            </w:pPr>
            <w:r w:rsidRPr="000A4880">
              <w:t>59,975</w:t>
            </w:r>
          </w:p>
        </w:tc>
        <w:tc>
          <w:tcPr>
            <w:tcW w:w="708" w:type="pct"/>
            <w:tcBorders>
              <w:top w:val="single" w:sz="4" w:space="0" w:color="auto"/>
              <w:left w:val="single" w:sz="4" w:space="0" w:color="auto"/>
              <w:bottom w:val="single" w:sz="4" w:space="0" w:color="auto"/>
              <w:right w:val="single" w:sz="4" w:space="0" w:color="auto"/>
            </w:tcBorders>
          </w:tcPr>
          <w:p w14:paraId="5C64E908" w14:textId="3A55A6D4" w:rsidR="00BE3467" w:rsidRPr="00A17074" w:rsidRDefault="00BE3467" w:rsidP="00BE3467">
            <w:pPr>
              <w:pStyle w:val="TableText"/>
              <w:jc w:val="center"/>
            </w:pPr>
            <w:r w:rsidRPr="000A4880">
              <w:t>54,721</w:t>
            </w:r>
          </w:p>
        </w:tc>
        <w:tc>
          <w:tcPr>
            <w:tcW w:w="708" w:type="pct"/>
            <w:tcBorders>
              <w:top w:val="single" w:sz="4" w:space="0" w:color="auto"/>
              <w:left w:val="single" w:sz="4" w:space="0" w:color="auto"/>
              <w:bottom w:val="single" w:sz="4" w:space="0" w:color="auto"/>
              <w:right w:val="single" w:sz="4" w:space="0" w:color="auto"/>
            </w:tcBorders>
          </w:tcPr>
          <w:p w14:paraId="264CB7AB" w14:textId="7903E900" w:rsidR="00BE3467" w:rsidRPr="00A17074" w:rsidRDefault="00BE3467" w:rsidP="00BE3467">
            <w:pPr>
              <w:pStyle w:val="TableText"/>
              <w:jc w:val="center"/>
            </w:pPr>
            <w:r w:rsidRPr="000A4880">
              <w:t>54,721</w:t>
            </w:r>
          </w:p>
        </w:tc>
        <w:tc>
          <w:tcPr>
            <w:tcW w:w="993" w:type="pct"/>
            <w:tcBorders>
              <w:top w:val="single" w:sz="4" w:space="0" w:color="auto"/>
              <w:left w:val="single" w:sz="4" w:space="0" w:color="auto"/>
              <w:bottom w:val="single" w:sz="4" w:space="0" w:color="auto"/>
              <w:right w:val="single" w:sz="4" w:space="0" w:color="auto"/>
            </w:tcBorders>
            <w:vAlign w:val="center"/>
          </w:tcPr>
          <w:p w14:paraId="682ED3D7" w14:textId="57CE7194" w:rsidR="00BE3467" w:rsidRPr="001A1F6B" w:rsidRDefault="00BE3467" w:rsidP="00BE3467">
            <w:pPr>
              <w:widowControl w:val="0"/>
              <w:spacing w:before="0" w:after="0"/>
              <w:jc w:val="center"/>
              <w:rPr>
                <w:rFonts w:ascii="Arial Narrow" w:hAnsi="Arial Narrow" w:cs="Symbol"/>
              </w:rPr>
            </w:pPr>
            <w:r w:rsidRPr="001A1F6B">
              <w:rPr>
                <w:rFonts w:ascii="Arial Narrow" w:hAnsi="Arial Narrow" w:cs="Symbol"/>
              </w:rPr>
              <w:t>-</w:t>
            </w:r>
          </w:p>
        </w:tc>
      </w:tr>
      <w:tr w:rsidR="00BE3467" w:rsidRPr="00A17074" w14:paraId="61E67B4F" w14:textId="77777777" w:rsidTr="00C30D60">
        <w:tc>
          <w:tcPr>
            <w:tcW w:w="1963" w:type="pct"/>
            <w:tcBorders>
              <w:top w:val="single" w:sz="4" w:space="0" w:color="auto"/>
              <w:left w:val="single" w:sz="4" w:space="0" w:color="auto"/>
              <w:bottom w:val="single" w:sz="4" w:space="0" w:color="auto"/>
              <w:right w:val="single" w:sz="4" w:space="0" w:color="auto"/>
            </w:tcBorders>
          </w:tcPr>
          <w:p w14:paraId="1ECD5C15" w14:textId="69F7E7B5" w:rsidR="00BE3467" w:rsidRDefault="00BE3467" w:rsidP="00BE3467">
            <w:pPr>
              <w:pStyle w:val="TableText"/>
              <w:rPr>
                <w:rFonts w:eastAsia="SimSun" w:cs="Symbol"/>
              </w:rPr>
            </w:pPr>
            <w:r w:rsidRPr="007700CF">
              <w:t>Cost per patient (direct costs)</w:t>
            </w:r>
          </w:p>
        </w:tc>
        <w:tc>
          <w:tcPr>
            <w:tcW w:w="628" w:type="pct"/>
            <w:tcBorders>
              <w:top w:val="single" w:sz="4" w:space="0" w:color="auto"/>
              <w:left w:val="single" w:sz="4" w:space="0" w:color="auto"/>
              <w:bottom w:val="single" w:sz="4" w:space="0" w:color="auto"/>
              <w:right w:val="single" w:sz="4" w:space="0" w:color="auto"/>
            </w:tcBorders>
          </w:tcPr>
          <w:p w14:paraId="47525883" w14:textId="3F59BD80" w:rsidR="00BE3467" w:rsidRPr="00A17074" w:rsidRDefault="00BE3467" w:rsidP="00BE3467">
            <w:pPr>
              <w:pStyle w:val="TableText"/>
              <w:jc w:val="center"/>
            </w:pPr>
            <w:r w:rsidRPr="00FF0901">
              <w:t>$340</w:t>
            </w:r>
          </w:p>
        </w:tc>
        <w:tc>
          <w:tcPr>
            <w:tcW w:w="708" w:type="pct"/>
            <w:tcBorders>
              <w:top w:val="single" w:sz="4" w:space="0" w:color="auto"/>
              <w:left w:val="single" w:sz="4" w:space="0" w:color="auto"/>
              <w:bottom w:val="single" w:sz="4" w:space="0" w:color="auto"/>
              <w:right w:val="single" w:sz="4" w:space="0" w:color="auto"/>
            </w:tcBorders>
          </w:tcPr>
          <w:p w14:paraId="3D1A6CFC" w14:textId="70C7BFB9" w:rsidR="00BE3467" w:rsidRPr="00A17074" w:rsidRDefault="00BE3467" w:rsidP="00BE3467">
            <w:pPr>
              <w:pStyle w:val="TableText"/>
              <w:jc w:val="center"/>
            </w:pPr>
            <w:r w:rsidRPr="00FF0901">
              <w:t>$294</w:t>
            </w:r>
          </w:p>
        </w:tc>
        <w:tc>
          <w:tcPr>
            <w:tcW w:w="708" w:type="pct"/>
            <w:tcBorders>
              <w:top w:val="single" w:sz="4" w:space="0" w:color="auto"/>
              <w:left w:val="single" w:sz="4" w:space="0" w:color="auto"/>
              <w:bottom w:val="single" w:sz="4" w:space="0" w:color="auto"/>
              <w:right w:val="single" w:sz="4" w:space="0" w:color="auto"/>
            </w:tcBorders>
          </w:tcPr>
          <w:p w14:paraId="39D3DFC1" w14:textId="3A130F73" w:rsidR="00BE3467" w:rsidRPr="00A17074" w:rsidRDefault="00BE3467" w:rsidP="00BE3467">
            <w:pPr>
              <w:pStyle w:val="TableText"/>
              <w:jc w:val="center"/>
            </w:pPr>
            <w:r w:rsidRPr="00FF0901">
              <w:t>$251</w:t>
            </w:r>
          </w:p>
        </w:tc>
        <w:tc>
          <w:tcPr>
            <w:tcW w:w="993" w:type="pct"/>
            <w:tcBorders>
              <w:top w:val="single" w:sz="4" w:space="0" w:color="auto"/>
              <w:left w:val="single" w:sz="4" w:space="0" w:color="auto"/>
              <w:bottom w:val="single" w:sz="4" w:space="0" w:color="auto"/>
              <w:right w:val="single" w:sz="4" w:space="0" w:color="auto"/>
            </w:tcBorders>
            <w:vAlign w:val="center"/>
          </w:tcPr>
          <w:p w14:paraId="103BD1A6" w14:textId="25E80F23" w:rsidR="00BE3467" w:rsidRPr="001A1F6B" w:rsidRDefault="00BE3467" w:rsidP="00BE3467">
            <w:pPr>
              <w:widowControl w:val="0"/>
              <w:spacing w:before="0" w:after="0"/>
              <w:jc w:val="center"/>
              <w:rPr>
                <w:rFonts w:ascii="Arial Narrow" w:hAnsi="Arial Narrow" w:cs="Symbol"/>
              </w:rPr>
            </w:pPr>
            <w:r w:rsidRPr="001A1F6B">
              <w:rPr>
                <w:rFonts w:ascii="Arial Narrow" w:hAnsi="Arial Narrow" w:cs="Symbol"/>
              </w:rPr>
              <w:t>-</w:t>
            </w:r>
          </w:p>
        </w:tc>
      </w:tr>
      <w:tr w:rsidR="00BE3467" w:rsidRPr="00A17074" w14:paraId="60A2FDE7" w14:textId="77777777" w:rsidTr="00C30D60">
        <w:tc>
          <w:tcPr>
            <w:tcW w:w="1963" w:type="pct"/>
            <w:tcBorders>
              <w:top w:val="single" w:sz="4" w:space="0" w:color="auto"/>
              <w:left w:val="single" w:sz="4" w:space="0" w:color="auto"/>
              <w:bottom w:val="single" w:sz="4" w:space="0" w:color="auto"/>
              <w:right w:val="single" w:sz="4" w:space="0" w:color="auto"/>
            </w:tcBorders>
          </w:tcPr>
          <w:p w14:paraId="44AA8FDE" w14:textId="66810A48" w:rsidR="00BE3467" w:rsidRDefault="00BE3467" w:rsidP="00BE3467">
            <w:pPr>
              <w:pStyle w:val="TableText"/>
              <w:rPr>
                <w:rFonts w:eastAsia="SimSun" w:cs="Symbol"/>
              </w:rPr>
            </w:pPr>
            <w:r w:rsidRPr="007700CF">
              <w:t>Net cost per patient (including cost offsets)</w:t>
            </w:r>
          </w:p>
        </w:tc>
        <w:tc>
          <w:tcPr>
            <w:tcW w:w="628" w:type="pct"/>
            <w:tcBorders>
              <w:top w:val="single" w:sz="4" w:space="0" w:color="auto"/>
              <w:left w:val="single" w:sz="4" w:space="0" w:color="auto"/>
              <w:bottom w:val="single" w:sz="4" w:space="0" w:color="auto"/>
              <w:right w:val="single" w:sz="4" w:space="0" w:color="auto"/>
            </w:tcBorders>
          </w:tcPr>
          <w:p w14:paraId="5E5E1F1F" w14:textId="48952227" w:rsidR="00BE3467" w:rsidRPr="00A17074" w:rsidRDefault="00BE3467" w:rsidP="00BE3467">
            <w:pPr>
              <w:pStyle w:val="TableText"/>
              <w:jc w:val="center"/>
            </w:pPr>
            <w:r w:rsidRPr="00DF1E72">
              <w:t>$734</w:t>
            </w:r>
          </w:p>
        </w:tc>
        <w:tc>
          <w:tcPr>
            <w:tcW w:w="708" w:type="pct"/>
            <w:tcBorders>
              <w:top w:val="single" w:sz="4" w:space="0" w:color="auto"/>
              <w:left w:val="single" w:sz="4" w:space="0" w:color="auto"/>
              <w:bottom w:val="single" w:sz="4" w:space="0" w:color="auto"/>
              <w:right w:val="single" w:sz="4" w:space="0" w:color="auto"/>
            </w:tcBorders>
          </w:tcPr>
          <w:p w14:paraId="5BDCE28B" w14:textId="1C4C106E" w:rsidR="00BE3467" w:rsidRPr="00A17074" w:rsidRDefault="00BE3467" w:rsidP="00BE3467">
            <w:pPr>
              <w:pStyle w:val="TableText"/>
              <w:jc w:val="center"/>
            </w:pPr>
            <w:r w:rsidRPr="00DF1E72">
              <w:t>$688</w:t>
            </w:r>
          </w:p>
        </w:tc>
        <w:tc>
          <w:tcPr>
            <w:tcW w:w="708" w:type="pct"/>
            <w:tcBorders>
              <w:top w:val="single" w:sz="4" w:space="0" w:color="auto"/>
              <w:left w:val="single" w:sz="4" w:space="0" w:color="auto"/>
              <w:bottom w:val="single" w:sz="4" w:space="0" w:color="auto"/>
              <w:right w:val="single" w:sz="4" w:space="0" w:color="auto"/>
            </w:tcBorders>
          </w:tcPr>
          <w:p w14:paraId="43EBD91E" w14:textId="2D1F12C5" w:rsidR="00BE3467" w:rsidRPr="00A17074" w:rsidRDefault="00BE3467" w:rsidP="00BE3467">
            <w:pPr>
              <w:pStyle w:val="TableText"/>
              <w:jc w:val="center"/>
            </w:pPr>
            <w:r w:rsidRPr="00DF1E72">
              <w:t>$645</w:t>
            </w:r>
          </w:p>
        </w:tc>
        <w:tc>
          <w:tcPr>
            <w:tcW w:w="993" w:type="pct"/>
            <w:tcBorders>
              <w:top w:val="single" w:sz="4" w:space="0" w:color="auto"/>
              <w:left w:val="single" w:sz="4" w:space="0" w:color="auto"/>
              <w:bottom w:val="single" w:sz="4" w:space="0" w:color="auto"/>
              <w:right w:val="single" w:sz="4" w:space="0" w:color="auto"/>
            </w:tcBorders>
            <w:vAlign w:val="center"/>
          </w:tcPr>
          <w:p w14:paraId="49F53FF2" w14:textId="5299796C" w:rsidR="00BE3467" w:rsidRPr="001A1F6B" w:rsidRDefault="00BE3467" w:rsidP="00BE3467">
            <w:pPr>
              <w:widowControl w:val="0"/>
              <w:spacing w:before="0" w:after="0"/>
              <w:jc w:val="center"/>
              <w:rPr>
                <w:rFonts w:ascii="Arial Narrow" w:hAnsi="Arial Narrow" w:cs="Symbol"/>
              </w:rPr>
            </w:pPr>
            <w:r w:rsidRPr="001A1F6B">
              <w:rPr>
                <w:rFonts w:ascii="Arial Narrow" w:hAnsi="Arial Narrow" w:cs="Symbol"/>
              </w:rPr>
              <w:t>-</w:t>
            </w:r>
          </w:p>
        </w:tc>
      </w:tr>
    </w:tbl>
    <w:p w14:paraId="59F6F44E" w14:textId="77777777" w:rsidR="00B544B5" w:rsidRDefault="00B544B5" w:rsidP="001A1F6B">
      <w:pPr>
        <w:pStyle w:val="TableFooter"/>
        <w:rPr>
          <w:rFonts w:ascii="Calibri Light" w:hAnsi="Calibri Light" w:cs="SimSun"/>
          <w:szCs w:val="18"/>
          <w:lang w:eastAsia="en-AU"/>
        </w:rPr>
      </w:pPr>
      <w:r w:rsidRPr="00CE5DC9">
        <w:rPr>
          <w:lang w:eastAsia="en-AU"/>
        </w:rPr>
        <w:t xml:space="preserve">Source: Table 29, p120 of the ADAR </w:t>
      </w:r>
      <w:r w:rsidRPr="005C63DB">
        <w:rPr>
          <w:lang w:eastAsia="en-AU"/>
        </w:rPr>
        <w:t>and calculated by the Department</w:t>
      </w:r>
      <w:r>
        <w:rPr>
          <w:rFonts w:ascii="Calibri Light" w:hAnsi="Calibri Light" w:cs="SimSun"/>
          <w:szCs w:val="18"/>
          <w:lang w:eastAsia="en-AU"/>
        </w:rPr>
        <w:t xml:space="preserve"> </w:t>
      </w:r>
    </w:p>
    <w:p w14:paraId="6222D41B" w14:textId="166CB591" w:rsidR="00F775B4" w:rsidRPr="00CE5DC9" w:rsidRDefault="00F775B4" w:rsidP="001A1F6B">
      <w:pPr>
        <w:pStyle w:val="TableFooter"/>
        <w:rPr>
          <w:rFonts w:ascii="Calibri Light" w:hAnsi="Calibri Light" w:cs="SimSun"/>
          <w:i/>
          <w:szCs w:val="18"/>
          <w:lang w:eastAsia="en-AU"/>
        </w:rPr>
      </w:pPr>
      <w:r>
        <w:rPr>
          <w:lang w:eastAsia="en-AU"/>
        </w:rPr>
        <w:t xml:space="preserve">ADAR = Applicant Developed Assessment Report. </w:t>
      </w:r>
    </w:p>
    <w:p w14:paraId="1F019DFE" w14:textId="02BD4C73" w:rsidR="00A17074" w:rsidRDefault="00A17074" w:rsidP="00A17074">
      <w:pPr>
        <w:pStyle w:val="Heading3"/>
      </w:pPr>
      <w:r>
        <w:t xml:space="preserve">Comparison </w:t>
      </w:r>
      <w:r w:rsidR="00DC6DB2">
        <w:t>with other funding programs</w:t>
      </w:r>
    </w:p>
    <w:p w14:paraId="2CC9CA2B" w14:textId="2EFA3B6D" w:rsidR="00573545" w:rsidRPr="00573545" w:rsidRDefault="00D0534F" w:rsidP="00D0534F">
      <w:pPr>
        <w:pStyle w:val="Heading4"/>
      </w:pPr>
      <w:r w:rsidRPr="00D0534F">
        <w:t>Indigenous Australians’ Health Programme</w:t>
      </w:r>
    </w:p>
    <w:p w14:paraId="76921FCE" w14:textId="114C864C" w:rsidR="00DB5BA9" w:rsidRDefault="003C3C5C" w:rsidP="00DB5BA9">
      <w:pPr>
        <w:rPr>
          <w:rFonts w:eastAsiaTheme="minorEastAsia"/>
        </w:rPr>
      </w:pPr>
      <w:r w:rsidRPr="3FE16CA5">
        <w:rPr>
          <w:rFonts w:eastAsiaTheme="minorEastAsia"/>
        </w:rPr>
        <w:t>The Economic Evaluation of the Indigenous Australians’ Health Programme (</w:t>
      </w:r>
      <w:r w:rsidR="001D6495" w:rsidRPr="3FE16CA5">
        <w:rPr>
          <w:rFonts w:eastAsiaTheme="minorEastAsia"/>
        </w:rPr>
        <w:t xml:space="preserve">Dalton </w:t>
      </w:r>
      <w:r w:rsidRPr="3FE16CA5">
        <w:rPr>
          <w:rFonts w:eastAsiaTheme="minorEastAsia"/>
        </w:rPr>
        <w:t>2018)</w:t>
      </w:r>
      <w:r w:rsidR="00B4258E" w:rsidRPr="3FE16CA5">
        <w:rPr>
          <w:rFonts w:eastAsiaTheme="minorEastAsia"/>
        </w:rPr>
        <w:t xml:space="preserve"> </w:t>
      </w:r>
      <w:r w:rsidRPr="3FE16CA5">
        <w:rPr>
          <w:rStyle w:val="FootnoteReference"/>
          <w:rFonts w:eastAsiaTheme="minorEastAsia"/>
        </w:rPr>
        <w:footnoteReference w:id="12"/>
      </w:r>
      <w:r w:rsidRPr="3FE16CA5">
        <w:rPr>
          <w:rFonts w:eastAsiaTheme="minorEastAsia"/>
        </w:rPr>
        <w:t xml:space="preserve"> </w:t>
      </w:r>
      <w:r w:rsidR="001F4367" w:rsidRPr="3FE16CA5">
        <w:rPr>
          <w:rFonts w:eastAsiaTheme="minorEastAsia"/>
        </w:rPr>
        <w:t xml:space="preserve">analysed the costs of ACCHSs, reviewed the economic literature relating to the economic performance of ACCHSs, and examined the relationship between ACCHS care and hospitalisations, </w:t>
      </w:r>
      <w:proofErr w:type="gramStart"/>
      <w:r w:rsidR="001F4367" w:rsidRPr="3FE16CA5">
        <w:rPr>
          <w:rFonts w:eastAsiaTheme="minorEastAsia"/>
        </w:rPr>
        <w:t>in particular whether</w:t>
      </w:r>
      <w:proofErr w:type="gramEnd"/>
      <w:r w:rsidR="001F4367" w:rsidRPr="3FE16CA5">
        <w:rPr>
          <w:rFonts w:eastAsiaTheme="minorEastAsia"/>
        </w:rPr>
        <w:t xml:space="preserve"> ACCHSs provide a ‘return on investment’ by reducing the rate of hospitalisations in Aboriginal and Torres Strait Islander communities</w:t>
      </w:r>
      <w:r w:rsidR="00EF3724">
        <w:rPr>
          <w:rFonts w:eastAsiaTheme="minorEastAsia"/>
        </w:rPr>
        <w:t xml:space="preserve">. </w:t>
      </w:r>
      <w:r w:rsidR="004B5557" w:rsidRPr="3FE16CA5">
        <w:rPr>
          <w:rFonts w:eastAsiaTheme="minorEastAsia"/>
        </w:rPr>
        <w:t xml:space="preserve">It reported a strong correlation between </w:t>
      </w:r>
      <w:r w:rsidR="00616F18" w:rsidRPr="3FE16CA5">
        <w:rPr>
          <w:rFonts w:eastAsiaTheme="minorEastAsia"/>
        </w:rPr>
        <w:t>ACCHS episodes of care and prevented hospitalisations, suggesting that care from ACCHSs yield savings from reduced hospitalisations. The report estimated that the</w:t>
      </w:r>
      <w:r w:rsidR="008A0AE3" w:rsidRPr="3FE16CA5">
        <w:rPr>
          <w:rFonts w:eastAsiaTheme="minorEastAsia"/>
        </w:rPr>
        <w:t xml:space="preserve"> </w:t>
      </w:r>
      <w:r w:rsidR="00511322" w:rsidRPr="3FE16CA5">
        <w:rPr>
          <w:rFonts w:eastAsiaTheme="minorEastAsia"/>
        </w:rPr>
        <w:t xml:space="preserve">cost of an episode of care was higher in ACCHSs than </w:t>
      </w:r>
      <w:r w:rsidR="00F40F8A" w:rsidRPr="3FE16CA5">
        <w:rPr>
          <w:rFonts w:eastAsiaTheme="minorEastAsia"/>
        </w:rPr>
        <w:t>mainstream clinics</w:t>
      </w:r>
      <w:r w:rsidR="00DE1ED0" w:rsidRPr="3FE16CA5">
        <w:rPr>
          <w:rFonts w:eastAsiaTheme="minorEastAsia"/>
        </w:rPr>
        <w:t xml:space="preserve">. </w:t>
      </w:r>
      <w:r w:rsidR="00C54951" w:rsidRPr="3FE16CA5">
        <w:rPr>
          <w:rFonts w:eastAsiaTheme="minorEastAsia"/>
        </w:rPr>
        <w:t>It cautioned against the interpretation that the lower cost of mainstream services would mean that they could provide health care to Aboriginal and Torres Strait Islander communities more efficiently.</w:t>
      </w:r>
      <w:r w:rsidR="00D42A59" w:rsidRPr="3FE16CA5">
        <w:rPr>
          <w:rFonts w:eastAsiaTheme="minorEastAsia"/>
        </w:rPr>
        <w:t xml:space="preserve"> It concluded that </w:t>
      </w:r>
      <w:r w:rsidR="009016F7" w:rsidRPr="3FE16CA5">
        <w:rPr>
          <w:rFonts w:eastAsiaTheme="minorEastAsia"/>
        </w:rPr>
        <w:t xml:space="preserve">the provision of this care through mainstream services may be </w:t>
      </w:r>
      <w:r w:rsidR="00297DE5" w:rsidRPr="3FE16CA5">
        <w:rPr>
          <w:rFonts w:eastAsiaTheme="minorEastAsia"/>
        </w:rPr>
        <w:t>cheaper but</w:t>
      </w:r>
      <w:r w:rsidR="009016F7" w:rsidRPr="3FE16CA5">
        <w:rPr>
          <w:rFonts w:eastAsiaTheme="minorEastAsia"/>
        </w:rPr>
        <w:t xml:space="preserve"> is likely to be associated with worse health outcome</w:t>
      </w:r>
      <w:r w:rsidR="00E50090" w:rsidRPr="3FE16CA5">
        <w:rPr>
          <w:rFonts w:eastAsiaTheme="minorEastAsia"/>
        </w:rPr>
        <w:t>s for multiple reasons. This included a comprehensive integrated care model</w:t>
      </w:r>
      <w:r w:rsidR="00AE4F6F" w:rsidRPr="3FE16CA5">
        <w:rPr>
          <w:rFonts w:eastAsiaTheme="minorEastAsia"/>
        </w:rPr>
        <w:t xml:space="preserve"> </w:t>
      </w:r>
      <w:r w:rsidR="001F5BC8" w:rsidRPr="3FE16CA5">
        <w:rPr>
          <w:rFonts w:eastAsiaTheme="minorEastAsia"/>
        </w:rPr>
        <w:t xml:space="preserve">being </w:t>
      </w:r>
      <w:r w:rsidR="00AE4F6F" w:rsidRPr="3FE16CA5">
        <w:rPr>
          <w:rFonts w:eastAsiaTheme="minorEastAsia"/>
        </w:rPr>
        <w:t>acknowledged as the most effective approach for people with chronic conditions and complex care needs</w:t>
      </w:r>
      <w:r w:rsidR="001F5BC8" w:rsidRPr="3FE16CA5">
        <w:rPr>
          <w:rFonts w:eastAsiaTheme="minorEastAsia"/>
        </w:rPr>
        <w:t xml:space="preserve"> </w:t>
      </w:r>
      <w:r w:rsidR="008E7DB4">
        <w:rPr>
          <w:rFonts w:eastAsiaTheme="minorEastAsia"/>
        </w:rPr>
        <w:t xml:space="preserve">compared with </w:t>
      </w:r>
      <w:r w:rsidR="00B84439" w:rsidRPr="3FE16CA5">
        <w:rPr>
          <w:rFonts w:eastAsiaTheme="minorEastAsia"/>
        </w:rPr>
        <w:t>mainstream services potential</w:t>
      </w:r>
      <w:r w:rsidR="001F5BC8" w:rsidRPr="3FE16CA5">
        <w:rPr>
          <w:rFonts w:eastAsiaTheme="minorEastAsia"/>
        </w:rPr>
        <w:t xml:space="preserve">ly providing </w:t>
      </w:r>
      <w:r w:rsidR="00846F3F" w:rsidRPr="3FE16CA5">
        <w:rPr>
          <w:rFonts w:eastAsiaTheme="minorEastAsia"/>
        </w:rPr>
        <w:t>care that does not meet cultural needs and expectations, resulting in poor engagement and adherence.</w:t>
      </w:r>
    </w:p>
    <w:p w14:paraId="65CE94A1" w14:textId="77777777" w:rsidR="00DB5BA9" w:rsidRDefault="00A9253B" w:rsidP="00DB5BA9">
      <w:r w:rsidRPr="4666AE5D">
        <w:t xml:space="preserve">Dalton </w:t>
      </w:r>
      <w:r w:rsidR="00314362" w:rsidRPr="4666AE5D">
        <w:t>(</w:t>
      </w:r>
      <w:r w:rsidRPr="4666AE5D">
        <w:t>2018</w:t>
      </w:r>
      <w:r w:rsidR="00314362" w:rsidRPr="4666AE5D">
        <w:t>)</w:t>
      </w:r>
      <w:r w:rsidRPr="4666AE5D">
        <w:t xml:space="preserve"> also reported </w:t>
      </w:r>
      <w:r w:rsidR="00370270" w:rsidRPr="4666AE5D">
        <w:t xml:space="preserve">on studies measuring </w:t>
      </w:r>
      <w:r w:rsidR="74F228BF" w:rsidRPr="4666AE5D">
        <w:t>the</w:t>
      </w:r>
      <w:r w:rsidR="00370270" w:rsidRPr="4666AE5D">
        <w:t xml:space="preserve"> </w:t>
      </w:r>
      <w:r w:rsidR="00385289" w:rsidRPr="4666AE5D">
        <w:t>extent to which society is willing to trade overall health benefits to promote a more equitable distribution of health.</w:t>
      </w:r>
      <w:r w:rsidR="000E4C36" w:rsidRPr="4666AE5D">
        <w:t xml:space="preserve"> </w:t>
      </w:r>
      <w:r w:rsidR="00314362" w:rsidRPr="4666AE5D">
        <w:t xml:space="preserve">It reported on equity weights </w:t>
      </w:r>
      <w:r w:rsidR="00C401D3" w:rsidRPr="4666AE5D">
        <w:t xml:space="preserve">for </w:t>
      </w:r>
      <w:r w:rsidR="002A7659" w:rsidRPr="4666AE5D">
        <w:t>socioeconomically disadvantaged groups</w:t>
      </w:r>
      <w:r w:rsidR="00C401D3" w:rsidRPr="4666AE5D">
        <w:t xml:space="preserve"> derived </w:t>
      </w:r>
      <w:r w:rsidR="00314362" w:rsidRPr="4666AE5D">
        <w:t>by Lal (2017)</w:t>
      </w:r>
      <w:r w:rsidR="00314362" w:rsidRPr="4666AE5D">
        <w:rPr>
          <w:rStyle w:val="FootnoteReference"/>
          <w:rFonts w:eastAsiaTheme="minorEastAsia"/>
        </w:rPr>
        <w:footnoteReference w:id="13"/>
      </w:r>
      <w:r w:rsidR="00CD58C4" w:rsidRPr="4666AE5D">
        <w:t xml:space="preserve">. </w:t>
      </w:r>
      <w:r w:rsidR="000E4C36" w:rsidRPr="4666AE5D">
        <w:t xml:space="preserve">Equity weights derived using epidemiological data used burden of disease and mortality data by Socio-Economic </w:t>
      </w:r>
      <w:r w:rsidR="000E4C36" w:rsidRPr="4666AE5D">
        <w:lastRenderedPageBreak/>
        <w:t xml:space="preserve">Indexes for Areas quintiles from the </w:t>
      </w:r>
      <w:r w:rsidR="00AB2774" w:rsidRPr="4666AE5D">
        <w:t>AIHW</w:t>
      </w:r>
      <w:r w:rsidR="000E4C36" w:rsidRPr="4666AE5D">
        <w:t xml:space="preserve">. Two ratios were calculated comparing quintile 1 (lowest) to the total Australian </w:t>
      </w:r>
      <w:proofErr w:type="gramStart"/>
      <w:r w:rsidR="000E4C36" w:rsidRPr="4666AE5D">
        <w:t>population, and</w:t>
      </w:r>
      <w:proofErr w:type="gramEnd"/>
      <w:r w:rsidR="000E4C36" w:rsidRPr="4666AE5D">
        <w:t xml:space="preserve"> comparing quintile 1 to quintile 5 (highest). Preference-based weights were derived using a discrete choice experiment survey (n = 710). Respondents chose between two programs, with varying gains in life expectancy going to a low- or a high-income group. </w:t>
      </w:r>
      <w:r w:rsidR="009B1DED" w:rsidRPr="4666AE5D">
        <w:t>The epidemiological weights ranged from 1.2 to 1.5, with larger weights when quintile 5 was the denominator. The preference-based weights ranged from 1.3 (95% confidence interval 1.2-1.4) to 1.8 (95% confidence interval 1.6-2.0), with a tendency for increasing weights as the gains to the low-income group increased.</w:t>
      </w:r>
      <w:r w:rsidR="00B07A20" w:rsidRPr="4666AE5D">
        <w:t xml:space="preserve"> Dalton (2018) considered if a program is not cost-effective yet improves equity, the weights </w:t>
      </w:r>
      <w:r w:rsidR="00B07A20" w:rsidRPr="00B07A20">
        <w:t>could help decision-makers decide the level of concern for equity required for the program to be considered value-for-money.</w:t>
      </w:r>
    </w:p>
    <w:p w14:paraId="643539ED" w14:textId="7BF87978" w:rsidR="00B12877" w:rsidRPr="00573545" w:rsidRDefault="00691218" w:rsidP="00B12877">
      <w:pPr>
        <w:pStyle w:val="Heading4"/>
      </w:pPr>
      <w:r w:rsidRPr="00691218">
        <w:t>Aged Care on-site pharmacists</w:t>
      </w:r>
      <w:r>
        <w:t xml:space="preserve"> </w:t>
      </w:r>
    </w:p>
    <w:p w14:paraId="4C6D09B7" w14:textId="5C2B35E9" w:rsidR="00573545" w:rsidRDefault="001B4820" w:rsidP="00DB5BA9">
      <w:r>
        <w:t xml:space="preserve">The </w:t>
      </w:r>
      <w:r w:rsidRPr="001B4820">
        <w:t>Aged Care on-site pharmacists</w:t>
      </w:r>
      <w:r>
        <w:t xml:space="preserve"> </w:t>
      </w:r>
      <w:r w:rsidR="00EF3724">
        <w:t xml:space="preserve">measure </w:t>
      </w:r>
      <w:r>
        <w:t>provides $345.7 million</w:t>
      </w:r>
      <w:r w:rsidR="00700048">
        <w:t xml:space="preserve"> (including administration costs)</w:t>
      </w:r>
      <w:r>
        <w:t xml:space="preserve"> </w:t>
      </w:r>
      <w:r w:rsidR="00CA5099">
        <w:t xml:space="preserve">in funding over 4 years to </w:t>
      </w:r>
      <w:r w:rsidR="00A85124" w:rsidRPr="00A85124">
        <w:t>over four years to embed pharmacists in aged care homes</w:t>
      </w:r>
      <w:r w:rsidR="00A85124">
        <w:t xml:space="preserve">. </w:t>
      </w:r>
      <w:proofErr w:type="gramStart"/>
      <w:r w:rsidR="00F507E9">
        <w:t>Similar to</w:t>
      </w:r>
      <w:proofErr w:type="gramEnd"/>
      <w:r w:rsidR="00F507E9">
        <w:t xml:space="preserve"> the potential IPAC Program, this funding is in addition to existing funding </w:t>
      </w:r>
      <w:r w:rsidR="00291C25">
        <w:t>for aged care services</w:t>
      </w:r>
      <w:r w:rsidR="003B1EC9">
        <w:t xml:space="preserve">. </w:t>
      </w:r>
      <w:r w:rsidR="00E579EF">
        <w:t xml:space="preserve">The </w:t>
      </w:r>
      <w:r w:rsidR="002A5180">
        <w:t>appropriate</w:t>
      </w:r>
      <w:r w:rsidR="00E579EF">
        <w:t xml:space="preserve"> cost per </w:t>
      </w:r>
      <w:r w:rsidR="002A5180">
        <w:t xml:space="preserve">resident (operational place) </w:t>
      </w:r>
      <w:r w:rsidR="007801C1">
        <w:t>was estimated as</w:t>
      </w:r>
      <w:r w:rsidR="007801C1" w:rsidRPr="00B47D24">
        <w:t xml:space="preserve"> $</w:t>
      </w:r>
      <w:r w:rsidR="00B47D24" w:rsidRPr="00B47D24">
        <w:rPr>
          <w:b/>
          <w:bCs/>
        </w:rPr>
        <w:t>redacted</w:t>
      </w:r>
      <w:r w:rsidR="00B47D24" w:rsidRPr="00B47D24">
        <w:t xml:space="preserve"> </w:t>
      </w:r>
      <w:r w:rsidR="007801C1">
        <w:t>(</w:t>
      </w:r>
      <w:r w:rsidR="000B7EE8">
        <w:fldChar w:fldCharType="begin"/>
      </w:r>
      <w:r w:rsidR="000B7EE8">
        <w:instrText xml:space="preserve"> REF _Ref128570288 \h </w:instrText>
      </w:r>
      <w:r w:rsidR="000B7EE8">
        <w:fldChar w:fldCharType="separate"/>
      </w:r>
      <w:r w:rsidR="00BB2F0F">
        <w:t xml:space="preserve">Table </w:t>
      </w:r>
      <w:r w:rsidR="00BB2F0F">
        <w:rPr>
          <w:noProof/>
        </w:rPr>
        <w:t>13</w:t>
      </w:r>
      <w:r w:rsidR="000B7EE8">
        <w:fldChar w:fldCharType="end"/>
      </w:r>
      <w:r w:rsidR="007801C1">
        <w:t>)</w:t>
      </w:r>
      <w:r w:rsidR="002A5180">
        <w:t xml:space="preserve">. </w:t>
      </w:r>
      <w:r w:rsidR="00B70600">
        <w:t xml:space="preserve">This was lower than the estimated cost per patient </w:t>
      </w:r>
      <w:r w:rsidR="00D46B27">
        <w:t xml:space="preserve">for the IPAC program. </w:t>
      </w:r>
    </w:p>
    <w:p w14:paraId="43DB481A" w14:textId="27A234CE" w:rsidR="002A5180" w:rsidRDefault="002A5180" w:rsidP="002A5180">
      <w:pPr>
        <w:pStyle w:val="Caption"/>
      </w:pPr>
      <w:bookmarkStart w:id="35" w:name="_Ref128570288"/>
      <w:r>
        <w:t xml:space="preserve">Table </w:t>
      </w:r>
      <w:fldSimple w:instr=" SEQ Table \* ARABIC ">
        <w:r w:rsidR="003F02CF">
          <w:rPr>
            <w:noProof/>
          </w:rPr>
          <w:t>13</w:t>
        </w:r>
      </w:fldSimple>
      <w:bookmarkEnd w:id="35"/>
      <w:r>
        <w:t xml:space="preserve">: </w:t>
      </w:r>
      <w:r w:rsidR="00C84B68" w:rsidRPr="00C84B68">
        <w:t xml:space="preserve">Aged Care on-site pharmacists </w:t>
      </w:r>
      <w:r w:rsidR="00C84B68">
        <w:t>cost p</w:t>
      </w:r>
      <w:r w:rsidR="009E2175">
        <w:t xml:space="preserve">er resident (operational place) </w:t>
      </w:r>
    </w:p>
    <w:tbl>
      <w:tblPr>
        <w:tblStyle w:val="TableGrid11"/>
        <w:tblW w:w="5000" w:type="pct"/>
        <w:tblInd w:w="0" w:type="dxa"/>
        <w:tblLook w:val="04A0" w:firstRow="1" w:lastRow="0" w:firstColumn="1" w:lastColumn="0" w:noHBand="0" w:noVBand="1"/>
      </w:tblPr>
      <w:tblGrid>
        <w:gridCol w:w="3822"/>
        <w:gridCol w:w="1275"/>
        <w:gridCol w:w="1277"/>
        <w:gridCol w:w="1277"/>
        <w:gridCol w:w="1365"/>
      </w:tblGrid>
      <w:tr w:rsidR="000B7EE8" w:rsidRPr="002A5180" w14:paraId="4C66F461" w14:textId="77777777" w:rsidTr="000B7EE8">
        <w:trPr>
          <w:cnfStyle w:val="100000000000" w:firstRow="1" w:lastRow="0" w:firstColumn="0" w:lastColumn="0" w:oddVBand="0" w:evenVBand="0" w:oddHBand="0" w:evenHBand="0" w:firstRowFirstColumn="0" w:firstRowLastColumn="0" w:lastRowFirstColumn="0" w:lastRowLastColumn="0"/>
        </w:trPr>
        <w:tc>
          <w:tcPr>
            <w:tcW w:w="2120" w:type="pct"/>
            <w:tcBorders>
              <w:top w:val="single" w:sz="4" w:space="0" w:color="auto"/>
              <w:left w:val="single" w:sz="4" w:space="0" w:color="auto"/>
              <w:bottom w:val="single" w:sz="4" w:space="0" w:color="auto"/>
              <w:right w:val="single" w:sz="4" w:space="0" w:color="auto"/>
            </w:tcBorders>
            <w:hideMark/>
          </w:tcPr>
          <w:p w14:paraId="73B6EF4C" w14:textId="77777777" w:rsidR="002A5180" w:rsidRPr="001A1F6B" w:rsidRDefault="002A5180" w:rsidP="002A5180">
            <w:pPr>
              <w:widowControl w:val="0"/>
              <w:spacing w:before="0" w:after="0"/>
              <w:rPr>
                <w:rFonts w:ascii="Arial Narrow" w:hAnsi="Arial Narrow" w:cs="Symbol"/>
                <w:b/>
              </w:rPr>
            </w:pPr>
            <w:r w:rsidRPr="001A1F6B">
              <w:rPr>
                <w:rFonts w:ascii="Arial Narrow" w:eastAsia="SimSun" w:hAnsi="Arial Narrow" w:cs="Symbol"/>
                <w:b/>
              </w:rPr>
              <w:t>Parameter</w:t>
            </w:r>
          </w:p>
        </w:tc>
        <w:tc>
          <w:tcPr>
            <w:tcW w:w="2880" w:type="pct"/>
            <w:gridSpan w:val="4"/>
            <w:tcBorders>
              <w:top w:val="single" w:sz="4" w:space="0" w:color="auto"/>
              <w:left w:val="single" w:sz="4" w:space="0" w:color="auto"/>
              <w:bottom w:val="single" w:sz="4" w:space="0" w:color="auto"/>
              <w:right w:val="single" w:sz="4" w:space="0" w:color="auto"/>
            </w:tcBorders>
            <w:hideMark/>
          </w:tcPr>
          <w:p w14:paraId="4C073AC8" w14:textId="77777777" w:rsidR="002A5180" w:rsidRPr="001A1F6B" w:rsidRDefault="002A5180" w:rsidP="002A5180">
            <w:pPr>
              <w:widowControl w:val="0"/>
              <w:spacing w:before="0" w:after="0"/>
              <w:ind w:firstLine="60"/>
              <w:jc w:val="center"/>
              <w:rPr>
                <w:rFonts w:ascii="Arial Narrow" w:eastAsia="SimSun" w:hAnsi="Arial Narrow" w:cs="Symbol"/>
                <w:b/>
              </w:rPr>
            </w:pPr>
            <w:r w:rsidRPr="001A1F6B">
              <w:rPr>
                <w:rFonts w:ascii="Arial Narrow" w:eastAsia="SimSun" w:hAnsi="Arial Narrow" w:cs="Symbol"/>
                <w:b/>
              </w:rPr>
              <w:t xml:space="preserve">Proposed funding model </w:t>
            </w:r>
          </w:p>
        </w:tc>
      </w:tr>
      <w:tr w:rsidR="000B7EE8" w:rsidRPr="002A5180" w14:paraId="12B0A965" w14:textId="77777777" w:rsidTr="000B7EE8">
        <w:tc>
          <w:tcPr>
            <w:tcW w:w="2120" w:type="pct"/>
            <w:tcBorders>
              <w:top w:val="single" w:sz="4" w:space="0" w:color="auto"/>
              <w:left w:val="single" w:sz="4" w:space="0" w:color="auto"/>
              <w:bottom w:val="single" w:sz="4" w:space="0" w:color="auto"/>
              <w:right w:val="single" w:sz="4" w:space="0" w:color="auto"/>
            </w:tcBorders>
          </w:tcPr>
          <w:p w14:paraId="24BA1265" w14:textId="77777777" w:rsidR="002A5180" w:rsidRPr="001A1F6B" w:rsidRDefault="002A5180" w:rsidP="002A5180">
            <w:pPr>
              <w:widowControl w:val="0"/>
              <w:spacing w:before="0" w:after="0"/>
              <w:rPr>
                <w:rFonts w:ascii="Arial Narrow" w:eastAsia="SimSun" w:hAnsi="Arial Narrow" w:cs="Symbol"/>
                <w:b/>
              </w:rPr>
            </w:pPr>
            <w:r w:rsidRPr="001A1F6B">
              <w:rPr>
                <w:rFonts w:ascii="Arial Narrow" w:eastAsia="SimSun" w:hAnsi="Arial Narrow" w:cs="Symbol"/>
                <w:b/>
              </w:rPr>
              <w:t>Funding model</w:t>
            </w:r>
          </w:p>
        </w:tc>
        <w:tc>
          <w:tcPr>
            <w:tcW w:w="707" w:type="pct"/>
            <w:tcBorders>
              <w:top w:val="single" w:sz="4" w:space="0" w:color="auto"/>
              <w:left w:val="single" w:sz="4" w:space="0" w:color="auto"/>
              <w:bottom w:val="single" w:sz="4" w:space="0" w:color="auto"/>
              <w:right w:val="single" w:sz="4" w:space="0" w:color="auto"/>
            </w:tcBorders>
          </w:tcPr>
          <w:p w14:paraId="1160686A" w14:textId="27613597" w:rsidR="002A5180" w:rsidRPr="001A1F6B" w:rsidRDefault="00C84B68" w:rsidP="002A5180">
            <w:pPr>
              <w:widowControl w:val="0"/>
              <w:spacing w:before="0" w:after="0"/>
              <w:ind w:firstLine="60"/>
              <w:jc w:val="center"/>
              <w:rPr>
                <w:rFonts w:ascii="Arial Narrow" w:eastAsia="SimSun" w:hAnsi="Arial Narrow" w:cs="Symbol"/>
                <w:b/>
              </w:rPr>
            </w:pPr>
            <w:r w:rsidRPr="001A1F6B">
              <w:rPr>
                <w:rFonts w:ascii="Arial Narrow" w:eastAsia="SimSun" w:hAnsi="Arial Narrow" w:cs="Symbol"/>
                <w:b/>
              </w:rPr>
              <w:t>Year 1</w:t>
            </w:r>
          </w:p>
        </w:tc>
        <w:tc>
          <w:tcPr>
            <w:tcW w:w="708" w:type="pct"/>
            <w:tcBorders>
              <w:top w:val="single" w:sz="4" w:space="0" w:color="auto"/>
              <w:left w:val="single" w:sz="4" w:space="0" w:color="auto"/>
              <w:bottom w:val="single" w:sz="4" w:space="0" w:color="auto"/>
              <w:right w:val="single" w:sz="4" w:space="0" w:color="auto"/>
            </w:tcBorders>
          </w:tcPr>
          <w:p w14:paraId="3A925511" w14:textId="38EECB0E" w:rsidR="002A5180" w:rsidRPr="001A1F6B" w:rsidRDefault="00C84B68" w:rsidP="002A5180">
            <w:pPr>
              <w:widowControl w:val="0"/>
              <w:spacing w:before="0" w:after="0"/>
              <w:ind w:firstLine="60"/>
              <w:jc w:val="center"/>
              <w:rPr>
                <w:rFonts w:ascii="Arial Narrow" w:eastAsia="SimSun" w:hAnsi="Arial Narrow" w:cs="Symbol"/>
                <w:b/>
              </w:rPr>
            </w:pPr>
            <w:r w:rsidRPr="001A1F6B">
              <w:rPr>
                <w:rFonts w:ascii="Arial Narrow" w:eastAsia="SimSun" w:hAnsi="Arial Narrow" w:cs="Symbol"/>
                <w:b/>
              </w:rPr>
              <w:t>Year 2</w:t>
            </w:r>
          </w:p>
        </w:tc>
        <w:tc>
          <w:tcPr>
            <w:tcW w:w="708" w:type="pct"/>
            <w:tcBorders>
              <w:top w:val="single" w:sz="4" w:space="0" w:color="auto"/>
              <w:left w:val="single" w:sz="4" w:space="0" w:color="auto"/>
              <w:bottom w:val="single" w:sz="4" w:space="0" w:color="auto"/>
              <w:right w:val="single" w:sz="4" w:space="0" w:color="auto"/>
            </w:tcBorders>
          </w:tcPr>
          <w:p w14:paraId="1AD64D9C" w14:textId="7D111457" w:rsidR="002A5180" w:rsidRPr="001A1F6B" w:rsidRDefault="00C84B68" w:rsidP="002A5180">
            <w:pPr>
              <w:widowControl w:val="0"/>
              <w:spacing w:before="0" w:after="0"/>
              <w:ind w:firstLine="60"/>
              <w:jc w:val="center"/>
              <w:rPr>
                <w:rFonts w:ascii="Arial Narrow" w:eastAsia="SimSun" w:hAnsi="Arial Narrow" w:cs="Symbol"/>
                <w:b/>
              </w:rPr>
            </w:pPr>
            <w:r w:rsidRPr="001A1F6B">
              <w:rPr>
                <w:rFonts w:ascii="Arial Narrow" w:eastAsia="SimSun" w:hAnsi="Arial Narrow" w:cs="Symbol"/>
                <w:b/>
              </w:rPr>
              <w:t xml:space="preserve">Year </w:t>
            </w:r>
            <w:r w:rsidR="0092292A" w:rsidRPr="001A1F6B">
              <w:rPr>
                <w:rFonts w:ascii="Arial Narrow" w:eastAsia="SimSun" w:hAnsi="Arial Narrow" w:cs="Symbol"/>
                <w:b/>
              </w:rPr>
              <w:t>3</w:t>
            </w:r>
          </w:p>
        </w:tc>
        <w:tc>
          <w:tcPr>
            <w:tcW w:w="757" w:type="pct"/>
            <w:tcBorders>
              <w:top w:val="single" w:sz="4" w:space="0" w:color="auto"/>
              <w:left w:val="single" w:sz="4" w:space="0" w:color="auto"/>
              <w:bottom w:val="single" w:sz="4" w:space="0" w:color="auto"/>
              <w:right w:val="single" w:sz="4" w:space="0" w:color="auto"/>
            </w:tcBorders>
          </w:tcPr>
          <w:p w14:paraId="2A6C2ABF" w14:textId="539B7976" w:rsidR="002A5180" w:rsidRPr="001A1F6B" w:rsidRDefault="0092292A" w:rsidP="002A5180">
            <w:pPr>
              <w:widowControl w:val="0"/>
              <w:spacing w:before="0" w:after="0"/>
              <w:ind w:firstLine="60"/>
              <w:jc w:val="center"/>
              <w:rPr>
                <w:rFonts w:ascii="Arial Narrow" w:eastAsia="SimSun" w:hAnsi="Arial Narrow" w:cs="Symbol"/>
                <w:b/>
              </w:rPr>
            </w:pPr>
            <w:r w:rsidRPr="001A1F6B">
              <w:rPr>
                <w:rFonts w:ascii="Arial Narrow" w:eastAsia="SimSun" w:hAnsi="Arial Narrow" w:cs="Symbol"/>
                <w:b/>
              </w:rPr>
              <w:t>Year 4</w:t>
            </w:r>
          </w:p>
        </w:tc>
      </w:tr>
      <w:tr w:rsidR="002A5180" w:rsidRPr="002A5180" w14:paraId="483A16D9" w14:textId="77777777" w:rsidTr="000B7EE8">
        <w:tc>
          <w:tcPr>
            <w:tcW w:w="2120" w:type="pct"/>
            <w:tcBorders>
              <w:top w:val="single" w:sz="4" w:space="0" w:color="auto"/>
              <w:left w:val="single" w:sz="4" w:space="0" w:color="auto"/>
              <w:bottom w:val="single" w:sz="4" w:space="0" w:color="auto"/>
              <w:right w:val="single" w:sz="4" w:space="0" w:color="auto"/>
            </w:tcBorders>
            <w:vAlign w:val="center"/>
          </w:tcPr>
          <w:p w14:paraId="3DC1A37A" w14:textId="0562C10E" w:rsidR="002A5180" w:rsidRPr="001A1F6B" w:rsidRDefault="00637EE5" w:rsidP="002A5180">
            <w:pPr>
              <w:widowControl w:val="0"/>
              <w:spacing w:before="0" w:after="0"/>
              <w:rPr>
                <w:rFonts w:ascii="Arial Narrow" w:eastAsia="SimSun" w:hAnsi="Arial Narrow" w:cs="Symbol"/>
              </w:rPr>
            </w:pPr>
            <w:r w:rsidRPr="001A1F6B">
              <w:rPr>
                <w:rFonts w:ascii="Arial Narrow" w:eastAsia="SimSun" w:hAnsi="Arial Narrow" w:cs="Symbol"/>
              </w:rPr>
              <w:t xml:space="preserve">Uptake </w:t>
            </w:r>
            <w:r w:rsidR="002A5180" w:rsidRPr="001A1F6B">
              <w:rPr>
                <w:rFonts w:ascii="Arial Narrow" w:eastAsia="SimSun" w:hAnsi="Arial Narrow" w:cs="Symbol"/>
              </w:rPr>
              <w:t xml:space="preserve"> </w:t>
            </w:r>
          </w:p>
        </w:tc>
        <w:tc>
          <w:tcPr>
            <w:tcW w:w="707" w:type="pct"/>
            <w:tcBorders>
              <w:top w:val="single" w:sz="4" w:space="0" w:color="auto"/>
              <w:left w:val="single" w:sz="4" w:space="0" w:color="auto"/>
              <w:bottom w:val="single" w:sz="4" w:space="0" w:color="auto"/>
              <w:right w:val="single" w:sz="4" w:space="0" w:color="auto"/>
            </w:tcBorders>
            <w:vAlign w:val="center"/>
          </w:tcPr>
          <w:p w14:paraId="48A9453A" w14:textId="06A51422" w:rsidR="002A5180" w:rsidRPr="001A1F6B" w:rsidRDefault="00637EE5" w:rsidP="002A5180">
            <w:pPr>
              <w:spacing w:before="40"/>
              <w:jc w:val="center"/>
              <w:rPr>
                <w:rFonts w:ascii="Arial Narrow" w:hAnsi="Arial Narrow" w:cs="Symbol"/>
                <w:lang w:eastAsia="en-AU"/>
              </w:rPr>
            </w:pPr>
            <w:r w:rsidRPr="001A1F6B">
              <w:rPr>
                <w:rFonts w:ascii="Arial Narrow" w:hAnsi="Arial Narrow" w:cs="Symbol"/>
                <w:lang w:eastAsia="en-AU"/>
              </w:rPr>
              <w:t>30%</w:t>
            </w:r>
          </w:p>
        </w:tc>
        <w:tc>
          <w:tcPr>
            <w:tcW w:w="708" w:type="pct"/>
            <w:tcBorders>
              <w:top w:val="single" w:sz="4" w:space="0" w:color="auto"/>
              <w:left w:val="single" w:sz="4" w:space="0" w:color="auto"/>
              <w:bottom w:val="single" w:sz="4" w:space="0" w:color="auto"/>
              <w:right w:val="single" w:sz="4" w:space="0" w:color="auto"/>
            </w:tcBorders>
            <w:vAlign w:val="center"/>
          </w:tcPr>
          <w:p w14:paraId="20D1ADF8" w14:textId="7FFE4099" w:rsidR="002A5180" w:rsidRPr="001A1F6B" w:rsidRDefault="00637EE5" w:rsidP="002A5180">
            <w:pPr>
              <w:spacing w:before="40"/>
              <w:jc w:val="center"/>
              <w:rPr>
                <w:rFonts w:ascii="Arial Narrow" w:hAnsi="Arial Narrow" w:cs="Symbol"/>
                <w:lang w:eastAsia="en-AU"/>
              </w:rPr>
            </w:pPr>
            <w:r w:rsidRPr="001A1F6B">
              <w:rPr>
                <w:rFonts w:ascii="Arial Narrow" w:hAnsi="Arial Narrow" w:cs="Symbol"/>
                <w:lang w:eastAsia="en-AU"/>
              </w:rPr>
              <w:t>60%</w:t>
            </w:r>
          </w:p>
        </w:tc>
        <w:tc>
          <w:tcPr>
            <w:tcW w:w="708" w:type="pct"/>
            <w:tcBorders>
              <w:top w:val="single" w:sz="4" w:space="0" w:color="auto"/>
              <w:left w:val="single" w:sz="4" w:space="0" w:color="auto"/>
              <w:bottom w:val="single" w:sz="4" w:space="0" w:color="auto"/>
              <w:right w:val="single" w:sz="4" w:space="0" w:color="auto"/>
            </w:tcBorders>
            <w:vAlign w:val="center"/>
          </w:tcPr>
          <w:p w14:paraId="270BCC27" w14:textId="65ADE2D6" w:rsidR="002A5180" w:rsidRPr="001A1F6B" w:rsidRDefault="00637EE5" w:rsidP="002A5180">
            <w:pPr>
              <w:spacing w:before="40"/>
              <w:jc w:val="center"/>
              <w:rPr>
                <w:rFonts w:ascii="Arial Narrow" w:hAnsi="Arial Narrow" w:cs="Symbol"/>
                <w:lang w:eastAsia="en-AU"/>
              </w:rPr>
            </w:pPr>
            <w:r w:rsidRPr="001A1F6B">
              <w:rPr>
                <w:rFonts w:ascii="Arial Narrow" w:hAnsi="Arial Narrow" w:cs="Symbol"/>
                <w:lang w:eastAsia="en-AU"/>
              </w:rPr>
              <w:t>80%</w:t>
            </w:r>
          </w:p>
        </w:tc>
        <w:tc>
          <w:tcPr>
            <w:tcW w:w="757" w:type="pct"/>
            <w:tcBorders>
              <w:top w:val="single" w:sz="4" w:space="0" w:color="auto"/>
              <w:left w:val="single" w:sz="4" w:space="0" w:color="auto"/>
              <w:bottom w:val="single" w:sz="4" w:space="0" w:color="auto"/>
              <w:right w:val="single" w:sz="4" w:space="0" w:color="auto"/>
            </w:tcBorders>
            <w:vAlign w:val="center"/>
          </w:tcPr>
          <w:p w14:paraId="43F5D005" w14:textId="4CC53A40" w:rsidR="002A5180" w:rsidRPr="001A1F6B" w:rsidRDefault="00637EE5" w:rsidP="002A5180">
            <w:pPr>
              <w:widowControl w:val="0"/>
              <w:spacing w:before="0" w:after="0"/>
              <w:jc w:val="center"/>
              <w:rPr>
                <w:rFonts w:ascii="Arial Narrow" w:hAnsi="Arial Narrow" w:cs="Symbol"/>
              </w:rPr>
            </w:pPr>
            <w:r w:rsidRPr="001A1F6B">
              <w:rPr>
                <w:rFonts w:ascii="Arial Narrow" w:hAnsi="Arial Narrow" w:cs="Symbol"/>
              </w:rPr>
              <w:t>80%</w:t>
            </w:r>
          </w:p>
        </w:tc>
      </w:tr>
      <w:tr w:rsidR="002A5180" w:rsidRPr="002A5180" w14:paraId="58E1D34A" w14:textId="77777777" w:rsidTr="000B7EE8">
        <w:tc>
          <w:tcPr>
            <w:tcW w:w="2120" w:type="pct"/>
            <w:tcBorders>
              <w:top w:val="single" w:sz="4" w:space="0" w:color="auto"/>
              <w:left w:val="single" w:sz="4" w:space="0" w:color="auto"/>
              <w:bottom w:val="single" w:sz="4" w:space="0" w:color="auto"/>
              <w:right w:val="single" w:sz="4" w:space="0" w:color="auto"/>
            </w:tcBorders>
            <w:vAlign w:val="center"/>
          </w:tcPr>
          <w:p w14:paraId="778B6429" w14:textId="4BD27AA9" w:rsidR="002A5180" w:rsidRPr="001A1F6B" w:rsidRDefault="00B41275" w:rsidP="002A5180">
            <w:pPr>
              <w:widowControl w:val="0"/>
              <w:spacing w:before="0" w:after="0"/>
              <w:rPr>
                <w:rFonts w:ascii="Arial Narrow" w:eastAsia="SimSun" w:hAnsi="Arial Narrow" w:cs="Symbol"/>
                <w:vertAlign w:val="superscript"/>
              </w:rPr>
            </w:pPr>
            <w:r w:rsidRPr="001A1F6B">
              <w:rPr>
                <w:rFonts w:ascii="Arial Narrow" w:eastAsia="SimSun" w:hAnsi="Arial Narrow" w:cs="Symbol"/>
              </w:rPr>
              <w:t xml:space="preserve">Estimated proportion of funding </w:t>
            </w:r>
            <w:r w:rsidRPr="001A1F6B">
              <w:rPr>
                <w:rFonts w:ascii="Arial Narrow" w:eastAsia="SimSun" w:hAnsi="Arial Narrow" w:cs="Symbol"/>
                <w:vertAlign w:val="superscript"/>
              </w:rPr>
              <w:t>a</w:t>
            </w:r>
          </w:p>
        </w:tc>
        <w:tc>
          <w:tcPr>
            <w:tcW w:w="707" w:type="pct"/>
            <w:shd w:val="clear" w:color="auto" w:fill="auto"/>
            <w:vAlign w:val="center"/>
          </w:tcPr>
          <w:p w14:paraId="398E7739" w14:textId="008CD591" w:rsidR="002A5180" w:rsidRPr="001A1F6B" w:rsidRDefault="00B41275" w:rsidP="002A5180">
            <w:pPr>
              <w:spacing w:before="40"/>
              <w:jc w:val="center"/>
              <w:rPr>
                <w:rFonts w:ascii="Arial Narrow" w:eastAsia="SimSun" w:hAnsi="Arial Narrow" w:cs="Symbol"/>
              </w:rPr>
            </w:pPr>
            <w:r w:rsidRPr="001A1F6B">
              <w:rPr>
                <w:rFonts w:ascii="Arial Narrow" w:eastAsia="SimSun" w:hAnsi="Arial Narrow" w:cs="Symbol"/>
              </w:rPr>
              <w:t>12%</w:t>
            </w:r>
          </w:p>
        </w:tc>
        <w:tc>
          <w:tcPr>
            <w:tcW w:w="708" w:type="pct"/>
            <w:shd w:val="clear" w:color="auto" w:fill="auto"/>
            <w:vAlign w:val="center"/>
          </w:tcPr>
          <w:p w14:paraId="2980A923" w14:textId="003AFFB5" w:rsidR="002A5180" w:rsidRPr="001A1F6B" w:rsidRDefault="00B41275" w:rsidP="002A5180">
            <w:pPr>
              <w:spacing w:before="40"/>
              <w:jc w:val="center"/>
              <w:rPr>
                <w:rFonts w:ascii="Arial Narrow" w:eastAsia="SimSun" w:hAnsi="Arial Narrow" w:cs="Symbol"/>
              </w:rPr>
            </w:pPr>
            <w:r w:rsidRPr="001A1F6B">
              <w:rPr>
                <w:rFonts w:ascii="Arial Narrow" w:eastAsia="SimSun" w:hAnsi="Arial Narrow" w:cs="Symbol"/>
              </w:rPr>
              <w:t>24%</w:t>
            </w:r>
          </w:p>
        </w:tc>
        <w:tc>
          <w:tcPr>
            <w:tcW w:w="708" w:type="pct"/>
            <w:shd w:val="clear" w:color="auto" w:fill="auto"/>
            <w:vAlign w:val="center"/>
          </w:tcPr>
          <w:p w14:paraId="47E57EFA" w14:textId="53F900FB" w:rsidR="002A5180" w:rsidRPr="001A1F6B" w:rsidRDefault="00B41275" w:rsidP="002A5180">
            <w:pPr>
              <w:spacing w:before="40"/>
              <w:jc w:val="center"/>
              <w:rPr>
                <w:rFonts w:ascii="Arial Narrow" w:eastAsia="SimSun" w:hAnsi="Arial Narrow" w:cs="Symbol"/>
              </w:rPr>
            </w:pPr>
            <w:r w:rsidRPr="001A1F6B">
              <w:rPr>
                <w:rFonts w:ascii="Arial Narrow" w:eastAsia="SimSun" w:hAnsi="Arial Narrow" w:cs="Symbol"/>
              </w:rPr>
              <w:t>32%</w:t>
            </w:r>
          </w:p>
        </w:tc>
        <w:tc>
          <w:tcPr>
            <w:tcW w:w="757" w:type="pct"/>
            <w:vAlign w:val="center"/>
          </w:tcPr>
          <w:p w14:paraId="4A451FCD" w14:textId="17963C92" w:rsidR="002A5180" w:rsidRPr="001A1F6B" w:rsidRDefault="00B41275" w:rsidP="002A5180">
            <w:pPr>
              <w:spacing w:before="40"/>
              <w:jc w:val="center"/>
              <w:rPr>
                <w:rFonts w:ascii="Arial Narrow" w:eastAsia="SimSun" w:hAnsi="Arial Narrow" w:cs="Symbol"/>
              </w:rPr>
            </w:pPr>
            <w:r w:rsidRPr="001A1F6B">
              <w:rPr>
                <w:rFonts w:ascii="Arial Narrow" w:eastAsia="SimSun" w:hAnsi="Arial Narrow" w:cs="Symbol"/>
              </w:rPr>
              <w:t>32%</w:t>
            </w:r>
          </w:p>
        </w:tc>
      </w:tr>
      <w:tr w:rsidR="00584750" w:rsidRPr="002A5180" w14:paraId="5CD802C7" w14:textId="77777777" w:rsidTr="000B7EE8">
        <w:tc>
          <w:tcPr>
            <w:tcW w:w="2120" w:type="pct"/>
            <w:tcBorders>
              <w:top w:val="single" w:sz="4" w:space="0" w:color="auto"/>
              <w:left w:val="single" w:sz="4" w:space="0" w:color="auto"/>
              <w:bottom w:val="single" w:sz="4" w:space="0" w:color="auto"/>
              <w:right w:val="single" w:sz="4" w:space="0" w:color="auto"/>
            </w:tcBorders>
            <w:vAlign w:val="center"/>
          </w:tcPr>
          <w:p w14:paraId="6A739339" w14:textId="3FD4B45D" w:rsidR="00584750" w:rsidRPr="001A1F6B" w:rsidRDefault="00584750" w:rsidP="00584750">
            <w:pPr>
              <w:widowControl w:val="0"/>
              <w:spacing w:before="0" w:after="0"/>
              <w:rPr>
                <w:rFonts w:ascii="Arial Narrow" w:eastAsia="SimSun" w:hAnsi="Arial Narrow" w:cs="Symbol"/>
              </w:rPr>
            </w:pPr>
            <w:r w:rsidRPr="001A1F6B">
              <w:rPr>
                <w:rFonts w:ascii="Arial Narrow" w:eastAsia="SimSun" w:hAnsi="Arial Narrow" w:cs="Symbol"/>
              </w:rPr>
              <w:t>Estimated funding per year</w:t>
            </w:r>
          </w:p>
        </w:tc>
        <w:tc>
          <w:tcPr>
            <w:tcW w:w="707" w:type="pct"/>
            <w:tcBorders>
              <w:top w:val="single" w:sz="4" w:space="0" w:color="auto"/>
              <w:left w:val="single" w:sz="4" w:space="0" w:color="auto"/>
              <w:bottom w:val="single" w:sz="4" w:space="0" w:color="auto"/>
              <w:right w:val="single" w:sz="4" w:space="0" w:color="auto"/>
            </w:tcBorders>
          </w:tcPr>
          <w:p w14:paraId="6EE3EDA3" w14:textId="52DB6BBE" w:rsidR="00584750" w:rsidRPr="002A5180" w:rsidRDefault="00584750" w:rsidP="00584750">
            <w:pPr>
              <w:pStyle w:val="TableText"/>
              <w:jc w:val="center"/>
            </w:pPr>
            <w:r w:rsidRPr="00CD686F">
              <w:t>$41,484,000</w:t>
            </w:r>
          </w:p>
        </w:tc>
        <w:tc>
          <w:tcPr>
            <w:tcW w:w="708" w:type="pct"/>
            <w:tcBorders>
              <w:top w:val="single" w:sz="4" w:space="0" w:color="auto"/>
              <w:left w:val="single" w:sz="4" w:space="0" w:color="auto"/>
              <w:bottom w:val="single" w:sz="4" w:space="0" w:color="auto"/>
              <w:right w:val="single" w:sz="4" w:space="0" w:color="auto"/>
            </w:tcBorders>
          </w:tcPr>
          <w:p w14:paraId="392070B0" w14:textId="7E57A94C" w:rsidR="00584750" w:rsidRPr="002A5180" w:rsidRDefault="00584750" w:rsidP="00584750">
            <w:pPr>
              <w:pStyle w:val="TableText"/>
              <w:jc w:val="center"/>
            </w:pPr>
            <w:r w:rsidRPr="00CD686F">
              <w:t>$82,968,000</w:t>
            </w:r>
          </w:p>
        </w:tc>
        <w:tc>
          <w:tcPr>
            <w:tcW w:w="708" w:type="pct"/>
            <w:tcBorders>
              <w:top w:val="single" w:sz="4" w:space="0" w:color="auto"/>
              <w:left w:val="single" w:sz="4" w:space="0" w:color="auto"/>
              <w:bottom w:val="single" w:sz="4" w:space="0" w:color="auto"/>
              <w:right w:val="single" w:sz="4" w:space="0" w:color="auto"/>
            </w:tcBorders>
          </w:tcPr>
          <w:p w14:paraId="2C8FEE20" w14:textId="115E7BD1" w:rsidR="00584750" w:rsidRPr="002A5180" w:rsidRDefault="00584750" w:rsidP="00584750">
            <w:pPr>
              <w:pStyle w:val="TableText"/>
              <w:jc w:val="center"/>
            </w:pPr>
            <w:r w:rsidRPr="00CD686F">
              <w:t>$110,624,000</w:t>
            </w:r>
          </w:p>
        </w:tc>
        <w:tc>
          <w:tcPr>
            <w:tcW w:w="757" w:type="pct"/>
            <w:tcBorders>
              <w:top w:val="single" w:sz="4" w:space="0" w:color="auto"/>
              <w:left w:val="single" w:sz="4" w:space="0" w:color="auto"/>
              <w:bottom w:val="single" w:sz="4" w:space="0" w:color="auto"/>
              <w:right w:val="single" w:sz="4" w:space="0" w:color="auto"/>
            </w:tcBorders>
          </w:tcPr>
          <w:p w14:paraId="28AF0177" w14:textId="2B098E46" w:rsidR="00584750" w:rsidRPr="002A5180" w:rsidRDefault="00584750" w:rsidP="00584750">
            <w:pPr>
              <w:pStyle w:val="TableText"/>
              <w:jc w:val="center"/>
              <w:rPr>
                <w:rFonts w:cs="Symbol"/>
              </w:rPr>
            </w:pPr>
            <w:r w:rsidRPr="00CD686F">
              <w:t>$110,624,000</w:t>
            </w:r>
          </w:p>
        </w:tc>
      </w:tr>
      <w:tr w:rsidR="0001539B" w:rsidRPr="002A5180" w14:paraId="3D67D856" w14:textId="77777777" w:rsidTr="000B7EE8">
        <w:tc>
          <w:tcPr>
            <w:tcW w:w="2120" w:type="pct"/>
            <w:tcBorders>
              <w:top w:val="single" w:sz="4" w:space="0" w:color="auto"/>
              <w:left w:val="single" w:sz="4" w:space="0" w:color="auto"/>
              <w:bottom w:val="single" w:sz="4" w:space="0" w:color="auto"/>
              <w:right w:val="single" w:sz="4" w:space="0" w:color="auto"/>
            </w:tcBorders>
            <w:vAlign w:val="center"/>
          </w:tcPr>
          <w:p w14:paraId="79CEB3C1" w14:textId="0D631253" w:rsidR="0001539B" w:rsidRPr="001A1F6B" w:rsidRDefault="0001539B" w:rsidP="0001539B">
            <w:pPr>
              <w:widowControl w:val="0"/>
              <w:spacing w:before="0" w:after="0"/>
              <w:rPr>
                <w:rFonts w:ascii="Arial Narrow" w:eastAsia="SimSun" w:hAnsi="Arial Narrow" w:cs="Symbol"/>
                <w:vertAlign w:val="superscript"/>
              </w:rPr>
            </w:pPr>
            <w:r w:rsidRPr="001A1F6B">
              <w:rPr>
                <w:rFonts w:ascii="Arial Narrow" w:eastAsia="SimSun" w:hAnsi="Arial Narrow" w:cs="Symbol"/>
              </w:rPr>
              <w:t xml:space="preserve">Aged care residents receiving pharmacist care </w:t>
            </w:r>
            <w:r w:rsidRPr="001A1F6B">
              <w:rPr>
                <w:rFonts w:ascii="Arial Narrow" w:eastAsia="SimSun" w:hAnsi="Arial Narrow" w:cs="Symbol"/>
                <w:vertAlign w:val="superscript"/>
              </w:rPr>
              <w:t>b</w:t>
            </w:r>
          </w:p>
        </w:tc>
        <w:tc>
          <w:tcPr>
            <w:tcW w:w="707" w:type="pct"/>
            <w:tcBorders>
              <w:top w:val="single" w:sz="4" w:space="0" w:color="auto"/>
              <w:left w:val="single" w:sz="4" w:space="0" w:color="auto"/>
              <w:bottom w:val="single" w:sz="4" w:space="0" w:color="auto"/>
              <w:right w:val="single" w:sz="4" w:space="0" w:color="auto"/>
            </w:tcBorders>
          </w:tcPr>
          <w:p w14:paraId="09D2FF02" w14:textId="32C7D9E6" w:rsidR="0001539B" w:rsidRPr="00B47D24" w:rsidRDefault="00B47D24" w:rsidP="000B7EE8">
            <w:pPr>
              <w:pStyle w:val="TableText"/>
              <w:jc w:val="center"/>
              <w:rPr>
                <w:b/>
                <w:bCs/>
              </w:rPr>
            </w:pPr>
            <w:r w:rsidRPr="00B47D24">
              <w:rPr>
                <w:b/>
                <w:bCs/>
              </w:rPr>
              <w:t>redacted</w:t>
            </w:r>
          </w:p>
        </w:tc>
        <w:tc>
          <w:tcPr>
            <w:tcW w:w="708" w:type="pct"/>
            <w:tcBorders>
              <w:top w:val="single" w:sz="4" w:space="0" w:color="auto"/>
              <w:left w:val="single" w:sz="4" w:space="0" w:color="auto"/>
              <w:bottom w:val="single" w:sz="4" w:space="0" w:color="auto"/>
              <w:right w:val="single" w:sz="4" w:space="0" w:color="auto"/>
            </w:tcBorders>
          </w:tcPr>
          <w:p w14:paraId="7E8DA7FF" w14:textId="55ED204A" w:rsidR="0001539B" w:rsidRPr="00B47D24" w:rsidRDefault="00B47D24" w:rsidP="000B7EE8">
            <w:pPr>
              <w:pStyle w:val="TableText"/>
              <w:jc w:val="center"/>
            </w:pPr>
            <w:r w:rsidRPr="00B47D24">
              <w:rPr>
                <w:b/>
                <w:bCs/>
              </w:rPr>
              <w:t>redacted</w:t>
            </w:r>
          </w:p>
        </w:tc>
        <w:tc>
          <w:tcPr>
            <w:tcW w:w="708" w:type="pct"/>
            <w:tcBorders>
              <w:top w:val="single" w:sz="4" w:space="0" w:color="auto"/>
              <w:left w:val="single" w:sz="4" w:space="0" w:color="auto"/>
              <w:bottom w:val="single" w:sz="4" w:space="0" w:color="auto"/>
              <w:right w:val="single" w:sz="4" w:space="0" w:color="auto"/>
            </w:tcBorders>
          </w:tcPr>
          <w:p w14:paraId="1B72CB4A" w14:textId="69F5279B" w:rsidR="0001539B" w:rsidRPr="00B47D24" w:rsidRDefault="00B47D24" w:rsidP="000B7EE8">
            <w:pPr>
              <w:pStyle w:val="TableText"/>
              <w:jc w:val="center"/>
            </w:pPr>
            <w:r w:rsidRPr="00B47D24">
              <w:rPr>
                <w:b/>
                <w:bCs/>
              </w:rPr>
              <w:t>redacted</w:t>
            </w:r>
          </w:p>
        </w:tc>
        <w:tc>
          <w:tcPr>
            <w:tcW w:w="757" w:type="pct"/>
            <w:tcBorders>
              <w:top w:val="single" w:sz="4" w:space="0" w:color="auto"/>
              <w:left w:val="single" w:sz="4" w:space="0" w:color="auto"/>
              <w:bottom w:val="single" w:sz="4" w:space="0" w:color="auto"/>
              <w:right w:val="single" w:sz="4" w:space="0" w:color="auto"/>
            </w:tcBorders>
          </w:tcPr>
          <w:p w14:paraId="1DED8DDB" w14:textId="2012456E" w:rsidR="0001539B" w:rsidRPr="00B47D24" w:rsidRDefault="00B47D24" w:rsidP="000B7EE8">
            <w:pPr>
              <w:pStyle w:val="TableText"/>
              <w:jc w:val="center"/>
              <w:rPr>
                <w:rFonts w:eastAsia="SimSun" w:cs="Symbol"/>
              </w:rPr>
            </w:pPr>
            <w:r w:rsidRPr="00B47D24">
              <w:rPr>
                <w:b/>
                <w:bCs/>
              </w:rPr>
              <w:t>redacted</w:t>
            </w:r>
          </w:p>
        </w:tc>
      </w:tr>
      <w:tr w:rsidR="000B7EE8" w:rsidRPr="002A5180" w14:paraId="22BFA404" w14:textId="77777777" w:rsidTr="000B7EE8">
        <w:tc>
          <w:tcPr>
            <w:tcW w:w="2120" w:type="pct"/>
            <w:tcBorders>
              <w:top w:val="single" w:sz="4" w:space="0" w:color="auto"/>
              <w:left w:val="single" w:sz="4" w:space="0" w:color="auto"/>
              <w:bottom w:val="single" w:sz="4" w:space="0" w:color="auto"/>
              <w:right w:val="single" w:sz="4" w:space="0" w:color="auto"/>
            </w:tcBorders>
            <w:vAlign w:val="center"/>
          </w:tcPr>
          <w:p w14:paraId="1D7C5D57" w14:textId="18997A6C" w:rsidR="000B7EE8" w:rsidRPr="001A1F6B" w:rsidRDefault="000B7EE8" w:rsidP="000B7EE8">
            <w:pPr>
              <w:widowControl w:val="0"/>
              <w:spacing w:before="0" w:after="0"/>
              <w:rPr>
                <w:rFonts w:ascii="Arial Narrow" w:eastAsia="SimSun" w:hAnsi="Arial Narrow" w:cs="Symbol"/>
              </w:rPr>
            </w:pPr>
            <w:r w:rsidRPr="001A1F6B">
              <w:rPr>
                <w:rFonts w:ascii="Arial Narrow" w:eastAsia="SimSun" w:hAnsi="Arial Narrow" w:cs="Symbol"/>
              </w:rPr>
              <w:t>Cost per resident</w:t>
            </w:r>
          </w:p>
        </w:tc>
        <w:tc>
          <w:tcPr>
            <w:tcW w:w="707" w:type="pct"/>
            <w:tcBorders>
              <w:top w:val="single" w:sz="4" w:space="0" w:color="auto"/>
              <w:left w:val="single" w:sz="4" w:space="0" w:color="auto"/>
              <w:bottom w:val="single" w:sz="4" w:space="0" w:color="auto"/>
              <w:right w:val="single" w:sz="4" w:space="0" w:color="auto"/>
            </w:tcBorders>
          </w:tcPr>
          <w:p w14:paraId="4715A327" w14:textId="643D1966" w:rsidR="000B7EE8" w:rsidRPr="00B47D24" w:rsidRDefault="000B7EE8" w:rsidP="000B7EE8">
            <w:pPr>
              <w:pStyle w:val="TableText"/>
              <w:jc w:val="center"/>
            </w:pPr>
            <w:r w:rsidRPr="00B47D24">
              <w:t>$</w:t>
            </w:r>
            <w:r w:rsidR="00B47D24" w:rsidRPr="00B47D24">
              <w:rPr>
                <w:b/>
                <w:bCs/>
              </w:rPr>
              <w:t>redacted</w:t>
            </w:r>
          </w:p>
        </w:tc>
        <w:tc>
          <w:tcPr>
            <w:tcW w:w="708" w:type="pct"/>
            <w:tcBorders>
              <w:top w:val="single" w:sz="4" w:space="0" w:color="auto"/>
              <w:left w:val="single" w:sz="4" w:space="0" w:color="auto"/>
              <w:bottom w:val="single" w:sz="4" w:space="0" w:color="auto"/>
              <w:right w:val="single" w:sz="4" w:space="0" w:color="auto"/>
            </w:tcBorders>
          </w:tcPr>
          <w:p w14:paraId="2420F320" w14:textId="2A3C0F90" w:rsidR="000B7EE8" w:rsidRPr="00B47D24" w:rsidRDefault="000B7EE8" w:rsidP="000B7EE8">
            <w:pPr>
              <w:pStyle w:val="TableText"/>
              <w:jc w:val="center"/>
            </w:pPr>
            <w:r w:rsidRPr="00B47D24">
              <w:t>$</w:t>
            </w:r>
            <w:r w:rsidR="00B47D24" w:rsidRPr="00B47D24">
              <w:rPr>
                <w:b/>
                <w:bCs/>
              </w:rPr>
              <w:t>redacted</w:t>
            </w:r>
            <w:r w:rsidR="00B47D24" w:rsidRPr="00B47D24">
              <w:t xml:space="preserve"> </w:t>
            </w:r>
          </w:p>
        </w:tc>
        <w:tc>
          <w:tcPr>
            <w:tcW w:w="708" w:type="pct"/>
            <w:tcBorders>
              <w:top w:val="single" w:sz="4" w:space="0" w:color="auto"/>
              <w:left w:val="single" w:sz="4" w:space="0" w:color="auto"/>
              <w:bottom w:val="single" w:sz="4" w:space="0" w:color="auto"/>
              <w:right w:val="single" w:sz="4" w:space="0" w:color="auto"/>
            </w:tcBorders>
          </w:tcPr>
          <w:p w14:paraId="1F1BD1F1" w14:textId="35C37387" w:rsidR="000B7EE8" w:rsidRPr="00B47D24" w:rsidRDefault="000B7EE8" w:rsidP="000B7EE8">
            <w:pPr>
              <w:pStyle w:val="TableText"/>
              <w:jc w:val="center"/>
            </w:pPr>
            <w:r w:rsidRPr="00B47D24">
              <w:t>$</w:t>
            </w:r>
            <w:r w:rsidR="00B47D24" w:rsidRPr="00B47D24">
              <w:rPr>
                <w:b/>
                <w:bCs/>
              </w:rPr>
              <w:t>redacted</w:t>
            </w:r>
          </w:p>
        </w:tc>
        <w:tc>
          <w:tcPr>
            <w:tcW w:w="757" w:type="pct"/>
            <w:tcBorders>
              <w:top w:val="single" w:sz="4" w:space="0" w:color="auto"/>
              <w:left w:val="single" w:sz="4" w:space="0" w:color="auto"/>
              <w:bottom w:val="single" w:sz="4" w:space="0" w:color="auto"/>
              <w:right w:val="single" w:sz="4" w:space="0" w:color="auto"/>
            </w:tcBorders>
          </w:tcPr>
          <w:p w14:paraId="0951D0B0" w14:textId="70B2E62B" w:rsidR="000B7EE8" w:rsidRPr="00B47D24" w:rsidRDefault="000B7EE8" w:rsidP="000B7EE8">
            <w:pPr>
              <w:pStyle w:val="TableText"/>
              <w:jc w:val="center"/>
              <w:rPr>
                <w:rFonts w:eastAsia="SimSun" w:cs="Symbol"/>
              </w:rPr>
            </w:pPr>
            <w:r w:rsidRPr="00B47D24">
              <w:t>$</w:t>
            </w:r>
            <w:r w:rsidR="00B47D24" w:rsidRPr="00B47D24">
              <w:rPr>
                <w:b/>
                <w:bCs/>
              </w:rPr>
              <w:t>redacted</w:t>
            </w:r>
          </w:p>
        </w:tc>
      </w:tr>
    </w:tbl>
    <w:p w14:paraId="0A85C46F" w14:textId="1606BA1B" w:rsidR="002A5180" w:rsidRDefault="00015AF4" w:rsidP="006B5FC8">
      <w:pPr>
        <w:pStyle w:val="TableFooter"/>
      </w:pPr>
      <w:r>
        <w:t xml:space="preserve">Source: </w:t>
      </w:r>
      <w:hyperlink r:id="rId33" w:history="1">
        <w:r w:rsidR="006B5FC8" w:rsidRPr="006C5DFB">
          <w:rPr>
            <w:rStyle w:val="Hyperlink"/>
          </w:rPr>
          <w:t xml:space="preserve">Aged </w:t>
        </w:r>
        <w:r w:rsidR="00EF3724">
          <w:rPr>
            <w:rStyle w:val="Hyperlink"/>
          </w:rPr>
          <w:t>C</w:t>
        </w:r>
        <w:r w:rsidR="00EF3724" w:rsidRPr="006C5DFB">
          <w:rPr>
            <w:rStyle w:val="Hyperlink"/>
          </w:rPr>
          <w:t xml:space="preserve">are </w:t>
        </w:r>
        <w:r w:rsidR="006B5FC8" w:rsidRPr="006C5DFB">
          <w:rPr>
            <w:rStyle w:val="Hyperlink"/>
          </w:rPr>
          <w:t>on-site pharmacist measure Consultation Paper (July 2022</w:t>
        </w:r>
      </w:hyperlink>
      <w:r w:rsidR="006B5FC8">
        <w:t>)</w:t>
      </w:r>
    </w:p>
    <w:p w14:paraId="141B7C4D" w14:textId="7368839A" w:rsidR="00B41275" w:rsidRDefault="00B41275" w:rsidP="006B5FC8">
      <w:pPr>
        <w:pStyle w:val="TableFooter"/>
      </w:pPr>
      <w:r>
        <w:rPr>
          <w:vertAlign w:val="superscript"/>
        </w:rPr>
        <w:t xml:space="preserve">a </w:t>
      </w:r>
      <w:r w:rsidR="006F6283">
        <w:t xml:space="preserve">Calculated as </w:t>
      </w:r>
      <w:r w:rsidR="002C1F84">
        <w:t>annual uptake/</w:t>
      </w:r>
      <w:r w:rsidR="005B0E21">
        <w:t xml:space="preserve"> sum of uptake (</w:t>
      </w:r>
      <w:r w:rsidR="002C1F84">
        <w:t>250%</w:t>
      </w:r>
      <w:r w:rsidR="005B0E21">
        <w:t xml:space="preserve">) to calculate estimated annual values. </w:t>
      </w:r>
    </w:p>
    <w:p w14:paraId="7A3F8462" w14:textId="7DC127A9" w:rsidR="00E579EF" w:rsidRPr="00B47D24" w:rsidRDefault="0001539B" w:rsidP="00B30F4B">
      <w:pPr>
        <w:pStyle w:val="TableFooter"/>
      </w:pPr>
      <w:r>
        <w:rPr>
          <w:vertAlign w:val="superscript"/>
        </w:rPr>
        <w:t>b</w:t>
      </w:r>
      <w:r>
        <w:t xml:space="preserve"> </w:t>
      </w:r>
      <w:r w:rsidR="00F440E4">
        <w:t xml:space="preserve">Calculated </w:t>
      </w:r>
      <w:r w:rsidR="00F440E4" w:rsidRPr="00B47D24">
        <w:t xml:space="preserve">as </w:t>
      </w:r>
      <w:r w:rsidR="00B47D24" w:rsidRPr="00B47D24">
        <w:rPr>
          <w:b/>
          <w:bCs/>
        </w:rPr>
        <w:t>redacted</w:t>
      </w:r>
      <w:r w:rsidR="00B47D24" w:rsidRPr="00B47D24">
        <w:t xml:space="preserve"> </w:t>
      </w:r>
      <w:r w:rsidR="00440ABD" w:rsidRPr="00B47D24">
        <w:t xml:space="preserve">operational places x uptake. </w:t>
      </w:r>
    </w:p>
    <w:p w14:paraId="25AE2BAC" w14:textId="7B3BE57E" w:rsidR="00772829" w:rsidRPr="00CE28E3" w:rsidRDefault="00C36633" w:rsidP="002A18BE">
      <w:pPr>
        <w:pStyle w:val="Heading2"/>
        <w:numPr>
          <w:ilvl w:val="0"/>
          <w:numId w:val="0"/>
        </w:numPr>
      </w:pPr>
      <w:bookmarkStart w:id="36" w:name="_Toc69491426"/>
      <w:r>
        <w:t>1</w:t>
      </w:r>
      <w:r w:rsidR="0039393C">
        <w:t>4</w:t>
      </w:r>
      <w:r>
        <w:t>.</w:t>
      </w:r>
      <w:r>
        <w:tab/>
      </w:r>
      <w:bookmarkEnd w:id="36"/>
      <w:r w:rsidR="00494693">
        <w:t>Financial</w:t>
      </w:r>
      <w:r w:rsidR="00772829" w:rsidRPr="00CE28E3">
        <w:t xml:space="preserve"> impacts</w:t>
      </w:r>
    </w:p>
    <w:p w14:paraId="04A7F452" w14:textId="1DD76C17" w:rsidR="00014A39" w:rsidRPr="00014A39" w:rsidRDefault="000F673A" w:rsidP="00014A39">
      <w:r w:rsidRPr="00BB2F0F">
        <w:fldChar w:fldCharType="begin"/>
      </w:r>
      <w:r w:rsidRPr="00BB2F0F">
        <w:instrText xml:space="preserve"> REF _Ref126832776 \h </w:instrText>
      </w:r>
      <w:r w:rsidR="00BB2F0F">
        <w:instrText xml:space="preserve"> \* MERGEFORMAT </w:instrText>
      </w:r>
      <w:r w:rsidRPr="00BB2F0F">
        <w:fldChar w:fldCharType="separate"/>
      </w:r>
      <w:r w:rsidR="00BB2F0F" w:rsidRPr="00A93992">
        <w:t xml:space="preserve">Table </w:t>
      </w:r>
      <w:r w:rsidR="00BB2F0F" w:rsidRPr="00A93992">
        <w:rPr>
          <w:noProof/>
        </w:rPr>
        <w:t>14</w:t>
      </w:r>
      <w:r w:rsidRPr="00BB2F0F">
        <w:fldChar w:fldCharType="end"/>
      </w:r>
      <w:r>
        <w:t xml:space="preserve"> </w:t>
      </w:r>
      <w:r w:rsidR="005E41DE" w:rsidRPr="005E41DE">
        <w:t xml:space="preserve">summarises the key inputs </w:t>
      </w:r>
      <w:r w:rsidR="005E41DE">
        <w:t xml:space="preserve">used to calculate </w:t>
      </w:r>
      <w:r w:rsidR="005E41DE" w:rsidRPr="005E41DE">
        <w:t xml:space="preserve">in the </w:t>
      </w:r>
      <w:r w:rsidR="00A330CF">
        <w:t>budgetary impact of the proposed IPAC program.</w:t>
      </w:r>
      <w:r w:rsidR="005E41DE">
        <w:t xml:space="preserve"> </w:t>
      </w:r>
      <w:r w:rsidR="00D473F6">
        <w:t xml:space="preserve">The financial estimates were largely calculated using </w:t>
      </w:r>
      <w:r w:rsidR="007C71FD">
        <w:t>data reported by Indigenous-</w:t>
      </w:r>
      <w:r w:rsidR="007C71FD" w:rsidRPr="007C71FD">
        <w:t xml:space="preserve"> specific primary health care organisatio</w:t>
      </w:r>
      <w:r w:rsidR="00EB355E">
        <w:t xml:space="preserve">ns using </w:t>
      </w:r>
      <w:r w:rsidR="00EB355E" w:rsidRPr="00EB355E">
        <w:t xml:space="preserve">Online Services </w:t>
      </w:r>
      <w:r w:rsidR="7415FBE4">
        <w:t>Report</w:t>
      </w:r>
      <w:r w:rsidR="00EB355E" w:rsidRPr="00EB355E">
        <w:t xml:space="preserve"> (OSR)</w:t>
      </w:r>
      <w:r w:rsidR="00D07E94">
        <w:t xml:space="preserve"> </w:t>
      </w:r>
      <w:r w:rsidR="605CD821">
        <w:t>collection</w:t>
      </w:r>
      <w:r w:rsidR="00D07E94">
        <w:t xml:space="preserve"> for the IAHP</w:t>
      </w:r>
      <w:r w:rsidR="00EB355E">
        <w:t xml:space="preserve">. </w:t>
      </w:r>
      <w:bookmarkStart w:id="37" w:name="_Ref126832776"/>
      <w:r w:rsidR="00014A39">
        <w:rPr>
          <w:sz w:val="20"/>
        </w:rPr>
        <w:br w:type="page"/>
      </w:r>
    </w:p>
    <w:p w14:paraId="2340812D" w14:textId="2A291218" w:rsidR="000F673A" w:rsidRPr="00836A43" w:rsidRDefault="000F673A" w:rsidP="000F673A">
      <w:pPr>
        <w:pStyle w:val="Caption"/>
        <w:rPr>
          <w:sz w:val="20"/>
        </w:rPr>
      </w:pPr>
      <w:r w:rsidRPr="00836A43">
        <w:rPr>
          <w:sz w:val="20"/>
        </w:rPr>
        <w:lastRenderedPageBreak/>
        <w:t xml:space="preserve">Table </w:t>
      </w:r>
      <w:r w:rsidR="00EF4077" w:rsidRPr="00836A43">
        <w:rPr>
          <w:sz w:val="20"/>
        </w:rPr>
        <w:fldChar w:fldCharType="begin"/>
      </w:r>
      <w:r w:rsidR="00EF4077" w:rsidRPr="00836A43">
        <w:rPr>
          <w:sz w:val="20"/>
        </w:rPr>
        <w:instrText xml:space="preserve"> SEQ Table \* ARABIC </w:instrText>
      </w:r>
      <w:r w:rsidR="00EF4077" w:rsidRPr="00836A43">
        <w:rPr>
          <w:sz w:val="20"/>
        </w:rPr>
        <w:fldChar w:fldCharType="separate"/>
      </w:r>
      <w:r w:rsidR="003F02CF">
        <w:rPr>
          <w:noProof/>
          <w:sz w:val="20"/>
        </w:rPr>
        <w:t>14</w:t>
      </w:r>
      <w:r w:rsidR="00EF4077" w:rsidRPr="00836A43">
        <w:rPr>
          <w:noProof/>
          <w:sz w:val="20"/>
        </w:rPr>
        <w:fldChar w:fldCharType="end"/>
      </w:r>
      <w:bookmarkEnd w:id="37"/>
      <w:r w:rsidR="00D65AE8" w:rsidRPr="00836A43">
        <w:rPr>
          <w:sz w:val="20"/>
        </w:rPr>
        <w:tab/>
      </w:r>
      <w:r w:rsidR="00940DFF" w:rsidRPr="00836A43">
        <w:rPr>
          <w:sz w:val="20"/>
        </w:rPr>
        <w:t>Data sources and parameter values applied in the financial estimates</w:t>
      </w:r>
    </w:p>
    <w:tbl>
      <w:tblPr>
        <w:tblStyle w:val="TableGrid"/>
        <w:tblW w:w="9158" w:type="dxa"/>
        <w:tblLook w:val="04A0" w:firstRow="1" w:lastRow="0" w:firstColumn="1" w:lastColumn="0" w:noHBand="0" w:noVBand="1"/>
      </w:tblPr>
      <w:tblGrid>
        <w:gridCol w:w="1696"/>
        <w:gridCol w:w="3261"/>
        <w:gridCol w:w="2035"/>
        <w:gridCol w:w="2166"/>
      </w:tblGrid>
      <w:tr w:rsidR="00715D09" w14:paraId="333A9029" w14:textId="0017D778" w:rsidTr="00A93992">
        <w:trPr>
          <w:cantSplit/>
          <w:tblHeader/>
        </w:trPr>
        <w:tc>
          <w:tcPr>
            <w:tcW w:w="1696" w:type="dxa"/>
          </w:tcPr>
          <w:p w14:paraId="58A9081F" w14:textId="6BB7A18D" w:rsidR="00715D09" w:rsidRPr="00061DF2" w:rsidRDefault="00715D09" w:rsidP="005E41DE">
            <w:pPr>
              <w:pStyle w:val="Tabletext0"/>
              <w:rPr>
                <w:b/>
                <w:bCs/>
              </w:rPr>
            </w:pPr>
            <w:r w:rsidRPr="00061DF2">
              <w:rPr>
                <w:b/>
                <w:bCs/>
              </w:rPr>
              <w:t>Parameter</w:t>
            </w:r>
          </w:p>
        </w:tc>
        <w:tc>
          <w:tcPr>
            <w:tcW w:w="3261" w:type="dxa"/>
          </w:tcPr>
          <w:p w14:paraId="67A9700D" w14:textId="480984C2" w:rsidR="00715D09" w:rsidRPr="00061DF2" w:rsidRDefault="00715D09" w:rsidP="005E41DE">
            <w:pPr>
              <w:pStyle w:val="Tabletext0"/>
              <w:rPr>
                <w:b/>
                <w:bCs/>
              </w:rPr>
            </w:pPr>
            <w:r w:rsidRPr="00061DF2">
              <w:rPr>
                <w:b/>
                <w:bCs/>
              </w:rPr>
              <w:t xml:space="preserve">Value </w:t>
            </w:r>
          </w:p>
        </w:tc>
        <w:tc>
          <w:tcPr>
            <w:tcW w:w="2035" w:type="dxa"/>
          </w:tcPr>
          <w:p w14:paraId="6A3CA2B3" w14:textId="5581ADBD" w:rsidR="00715D09" w:rsidRPr="00061DF2" w:rsidRDefault="00061DF2" w:rsidP="005E41DE">
            <w:pPr>
              <w:pStyle w:val="Tabletext0"/>
              <w:rPr>
                <w:b/>
                <w:bCs/>
              </w:rPr>
            </w:pPr>
            <w:r w:rsidRPr="00061DF2">
              <w:rPr>
                <w:b/>
                <w:bCs/>
              </w:rPr>
              <w:t>Source</w:t>
            </w:r>
          </w:p>
        </w:tc>
        <w:tc>
          <w:tcPr>
            <w:tcW w:w="2166" w:type="dxa"/>
          </w:tcPr>
          <w:p w14:paraId="2DB1C474" w14:textId="1623630D" w:rsidR="00715D09" w:rsidRPr="00061DF2" w:rsidRDefault="00061DF2" w:rsidP="005E41DE">
            <w:pPr>
              <w:pStyle w:val="Tabletext0"/>
              <w:rPr>
                <w:b/>
                <w:bCs/>
              </w:rPr>
            </w:pPr>
            <w:r w:rsidRPr="00061DF2">
              <w:rPr>
                <w:b/>
                <w:bCs/>
              </w:rPr>
              <w:t>Comment</w:t>
            </w:r>
          </w:p>
        </w:tc>
      </w:tr>
      <w:tr w:rsidR="00B20AAA" w14:paraId="52FAE7EB" w14:textId="77777777" w:rsidTr="00A93992">
        <w:trPr>
          <w:cantSplit/>
        </w:trPr>
        <w:tc>
          <w:tcPr>
            <w:tcW w:w="1696" w:type="dxa"/>
          </w:tcPr>
          <w:p w14:paraId="35AC081D" w14:textId="26E67842" w:rsidR="00B20AAA" w:rsidRDefault="00B20AAA" w:rsidP="005E41DE">
            <w:pPr>
              <w:pStyle w:val="Tabletext0"/>
            </w:pPr>
            <w:r>
              <w:t>Number of health services</w:t>
            </w:r>
          </w:p>
        </w:tc>
        <w:tc>
          <w:tcPr>
            <w:tcW w:w="3261" w:type="dxa"/>
          </w:tcPr>
          <w:p w14:paraId="1961569F" w14:textId="77777777" w:rsidR="00B20AAA" w:rsidRDefault="00F94E51" w:rsidP="005E41DE">
            <w:pPr>
              <w:pStyle w:val="Tabletext0"/>
            </w:pPr>
            <w:r>
              <w:t>ADAR model: 140 (limited to ACCHS)</w:t>
            </w:r>
          </w:p>
          <w:p w14:paraId="24434ED3" w14:textId="77777777" w:rsidR="00F94E51" w:rsidRDefault="00F94E51" w:rsidP="005E41DE">
            <w:pPr>
              <w:pStyle w:val="Tabletext0"/>
            </w:pPr>
            <w:r>
              <w:t xml:space="preserve">Dept model 1: </w:t>
            </w:r>
            <w:r w:rsidR="00A036B6">
              <w:t xml:space="preserve">229 </w:t>
            </w:r>
          </w:p>
          <w:p w14:paraId="719BB901" w14:textId="18899324" w:rsidR="00DC7261" w:rsidRDefault="00DC7261" w:rsidP="005E41DE">
            <w:pPr>
              <w:pStyle w:val="Tabletext0"/>
            </w:pPr>
            <w:r>
              <w:t xml:space="preserve">Dept model 2: </w:t>
            </w:r>
            <w:r w:rsidR="00BA0654">
              <w:t>17</w:t>
            </w:r>
            <w:r w:rsidR="00573572">
              <w:t>1</w:t>
            </w:r>
          </w:p>
          <w:p w14:paraId="23C005D9" w14:textId="2306D9CD" w:rsidR="00BA0654" w:rsidRDefault="00BA0654" w:rsidP="005E41DE">
            <w:pPr>
              <w:pStyle w:val="Tabletext0"/>
            </w:pPr>
            <w:r>
              <w:t>Dept model 3: 17</w:t>
            </w:r>
            <w:r w:rsidR="00573572">
              <w:t>1</w:t>
            </w:r>
          </w:p>
        </w:tc>
        <w:tc>
          <w:tcPr>
            <w:tcW w:w="2035" w:type="dxa"/>
          </w:tcPr>
          <w:p w14:paraId="18AD09FC" w14:textId="4387E609" w:rsidR="00B20AAA" w:rsidRDefault="006008E5" w:rsidP="005E41DE">
            <w:pPr>
              <w:pStyle w:val="Tabletext0"/>
            </w:pPr>
            <w:r>
              <w:t>OSR IAHP data</w:t>
            </w:r>
          </w:p>
        </w:tc>
        <w:tc>
          <w:tcPr>
            <w:tcW w:w="2166" w:type="dxa"/>
          </w:tcPr>
          <w:p w14:paraId="4164CC35" w14:textId="1674F1B1" w:rsidR="00B20AAA" w:rsidRDefault="00BA0654" w:rsidP="005E41DE">
            <w:pPr>
              <w:pStyle w:val="Tabletext0"/>
            </w:pPr>
            <w:r>
              <w:t xml:space="preserve">Dept models include </w:t>
            </w:r>
            <w:r w:rsidR="006008E5">
              <w:t xml:space="preserve">49 NT Government clinics funded through the proposed NT Government consortium. Excludes 3 organisations without clients. </w:t>
            </w:r>
          </w:p>
        </w:tc>
      </w:tr>
      <w:tr w:rsidR="00F05CCF" w14:paraId="08205E1B" w14:textId="77777777" w:rsidTr="00A93992">
        <w:trPr>
          <w:cantSplit/>
        </w:trPr>
        <w:tc>
          <w:tcPr>
            <w:tcW w:w="1696" w:type="dxa"/>
          </w:tcPr>
          <w:p w14:paraId="0B4293F5" w14:textId="6F2B59AB" w:rsidR="00F05CCF" w:rsidRDefault="00824587" w:rsidP="005E41DE">
            <w:pPr>
              <w:pStyle w:val="Tabletext0"/>
            </w:pPr>
            <w:r>
              <w:t>Client numbers</w:t>
            </w:r>
          </w:p>
        </w:tc>
        <w:tc>
          <w:tcPr>
            <w:tcW w:w="3261" w:type="dxa"/>
          </w:tcPr>
          <w:p w14:paraId="1432CCB0" w14:textId="2B1FA4D7" w:rsidR="00F05CCF" w:rsidRDefault="00AC4926" w:rsidP="005E41DE">
            <w:pPr>
              <w:pStyle w:val="Tabletext0"/>
            </w:pPr>
            <w:r>
              <w:t xml:space="preserve">Total clients </w:t>
            </w:r>
            <w:r w:rsidR="00E322C0">
              <w:t xml:space="preserve">(range </w:t>
            </w:r>
            <w:r w:rsidR="00E72234">
              <w:t xml:space="preserve">&lt; 50 to </w:t>
            </w:r>
            <w:r w:rsidR="001C3392">
              <w:t>≈24,000)</w:t>
            </w:r>
          </w:p>
        </w:tc>
        <w:tc>
          <w:tcPr>
            <w:tcW w:w="2035" w:type="dxa"/>
          </w:tcPr>
          <w:p w14:paraId="7BE335A1" w14:textId="7FA5B855" w:rsidR="00F05CCF" w:rsidRDefault="00AC4926" w:rsidP="005E41DE">
            <w:pPr>
              <w:pStyle w:val="Tabletext0"/>
            </w:pPr>
            <w:r>
              <w:t>OSR IAHP data</w:t>
            </w:r>
          </w:p>
        </w:tc>
        <w:tc>
          <w:tcPr>
            <w:tcW w:w="2166" w:type="dxa"/>
          </w:tcPr>
          <w:p w14:paraId="568D5C72" w14:textId="382115FA" w:rsidR="00F05CCF" w:rsidRDefault="004B3326" w:rsidP="005E41DE">
            <w:pPr>
              <w:pStyle w:val="Tabletext0"/>
            </w:pPr>
            <w:r>
              <w:t>Data on</w:t>
            </w:r>
            <w:r w:rsidR="00033C73">
              <w:t xml:space="preserve"> </w:t>
            </w:r>
            <w:r w:rsidR="007D2BDD">
              <w:t xml:space="preserve">clients who identify </w:t>
            </w:r>
            <w:r w:rsidR="007D2BDD" w:rsidRPr="007D2BDD">
              <w:t>Aboriginal and/or Torres Strait Islander origin</w:t>
            </w:r>
            <w:r>
              <w:t xml:space="preserve"> may be </w:t>
            </w:r>
            <w:r w:rsidR="00F91B16">
              <w:t xml:space="preserve">underestimated. </w:t>
            </w:r>
            <w:r>
              <w:t xml:space="preserve"> </w:t>
            </w:r>
          </w:p>
        </w:tc>
      </w:tr>
      <w:tr w:rsidR="00715D09" w14:paraId="19D234FA" w14:textId="5CFD369F" w:rsidTr="00A93992">
        <w:trPr>
          <w:cantSplit/>
        </w:trPr>
        <w:tc>
          <w:tcPr>
            <w:tcW w:w="1696" w:type="dxa"/>
          </w:tcPr>
          <w:p w14:paraId="600240ED" w14:textId="1158893A" w:rsidR="00715D09" w:rsidRDefault="00720157" w:rsidP="005E41DE">
            <w:pPr>
              <w:pStyle w:val="Tabletext0"/>
            </w:pPr>
            <w:r>
              <w:t>Remoteness classification</w:t>
            </w:r>
          </w:p>
        </w:tc>
        <w:tc>
          <w:tcPr>
            <w:tcW w:w="3261" w:type="dxa"/>
          </w:tcPr>
          <w:p w14:paraId="28588F10" w14:textId="749A1544" w:rsidR="00715D09" w:rsidRDefault="003A504E" w:rsidP="005E41DE">
            <w:pPr>
              <w:pStyle w:val="Tabletext0"/>
            </w:pPr>
            <w:r>
              <w:t>Based on</w:t>
            </w:r>
            <w:r w:rsidR="00826C30">
              <w:t xml:space="preserve"> </w:t>
            </w:r>
            <w:r w:rsidRPr="003A504E">
              <w:t>Modified Monash</w:t>
            </w:r>
            <w:r w:rsidR="00FB2BAA">
              <w:t xml:space="preserve"> </w:t>
            </w:r>
            <w:r w:rsidRPr="003A504E">
              <w:t>Model</w:t>
            </w:r>
            <w:r w:rsidR="004C065A">
              <w:t xml:space="preserve"> (MMM)</w:t>
            </w:r>
            <w:r>
              <w:t xml:space="preserve">. </w:t>
            </w:r>
          </w:p>
          <w:p w14:paraId="3986E7D7" w14:textId="0896D772" w:rsidR="00FB2BAA" w:rsidRDefault="00FB2BAA" w:rsidP="005E41DE">
            <w:pPr>
              <w:pStyle w:val="Tabletext0"/>
            </w:pPr>
            <w:r>
              <w:t>MM</w:t>
            </w:r>
            <w:r w:rsidR="004C065A">
              <w:t>M</w:t>
            </w:r>
            <w:r>
              <w:t> 1: Metropolitan</w:t>
            </w:r>
            <w:r w:rsidR="00FC713A">
              <w:t xml:space="preserve"> </w:t>
            </w:r>
          </w:p>
          <w:p w14:paraId="70141912" w14:textId="1DD3F61A" w:rsidR="00FB2BAA" w:rsidRDefault="00FB2BAA" w:rsidP="005E41DE">
            <w:pPr>
              <w:pStyle w:val="Tabletext0"/>
            </w:pPr>
            <w:r>
              <w:t>MM</w:t>
            </w:r>
            <w:r w:rsidR="004C065A">
              <w:t>M</w:t>
            </w:r>
            <w:r>
              <w:t xml:space="preserve"> 2: Regi</w:t>
            </w:r>
            <w:r w:rsidR="00F165EB">
              <w:t>onal centres</w:t>
            </w:r>
          </w:p>
          <w:p w14:paraId="6AD066EB" w14:textId="6794F412" w:rsidR="00F165EB" w:rsidRDefault="00F165EB" w:rsidP="005E41DE">
            <w:pPr>
              <w:pStyle w:val="Tabletext0"/>
            </w:pPr>
            <w:r>
              <w:t>MM</w:t>
            </w:r>
            <w:r w:rsidR="004C065A">
              <w:t>M</w:t>
            </w:r>
            <w:r>
              <w:t xml:space="preserve"> 3: </w:t>
            </w:r>
            <w:r w:rsidRPr="00F165EB">
              <w:t>Large rural towns</w:t>
            </w:r>
          </w:p>
          <w:p w14:paraId="71A1B4D7" w14:textId="58645252" w:rsidR="00F165EB" w:rsidRDefault="00F165EB" w:rsidP="005E41DE">
            <w:pPr>
              <w:pStyle w:val="Tabletext0"/>
            </w:pPr>
            <w:r>
              <w:t>MM</w:t>
            </w:r>
            <w:r w:rsidR="004C065A">
              <w:t>M</w:t>
            </w:r>
            <w:r>
              <w:t xml:space="preserve"> 4: </w:t>
            </w:r>
            <w:r w:rsidR="00264D6C">
              <w:t>Medium rural town</w:t>
            </w:r>
          </w:p>
          <w:p w14:paraId="2A2ABC0B" w14:textId="1BB6F054" w:rsidR="00264D6C" w:rsidRDefault="00264D6C" w:rsidP="005E41DE">
            <w:pPr>
              <w:pStyle w:val="Tabletext0"/>
            </w:pPr>
            <w:r>
              <w:t>MM</w:t>
            </w:r>
            <w:r w:rsidR="004C065A">
              <w:t>M</w:t>
            </w:r>
            <w:r>
              <w:t xml:space="preserve"> 5: </w:t>
            </w:r>
            <w:r w:rsidR="00F85BA6">
              <w:t>Small rural town</w:t>
            </w:r>
          </w:p>
          <w:p w14:paraId="56FB38EE" w14:textId="542E8681" w:rsidR="00F85BA6" w:rsidRDefault="00F85BA6" w:rsidP="005E41DE">
            <w:pPr>
              <w:pStyle w:val="Tabletext0"/>
            </w:pPr>
            <w:r>
              <w:t>MM</w:t>
            </w:r>
            <w:r w:rsidR="004C065A">
              <w:t>M</w:t>
            </w:r>
            <w:r>
              <w:t xml:space="preserve"> 6: Remote communities</w:t>
            </w:r>
          </w:p>
          <w:p w14:paraId="5181A714" w14:textId="17EAE15A" w:rsidR="00F85BA6" w:rsidRDefault="00F85BA6" w:rsidP="005E41DE">
            <w:pPr>
              <w:pStyle w:val="Tabletext0"/>
            </w:pPr>
            <w:r>
              <w:t>MM</w:t>
            </w:r>
            <w:r w:rsidR="004C065A">
              <w:t>M</w:t>
            </w:r>
            <w:r>
              <w:t xml:space="preserve"> 7: Very remote </w:t>
            </w:r>
            <w:r w:rsidR="007D74A7">
              <w:t>communities</w:t>
            </w:r>
          </w:p>
        </w:tc>
        <w:tc>
          <w:tcPr>
            <w:tcW w:w="2035" w:type="dxa"/>
          </w:tcPr>
          <w:p w14:paraId="75F38214" w14:textId="6828931B" w:rsidR="00715D09" w:rsidRPr="00AB1133" w:rsidRDefault="00AB1133" w:rsidP="005E41DE">
            <w:pPr>
              <w:pStyle w:val="Tabletext0"/>
              <w:rPr>
                <w:b/>
              </w:rPr>
            </w:pPr>
            <w:r>
              <w:t>OSR IAHP data</w:t>
            </w:r>
          </w:p>
        </w:tc>
        <w:tc>
          <w:tcPr>
            <w:tcW w:w="2166" w:type="dxa"/>
          </w:tcPr>
          <w:p w14:paraId="79255304" w14:textId="180A52FF" w:rsidR="00715D09" w:rsidRDefault="00C90207" w:rsidP="005E41DE">
            <w:pPr>
              <w:pStyle w:val="Tabletext0"/>
            </w:pPr>
            <w:r>
              <w:t xml:space="preserve">Health services covering multiple classifications were classified according to their </w:t>
            </w:r>
            <w:r w:rsidR="007D74A7">
              <w:t>most urban</w:t>
            </w:r>
            <w:r w:rsidR="00FC5AD1">
              <w:t xml:space="preserve">. </w:t>
            </w:r>
            <w:r w:rsidR="00F05CCF">
              <w:t>One health service covering MM</w:t>
            </w:r>
            <w:r w:rsidR="003D6BC2">
              <w:t>M</w:t>
            </w:r>
            <w:r w:rsidR="00F05CCF">
              <w:t xml:space="preserve"> 1- MM</w:t>
            </w:r>
            <w:r w:rsidR="003D6BC2">
              <w:t>M</w:t>
            </w:r>
            <w:r w:rsidR="00F05CCF">
              <w:t xml:space="preserve"> 5 regions was classified as MM</w:t>
            </w:r>
            <w:r w:rsidR="003D6BC2">
              <w:t>M</w:t>
            </w:r>
            <w:r w:rsidR="00F05CCF">
              <w:t xml:space="preserve"> 3. </w:t>
            </w:r>
          </w:p>
        </w:tc>
      </w:tr>
      <w:tr w:rsidR="00951158" w14:paraId="7EB4069A" w14:textId="77777777" w:rsidTr="00A93992">
        <w:trPr>
          <w:cantSplit/>
        </w:trPr>
        <w:tc>
          <w:tcPr>
            <w:tcW w:w="1696" w:type="dxa"/>
          </w:tcPr>
          <w:p w14:paraId="5DD08658" w14:textId="25D26131" w:rsidR="00951158" w:rsidRDefault="00951158" w:rsidP="00951158">
            <w:pPr>
              <w:pStyle w:val="Tabletext0"/>
            </w:pPr>
            <w:r>
              <w:t>FTE GPs</w:t>
            </w:r>
          </w:p>
        </w:tc>
        <w:tc>
          <w:tcPr>
            <w:tcW w:w="3261" w:type="dxa"/>
          </w:tcPr>
          <w:p w14:paraId="12E74D60" w14:textId="77777777" w:rsidR="00951158" w:rsidRDefault="00951158" w:rsidP="00951158">
            <w:pPr>
              <w:pStyle w:val="Tabletext0"/>
            </w:pPr>
            <w:r>
              <w:t xml:space="preserve">Range: 0 to &gt; 25. </w:t>
            </w:r>
          </w:p>
          <w:p w14:paraId="23BEBC3B" w14:textId="4E9014AC" w:rsidR="00951158" w:rsidRDefault="00951158" w:rsidP="00951158">
            <w:pPr>
              <w:pStyle w:val="Tabletext0"/>
            </w:pPr>
            <w:r>
              <w:t xml:space="preserve">68 health services reported zero FTE GPs.  </w:t>
            </w:r>
          </w:p>
        </w:tc>
        <w:tc>
          <w:tcPr>
            <w:tcW w:w="2035" w:type="dxa"/>
          </w:tcPr>
          <w:p w14:paraId="6747EA3D" w14:textId="0875D830" w:rsidR="00951158" w:rsidRDefault="00951158" w:rsidP="00951158">
            <w:pPr>
              <w:pStyle w:val="Tabletext0"/>
            </w:pPr>
            <w:r>
              <w:t>OSR IAHP data</w:t>
            </w:r>
          </w:p>
        </w:tc>
        <w:tc>
          <w:tcPr>
            <w:tcW w:w="2166" w:type="dxa"/>
          </w:tcPr>
          <w:p w14:paraId="4CF218F3" w14:textId="2BF36AC7" w:rsidR="00951158" w:rsidRDefault="00951158" w:rsidP="00951158">
            <w:pPr>
              <w:pStyle w:val="Tabletext0"/>
            </w:pPr>
            <w:r>
              <w:t>-</w:t>
            </w:r>
          </w:p>
        </w:tc>
      </w:tr>
      <w:tr w:rsidR="00951158" w14:paraId="1B453344" w14:textId="77777777" w:rsidTr="00A93992">
        <w:trPr>
          <w:cantSplit/>
        </w:trPr>
        <w:tc>
          <w:tcPr>
            <w:tcW w:w="1696" w:type="dxa"/>
          </w:tcPr>
          <w:p w14:paraId="391D732F" w14:textId="55463B9B" w:rsidR="00951158" w:rsidRDefault="00AB76A0" w:rsidP="00951158">
            <w:pPr>
              <w:pStyle w:val="Tabletext0"/>
            </w:pPr>
            <w:r>
              <w:t xml:space="preserve">FTE </w:t>
            </w:r>
            <w:r w:rsidR="009F02B5">
              <w:t>pharmacists</w:t>
            </w:r>
          </w:p>
        </w:tc>
        <w:tc>
          <w:tcPr>
            <w:tcW w:w="3261" w:type="dxa"/>
          </w:tcPr>
          <w:p w14:paraId="2B421DC2" w14:textId="177490B2" w:rsidR="0089751C" w:rsidRDefault="0089751C" w:rsidP="00A93992">
            <w:pPr>
              <w:pStyle w:val="Tabletext0"/>
              <w:jc w:val="left"/>
            </w:pPr>
            <w:r>
              <w:t xml:space="preserve">ADAR model: </w:t>
            </w:r>
            <w:r w:rsidR="00FC5B0F">
              <w:t>77.4</w:t>
            </w:r>
          </w:p>
          <w:p w14:paraId="227C5B2B" w14:textId="75DBBB02" w:rsidR="0089751C" w:rsidRDefault="0089751C" w:rsidP="00A93992">
            <w:pPr>
              <w:pStyle w:val="Tabletext0"/>
              <w:jc w:val="left"/>
            </w:pPr>
            <w:r>
              <w:t xml:space="preserve">Dept model 1: </w:t>
            </w:r>
            <w:r w:rsidR="00721D47">
              <w:t>130 (+10 NT consortium)</w:t>
            </w:r>
          </w:p>
          <w:p w14:paraId="17C2433C" w14:textId="09A222FB" w:rsidR="0089751C" w:rsidRDefault="0089751C" w:rsidP="00A93992">
            <w:pPr>
              <w:pStyle w:val="Tabletext0"/>
              <w:jc w:val="left"/>
            </w:pPr>
            <w:r>
              <w:t>Dept model 2: 1</w:t>
            </w:r>
            <w:r w:rsidR="00721D47">
              <w:t>03.1 (+10 NT consorti</w:t>
            </w:r>
            <w:r w:rsidR="0056705A">
              <w:t>u</w:t>
            </w:r>
            <w:r w:rsidR="00721D47">
              <w:t>m)</w:t>
            </w:r>
          </w:p>
          <w:p w14:paraId="39D898BB" w14:textId="2C24B65A" w:rsidR="00951158" w:rsidRDefault="0089751C" w:rsidP="00A93992">
            <w:pPr>
              <w:pStyle w:val="Tabletext0"/>
              <w:jc w:val="left"/>
            </w:pPr>
            <w:r>
              <w:t xml:space="preserve">Dept model 3: </w:t>
            </w:r>
            <w:r w:rsidR="0056705A">
              <w:t>82.9 (+10 NT consortium)</w:t>
            </w:r>
          </w:p>
        </w:tc>
        <w:tc>
          <w:tcPr>
            <w:tcW w:w="2035" w:type="dxa"/>
          </w:tcPr>
          <w:p w14:paraId="456822C9" w14:textId="649CD782" w:rsidR="00951158" w:rsidRDefault="00CD1FF9" w:rsidP="00951158">
            <w:pPr>
              <w:pStyle w:val="Tabletext0"/>
            </w:pPr>
            <w:r>
              <w:t>Refer to</w:t>
            </w:r>
            <w:r w:rsidR="00F84A13">
              <w:t xml:space="preserve"> </w:t>
            </w:r>
            <w:r w:rsidR="00F84A13">
              <w:fldChar w:fldCharType="begin"/>
            </w:r>
            <w:r w:rsidR="00F84A13">
              <w:instrText xml:space="preserve"> REF _Ref132378819 \h </w:instrText>
            </w:r>
            <w:r w:rsidR="00F84A13">
              <w:fldChar w:fldCharType="separate"/>
            </w:r>
            <w:r w:rsidR="00F84A13" w:rsidRPr="00956785">
              <w:t xml:space="preserve">Table </w:t>
            </w:r>
            <w:r w:rsidR="00F84A13">
              <w:rPr>
                <w:noProof/>
              </w:rPr>
              <w:t>6</w:t>
            </w:r>
            <w:r w:rsidR="00F84A13">
              <w:fldChar w:fldCharType="end"/>
            </w:r>
            <w:r w:rsidR="00D27B53">
              <w:t>.</w:t>
            </w:r>
          </w:p>
        </w:tc>
        <w:tc>
          <w:tcPr>
            <w:tcW w:w="2166" w:type="dxa"/>
          </w:tcPr>
          <w:p w14:paraId="470B6597" w14:textId="67D35069" w:rsidR="00951158" w:rsidRDefault="002A1663" w:rsidP="00951158">
            <w:pPr>
              <w:pStyle w:val="Tabletext0"/>
            </w:pPr>
            <w:r>
              <w:t>-</w:t>
            </w:r>
          </w:p>
        </w:tc>
      </w:tr>
      <w:tr w:rsidR="00951158" w14:paraId="53616E88" w14:textId="77777777" w:rsidTr="00A93992">
        <w:trPr>
          <w:cantSplit/>
        </w:trPr>
        <w:tc>
          <w:tcPr>
            <w:tcW w:w="1696" w:type="dxa"/>
          </w:tcPr>
          <w:p w14:paraId="67CCD87D" w14:textId="584CF9DF" w:rsidR="00951158" w:rsidRDefault="005314AF" w:rsidP="00951158">
            <w:pPr>
              <w:pStyle w:val="Tabletext0"/>
            </w:pPr>
            <w:r>
              <w:t>Pharmacist salary</w:t>
            </w:r>
          </w:p>
        </w:tc>
        <w:tc>
          <w:tcPr>
            <w:tcW w:w="3261" w:type="dxa"/>
          </w:tcPr>
          <w:p w14:paraId="081EF751" w14:textId="543ACA2C" w:rsidR="005314AF" w:rsidRDefault="005314AF" w:rsidP="005314AF">
            <w:pPr>
              <w:pStyle w:val="Tabletext0"/>
            </w:pPr>
            <w:r>
              <w:t xml:space="preserve">ADAR model: </w:t>
            </w:r>
            <w:r w:rsidRPr="005314AF">
              <w:t>$151,618</w:t>
            </w:r>
          </w:p>
          <w:p w14:paraId="27029041" w14:textId="22A08ED6" w:rsidR="005314AF" w:rsidRDefault="005314AF" w:rsidP="005314AF">
            <w:pPr>
              <w:pStyle w:val="Tabletext0"/>
            </w:pPr>
            <w:r>
              <w:t xml:space="preserve">Dept model 1: </w:t>
            </w:r>
            <w:r w:rsidRPr="005314AF">
              <w:t>$112,940</w:t>
            </w:r>
          </w:p>
          <w:p w14:paraId="2864DF70" w14:textId="074387C0" w:rsidR="005314AF" w:rsidRDefault="005314AF" w:rsidP="005314AF">
            <w:pPr>
              <w:pStyle w:val="Tabletext0"/>
            </w:pPr>
            <w:r>
              <w:t xml:space="preserve">Dept model 2: </w:t>
            </w:r>
            <w:r w:rsidRPr="005314AF">
              <w:t>$112,940</w:t>
            </w:r>
          </w:p>
          <w:p w14:paraId="389A2527" w14:textId="610B61AD" w:rsidR="00951158" w:rsidRDefault="005314AF" w:rsidP="005314AF">
            <w:pPr>
              <w:pStyle w:val="Tabletext0"/>
            </w:pPr>
            <w:r>
              <w:t xml:space="preserve">Dept model 3: </w:t>
            </w:r>
            <w:r w:rsidRPr="005314AF">
              <w:t>$112,940</w:t>
            </w:r>
          </w:p>
        </w:tc>
        <w:tc>
          <w:tcPr>
            <w:tcW w:w="2035" w:type="dxa"/>
          </w:tcPr>
          <w:p w14:paraId="0C9018AC" w14:textId="70047888" w:rsidR="00951158" w:rsidRDefault="00563AF2" w:rsidP="00A93992">
            <w:pPr>
              <w:pStyle w:val="Tabletext0"/>
              <w:jc w:val="left"/>
            </w:pPr>
            <w:r>
              <w:t xml:space="preserve">Refer to </w:t>
            </w:r>
            <w:r w:rsidR="00391DAE">
              <w:t xml:space="preserve">Section </w:t>
            </w:r>
            <w:r>
              <w:fldChar w:fldCharType="begin"/>
            </w:r>
            <w:r>
              <w:instrText xml:space="preserve"> REF _Ref126844890 \h </w:instrText>
            </w:r>
            <w:r w:rsidR="00977383">
              <w:instrText xml:space="preserve"> \* MERGEFORMAT </w:instrText>
            </w:r>
            <w:r>
              <w:fldChar w:fldCharType="separate"/>
            </w:r>
            <w:r w:rsidR="00854063">
              <w:t>4.</w:t>
            </w:r>
            <w:r w:rsidR="00391DAE">
              <w:t xml:space="preserve"> </w:t>
            </w:r>
            <w:r w:rsidR="00854063" w:rsidRPr="00CE28E3">
              <w:t>Proposal for public funding</w:t>
            </w:r>
            <w:r>
              <w:fldChar w:fldCharType="end"/>
            </w:r>
            <w:r w:rsidR="00765BFF">
              <w:t xml:space="preserve">. Inflated at 1.8% per year. </w:t>
            </w:r>
          </w:p>
        </w:tc>
        <w:tc>
          <w:tcPr>
            <w:tcW w:w="2166" w:type="dxa"/>
          </w:tcPr>
          <w:p w14:paraId="0F0F2740" w14:textId="51FDE257" w:rsidR="00951158" w:rsidRDefault="00563AF2" w:rsidP="00951158">
            <w:pPr>
              <w:pStyle w:val="Tabletext0"/>
            </w:pPr>
            <w:r>
              <w:t>-</w:t>
            </w:r>
          </w:p>
        </w:tc>
      </w:tr>
      <w:tr w:rsidR="00951158" w14:paraId="6AAE57BA" w14:textId="256BE98E" w:rsidTr="00A93992">
        <w:trPr>
          <w:cantSplit/>
        </w:trPr>
        <w:tc>
          <w:tcPr>
            <w:tcW w:w="1696" w:type="dxa"/>
          </w:tcPr>
          <w:p w14:paraId="30470A1A" w14:textId="51D698AB" w:rsidR="00951158" w:rsidRDefault="00D3158D" w:rsidP="00951158">
            <w:pPr>
              <w:pStyle w:val="Tabletext0"/>
            </w:pPr>
            <w:r>
              <w:t>Salary loading</w:t>
            </w:r>
          </w:p>
        </w:tc>
        <w:tc>
          <w:tcPr>
            <w:tcW w:w="3261" w:type="dxa"/>
          </w:tcPr>
          <w:p w14:paraId="705964C0" w14:textId="28D3EF0C" w:rsidR="00D3158D" w:rsidRDefault="00D3158D" w:rsidP="00D3158D">
            <w:pPr>
              <w:pStyle w:val="Tabletext0"/>
            </w:pPr>
            <w:r>
              <w:t>MM</w:t>
            </w:r>
            <w:r w:rsidR="004C065A">
              <w:t>M</w:t>
            </w:r>
            <w:r>
              <w:t xml:space="preserve"> 1: </w:t>
            </w:r>
            <w:r w:rsidR="00EF138F">
              <w:t>1.0</w:t>
            </w:r>
          </w:p>
          <w:p w14:paraId="307B1037" w14:textId="65865F6C" w:rsidR="00D3158D" w:rsidRDefault="00D3158D" w:rsidP="00D3158D">
            <w:pPr>
              <w:pStyle w:val="Tabletext0"/>
            </w:pPr>
            <w:r>
              <w:t>MM</w:t>
            </w:r>
            <w:r w:rsidR="004C065A">
              <w:t>M</w:t>
            </w:r>
            <w:r>
              <w:t xml:space="preserve"> 2:</w:t>
            </w:r>
            <w:r w:rsidR="00EF138F">
              <w:t xml:space="preserve"> 1.0</w:t>
            </w:r>
          </w:p>
          <w:p w14:paraId="7C29C832" w14:textId="6F0797AF" w:rsidR="00D3158D" w:rsidRDefault="00D3158D" w:rsidP="00D3158D">
            <w:pPr>
              <w:pStyle w:val="Tabletext0"/>
            </w:pPr>
            <w:r>
              <w:t>MM</w:t>
            </w:r>
            <w:r w:rsidR="004C065A">
              <w:t>M</w:t>
            </w:r>
            <w:r>
              <w:t xml:space="preserve"> 3:</w:t>
            </w:r>
            <w:r w:rsidR="00EF138F">
              <w:t xml:space="preserve"> 1.2</w:t>
            </w:r>
          </w:p>
          <w:p w14:paraId="69F22B89" w14:textId="11531288" w:rsidR="00D3158D" w:rsidRDefault="00D3158D" w:rsidP="00D3158D">
            <w:pPr>
              <w:pStyle w:val="Tabletext0"/>
            </w:pPr>
            <w:r>
              <w:t>MM</w:t>
            </w:r>
            <w:r w:rsidR="004C065A">
              <w:t>M</w:t>
            </w:r>
            <w:r>
              <w:t xml:space="preserve"> 4:</w:t>
            </w:r>
            <w:r w:rsidR="00EF138F">
              <w:t xml:space="preserve"> 1.3</w:t>
            </w:r>
          </w:p>
          <w:p w14:paraId="0A7D0CE6" w14:textId="3AFAABEC" w:rsidR="00D3158D" w:rsidRDefault="00D3158D" w:rsidP="00D3158D">
            <w:pPr>
              <w:pStyle w:val="Tabletext0"/>
            </w:pPr>
            <w:r>
              <w:t>MM</w:t>
            </w:r>
            <w:r w:rsidR="004C065A">
              <w:t>M</w:t>
            </w:r>
            <w:r>
              <w:t xml:space="preserve"> 5:</w:t>
            </w:r>
            <w:r w:rsidR="00EF138F">
              <w:t xml:space="preserve"> 1.3</w:t>
            </w:r>
          </w:p>
          <w:p w14:paraId="7A649D22" w14:textId="3DA23F45" w:rsidR="00D3158D" w:rsidRDefault="00D3158D" w:rsidP="00D3158D">
            <w:pPr>
              <w:pStyle w:val="Tabletext0"/>
            </w:pPr>
            <w:r>
              <w:t>MM</w:t>
            </w:r>
            <w:r w:rsidR="004C065A">
              <w:t>M</w:t>
            </w:r>
            <w:r>
              <w:t xml:space="preserve"> 6:</w:t>
            </w:r>
            <w:r w:rsidR="00EF138F">
              <w:t xml:space="preserve"> 1.5</w:t>
            </w:r>
          </w:p>
          <w:p w14:paraId="305B5286" w14:textId="14621F4C" w:rsidR="00951158" w:rsidRDefault="00D3158D" w:rsidP="00D3158D">
            <w:pPr>
              <w:pStyle w:val="Tabletext0"/>
            </w:pPr>
            <w:r>
              <w:t>MM</w:t>
            </w:r>
            <w:r w:rsidR="004C065A">
              <w:t>M</w:t>
            </w:r>
            <w:r>
              <w:t xml:space="preserve"> 7:</w:t>
            </w:r>
            <w:r w:rsidR="00EF138F">
              <w:t>1.5</w:t>
            </w:r>
          </w:p>
        </w:tc>
        <w:tc>
          <w:tcPr>
            <w:tcW w:w="2035" w:type="dxa"/>
          </w:tcPr>
          <w:p w14:paraId="3A79B8AB" w14:textId="54A16261" w:rsidR="00951158" w:rsidRDefault="0020574B" w:rsidP="00A93992">
            <w:pPr>
              <w:pStyle w:val="Tabletext0"/>
              <w:jc w:val="left"/>
            </w:pPr>
            <w:r>
              <w:t xml:space="preserve">As per </w:t>
            </w:r>
            <w:r w:rsidRPr="0020574B">
              <w:t xml:space="preserve">Workforce Incentive Program </w:t>
            </w:r>
            <w:r>
              <w:t xml:space="preserve">Practice Stream. </w:t>
            </w:r>
          </w:p>
        </w:tc>
        <w:tc>
          <w:tcPr>
            <w:tcW w:w="2166" w:type="dxa"/>
          </w:tcPr>
          <w:p w14:paraId="37EBB0D9" w14:textId="6CC43DF9" w:rsidR="00951158" w:rsidRDefault="00A330CF" w:rsidP="00951158">
            <w:pPr>
              <w:pStyle w:val="Tabletext0"/>
            </w:pPr>
            <w:r>
              <w:t>-</w:t>
            </w:r>
          </w:p>
        </w:tc>
      </w:tr>
      <w:tr w:rsidR="00044C5A" w14:paraId="6DB4429D" w14:textId="77777777" w:rsidTr="00A93992">
        <w:trPr>
          <w:cantSplit/>
        </w:trPr>
        <w:tc>
          <w:tcPr>
            <w:tcW w:w="1696" w:type="dxa"/>
          </w:tcPr>
          <w:p w14:paraId="07D0764A" w14:textId="19ED5DC7" w:rsidR="00044C5A" w:rsidRDefault="001251E5" w:rsidP="00951158">
            <w:pPr>
              <w:pStyle w:val="Tabletext0"/>
            </w:pPr>
            <w:r>
              <w:t>Uptake</w:t>
            </w:r>
          </w:p>
        </w:tc>
        <w:tc>
          <w:tcPr>
            <w:tcW w:w="3261" w:type="dxa"/>
          </w:tcPr>
          <w:p w14:paraId="5FE4CCFE" w14:textId="05A3493B" w:rsidR="00044C5A" w:rsidRDefault="001251E5" w:rsidP="00D3158D">
            <w:pPr>
              <w:pStyle w:val="Tabletext0"/>
            </w:pPr>
            <w:r>
              <w:t>Year 1:</w:t>
            </w:r>
            <w:r w:rsidR="0076532B">
              <w:t xml:space="preserve"> </w:t>
            </w:r>
            <w:r w:rsidR="00035AFC">
              <w:t>2</w:t>
            </w:r>
            <w:r w:rsidR="0076532B">
              <w:t>0%</w:t>
            </w:r>
          </w:p>
          <w:p w14:paraId="74B77644" w14:textId="7F590254" w:rsidR="001251E5" w:rsidRDefault="001251E5" w:rsidP="00D3158D">
            <w:pPr>
              <w:pStyle w:val="Tabletext0"/>
            </w:pPr>
            <w:r>
              <w:t>Year 2:</w:t>
            </w:r>
            <w:r w:rsidR="0076532B">
              <w:t xml:space="preserve"> 40%</w:t>
            </w:r>
          </w:p>
          <w:p w14:paraId="3C1011BF" w14:textId="27B55461" w:rsidR="001251E5" w:rsidRDefault="001251E5" w:rsidP="00D3158D">
            <w:pPr>
              <w:pStyle w:val="Tabletext0"/>
            </w:pPr>
            <w:r>
              <w:t>Year 3:</w:t>
            </w:r>
            <w:r w:rsidR="0076532B">
              <w:t xml:space="preserve"> </w:t>
            </w:r>
            <w:r w:rsidR="00DB3051">
              <w:t>6</w:t>
            </w:r>
            <w:r w:rsidR="0076532B">
              <w:t>0%</w:t>
            </w:r>
          </w:p>
          <w:p w14:paraId="2791BA18" w14:textId="38AB2EE5" w:rsidR="001251E5" w:rsidRDefault="001251E5" w:rsidP="00D3158D">
            <w:pPr>
              <w:pStyle w:val="Tabletext0"/>
            </w:pPr>
            <w:r>
              <w:t>Year 4:</w:t>
            </w:r>
            <w:r w:rsidR="0076532B">
              <w:t xml:space="preserve"> </w:t>
            </w:r>
            <w:r w:rsidR="00DB3051">
              <w:t>8</w:t>
            </w:r>
            <w:r w:rsidR="0076532B">
              <w:t>0%</w:t>
            </w:r>
          </w:p>
          <w:p w14:paraId="70AFCD68" w14:textId="64108AA4" w:rsidR="001251E5" w:rsidRDefault="001251E5" w:rsidP="00D3158D">
            <w:pPr>
              <w:pStyle w:val="Tabletext0"/>
            </w:pPr>
            <w:r>
              <w:t xml:space="preserve">Year 5: </w:t>
            </w:r>
            <w:r w:rsidR="00DB3051">
              <w:t>10</w:t>
            </w:r>
            <w:r w:rsidR="0076532B">
              <w:t>0%</w:t>
            </w:r>
          </w:p>
          <w:p w14:paraId="6356B911" w14:textId="6A8C2A57" w:rsidR="001251E5" w:rsidRDefault="001251E5" w:rsidP="00D3158D">
            <w:pPr>
              <w:pStyle w:val="Tabletext0"/>
            </w:pPr>
            <w:r>
              <w:t xml:space="preserve">Year 6: </w:t>
            </w:r>
            <w:r w:rsidR="00DB3051">
              <w:t>10</w:t>
            </w:r>
            <w:r w:rsidR="0076532B">
              <w:t>0%</w:t>
            </w:r>
          </w:p>
        </w:tc>
        <w:tc>
          <w:tcPr>
            <w:tcW w:w="2035" w:type="dxa"/>
          </w:tcPr>
          <w:p w14:paraId="1106A642" w14:textId="1643E325" w:rsidR="00044C5A" w:rsidRDefault="0076532B" w:rsidP="00951158">
            <w:pPr>
              <w:pStyle w:val="Tabletext0"/>
            </w:pPr>
            <w:r>
              <w:t>Assumption</w:t>
            </w:r>
            <w:r w:rsidR="009705FE">
              <w:t xml:space="preserve">. </w:t>
            </w:r>
            <w:r w:rsidR="00386752">
              <w:t>Calculated</w:t>
            </w:r>
            <w:r w:rsidR="009705FE">
              <w:t xml:space="preserve"> as a </w:t>
            </w:r>
            <w:r w:rsidR="007345AD">
              <w:t xml:space="preserve">proportion of </w:t>
            </w:r>
          </w:p>
        </w:tc>
        <w:tc>
          <w:tcPr>
            <w:tcW w:w="2166" w:type="dxa"/>
          </w:tcPr>
          <w:p w14:paraId="4724E6BA" w14:textId="3F8A6A39" w:rsidR="00044C5A" w:rsidRDefault="00A330CF" w:rsidP="00951158">
            <w:pPr>
              <w:pStyle w:val="Tabletext0"/>
            </w:pPr>
            <w:r>
              <w:t>-</w:t>
            </w:r>
          </w:p>
        </w:tc>
      </w:tr>
      <w:tr w:rsidR="008B5627" w14:paraId="6EB82509" w14:textId="77777777" w:rsidTr="0094377A">
        <w:trPr>
          <w:cantSplit/>
        </w:trPr>
        <w:tc>
          <w:tcPr>
            <w:tcW w:w="1696" w:type="dxa"/>
          </w:tcPr>
          <w:p w14:paraId="0489584B" w14:textId="10B9CB92" w:rsidR="008B5627" w:rsidRDefault="003B6AE1" w:rsidP="00951158">
            <w:pPr>
              <w:pStyle w:val="Tabletext0"/>
            </w:pPr>
            <w:r>
              <w:t>Mentoring</w:t>
            </w:r>
            <w:r w:rsidR="0043085D">
              <w:t xml:space="preserve"> and community of practice</w:t>
            </w:r>
          </w:p>
        </w:tc>
        <w:tc>
          <w:tcPr>
            <w:tcW w:w="3261" w:type="dxa"/>
          </w:tcPr>
          <w:p w14:paraId="3459E8B1" w14:textId="562ED354" w:rsidR="008B5627" w:rsidRDefault="0043085D" w:rsidP="00D3158D">
            <w:pPr>
              <w:pStyle w:val="Tabletext0"/>
            </w:pPr>
            <w:r>
              <w:t xml:space="preserve">Years 1-3: </w:t>
            </w:r>
            <w:r w:rsidR="00C26A7E">
              <w:t xml:space="preserve"> </w:t>
            </w:r>
            <w:r w:rsidR="00C26A7E" w:rsidRPr="00C26A7E">
              <w:t>$529,000</w:t>
            </w:r>
            <w:r w:rsidR="00A330CF">
              <w:t>/</w:t>
            </w:r>
            <w:r w:rsidR="00C26A7E">
              <w:t>year</w:t>
            </w:r>
          </w:p>
          <w:p w14:paraId="4BDD2CAB" w14:textId="45164D74" w:rsidR="00C26A7E" w:rsidRDefault="00C26A7E" w:rsidP="00D3158D">
            <w:pPr>
              <w:pStyle w:val="Tabletext0"/>
            </w:pPr>
            <w:r>
              <w:t>Year</w:t>
            </w:r>
            <w:r w:rsidR="00EF3724">
              <w:t>s</w:t>
            </w:r>
            <w:r>
              <w:t xml:space="preserve"> 4-6: </w:t>
            </w:r>
            <w:r w:rsidRPr="00C26A7E">
              <w:t>$396,750</w:t>
            </w:r>
            <w:r w:rsidR="00A330CF">
              <w:t>/</w:t>
            </w:r>
            <w:r>
              <w:t>year</w:t>
            </w:r>
          </w:p>
          <w:p w14:paraId="240CD924" w14:textId="6E012301" w:rsidR="00A661C5" w:rsidRDefault="00A330CF" w:rsidP="00D3158D">
            <w:pPr>
              <w:pStyle w:val="Tabletext0"/>
            </w:pPr>
            <w:r>
              <w:t>Community of practice: $62,000/year</w:t>
            </w:r>
          </w:p>
        </w:tc>
        <w:tc>
          <w:tcPr>
            <w:tcW w:w="2035" w:type="dxa"/>
          </w:tcPr>
          <w:p w14:paraId="1BF2EDC8" w14:textId="390ECC44" w:rsidR="008B5627" w:rsidRDefault="00A661C5" w:rsidP="00951158">
            <w:pPr>
              <w:pStyle w:val="Tabletext0"/>
            </w:pPr>
            <w:r>
              <w:t>ADAR</w:t>
            </w:r>
          </w:p>
        </w:tc>
        <w:tc>
          <w:tcPr>
            <w:tcW w:w="2166" w:type="dxa"/>
            <w:vAlign w:val="center"/>
          </w:tcPr>
          <w:p w14:paraId="5198D1DE" w14:textId="00D45634" w:rsidR="008B5627" w:rsidRDefault="00C26A7E" w:rsidP="0094377A">
            <w:pPr>
              <w:pStyle w:val="Tabletext0"/>
              <w:jc w:val="left"/>
            </w:pPr>
            <w:r>
              <w:t xml:space="preserve">Excludes </w:t>
            </w:r>
            <w:r w:rsidR="00A661C5">
              <w:t xml:space="preserve">$30,000/year proposed in ADAR for leadership group. </w:t>
            </w:r>
          </w:p>
        </w:tc>
      </w:tr>
    </w:tbl>
    <w:p w14:paraId="47583137" w14:textId="677344C6" w:rsidR="005E41DE" w:rsidRDefault="001C44ED" w:rsidP="001C44ED">
      <w:pPr>
        <w:pStyle w:val="TableFigureFooter"/>
      </w:pPr>
      <w:r>
        <w:t xml:space="preserve">Abbreviations: </w:t>
      </w:r>
      <w:r w:rsidR="0020574B">
        <w:t xml:space="preserve">ACCHS = Aboriginal Community Controlled Health Service; </w:t>
      </w:r>
      <w:r w:rsidR="00ED1D22">
        <w:t xml:space="preserve">ADAR = Applicant Developed Assessment Report; </w:t>
      </w:r>
      <w:r w:rsidR="00D05097">
        <w:t xml:space="preserve">Dept = Department; </w:t>
      </w:r>
      <w:r w:rsidR="00ED1D22">
        <w:t>FTE = full time equivalent; G</w:t>
      </w:r>
      <w:r w:rsidR="0007781F">
        <w:t>P</w:t>
      </w:r>
      <w:r w:rsidR="00ED1D22">
        <w:t xml:space="preserve"> = general practitioner; </w:t>
      </w:r>
      <w:r w:rsidR="00D05097">
        <w:t xml:space="preserve">IAHP = Indigenous Australian Health Program; </w:t>
      </w:r>
      <w:r>
        <w:t>MM</w:t>
      </w:r>
      <w:r w:rsidR="003D6BC2">
        <w:t>M</w:t>
      </w:r>
      <w:r>
        <w:t xml:space="preserve"> = Modified Monash</w:t>
      </w:r>
      <w:r w:rsidR="003D6BC2">
        <w:t xml:space="preserve"> Model</w:t>
      </w:r>
      <w:r>
        <w:t xml:space="preserve">; </w:t>
      </w:r>
      <w:r w:rsidR="0020574B">
        <w:t xml:space="preserve">NT = North </w:t>
      </w:r>
      <w:r w:rsidR="0007781F">
        <w:t xml:space="preserve">Territory </w:t>
      </w:r>
    </w:p>
    <w:p w14:paraId="483184BF" w14:textId="2ED0D4F1" w:rsidR="001022E1" w:rsidRDefault="00D428B9" w:rsidP="00330A0A">
      <w:r w:rsidRPr="00CE28E3">
        <w:lastRenderedPageBreak/>
        <w:t xml:space="preserve">The </w:t>
      </w:r>
      <w:r w:rsidR="00191E9D">
        <w:t>estimated</w:t>
      </w:r>
      <w:r w:rsidRPr="00CE28E3">
        <w:t xml:space="preserve"> </w:t>
      </w:r>
      <w:r w:rsidR="00A330CF">
        <w:t xml:space="preserve">budget impact of the IPAC program </w:t>
      </w:r>
      <w:r w:rsidR="009705FE">
        <w:t>is</w:t>
      </w:r>
      <w:r w:rsidRPr="00CE28E3">
        <w:t xml:space="preserve"> summarised in</w:t>
      </w:r>
      <w:r w:rsidRPr="00E65EB8">
        <w:t xml:space="preserve"> </w:t>
      </w:r>
      <w:r w:rsidR="003949E5" w:rsidRPr="00E65EB8">
        <w:fldChar w:fldCharType="begin"/>
      </w:r>
      <w:r w:rsidR="003949E5" w:rsidRPr="00E65EB8">
        <w:instrText xml:space="preserve"> REF _Ref128579124 \h </w:instrText>
      </w:r>
      <w:r w:rsidR="00E65EB8">
        <w:instrText xml:space="preserve"> \* MERGEFORMAT </w:instrText>
      </w:r>
      <w:r w:rsidR="003949E5" w:rsidRPr="00E65EB8">
        <w:fldChar w:fldCharType="separate"/>
      </w:r>
      <w:r w:rsidR="00E65EB8" w:rsidRPr="000D1C42">
        <w:t xml:space="preserve">Table </w:t>
      </w:r>
      <w:r w:rsidR="00E65EB8" w:rsidRPr="000D1C42">
        <w:rPr>
          <w:noProof/>
        </w:rPr>
        <w:t>15</w:t>
      </w:r>
      <w:r w:rsidR="003949E5" w:rsidRPr="00E65EB8">
        <w:fldChar w:fldCharType="end"/>
      </w:r>
      <w:r w:rsidR="00E65EB8" w:rsidRPr="00E65EB8">
        <w:t>.</w:t>
      </w:r>
      <w:r w:rsidRPr="00CE28E3">
        <w:t xml:space="preserve"> </w:t>
      </w:r>
      <w:r w:rsidR="00386752">
        <w:t>The budget impact for each year was estimated as the</w:t>
      </w:r>
      <w:r w:rsidR="00184157">
        <w:t xml:space="preserve"> </w:t>
      </w:r>
      <w:r w:rsidR="0005290D">
        <w:t xml:space="preserve">proportion of 100% uptake. </w:t>
      </w:r>
      <w:r w:rsidR="001022E1">
        <w:t xml:space="preserve">In practice, uptake </w:t>
      </w:r>
      <w:r w:rsidR="00AA5003">
        <w:t xml:space="preserve">is likely to </w:t>
      </w:r>
      <w:r w:rsidR="001022E1">
        <w:t xml:space="preserve">differ from the estimates. </w:t>
      </w:r>
      <w:r w:rsidR="00AA5003">
        <w:t xml:space="preserve">In practice, uptake will </w:t>
      </w:r>
      <w:r w:rsidR="00381F43">
        <w:t xml:space="preserve">depend on the ability of each health service </w:t>
      </w:r>
      <w:r w:rsidR="002C1E86">
        <w:t xml:space="preserve">to </w:t>
      </w:r>
      <w:r w:rsidR="001A1569">
        <w:t xml:space="preserve">recruit a suitable pharmacist. </w:t>
      </w:r>
      <w:r w:rsidR="0025578A">
        <w:t>Health</w:t>
      </w:r>
      <w:r w:rsidR="001570EA">
        <w:t xml:space="preserve"> services</w:t>
      </w:r>
      <w:r w:rsidR="0025578A">
        <w:t xml:space="preserve"> in</w:t>
      </w:r>
      <w:r w:rsidR="001570EA">
        <w:t xml:space="preserve"> metropolitan </w:t>
      </w:r>
      <w:r w:rsidR="0025578A">
        <w:t>areas</w:t>
      </w:r>
      <w:r w:rsidR="00914752">
        <w:t xml:space="preserve"> and regionals areas with </w:t>
      </w:r>
      <w:r w:rsidR="00B145AA">
        <w:t xml:space="preserve">a larger pharmacist workforce </w:t>
      </w:r>
      <w:r w:rsidR="0025578A">
        <w:t xml:space="preserve">may be able </w:t>
      </w:r>
      <w:r w:rsidR="00F26357">
        <w:t>to recruit a suitable pharmacist</w:t>
      </w:r>
      <w:r w:rsidR="002B2D93">
        <w:t xml:space="preserve"> more easily</w:t>
      </w:r>
      <w:r w:rsidR="00F26357">
        <w:t xml:space="preserve">. </w:t>
      </w:r>
      <w:r w:rsidR="00144EAF">
        <w:t xml:space="preserve">The </w:t>
      </w:r>
      <w:r w:rsidR="000D6B70">
        <w:t xml:space="preserve">estimated budget impact does not consider grandfathering as several health services already have </w:t>
      </w:r>
      <w:r w:rsidR="002B2D93">
        <w:t xml:space="preserve">integrated pharmacists. </w:t>
      </w:r>
    </w:p>
    <w:p w14:paraId="07C98B7C" w14:textId="1C85FACB" w:rsidR="00C17E14" w:rsidRPr="00836A43" w:rsidRDefault="00C17E14" w:rsidP="00C17E14">
      <w:pPr>
        <w:pStyle w:val="Caption"/>
        <w:rPr>
          <w:sz w:val="20"/>
        </w:rPr>
      </w:pPr>
      <w:bookmarkStart w:id="38" w:name="_Ref128579124"/>
      <w:bookmarkStart w:id="39" w:name="_Hlk68276814"/>
      <w:r w:rsidRPr="00836A43">
        <w:rPr>
          <w:sz w:val="20"/>
        </w:rPr>
        <w:t xml:space="preserve">Table </w:t>
      </w:r>
      <w:r w:rsidR="00EF4077" w:rsidRPr="00836A43">
        <w:rPr>
          <w:sz w:val="20"/>
        </w:rPr>
        <w:fldChar w:fldCharType="begin"/>
      </w:r>
      <w:r w:rsidR="00EF4077" w:rsidRPr="00836A43">
        <w:rPr>
          <w:sz w:val="20"/>
        </w:rPr>
        <w:instrText xml:space="preserve"> SEQ Table \* ARABIC </w:instrText>
      </w:r>
      <w:r w:rsidR="00EF4077" w:rsidRPr="00836A43">
        <w:rPr>
          <w:sz w:val="20"/>
        </w:rPr>
        <w:fldChar w:fldCharType="separate"/>
      </w:r>
      <w:r w:rsidR="003373AC">
        <w:rPr>
          <w:noProof/>
          <w:sz w:val="20"/>
        </w:rPr>
        <w:t>15</w:t>
      </w:r>
      <w:r w:rsidR="00EF4077" w:rsidRPr="00836A43">
        <w:rPr>
          <w:noProof/>
          <w:sz w:val="20"/>
        </w:rPr>
        <w:fldChar w:fldCharType="end"/>
      </w:r>
      <w:bookmarkEnd w:id="38"/>
      <w:r w:rsidR="00494693" w:rsidRPr="00836A43">
        <w:rPr>
          <w:sz w:val="20"/>
        </w:rPr>
        <w:t>: Financial implications of the proposed IPAC Program</w:t>
      </w:r>
    </w:p>
    <w:tbl>
      <w:tblPr>
        <w:tblStyle w:val="TableGrid1"/>
        <w:tblW w:w="0" w:type="auto"/>
        <w:tblCellMar>
          <w:left w:w="0" w:type="dxa"/>
          <w:right w:w="0" w:type="dxa"/>
        </w:tblCellMar>
        <w:tblLook w:val="04A0" w:firstRow="1" w:lastRow="0" w:firstColumn="1" w:lastColumn="0" w:noHBand="0" w:noVBand="1"/>
      </w:tblPr>
      <w:tblGrid>
        <w:gridCol w:w="2242"/>
        <w:gridCol w:w="1129"/>
        <w:gridCol w:w="1129"/>
        <w:gridCol w:w="1129"/>
        <w:gridCol w:w="1129"/>
        <w:gridCol w:w="1129"/>
        <w:gridCol w:w="1129"/>
      </w:tblGrid>
      <w:tr w:rsidR="00D94C1E" w:rsidRPr="00CE28E3" w14:paraId="74027105" w14:textId="77777777" w:rsidTr="003145AC">
        <w:trPr>
          <w:cnfStyle w:val="100000000000" w:firstRow="1" w:lastRow="0" w:firstColumn="0" w:lastColumn="0" w:oddVBand="0" w:evenVBand="0" w:oddHBand="0" w:evenHBand="0" w:firstRowFirstColumn="0" w:firstRowLastColumn="0" w:lastRowFirstColumn="0" w:lastRowLastColumn="0"/>
          <w:tblHeader/>
        </w:trPr>
        <w:tc>
          <w:tcPr>
            <w:tcW w:w="0" w:type="auto"/>
            <w:tcMar>
              <w:top w:w="0" w:type="dxa"/>
              <w:left w:w="108" w:type="dxa"/>
              <w:bottom w:w="0" w:type="dxa"/>
              <w:right w:w="108" w:type="dxa"/>
            </w:tcMar>
          </w:tcPr>
          <w:p w14:paraId="28C5DFC4" w14:textId="77777777" w:rsidR="00D94C1E" w:rsidRPr="00CE28E3" w:rsidRDefault="00D94C1E" w:rsidP="003145AC">
            <w:pPr>
              <w:pStyle w:val="TableText"/>
              <w:rPr>
                <w:b/>
                <w:bCs/>
              </w:rPr>
            </w:pPr>
            <w:r>
              <w:rPr>
                <w:b/>
                <w:bCs/>
              </w:rPr>
              <w:t xml:space="preserve">Parameter </w:t>
            </w:r>
          </w:p>
        </w:tc>
        <w:tc>
          <w:tcPr>
            <w:tcW w:w="0" w:type="auto"/>
            <w:tcMar>
              <w:top w:w="0" w:type="dxa"/>
              <w:left w:w="108" w:type="dxa"/>
              <w:bottom w:w="0" w:type="dxa"/>
              <w:right w:w="108" w:type="dxa"/>
            </w:tcMar>
            <w:vAlign w:val="center"/>
            <w:hideMark/>
          </w:tcPr>
          <w:p w14:paraId="4A262A6F" w14:textId="77777777" w:rsidR="00D94C1E" w:rsidRPr="00CE28E3" w:rsidRDefault="00D94C1E" w:rsidP="003145AC">
            <w:pPr>
              <w:pStyle w:val="TableText"/>
              <w:jc w:val="center"/>
              <w:rPr>
                <w:b/>
                <w:bCs/>
              </w:rPr>
            </w:pPr>
            <w:r w:rsidRPr="00CE28E3">
              <w:rPr>
                <w:b/>
                <w:bCs/>
              </w:rPr>
              <w:t>Year 1</w:t>
            </w:r>
          </w:p>
        </w:tc>
        <w:tc>
          <w:tcPr>
            <w:tcW w:w="0" w:type="auto"/>
            <w:tcMar>
              <w:top w:w="0" w:type="dxa"/>
              <w:left w:w="108" w:type="dxa"/>
              <w:bottom w:w="0" w:type="dxa"/>
              <w:right w:w="108" w:type="dxa"/>
            </w:tcMar>
            <w:vAlign w:val="center"/>
            <w:hideMark/>
          </w:tcPr>
          <w:p w14:paraId="3536C20F" w14:textId="77777777" w:rsidR="00D94C1E" w:rsidRPr="00CE28E3" w:rsidRDefault="00D94C1E" w:rsidP="003145AC">
            <w:pPr>
              <w:pStyle w:val="TableText"/>
              <w:jc w:val="center"/>
              <w:rPr>
                <w:b/>
                <w:bCs/>
              </w:rPr>
            </w:pPr>
            <w:r w:rsidRPr="00CE28E3">
              <w:rPr>
                <w:b/>
                <w:bCs/>
              </w:rPr>
              <w:t>Year 2</w:t>
            </w:r>
          </w:p>
        </w:tc>
        <w:tc>
          <w:tcPr>
            <w:tcW w:w="0" w:type="auto"/>
            <w:tcMar>
              <w:top w:w="0" w:type="dxa"/>
              <w:left w:w="108" w:type="dxa"/>
              <w:bottom w:w="0" w:type="dxa"/>
              <w:right w:w="108" w:type="dxa"/>
            </w:tcMar>
            <w:vAlign w:val="center"/>
            <w:hideMark/>
          </w:tcPr>
          <w:p w14:paraId="10BF9C35" w14:textId="77777777" w:rsidR="00D94C1E" w:rsidRPr="00CE28E3" w:rsidRDefault="00D94C1E" w:rsidP="003145AC">
            <w:pPr>
              <w:pStyle w:val="TableText"/>
              <w:jc w:val="center"/>
              <w:rPr>
                <w:b/>
                <w:bCs/>
              </w:rPr>
            </w:pPr>
            <w:r w:rsidRPr="00CE28E3">
              <w:rPr>
                <w:b/>
                <w:bCs/>
              </w:rPr>
              <w:t>Year 3</w:t>
            </w:r>
          </w:p>
        </w:tc>
        <w:tc>
          <w:tcPr>
            <w:tcW w:w="0" w:type="auto"/>
            <w:tcMar>
              <w:top w:w="0" w:type="dxa"/>
              <w:left w:w="108" w:type="dxa"/>
              <w:bottom w:w="0" w:type="dxa"/>
              <w:right w:w="108" w:type="dxa"/>
            </w:tcMar>
            <w:vAlign w:val="center"/>
            <w:hideMark/>
          </w:tcPr>
          <w:p w14:paraId="21D8602B" w14:textId="77777777" w:rsidR="00D94C1E" w:rsidRPr="00CE28E3" w:rsidRDefault="00D94C1E" w:rsidP="003145AC">
            <w:pPr>
              <w:pStyle w:val="TableText"/>
              <w:jc w:val="center"/>
              <w:rPr>
                <w:b/>
                <w:bCs/>
              </w:rPr>
            </w:pPr>
            <w:r w:rsidRPr="00CE28E3">
              <w:rPr>
                <w:b/>
                <w:bCs/>
              </w:rPr>
              <w:t>Year 4</w:t>
            </w:r>
          </w:p>
        </w:tc>
        <w:tc>
          <w:tcPr>
            <w:tcW w:w="1129" w:type="dxa"/>
            <w:tcMar>
              <w:top w:w="0" w:type="dxa"/>
              <w:left w:w="108" w:type="dxa"/>
              <w:bottom w:w="0" w:type="dxa"/>
              <w:right w:w="108" w:type="dxa"/>
            </w:tcMar>
            <w:vAlign w:val="center"/>
            <w:hideMark/>
          </w:tcPr>
          <w:p w14:paraId="04EE0CF8" w14:textId="77777777" w:rsidR="00D94C1E" w:rsidRPr="00CE28E3" w:rsidRDefault="00D94C1E" w:rsidP="003145AC">
            <w:pPr>
              <w:pStyle w:val="TableText"/>
              <w:jc w:val="center"/>
              <w:rPr>
                <w:b/>
                <w:bCs/>
              </w:rPr>
            </w:pPr>
            <w:r w:rsidRPr="00CE28E3">
              <w:rPr>
                <w:b/>
                <w:bCs/>
              </w:rPr>
              <w:t>Year 5</w:t>
            </w:r>
          </w:p>
        </w:tc>
        <w:tc>
          <w:tcPr>
            <w:tcW w:w="1129" w:type="dxa"/>
            <w:tcMar>
              <w:top w:w="0" w:type="dxa"/>
              <w:left w:w="108" w:type="dxa"/>
              <w:bottom w:w="0" w:type="dxa"/>
              <w:right w:w="108" w:type="dxa"/>
            </w:tcMar>
            <w:vAlign w:val="center"/>
            <w:hideMark/>
          </w:tcPr>
          <w:p w14:paraId="3B74342D" w14:textId="77777777" w:rsidR="00D94C1E" w:rsidRPr="00CE28E3" w:rsidRDefault="00D94C1E" w:rsidP="003145AC">
            <w:pPr>
              <w:pStyle w:val="TableText"/>
              <w:jc w:val="center"/>
              <w:rPr>
                <w:b/>
                <w:bCs/>
              </w:rPr>
            </w:pPr>
            <w:r w:rsidRPr="00CE28E3">
              <w:rPr>
                <w:b/>
                <w:bCs/>
              </w:rPr>
              <w:t>Year 6</w:t>
            </w:r>
          </w:p>
        </w:tc>
      </w:tr>
      <w:tr w:rsidR="00D94C1E" w:rsidRPr="00CE28E3" w14:paraId="2A4BDCEE" w14:textId="77777777" w:rsidTr="003145AC">
        <w:tc>
          <w:tcPr>
            <w:tcW w:w="9016" w:type="dxa"/>
            <w:gridSpan w:val="7"/>
            <w:tcMar>
              <w:top w:w="0" w:type="dxa"/>
              <w:left w:w="108" w:type="dxa"/>
              <w:bottom w:w="0" w:type="dxa"/>
              <w:right w:w="108" w:type="dxa"/>
            </w:tcMar>
          </w:tcPr>
          <w:p w14:paraId="1CB6C262" w14:textId="77777777" w:rsidR="00D94C1E" w:rsidRPr="00CE28E3" w:rsidRDefault="00D94C1E" w:rsidP="003145AC">
            <w:pPr>
              <w:pStyle w:val="TableText"/>
            </w:pPr>
            <w:r>
              <w:rPr>
                <w:b/>
                <w:bCs/>
              </w:rPr>
              <w:t xml:space="preserve">Department </w:t>
            </w:r>
            <w:r w:rsidRPr="006A6B90">
              <w:rPr>
                <w:b/>
                <w:bCs/>
              </w:rPr>
              <w:t>Model 1</w:t>
            </w:r>
          </w:p>
        </w:tc>
      </w:tr>
      <w:tr w:rsidR="00D94C1E" w:rsidRPr="00CE28E3" w14:paraId="2183F969" w14:textId="77777777" w:rsidTr="003145AC">
        <w:tc>
          <w:tcPr>
            <w:tcW w:w="0" w:type="auto"/>
            <w:tcMar>
              <w:top w:w="0" w:type="dxa"/>
              <w:left w:w="108" w:type="dxa"/>
              <w:bottom w:w="0" w:type="dxa"/>
              <w:right w:w="108" w:type="dxa"/>
            </w:tcMar>
          </w:tcPr>
          <w:p w14:paraId="3B675A32" w14:textId="77777777" w:rsidR="00D94C1E" w:rsidRPr="00803E65" w:rsidRDefault="00D94C1E" w:rsidP="003145AC">
            <w:pPr>
              <w:pStyle w:val="TableText"/>
              <w:rPr>
                <w:b/>
                <w:bCs/>
              </w:rPr>
            </w:pPr>
            <w:r w:rsidRPr="00803E65">
              <w:rPr>
                <w:b/>
                <w:bCs/>
              </w:rPr>
              <w:t xml:space="preserve">Total FTE pharmacists </w:t>
            </w:r>
          </w:p>
        </w:tc>
        <w:tc>
          <w:tcPr>
            <w:tcW w:w="0" w:type="auto"/>
            <w:tcMar>
              <w:top w:w="0" w:type="dxa"/>
              <w:left w:w="108" w:type="dxa"/>
              <w:bottom w:w="0" w:type="dxa"/>
              <w:right w:w="108" w:type="dxa"/>
            </w:tcMar>
            <w:vAlign w:val="center"/>
          </w:tcPr>
          <w:p w14:paraId="06FC11CD" w14:textId="77777777" w:rsidR="00D94C1E" w:rsidRPr="00CE28E3" w:rsidRDefault="00D94C1E" w:rsidP="003145AC">
            <w:pPr>
              <w:pStyle w:val="TableText"/>
              <w:jc w:val="center"/>
            </w:pPr>
            <w:r w:rsidRPr="00AB0B36">
              <w:t>140</w:t>
            </w:r>
          </w:p>
        </w:tc>
        <w:tc>
          <w:tcPr>
            <w:tcW w:w="0" w:type="auto"/>
            <w:tcMar>
              <w:top w:w="0" w:type="dxa"/>
              <w:left w:w="108" w:type="dxa"/>
              <w:bottom w:w="0" w:type="dxa"/>
              <w:right w:w="108" w:type="dxa"/>
            </w:tcMar>
            <w:vAlign w:val="center"/>
          </w:tcPr>
          <w:p w14:paraId="0F438C97" w14:textId="77777777" w:rsidR="00D94C1E" w:rsidRPr="00CE28E3" w:rsidRDefault="00D94C1E" w:rsidP="003145AC">
            <w:pPr>
              <w:pStyle w:val="TableText"/>
              <w:jc w:val="center"/>
            </w:pPr>
            <w:r w:rsidRPr="00AB0B36">
              <w:t>140</w:t>
            </w:r>
          </w:p>
        </w:tc>
        <w:tc>
          <w:tcPr>
            <w:tcW w:w="0" w:type="auto"/>
            <w:tcMar>
              <w:top w:w="0" w:type="dxa"/>
              <w:left w:w="108" w:type="dxa"/>
              <w:bottom w:w="0" w:type="dxa"/>
              <w:right w:w="108" w:type="dxa"/>
            </w:tcMar>
            <w:vAlign w:val="center"/>
          </w:tcPr>
          <w:p w14:paraId="2D75294A" w14:textId="77777777" w:rsidR="00D94C1E" w:rsidRPr="00CE28E3" w:rsidRDefault="00D94C1E" w:rsidP="003145AC">
            <w:pPr>
              <w:pStyle w:val="TableText"/>
              <w:jc w:val="center"/>
            </w:pPr>
            <w:r w:rsidRPr="00AB0B36">
              <w:t>140</w:t>
            </w:r>
          </w:p>
        </w:tc>
        <w:tc>
          <w:tcPr>
            <w:tcW w:w="0" w:type="auto"/>
            <w:tcMar>
              <w:top w:w="0" w:type="dxa"/>
              <w:left w:w="108" w:type="dxa"/>
              <w:bottom w:w="0" w:type="dxa"/>
              <w:right w:w="108" w:type="dxa"/>
            </w:tcMar>
            <w:vAlign w:val="center"/>
          </w:tcPr>
          <w:p w14:paraId="02BDCAB6" w14:textId="77777777" w:rsidR="00D94C1E" w:rsidRPr="00CE28E3" w:rsidRDefault="00D94C1E" w:rsidP="003145AC">
            <w:pPr>
              <w:pStyle w:val="TableText"/>
              <w:jc w:val="center"/>
            </w:pPr>
            <w:r w:rsidRPr="00AB0B36">
              <w:t>140</w:t>
            </w:r>
          </w:p>
        </w:tc>
        <w:tc>
          <w:tcPr>
            <w:tcW w:w="1129" w:type="dxa"/>
            <w:tcMar>
              <w:top w:w="0" w:type="dxa"/>
              <w:left w:w="108" w:type="dxa"/>
              <w:bottom w:w="0" w:type="dxa"/>
              <w:right w:w="108" w:type="dxa"/>
            </w:tcMar>
            <w:vAlign w:val="center"/>
          </w:tcPr>
          <w:p w14:paraId="46165EE4" w14:textId="77777777" w:rsidR="00D94C1E" w:rsidRPr="00CE28E3" w:rsidRDefault="00D94C1E" w:rsidP="003145AC">
            <w:pPr>
              <w:pStyle w:val="TableText"/>
              <w:jc w:val="center"/>
            </w:pPr>
            <w:r w:rsidRPr="00AB0B36">
              <w:t>140</w:t>
            </w:r>
          </w:p>
        </w:tc>
        <w:tc>
          <w:tcPr>
            <w:tcW w:w="1129" w:type="dxa"/>
            <w:tcMar>
              <w:top w:w="0" w:type="dxa"/>
              <w:left w:w="108" w:type="dxa"/>
              <w:bottom w:w="0" w:type="dxa"/>
              <w:right w:w="108" w:type="dxa"/>
            </w:tcMar>
            <w:vAlign w:val="center"/>
          </w:tcPr>
          <w:p w14:paraId="63432233" w14:textId="77777777" w:rsidR="00D94C1E" w:rsidRPr="00CE28E3" w:rsidRDefault="00D94C1E" w:rsidP="003145AC">
            <w:pPr>
              <w:pStyle w:val="TableText"/>
              <w:jc w:val="center"/>
            </w:pPr>
            <w:r w:rsidRPr="00AB0B36">
              <w:t>140</w:t>
            </w:r>
          </w:p>
        </w:tc>
      </w:tr>
      <w:tr w:rsidR="00D94C1E" w:rsidRPr="00CE28E3" w14:paraId="1D70586F" w14:textId="77777777" w:rsidTr="003145AC">
        <w:tc>
          <w:tcPr>
            <w:tcW w:w="0" w:type="auto"/>
            <w:tcMar>
              <w:top w:w="0" w:type="dxa"/>
              <w:left w:w="108" w:type="dxa"/>
              <w:bottom w:w="0" w:type="dxa"/>
              <w:right w:w="108" w:type="dxa"/>
            </w:tcMar>
          </w:tcPr>
          <w:p w14:paraId="5F0406C9" w14:textId="77777777" w:rsidR="00D94C1E" w:rsidRDefault="00D94C1E" w:rsidP="003145AC">
            <w:pPr>
              <w:pStyle w:val="TableText"/>
              <w:tabs>
                <w:tab w:val="left" w:pos="284"/>
              </w:tabs>
              <w:ind w:left="174"/>
            </w:pPr>
            <w:r>
              <w:t xml:space="preserve">FTE pharmacists </w:t>
            </w:r>
          </w:p>
          <w:p w14:paraId="38853E76" w14:textId="77777777" w:rsidR="00D94C1E" w:rsidRPr="00CE28E3" w:rsidRDefault="00D94C1E" w:rsidP="003145AC">
            <w:pPr>
              <w:pStyle w:val="TableText"/>
              <w:tabs>
                <w:tab w:val="left" w:pos="284"/>
              </w:tabs>
              <w:ind w:left="174"/>
            </w:pPr>
            <w:r>
              <w:t xml:space="preserve">(100% uptake) </w:t>
            </w:r>
          </w:p>
        </w:tc>
        <w:tc>
          <w:tcPr>
            <w:tcW w:w="0" w:type="auto"/>
            <w:tcMar>
              <w:top w:w="0" w:type="dxa"/>
              <w:left w:w="108" w:type="dxa"/>
              <w:bottom w:w="0" w:type="dxa"/>
              <w:right w:w="108" w:type="dxa"/>
            </w:tcMar>
            <w:vAlign w:val="center"/>
          </w:tcPr>
          <w:p w14:paraId="6ABA0EDB" w14:textId="77777777" w:rsidR="00D94C1E" w:rsidRPr="00CE28E3" w:rsidRDefault="00D94C1E" w:rsidP="003145AC">
            <w:pPr>
              <w:pStyle w:val="TableText"/>
              <w:jc w:val="center"/>
            </w:pPr>
            <w:r w:rsidRPr="00AB0B36">
              <w:t>130</w:t>
            </w:r>
          </w:p>
        </w:tc>
        <w:tc>
          <w:tcPr>
            <w:tcW w:w="0" w:type="auto"/>
            <w:tcMar>
              <w:top w:w="0" w:type="dxa"/>
              <w:left w:w="108" w:type="dxa"/>
              <w:bottom w:w="0" w:type="dxa"/>
              <w:right w:w="108" w:type="dxa"/>
            </w:tcMar>
            <w:vAlign w:val="center"/>
          </w:tcPr>
          <w:p w14:paraId="7ED8C72A" w14:textId="77777777" w:rsidR="00D94C1E" w:rsidRPr="00CE28E3" w:rsidRDefault="00D94C1E" w:rsidP="003145AC">
            <w:pPr>
              <w:pStyle w:val="TableText"/>
              <w:jc w:val="center"/>
            </w:pPr>
            <w:r w:rsidRPr="00AB0B36">
              <w:t>130</w:t>
            </w:r>
          </w:p>
        </w:tc>
        <w:tc>
          <w:tcPr>
            <w:tcW w:w="0" w:type="auto"/>
            <w:tcMar>
              <w:top w:w="0" w:type="dxa"/>
              <w:left w:w="108" w:type="dxa"/>
              <w:bottom w:w="0" w:type="dxa"/>
              <w:right w:w="108" w:type="dxa"/>
            </w:tcMar>
            <w:vAlign w:val="center"/>
          </w:tcPr>
          <w:p w14:paraId="5D5D8DC4" w14:textId="77777777" w:rsidR="00D94C1E" w:rsidRPr="00CE28E3" w:rsidRDefault="00D94C1E" w:rsidP="003145AC">
            <w:pPr>
              <w:pStyle w:val="TableText"/>
              <w:jc w:val="center"/>
            </w:pPr>
            <w:r w:rsidRPr="00AB0B36">
              <w:t>130</w:t>
            </w:r>
          </w:p>
        </w:tc>
        <w:tc>
          <w:tcPr>
            <w:tcW w:w="0" w:type="auto"/>
            <w:tcMar>
              <w:top w:w="0" w:type="dxa"/>
              <w:left w:w="108" w:type="dxa"/>
              <w:bottom w:w="0" w:type="dxa"/>
              <w:right w:w="108" w:type="dxa"/>
            </w:tcMar>
            <w:vAlign w:val="center"/>
          </w:tcPr>
          <w:p w14:paraId="69148D9D" w14:textId="77777777" w:rsidR="00D94C1E" w:rsidRPr="00CE28E3" w:rsidRDefault="00D94C1E" w:rsidP="003145AC">
            <w:pPr>
              <w:pStyle w:val="TableText"/>
              <w:jc w:val="center"/>
            </w:pPr>
            <w:r w:rsidRPr="00AB0B36">
              <w:t>130</w:t>
            </w:r>
          </w:p>
        </w:tc>
        <w:tc>
          <w:tcPr>
            <w:tcW w:w="1129" w:type="dxa"/>
            <w:tcMar>
              <w:top w:w="0" w:type="dxa"/>
              <w:left w:w="108" w:type="dxa"/>
              <w:bottom w:w="0" w:type="dxa"/>
              <w:right w:w="108" w:type="dxa"/>
            </w:tcMar>
            <w:vAlign w:val="center"/>
          </w:tcPr>
          <w:p w14:paraId="5489B213" w14:textId="77777777" w:rsidR="00D94C1E" w:rsidRPr="00CE28E3" w:rsidRDefault="00D94C1E" w:rsidP="003145AC">
            <w:pPr>
              <w:pStyle w:val="TableText"/>
              <w:jc w:val="center"/>
            </w:pPr>
            <w:r w:rsidRPr="00AB0B36">
              <w:t>130</w:t>
            </w:r>
          </w:p>
        </w:tc>
        <w:tc>
          <w:tcPr>
            <w:tcW w:w="1129" w:type="dxa"/>
            <w:tcMar>
              <w:top w:w="0" w:type="dxa"/>
              <w:left w:w="108" w:type="dxa"/>
              <w:bottom w:w="0" w:type="dxa"/>
              <w:right w:w="108" w:type="dxa"/>
            </w:tcMar>
            <w:vAlign w:val="center"/>
          </w:tcPr>
          <w:p w14:paraId="41816E46" w14:textId="77777777" w:rsidR="00D94C1E" w:rsidRPr="00CE28E3" w:rsidRDefault="00D94C1E" w:rsidP="003145AC">
            <w:pPr>
              <w:pStyle w:val="TableText"/>
              <w:jc w:val="center"/>
            </w:pPr>
            <w:r w:rsidRPr="00AB0B36">
              <w:t>130</w:t>
            </w:r>
          </w:p>
        </w:tc>
      </w:tr>
      <w:tr w:rsidR="00D94C1E" w:rsidRPr="00CE28E3" w14:paraId="1E97E4CF" w14:textId="77777777" w:rsidTr="003145AC">
        <w:tc>
          <w:tcPr>
            <w:tcW w:w="0" w:type="auto"/>
            <w:tcMar>
              <w:top w:w="0" w:type="dxa"/>
              <w:left w:w="108" w:type="dxa"/>
              <w:bottom w:w="0" w:type="dxa"/>
              <w:right w:w="108" w:type="dxa"/>
            </w:tcMar>
          </w:tcPr>
          <w:p w14:paraId="79FD6E77" w14:textId="77777777" w:rsidR="00D94C1E" w:rsidRPr="00CE28E3" w:rsidRDefault="00D94C1E" w:rsidP="003145AC">
            <w:pPr>
              <w:pStyle w:val="TableText"/>
              <w:ind w:left="174"/>
            </w:pPr>
            <w:r>
              <w:t xml:space="preserve">NT consortium FTE pharmacists </w:t>
            </w:r>
          </w:p>
        </w:tc>
        <w:tc>
          <w:tcPr>
            <w:tcW w:w="0" w:type="auto"/>
            <w:tcMar>
              <w:top w:w="0" w:type="dxa"/>
              <w:left w:w="108" w:type="dxa"/>
              <w:bottom w:w="0" w:type="dxa"/>
              <w:right w:w="108" w:type="dxa"/>
            </w:tcMar>
            <w:vAlign w:val="center"/>
          </w:tcPr>
          <w:p w14:paraId="0A83CAC3" w14:textId="77777777" w:rsidR="00D94C1E" w:rsidRPr="00CE28E3" w:rsidRDefault="00D94C1E" w:rsidP="003145AC">
            <w:pPr>
              <w:pStyle w:val="TableText"/>
              <w:jc w:val="center"/>
            </w:pPr>
            <w:r w:rsidRPr="00AB0B36">
              <w:t>10</w:t>
            </w:r>
          </w:p>
        </w:tc>
        <w:tc>
          <w:tcPr>
            <w:tcW w:w="0" w:type="auto"/>
            <w:tcMar>
              <w:top w:w="0" w:type="dxa"/>
              <w:left w:w="108" w:type="dxa"/>
              <w:bottom w:w="0" w:type="dxa"/>
              <w:right w:w="108" w:type="dxa"/>
            </w:tcMar>
            <w:vAlign w:val="center"/>
          </w:tcPr>
          <w:p w14:paraId="7D06544E" w14:textId="77777777" w:rsidR="00D94C1E" w:rsidRPr="00CE28E3" w:rsidRDefault="00D94C1E" w:rsidP="003145AC">
            <w:pPr>
              <w:pStyle w:val="TableText"/>
              <w:jc w:val="center"/>
            </w:pPr>
            <w:r w:rsidRPr="00AB0B36">
              <w:t>10</w:t>
            </w:r>
          </w:p>
        </w:tc>
        <w:tc>
          <w:tcPr>
            <w:tcW w:w="0" w:type="auto"/>
            <w:tcMar>
              <w:top w:w="0" w:type="dxa"/>
              <w:left w:w="108" w:type="dxa"/>
              <w:bottom w:w="0" w:type="dxa"/>
              <w:right w:w="108" w:type="dxa"/>
            </w:tcMar>
            <w:vAlign w:val="center"/>
          </w:tcPr>
          <w:p w14:paraId="76DD40C0" w14:textId="77777777" w:rsidR="00D94C1E" w:rsidRPr="00CE28E3" w:rsidRDefault="00D94C1E" w:rsidP="003145AC">
            <w:pPr>
              <w:pStyle w:val="TableText"/>
              <w:jc w:val="center"/>
            </w:pPr>
            <w:r w:rsidRPr="00AB0B36">
              <w:t>10</w:t>
            </w:r>
          </w:p>
        </w:tc>
        <w:tc>
          <w:tcPr>
            <w:tcW w:w="0" w:type="auto"/>
            <w:tcMar>
              <w:top w:w="0" w:type="dxa"/>
              <w:left w:w="108" w:type="dxa"/>
              <w:bottom w:w="0" w:type="dxa"/>
              <w:right w:w="108" w:type="dxa"/>
            </w:tcMar>
            <w:vAlign w:val="center"/>
          </w:tcPr>
          <w:p w14:paraId="2109EEE0" w14:textId="77777777" w:rsidR="00D94C1E" w:rsidRPr="00CE28E3" w:rsidRDefault="00D94C1E" w:rsidP="003145AC">
            <w:pPr>
              <w:pStyle w:val="TableText"/>
              <w:jc w:val="center"/>
            </w:pPr>
            <w:r w:rsidRPr="00AB0B36">
              <w:t>10</w:t>
            </w:r>
          </w:p>
        </w:tc>
        <w:tc>
          <w:tcPr>
            <w:tcW w:w="1129" w:type="dxa"/>
            <w:tcMar>
              <w:top w:w="0" w:type="dxa"/>
              <w:left w:w="108" w:type="dxa"/>
              <w:bottom w:w="0" w:type="dxa"/>
              <w:right w:w="108" w:type="dxa"/>
            </w:tcMar>
            <w:vAlign w:val="center"/>
          </w:tcPr>
          <w:p w14:paraId="151DDB39" w14:textId="77777777" w:rsidR="00D94C1E" w:rsidRPr="00CE28E3" w:rsidRDefault="00D94C1E" w:rsidP="003145AC">
            <w:pPr>
              <w:pStyle w:val="TableText"/>
              <w:jc w:val="center"/>
            </w:pPr>
            <w:r w:rsidRPr="00AB0B36">
              <w:t>10</w:t>
            </w:r>
          </w:p>
        </w:tc>
        <w:tc>
          <w:tcPr>
            <w:tcW w:w="1129" w:type="dxa"/>
            <w:tcMar>
              <w:top w:w="0" w:type="dxa"/>
              <w:left w:w="108" w:type="dxa"/>
              <w:bottom w:w="0" w:type="dxa"/>
              <w:right w:w="108" w:type="dxa"/>
            </w:tcMar>
            <w:vAlign w:val="center"/>
          </w:tcPr>
          <w:p w14:paraId="356FD700" w14:textId="77777777" w:rsidR="00D94C1E" w:rsidRPr="00CE28E3" w:rsidRDefault="00D94C1E" w:rsidP="003145AC">
            <w:pPr>
              <w:pStyle w:val="TableText"/>
              <w:jc w:val="center"/>
            </w:pPr>
            <w:r w:rsidRPr="00AB0B36">
              <w:t>10</w:t>
            </w:r>
          </w:p>
        </w:tc>
      </w:tr>
      <w:tr w:rsidR="00D94C1E" w:rsidRPr="00CE28E3" w14:paraId="2C480EE8" w14:textId="77777777" w:rsidTr="003145AC">
        <w:tc>
          <w:tcPr>
            <w:tcW w:w="0" w:type="auto"/>
            <w:tcMar>
              <w:top w:w="0" w:type="dxa"/>
              <w:left w:w="108" w:type="dxa"/>
              <w:bottom w:w="0" w:type="dxa"/>
              <w:right w:w="108" w:type="dxa"/>
            </w:tcMar>
          </w:tcPr>
          <w:p w14:paraId="44318974" w14:textId="77777777" w:rsidR="00D94C1E" w:rsidRPr="00803E65" w:rsidRDefault="00D94C1E" w:rsidP="003145AC">
            <w:pPr>
              <w:pStyle w:val="TableText"/>
              <w:rPr>
                <w:b/>
                <w:bCs/>
              </w:rPr>
            </w:pPr>
            <w:r w:rsidRPr="00803E65">
              <w:rPr>
                <w:b/>
                <w:bCs/>
              </w:rPr>
              <w:t>Salary costs</w:t>
            </w:r>
          </w:p>
        </w:tc>
        <w:tc>
          <w:tcPr>
            <w:tcW w:w="0" w:type="auto"/>
            <w:tcMar>
              <w:top w:w="0" w:type="dxa"/>
              <w:left w:w="108" w:type="dxa"/>
              <w:bottom w:w="0" w:type="dxa"/>
              <w:right w:w="108" w:type="dxa"/>
            </w:tcMar>
          </w:tcPr>
          <w:p w14:paraId="3B730015" w14:textId="77777777" w:rsidR="00D94C1E" w:rsidRPr="00CE28E3" w:rsidRDefault="00D94C1E" w:rsidP="003145AC">
            <w:pPr>
              <w:pStyle w:val="TableText"/>
            </w:pPr>
          </w:p>
        </w:tc>
        <w:tc>
          <w:tcPr>
            <w:tcW w:w="0" w:type="auto"/>
            <w:tcMar>
              <w:top w:w="0" w:type="dxa"/>
              <w:left w:w="108" w:type="dxa"/>
              <w:bottom w:w="0" w:type="dxa"/>
              <w:right w:w="108" w:type="dxa"/>
            </w:tcMar>
          </w:tcPr>
          <w:p w14:paraId="45D6F068" w14:textId="77777777" w:rsidR="00D94C1E" w:rsidRPr="00CE28E3" w:rsidRDefault="00D94C1E" w:rsidP="003145AC">
            <w:pPr>
              <w:pStyle w:val="TableText"/>
            </w:pPr>
          </w:p>
        </w:tc>
        <w:tc>
          <w:tcPr>
            <w:tcW w:w="0" w:type="auto"/>
            <w:tcMar>
              <w:top w:w="0" w:type="dxa"/>
              <w:left w:w="108" w:type="dxa"/>
              <w:bottom w:w="0" w:type="dxa"/>
              <w:right w:w="108" w:type="dxa"/>
            </w:tcMar>
          </w:tcPr>
          <w:p w14:paraId="61D1AA42" w14:textId="77777777" w:rsidR="00D94C1E" w:rsidRPr="00CE28E3" w:rsidRDefault="00D94C1E" w:rsidP="003145AC">
            <w:pPr>
              <w:pStyle w:val="TableText"/>
            </w:pPr>
          </w:p>
        </w:tc>
        <w:tc>
          <w:tcPr>
            <w:tcW w:w="0" w:type="auto"/>
            <w:tcMar>
              <w:top w:w="0" w:type="dxa"/>
              <w:left w:w="108" w:type="dxa"/>
              <w:bottom w:w="0" w:type="dxa"/>
              <w:right w:w="108" w:type="dxa"/>
            </w:tcMar>
          </w:tcPr>
          <w:p w14:paraId="437D9612" w14:textId="77777777" w:rsidR="00D94C1E" w:rsidRPr="00CE28E3" w:rsidRDefault="00D94C1E" w:rsidP="003145AC">
            <w:pPr>
              <w:pStyle w:val="TableText"/>
            </w:pPr>
          </w:p>
        </w:tc>
        <w:tc>
          <w:tcPr>
            <w:tcW w:w="1129" w:type="dxa"/>
            <w:tcMar>
              <w:top w:w="0" w:type="dxa"/>
              <w:left w:w="108" w:type="dxa"/>
              <w:bottom w:w="0" w:type="dxa"/>
              <w:right w:w="108" w:type="dxa"/>
            </w:tcMar>
          </w:tcPr>
          <w:p w14:paraId="43F30030" w14:textId="77777777" w:rsidR="00D94C1E" w:rsidRPr="00CE28E3" w:rsidRDefault="00D94C1E" w:rsidP="003145AC">
            <w:pPr>
              <w:pStyle w:val="TableText"/>
            </w:pPr>
          </w:p>
        </w:tc>
        <w:tc>
          <w:tcPr>
            <w:tcW w:w="1129" w:type="dxa"/>
            <w:tcMar>
              <w:top w:w="0" w:type="dxa"/>
              <w:left w:w="108" w:type="dxa"/>
              <w:bottom w:w="0" w:type="dxa"/>
              <w:right w:w="108" w:type="dxa"/>
            </w:tcMar>
          </w:tcPr>
          <w:p w14:paraId="5C5B0E7F" w14:textId="77777777" w:rsidR="00D94C1E" w:rsidRPr="00CE28E3" w:rsidRDefault="00D94C1E" w:rsidP="003145AC">
            <w:pPr>
              <w:pStyle w:val="TableText"/>
            </w:pPr>
          </w:p>
        </w:tc>
      </w:tr>
      <w:tr w:rsidR="00D94C1E" w:rsidRPr="00CE28E3" w14:paraId="49E4ABDE" w14:textId="77777777" w:rsidTr="003145AC">
        <w:tc>
          <w:tcPr>
            <w:tcW w:w="0" w:type="auto"/>
            <w:tcMar>
              <w:top w:w="0" w:type="dxa"/>
              <w:left w:w="108" w:type="dxa"/>
              <w:bottom w:w="0" w:type="dxa"/>
              <w:right w:w="108" w:type="dxa"/>
            </w:tcMar>
          </w:tcPr>
          <w:p w14:paraId="63709BEB" w14:textId="77777777" w:rsidR="00D94C1E" w:rsidRDefault="00D94C1E" w:rsidP="003145AC">
            <w:pPr>
              <w:pStyle w:val="TableText"/>
            </w:pPr>
            <w:r w:rsidRPr="00E62561">
              <w:t xml:space="preserve">Pharmacist salaries </w:t>
            </w:r>
          </w:p>
          <w:p w14:paraId="721A64B4" w14:textId="77777777" w:rsidR="00D94C1E" w:rsidRDefault="00D94C1E" w:rsidP="003145AC">
            <w:pPr>
              <w:pStyle w:val="TableText"/>
            </w:pPr>
            <w:r w:rsidRPr="00E62561">
              <w:t>(</w:t>
            </w:r>
            <w:r>
              <w:t xml:space="preserve">100% uptake, </w:t>
            </w:r>
            <w:r w:rsidRPr="00E62561">
              <w:t>excluding NT consortium)</w:t>
            </w:r>
          </w:p>
        </w:tc>
        <w:tc>
          <w:tcPr>
            <w:tcW w:w="0" w:type="auto"/>
            <w:tcMar>
              <w:top w:w="0" w:type="dxa"/>
              <w:left w:w="108" w:type="dxa"/>
              <w:bottom w:w="0" w:type="dxa"/>
              <w:right w:w="108" w:type="dxa"/>
            </w:tcMar>
            <w:vAlign w:val="center"/>
          </w:tcPr>
          <w:p w14:paraId="79964187" w14:textId="77777777" w:rsidR="00D94C1E" w:rsidRPr="00CE28E3" w:rsidRDefault="00D94C1E" w:rsidP="003145AC">
            <w:pPr>
              <w:pStyle w:val="TableText"/>
              <w:jc w:val="center"/>
            </w:pPr>
            <w:r w:rsidRPr="00475EAA">
              <w:t>$18,714,158</w:t>
            </w:r>
          </w:p>
        </w:tc>
        <w:tc>
          <w:tcPr>
            <w:tcW w:w="0" w:type="auto"/>
            <w:tcMar>
              <w:top w:w="0" w:type="dxa"/>
              <w:left w:w="108" w:type="dxa"/>
              <w:bottom w:w="0" w:type="dxa"/>
              <w:right w:w="108" w:type="dxa"/>
            </w:tcMar>
            <w:vAlign w:val="center"/>
          </w:tcPr>
          <w:p w14:paraId="145CC6DD" w14:textId="77777777" w:rsidR="00D94C1E" w:rsidRPr="00CE28E3" w:rsidRDefault="00D94C1E" w:rsidP="003145AC">
            <w:pPr>
              <w:pStyle w:val="TableText"/>
              <w:jc w:val="center"/>
            </w:pPr>
            <w:r w:rsidRPr="00475EAA">
              <w:t>$19,051,013</w:t>
            </w:r>
          </w:p>
        </w:tc>
        <w:tc>
          <w:tcPr>
            <w:tcW w:w="0" w:type="auto"/>
            <w:tcMar>
              <w:top w:w="0" w:type="dxa"/>
              <w:left w:w="108" w:type="dxa"/>
              <w:bottom w:w="0" w:type="dxa"/>
              <w:right w:w="108" w:type="dxa"/>
            </w:tcMar>
            <w:vAlign w:val="center"/>
          </w:tcPr>
          <w:p w14:paraId="4645D8A3" w14:textId="77777777" w:rsidR="00D94C1E" w:rsidRPr="00CE28E3" w:rsidRDefault="00D94C1E" w:rsidP="003145AC">
            <w:pPr>
              <w:pStyle w:val="TableText"/>
              <w:jc w:val="center"/>
            </w:pPr>
            <w:r w:rsidRPr="00475EAA">
              <w:t>$19,393,931</w:t>
            </w:r>
          </w:p>
        </w:tc>
        <w:tc>
          <w:tcPr>
            <w:tcW w:w="0" w:type="auto"/>
            <w:tcMar>
              <w:top w:w="0" w:type="dxa"/>
              <w:left w:w="108" w:type="dxa"/>
              <w:bottom w:w="0" w:type="dxa"/>
              <w:right w:w="108" w:type="dxa"/>
            </w:tcMar>
            <w:vAlign w:val="center"/>
          </w:tcPr>
          <w:p w14:paraId="0094C294" w14:textId="77777777" w:rsidR="00D94C1E" w:rsidRPr="00CE28E3" w:rsidRDefault="00D94C1E" w:rsidP="003145AC">
            <w:pPr>
              <w:pStyle w:val="TableText"/>
              <w:jc w:val="center"/>
            </w:pPr>
            <w:r w:rsidRPr="00475EAA">
              <w:t>$19,743,022</w:t>
            </w:r>
          </w:p>
        </w:tc>
        <w:tc>
          <w:tcPr>
            <w:tcW w:w="1129" w:type="dxa"/>
            <w:tcMar>
              <w:top w:w="0" w:type="dxa"/>
              <w:left w:w="108" w:type="dxa"/>
              <w:bottom w:w="0" w:type="dxa"/>
              <w:right w:w="108" w:type="dxa"/>
            </w:tcMar>
            <w:vAlign w:val="center"/>
          </w:tcPr>
          <w:p w14:paraId="65F967AD" w14:textId="77777777" w:rsidR="00D94C1E" w:rsidRPr="00CE28E3" w:rsidRDefault="00D94C1E" w:rsidP="003145AC">
            <w:pPr>
              <w:pStyle w:val="TableText"/>
              <w:jc w:val="center"/>
            </w:pPr>
            <w:r w:rsidRPr="00475EAA">
              <w:t>$20,098,396</w:t>
            </w:r>
          </w:p>
        </w:tc>
        <w:tc>
          <w:tcPr>
            <w:tcW w:w="1129" w:type="dxa"/>
            <w:tcMar>
              <w:top w:w="0" w:type="dxa"/>
              <w:left w:w="108" w:type="dxa"/>
              <w:bottom w:w="0" w:type="dxa"/>
              <w:right w:w="108" w:type="dxa"/>
            </w:tcMar>
            <w:vAlign w:val="center"/>
          </w:tcPr>
          <w:p w14:paraId="2C0B55BB" w14:textId="77777777" w:rsidR="00D94C1E" w:rsidRPr="00CE28E3" w:rsidRDefault="00D94C1E" w:rsidP="003145AC">
            <w:pPr>
              <w:pStyle w:val="TableText"/>
              <w:jc w:val="center"/>
            </w:pPr>
            <w:r w:rsidRPr="00475EAA">
              <w:t>$20,460,167</w:t>
            </w:r>
          </w:p>
        </w:tc>
      </w:tr>
      <w:tr w:rsidR="00D94C1E" w:rsidRPr="00CE28E3" w14:paraId="73BC2CB7" w14:textId="77777777" w:rsidTr="003145AC">
        <w:tc>
          <w:tcPr>
            <w:tcW w:w="0" w:type="auto"/>
            <w:tcMar>
              <w:top w:w="0" w:type="dxa"/>
              <w:left w:w="108" w:type="dxa"/>
              <w:bottom w:w="0" w:type="dxa"/>
              <w:right w:w="108" w:type="dxa"/>
            </w:tcMar>
          </w:tcPr>
          <w:p w14:paraId="64A241AE" w14:textId="77777777" w:rsidR="00D94C1E" w:rsidRDefault="00D94C1E" w:rsidP="003145AC">
            <w:pPr>
              <w:pStyle w:val="TableText"/>
            </w:pPr>
            <w:r w:rsidRPr="00E62561">
              <w:t xml:space="preserve">Pharmacist salaries </w:t>
            </w:r>
          </w:p>
          <w:p w14:paraId="3FBEAED7" w14:textId="77777777" w:rsidR="00D94C1E" w:rsidRDefault="00D94C1E" w:rsidP="003145AC">
            <w:pPr>
              <w:pStyle w:val="TableText"/>
            </w:pPr>
            <w:r w:rsidRPr="00E62561">
              <w:t xml:space="preserve">(NT consortium) </w:t>
            </w:r>
          </w:p>
        </w:tc>
        <w:tc>
          <w:tcPr>
            <w:tcW w:w="0" w:type="auto"/>
            <w:tcMar>
              <w:top w:w="0" w:type="dxa"/>
              <w:left w:w="108" w:type="dxa"/>
              <w:bottom w:w="0" w:type="dxa"/>
              <w:right w:w="108" w:type="dxa"/>
            </w:tcMar>
            <w:vAlign w:val="center"/>
          </w:tcPr>
          <w:p w14:paraId="114646E6" w14:textId="77777777" w:rsidR="00D94C1E" w:rsidRPr="00CE28E3" w:rsidRDefault="00D94C1E" w:rsidP="003145AC">
            <w:pPr>
              <w:pStyle w:val="TableText"/>
              <w:jc w:val="center"/>
            </w:pPr>
            <w:r w:rsidRPr="00475EAA">
              <w:t>$1,694,100</w:t>
            </w:r>
          </w:p>
        </w:tc>
        <w:tc>
          <w:tcPr>
            <w:tcW w:w="0" w:type="auto"/>
            <w:tcMar>
              <w:top w:w="0" w:type="dxa"/>
              <w:left w:w="108" w:type="dxa"/>
              <w:bottom w:w="0" w:type="dxa"/>
              <w:right w:w="108" w:type="dxa"/>
            </w:tcMar>
            <w:vAlign w:val="center"/>
          </w:tcPr>
          <w:p w14:paraId="501AA265" w14:textId="77777777" w:rsidR="00D94C1E" w:rsidRPr="00CE28E3" w:rsidRDefault="00D94C1E" w:rsidP="003145AC">
            <w:pPr>
              <w:pStyle w:val="TableText"/>
              <w:jc w:val="center"/>
            </w:pPr>
            <w:r w:rsidRPr="00475EAA">
              <w:t>$1,724,594</w:t>
            </w:r>
          </w:p>
        </w:tc>
        <w:tc>
          <w:tcPr>
            <w:tcW w:w="0" w:type="auto"/>
            <w:tcMar>
              <w:top w:w="0" w:type="dxa"/>
              <w:left w:w="108" w:type="dxa"/>
              <w:bottom w:w="0" w:type="dxa"/>
              <w:right w:w="108" w:type="dxa"/>
            </w:tcMar>
            <w:vAlign w:val="center"/>
          </w:tcPr>
          <w:p w14:paraId="28D4E96A" w14:textId="77777777" w:rsidR="00D94C1E" w:rsidRPr="00CE28E3" w:rsidRDefault="00D94C1E" w:rsidP="003145AC">
            <w:pPr>
              <w:pStyle w:val="TableText"/>
              <w:jc w:val="center"/>
            </w:pPr>
            <w:r w:rsidRPr="00475EAA">
              <w:t>$1,755,636</w:t>
            </w:r>
          </w:p>
        </w:tc>
        <w:tc>
          <w:tcPr>
            <w:tcW w:w="0" w:type="auto"/>
            <w:tcMar>
              <w:top w:w="0" w:type="dxa"/>
              <w:left w:w="108" w:type="dxa"/>
              <w:bottom w:w="0" w:type="dxa"/>
              <w:right w:w="108" w:type="dxa"/>
            </w:tcMar>
            <w:vAlign w:val="center"/>
          </w:tcPr>
          <w:p w14:paraId="0B0B507E" w14:textId="77777777" w:rsidR="00D94C1E" w:rsidRPr="00CE28E3" w:rsidRDefault="00D94C1E" w:rsidP="003145AC">
            <w:pPr>
              <w:pStyle w:val="TableText"/>
              <w:jc w:val="center"/>
            </w:pPr>
            <w:r w:rsidRPr="00475EAA">
              <w:t>$1,787,238</w:t>
            </w:r>
          </w:p>
        </w:tc>
        <w:tc>
          <w:tcPr>
            <w:tcW w:w="1129" w:type="dxa"/>
            <w:tcMar>
              <w:top w:w="0" w:type="dxa"/>
              <w:left w:w="108" w:type="dxa"/>
              <w:bottom w:w="0" w:type="dxa"/>
              <w:right w:w="108" w:type="dxa"/>
            </w:tcMar>
            <w:vAlign w:val="center"/>
          </w:tcPr>
          <w:p w14:paraId="4C1BA21A" w14:textId="77777777" w:rsidR="00D94C1E" w:rsidRPr="00CE28E3" w:rsidRDefault="00D94C1E" w:rsidP="003145AC">
            <w:pPr>
              <w:pStyle w:val="TableText"/>
              <w:jc w:val="center"/>
            </w:pPr>
            <w:r w:rsidRPr="00475EAA">
              <w:t>$1,819,408</w:t>
            </w:r>
          </w:p>
        </w:tc>
        <w:tc>
          <w:tcPr>
            <w:tcW w:w="1129" w:type="dxa"/>
            <w:tcMar>
              <w:top w:w="0" w:type="dxa"/>
              <w:left w:w="108" w:type="dxa"/>
              <w:bottom w:w="0" w:type="dxa"/>
              <w:right w:w="108" w:type="dxa"/>
            </w:tcMar>
            <w:vAlign w:val="center"/>
          </w:tcPr>
          <w:p w14:paraId="5B269F5A" w14:textId="77777777" w:rsidR="00D94C1E" w:rsidRPr="00CE28E3" w:rsidRDefault="00D94C1E" w:rsidP="003145AC">
            <w:pPr>
              <w:pStyle w:val="TableText"/>
              <w:jc w:val="center"/>
            </w:pPr>
            <w:r w:rsidRPr="00475EAA">
              <w:t>$1,852,158</w:t>
            </w:r>
          </w:p>
        </w:tc>
      </w:tr>
      <w:tr w:rsidR="00D94C1E" w:rsidRPr="00CE28E3" w14:paraId="3792B823" w14:textId="77777777" w:rsidTr="003145AC">
        <w:tc>
          <w:tcPr>
            <w:tcW w:w="0" w:type="auto"/>
            <w:tcMar>
              <w:top w:w="0" w:type="dxa"/>
              <w:left w:w="108" w:type="dxa"/>
              <w:bottom w:w="0" w:type="dxa"/>
              <w:right w:w="108" w:type="dxa"/>
            </w:tcMar>
          </w:tcPr>
          <w:p w14:paraId="150C4D56" w14:textId="77777777" w:rsidR="00D94C1E" w:rsidRDefault="00D94C1E" w:rsidP="003145AC">
            <w:pPr>
              <w:pStyle w:val="TableText"/>
            </w:pPr>
            <w:r w:rsidRPr="00E62561">
              <w:t xml:space="preserve">Uptake </w:t>
            </w:r>
          </w:p>
        </w:tc>
        <w:tc>
          <w:tcPr>
            <w:tcW w:w="0" w:type="auto"/>
            <w:tcMar>
              <w:top w:w="0" w:type="dxa"/>
              <w:left w:w="108" w:type="dxa"/>
              <w:bottom w:w="0" w:type="dxa"/>
              <w:right w:w="108" w:type="dxa"/>
            </w:tcMar>
            <w:vAlign w:val="center"/>
          </w:tcPr>
          <w:p w14:paraId="13FFA29A" w14:textId="77777777" w:rsidR="00D94C1E" w:rsidRPr="00CE28E3" w:rsidRDefault="00D94C1E" w:rsidP="003145AC">
            <w:pPr>
              <w:pStyle w:val="TableText"/>
              <w:jc w:val="center"/>
            </w:pPr>
            <w:r w:rsidRPr="004619FB">
              <w:t>20%</w:t>
            </w:r>
          </w:p>
        </w:tc>
        <w:tc>
          <w:tcPr>
            <w:tcW w:w="0" w:type="auto"/>
            <w:tcMar>
              <w:top w:w="0" w:type="dxa"/>
              <w:left w:w="108" w:type="dxa"/>
              <w:bottom w:w="0" w:type="dxa"/>
              <w:right w:w="108" w:type="dxa"/>
            </w:tcMar>
            <w:vAlign w:val="center"/>
          </w:tcPr>
          <w:p w14:paraId="510DB6ED" w14:textId="77777777" w:rsidR="00D94C1E" w:rsidRPr="00CE28E3" w:rsidRDefault="00D94C1E" w:rsidP="003145AC">
            <w:pPr>
              <w:pStyle w:val="TableText"/>
              <w:jc w:val="center"/>
            </w:pPr>
            <w:r w:rsidRPr="004619FB">
              <w:t>40%</w:t>
            </w:r>
          </w:p>
        </w:tc>
        <w:tc>
          <w:tcPr>
            <w:tcW w:w="0" w:type="auto"/>
            <w:tcMar>
              <w:top w:w="0" w:type="dxa"/>
              <w:left w:w="108" w:type="dxa"/>
              <w:bottom w:w="0" w:type="dxa"/>
              <w:right w:w="108" w:type="dxa"/>
            </w:tcMar>
            <w:vAlign w:val="center"/>
          </w:tcPr>
          <w:p w14:paraId="162F78CB" w14:textId="77777777" w:rsidR="00D94C1E" w:rsidRPr="00CE28E3" w:rsidRDefault="00D94C1E" w:rsidP="003145AC">
            <w:pPr>
              <w:pStyle w:val="TableText"/>
              <w:jc w:val="center"/>
            </w:pPr>
            <w:r w:rsidRPr="004619FB">
              <w:t>60%</w:t>
            </w:r>
          </w:p>
        </w:tc>
        <w:tc>
          <w:tcPr>
            <w:tcW w:w="0" w:type="auto"/>
            <w:tcMar>
              <w:top w:w="0" w:type="dxa"/>
              <w:left w:w="108" w:type="dxa"/>
              <w:bottom w:w="0" w:type="dxa"/>
              <w:right w:w="108" w:type="dxa"/>
            </w:tcMar>
            <w:vAlign w:val="center"/>
          </w:tcPr>
          <w:p w14:paraId="3639BD4B" w14:textId="77777777" w:rsidR="00D94C1E" w:rsidRPr="00CE28E3" w:rsidRDefault="00D94C1E" w:rsidP="003145AC">
            <w:pPr>
              <w:pStyle w:val="TableText"/>
              <w:jc w:val="center"/>
            </w:pPr>
            <w:r w:rsidRPr="004619FB">
              <w:t>80%</w:t>
            </w:r>
          </w:p>
        </w:tc>
        <w:tc>
          <w:tcPr>
            <w:tcW w:w="1129" w:type="dxa"/>
            <w:tcMar>
              <w:top w:w="0" w:type="dxa"/>
              <w:left w:w="108" w:type="dxa"/>
              <w:bottom w:w="0" w:type="dxa"/>
              <w:right w:w="108" w:type="dxa"/>
            </w:tcMar>
            <w:vAlign w:val="center"/>
          </w:tcPr>
          <w:p w14:paraId="601FACE7" w14:textId="77777777" w:rsidR="00D94C1E" w:rsidRPr="00CE28E3" w:rsidRDefault="00D94C1E" w:rsidP="003145AC">
            <w:pPr>
              <w:pStyle w:val="TableText"/>
              <w:jc w:val="center"/>
            </w:pPr>
            <w:r w:rsidRPr="004619FB">
              <w:t>100%</w:t>
            </w:r>
          </w:p>
        </w:tc>
        <w:tc>
          <w:tcPr>
            <w:tcW w:w="1129" w:type="dxa"/>
            <w:tcMar>
              <w:top w:w="0" w:type="dxa"/>
              <w:left w:w="108" w:type="dxa"/>
              <w:bottom w:w="0" w:type="dxa"/>
              <w:right w:w="108" w:type="dxa"/>
            </w:tcMar>
            <w:vAlign w:val="center"/>
          </w:tcPr>
          <w:p w14:paraId="3A38FEC6" w14:textId="77777777" w:rsidR="00D94C1E" w:rsidRPr="00CE28E3" w:rsidRDefault="00D94C1E" w:rsidP="003145AC">
            <w:pPr>
              <w:pStyle w:val="TableText"/>
              <w:jc w:val="center"/>
            </w:pPr>
            <w:r w:rsidRPr="004619FB">
              <w:t>100%</w:t>
            </w:r>
          </w:p>
        </w:tc>
      </w:tr>
      <w:tr w:rsidR="00D94C1E" w:rsidRPr="00CE28E3" w14:paraId="00B4F44B" w14:textId="77777777" w:rsidTr="003145AC">
        <w:tc>
          <w:tcPr>
            <w:tcW w:w="0" w:type="auto"/>
            <w:tcMar>
              <w:top w:w="0" w:type="dxa"/>
              <w:left w:w="108" w:type="dxa"/>
              <w:bottom w:w="0" w:type="dxa"/>
              <w:right w:w="108" w:type="dxa"/>
            </w:tcMar>
          </w:tcPr>
          <w:p w14:paraId="12AEF820" w14:textId="77777777" w:rsidR="00D94C1E" w:rsidRPr="00F56A1E" w:rsidRDefault="00D94C1E" w:rsidP="003145AC">
            <w:pPr>
              <w:pStyle w:val="TableText"/>
            </w:pPr>
            <w:r w:rsidRPr="00F56A1E">
              <w:t xml:space="preserve">Total </w:t>
            </w:r>
            <w:r>
              <w:t xml:space="preserve">pharmacist </w:t>
            </w:r>
            <w:r w:rsidRPr="00F56A1E">
              <w:t>salaries</w:t>
            </w:r>
          </w:p>
        </w:tc>
        <w:tc>
          <w:tcPr>
            <w:tcW w:w="0" w:type="auto"/>
            <w:tcMar>
              <w:top w:w="0" w:type="dxa"/>
              <w:left w:w="108" w:type="dxa"/>
              <w:bottom w:w="0" w:type="dxa"/>
              <w:right w:w="108" w:type="dxa"/>
            </w:tcMar>
            <w:vAlign w:val="center"/>
          </w:tcPr>
          <w:p w14:paraId="5D719C32" w14:textId="77777777" w:rsidR="00D94C1E" w:rsidRPr="00CE28E3" w:rsidRDefault="00D94C1E" w:rsidP="003145AC">
            <w:pPr>
              <w:pStyle w:val="TableText"/>
              <w:jc w:val="center"/>
            </w:pPr>
            <w:r w:rsidRPr="00DB65EA">
              <w:t>$4,081,652</w:t>
            </w:r>
          </w:p>
        </w:tc>
        <w:tc>
          <w:tcPr>
            <w:tcW w:w="0" w:type="auto"/>
            <w:tcMar>
              <w:top w:w="0" w:type="dxa"/>
              <w:left w:w="108" w:type="dxa"/>
              <w:bottom w:w="0" w:type="dxa"/>
              <w:right w:w="108" w:type="dxa"/>
            </w:tcMar>
            <w:vAlign w:val="center"/>
          </w:tcPr>
          <w:p w14:paraId="6A820952" w14:textId="77777777" w:rsidR="00D94C1E" w:rsidRPr="00CE28E3" w:rsidRDefault="00D94C1E" w:rsidP="003145AC">
            <w:pPr>
              <w:pStyle w:val="TableText"/>
              <w:jc w:val="center"/>
            </w:pPr>
            <w:r w:rsidRPr="00DB65EA">
              <w:t>$8,310,243</w:t>
            </w:r>
          </w:p>
        </w:tc>
        <w:tc>
          <w:tcPr>
            <w:tcW w:w="0" w:type="auto"/>
            <w:tcMar>
              <w:top w:w="0" w:type="dxa"/>
              <w:left w:w="108" w:type="dxa"/>
              <w:bottom w:w="0" w:type="dxa"/>
              <w:right w:w="108" w:type="dxa"/>
            </w:tcMar>
            <w:vAlign w:val="center"/>
          </w:tcPr>
          <w:p w14:paraId="19AC82DB" w14:textId="77777777" w:rsidR="00D94C1E" w:rsidRPr="00CE28E3" w:rsidRDefault="00D94C1E" w:rsidP="003145AC">
            <w:pPr>
              <w:pStyle w:val="TableText"/>
              <w:jc w:val="center"/>
            </w:pPr>
            <w:r w:rsidRPr="00DB65EA">
              <w:t>$12,689,741</w:t>
            </w:r>
          </w:p>
        </w:tc>
        <w:tc>
          <w:tcPr>
            <w:tcW w:w="0" w:type="auto"/>
            <w:tcMar>
              <w:top w:w="0" w:type="dxa"/>
              <w:left w:w="108" w:type="dxa"/>
              <w:bottom w:w="0" w:type="dxa"/>
              <w:right w:w="108" w:type="dxa"/>
            </w:tcMar>
            <w:vAlign w:val="center"/>
          </w:tcPr>
          <w:p w14:paraId="0A24CCE6" w14:textId="77777777" w:rsidR="00D94C1E" w:rsidRPr="00CE28E3" w:rsidRDefault="00D94C1E" w:rsidP="003145AC">
            <w:pPr>
              <w:pStyle w:val="TableText"/>
              <w:jc w:val="center"/>
            </w:pPr>
            <w:r w:rsidRPr="00DB65EA">
              <w:t>$17,224,208</w:t>
            </w:r>
          </w:p>
        </w:tc>
        <w:tc>
          <w:tcPr>
            <w:tcW w:w="1129" w:type="dxa"/>
            <w:tcMar>
              <w:top w:w="0" w:type="dxa"/>
              <w:left w:w="108" w:type="dxa"/>
              <w:bottom w:w="0" w:type="dxa"/>
              <w:right w:w="108" w:type="dxa"/>
            </w:tcMar>
            <w:vAlign w:val="center"/>
          </w:tcPr>
          <w:p w14:paraId="40D55604" w14:textId="77777777" w:rsidR="00D94C1E" w:rsidRPr="00CE28E3" w:rsidRDefault="00D94C1E" w:rsidP="003145AC">
            <w:pPr>
              <w:pStyle w:val="TableText"/>
              <w:jc w:val="center"/>
            </w:pPr>
            <w:r w:rsidRPr="00DB65EA">
              <w:t>$21,917,804</w:t>
            </w:r>
          </w:p>
        </w:tc>
        <w:tc>
          <w:tcPr>
            <w:tcW w:w="1129" w:type="dxa"/>
            <w:tcMar>
              <w:top w:w="0" w:type="dxa"/>
              <w:left w:w="108" w:type="dxa"/>
              <w:bottom w:w="0" w:type="dxa"/>
              <w:right w:w="108" w:type="dxa"/>
            </w:tcMar>
            <w:vAlign w:val="center"/>
          </w:tcPr>
          <w:p w14:paraId="5351B5B6" w14:textId="77777777" w:rsidR="00D94C1E" w:rsidRPr="00CE28E3" w:rsidRDefault="00D94C1E" w:rsidP="003145AC">
            <w:pPr>
              <w:pStyle w:val="TableText"/>
              <w:jc w:val="center"/>
            </w:pPr>
            <w:r w:rsidRPr="00DB65EA">
              <w:t>$22,312,325</w:t>
            </w:r>
          </w:p>
        </w:tc>
      </w:tr>
      <w:tr w:rsidR="00D94C1E" w:rsidRPr="00CE28E3" w14:paraId="30858B08" w14:textId="77777777" w:rsidTr="003145AC">
        <w:tc>
          <w:tcPr>
            <w:tcW w:w="0" w:type="auto"/>
            <w:tcMar>
              <w:top w:w="0" w:type="dxa"/>
              <w:left w:w="108" w:type="dxa"/>
              <w:bottom w:w="0" w:type="dxa"/>
              <w:right w:w="108" w:type="dxa"/>
            </w:tcMar>
          </w:tcPr>
          <w:p w14:paraId="390C874F" w14:textId="77777777" w:rsidR="00D94C1E" w:rsidRPr="00803E65" w:rsidRDefault="00D94C1E" w:rsidP="003145AC">
            <w:pPr>
              <w:pStyle w:val="TableText"/>
              <w:rPr>
                <w:b/>
                <w:bCs/>
              </w:rPr>
            </w:pPr>
            <w:r w:rsidRPr="00803E65">
              <w:rPr>
                <w:b/>
                <w:bCs/>
              </w:rPr>
              <w:t>Program costs</w:t>
            </w:r>
          </w:p>
        </w:tc>
        <w:tc>
          <w:tcPr>
            <w:tcW w:w="0" w:type="auto"/>
            <w:tcMar>
              <w:top w:w="0" w:type="dxa"/>
              <w:left w:w="108" w:type="dxa"/>
              <w:bottom w:w="0" w:type="dxa"/>
              <w:right w:w="108" w:type="dxa"/>
            </w:tcMar>
          </w:tcPr>
          <w:p w14:paraId="30AFC608" w14:textId="77777777" w:rsidR="00D94C1E" w:rsidRPr="00CE28E3" w:rsidRDefault="00D94C1E" w:rsidP="003145AC">
            <w:pPr>
              <w:pStyle w:val="TableText"/>
            </w:pPr>
          </w:p>
        </w:tc>
        <w:tc>
          <w:tcPr>
            <w:tcW w:w="0" w:type="auto"/>
            <w:tcMar>
              <w:top w:w="0" w:type="dxa"/>
              <w:left w:w="108" w:type="dxa"/>
              <w:bottom w:w="0" w:type="dxa"/>
              <w:right w:w="108" w:type="dxa"/>
            </w:tcMar>
          </w:tcPr>
          <w:p w14:paraId="624CE829" w14:textId="77777777" w:rsidR="00D94C1E" w:rsidRPr="00CE28E3" w:rsidRDefault="00D94C1E" w:rsidP="003145AC">
            <w:pPr>
              <w:pStyle w:val="TableText"/>
            </w:pPr>
          </w:p>
        </w:tc>
        <w:tc>
          <w:tcPr>
            <w:tcW w:w="0" w:type="auto"/>
            <w:tcMar>
              <w:top w:w="0" w:type="dxa"/>
              <w:left w:w="108" w:type="dxa"/>
              <w:bottom w:w="0" w:type="dxa"/>
              <w:right w:w="108" w:type="dxa"/>
            </w:tcMar>
          </w:tcPr>
          <w:p w14:paraId="3B736322" w14:textId="77777777" w:rsidR="00D94C1E" w:rsidRPr="00CE28E3" w:rsidRDefault="00D94C1E" w:rsidP="003145AC">
            <w:pPr>
              <w:pStyle w:val="TableText"/>
            </w:pPr>
          </w:p>
        </w:tc>
        <w:tc>
          <w:tcPr>
            <w:tcW w:w="0" w:type="auto"/>
            <w:tcMar>
              <w:top w:w="0" w:type="dxa"/>
              <w:left w:w="108" w:type="dxa"/>
              <w:bottom w:w="0" w:type="dxa"/>
              <w:right w:w="108" w:type="dxa"/>
            </w:tcMar>
          </w:tcPr>
          <w:p w14:paraId="54AEDAF4" w14:textId="77777777" w:rsidR="00D94C1E" w:rsidRPr="00CE28E3" w:rsidRDefault="00D94C1E" w:rsidP="003145AC">
            <w:pPr>
              <w:pStyle w:val="TableText"/>
            </w:pPr>
          </w:p>
        </w:tc>
        <w:tc>
          <w:tcPr>
            <w:tcW w:w="1129" w:type="dxa"/>
            <w:tcMar>
              <w:top w:w="0" w:type="dxa"/>
              <w:left w:w="108" w:type="dxa"/>
              <w:bottom w:w="0" w:type="dxa"/>
              <w:right w:w="108" w:type="dxa"/>
            </w:tcMar>
          </w:tcPr>
          <w:p w14:paraId="5312A70B" w14:textId="77777777" w:rsidR="00D94C1E" w:rsidRPr="00CE28E3" w:rsidRDefault="00D94C1E" w:rsidP="003145AC">
            <w:pPr>
              <w:pStyle w:val="TableText"/>
            </w:pPr>
          </w:p>
        </w:tc>
        <w:tc>
          <w:tcPr>
            <w:tcW w:w="1129" w:type="dxa"/>
            <w:tcMar>
              <w:top w:w="0" w:type="dxa"/>
              <w:left w:w="108" w:type="dxa"/>
              <w:bottom w:w="0" w:type="dxa"/>
              <w:right w:w="108" w:type="dxa"/>
            </w:tcMar>
          </w:tcPr>
          <w:p w14:paraId="0D9F3A20" w14:textId="77777777" w:rsidR="00D94C1E" w:rsidRPr="00CE28E3" w:rsidRDefault="00D94C1E" w:rsidP="003145AC">
            <w:pPr>
              <w:pStyle w:val="TableText"/>
            </w:pPr>
          </w:p>
        </w:tc>
      </w:tr>
      <w:tr w:rsidR="00D94C1E" w:rsidRPr="00CE28E3" w14:paraId="11318FD2" w14:textId="77777777" w:rsidTr="003145AC">
        <w:tc>
          <w:tcPr>
            <w:tcW w:w="0" w:type="auto"/>
            <w:tcMar>
              <w:top w:w="0" w:type="dxa"/>
              <w:left w:w="108" w:type="dxa"/>
              <w:bottom w:w="0" w:type="dxa"/>
              <w:right w:w="108" w:type="dxa"/>
            </w:tcMar>
          </w:tcPr>
          <w:p w14:paraId="0E338E99" w14:textId="77777777" w:rsidR="00D94C1E" w:rsidRPr="00E62561" w:rsidRDefault="00D94C1E" w:rsidP="003145AC">
            <w:pPr>
              <w:pStyle w:val="TableText"/>
            </w:pPr>
            <w:r w:rsidRPr="00F9497A">
              <w:t>Mentoring and community of practice</w:t>
            </w:r>
          </w:p>
        </w:tc>
        <w:tc>
          <w:tcPr>
            <w:tcW w:w="0" w:type="auto"/>
            <w:tcMar>
              <w:top w:w="0" w:type="dxa"/>
              <w:left w:w="108" w:type="dxa"/>
              <w:bottom w:w="0" w:type="dxa"/>
              <w:right w:w="108" w:type="dxa"/>
            </w:tcMar>
            <w:vAlign w:val="center"/>
          </w:tcPr>
          <w:p w14:paraId="6AF22B24" w14:textId="77777777" w:rsidR="00D94C1E" w:rsidRPr="00CE28E3" w:rsidRDefault="00D94C1E" w:rsidP="003145AC">
            <w:pPr>
              <w:pStyle w:val="TableText"/>
              <w:jc w:val="center"/>
            </w:pPr>
            <w:r w:rsidRPr="00F36026">
              <w:t>$591,000</w:t>
            </w:r>
          </w:p>
        </w:tc>
        <w:tc>
          <w:tcPr>
            <w:tcW w:w="0" w:type="auto"/>
            <w:tcMar>
              <w:top w:w="0" w:type="dxa"/>
              <w:left w:w="108" w:type="dxa"/>
              <w:bottom w:w="0" w:type="dxa"/>
              <w:right w:w="108" w:type="dxa"/>
            </w:tcMar>
            <w:vAlign w:val="center"/>
          </w:tcPr>
          <w:p w14:paraId="676E00AF" w14:textId="77777777" w:rsidR="00D94C1E" w:rsidRPr="00CE28E3" w:rsidRDefault="00D94C1E" w:rsidP="003145AC">
            <w:pPr>
              <w:pStyle w:val="TableText"/>
              <w:jc w:val="center"/>
            </w:pPr>
            <w:r w:rsidRPr="00F36026">
              <w:t>$591,000</w:t>
            </w:r>
          </w:p>
        </w:tc>
        <w:tc>
          <w:tcPr>
            <w:tcW w:w="0" w:type="auto"/>
            <w:tcMar>
              <w:top w:w="0" w:type="dxa"/>
              <w:left w:w="108" w:type="dxa"/>
              <w:bottom w:w="0" w:type="dxa"/>
              <w:right w:w="108" w:type="dxa"/>
            </w:tcMar>
            <w:vAlign w:val="center"/>
          </w:tcPr>
          <w:p w14:paraId="021D161D" w14:textId="77777777" w:rsidR="00D94C1E" w:rsidRPr="00CE28E3" w:rsidRDefault="00D94C1E" w:rsidP="003145AC">
            <w:pPr>
              <w:pStyle w:val="TableText"/>
              <w:jc w:val="center"/>
            </w:pPr>
            <w:r w:rsidRPr="00F36026">
              <w:t>$591,000</w:t>
            </w:r>
          </w:p>
        </w:tc>
        <w:tc>
          <w:tcPr>
            <w:tcW w:w="0" w:type="auto"/>
            <w:tcMar>
              <w:top w:w="0" w:type="dxa"/>
              <w:left w:w="108" w:type="dxa"/>
              <w:bottom w:w="0" w:type="dxa"/>
              <w:right w:w="108" w:type="dxa"/>
            </w:tcMar>
            <w:vAlign w:val="center"/>
          </w:tcPr>
          <w:p w14:paraId="30E61686" w14:textId="77777777" w:rsidR="00D94C1E" w:rsidRPr="00CE28E3" w:rsidRDefault="00D94C1E" w:rsidP="003145AC">
            <w:pPr>
              <w:pStyle w:val="TableText"/>
              <w:jc w:val="center"/>
            </w:pPr>
            <w:r w:rsidRPr="00F36026">
              <w:t>$458,750</w:t>
            </w:r>
          </w:p>
        </w:tc>
        <w:tc>
          <w:tcPr>
            <w:tcW w:w="1129" w:type="dxa"/>
            <w:tcMar>
              <w:top w:w="0" w:type="dxa"/>
              <w:left w:w="108" w:type="dxa"/>
              <w:bottom w:w="0" w:type="dxa"/>
              <w:right w:w="108" w:type="dxa"/>
            </w:tcMar>
            <w:vAlign w:val="center"/>
          </w:tcPr>
          <w:p w14:paraId="05FAF12C" w14:textId="77777777" w:rsidR="00D94C1E" w:rsidRPr="00CE28E3" w:rsidRDefault="00D94C1E" w:rsidP="003145AC">
            <w:pPr>
              <w:pStyle w:val="TableText"/>
              <w:jc w:val="center"/>
            </w:pPr>
            <w:r w:rsidRPr="00F36026">
              <w:t>$458,750</w:t>
            </w:r>
          </w:p>
        </w:tc>
        <w:tc>
          <w:tcPr>
            <w:tcW w:w="1129" w:type="dxa"/>
            <w:tcMar>
              <w:top w:w="0" w:type="dxa"/>
              <w:left w:w="108" w:type="dxa"/>
              <w:bottom w:w="0" w:type="dxa"/>
              <w:right w:w="108" w:type="dxa"/>
            </w:tcMar>
            <w:vAlign w:val="center"/>
          </w:tcPr>
          <w:p w14:paraId="0702CAFA" w14:textId="77777777" w:rsidR="00D94C1E" w:rsidRPr="00CE28E3" w:rsidRDefault="00D94C1E" w:rsidP="003145AC">
            <w:pPr>
              <w:pStyle w:val="TableText"/>
              <w:jc w:val="center"/>
            </w:pPr>
            <w:r w:rsidRPr="00F36026">
              <w:t>$458,750</w:t>
            </w:r>
          </w:p>
        </w:tc>
      </w:tr>
      <w:tr w:rsidR="00D94C1E" w:rsidRPr="00CE28E3" w14:paraId="000E50B9" w14:textId="77777777" w:rsidTr="003145AC">
        <w:tc>
          <w:tcPr>
            <w:tcW w:w="0" w:type="auto"/>
            <w:tcMar>
              <w:top w:w="0" w:type="dxa"/>
              <w:left w:w="108" w:type="dxa"/>
              <w:bottom w:w="0" w:type="dxa"/>
              <w:right w:w="108" w:type="dxa"/>
            </w:tcMar>
          </w:tcPr>
          <w:p w14:paraId="35672B34" w14:textId="77777777" w:rsidR="00D94C1E" w:rsidRPr="00F56A1E" w:rsidRDefault="00D94C1E" w:rsidP="003145AC">
            <w:pPr>
              <w:pStyle w:val="TableText"/>
              <w:rPr>
                <w:b/>
                <w:bCs/>
              </w:rPr>
            </w:pPr>
            <w:r w:rsidRPr="00F56A1E">
              <w:rPr>
                <w:b/>
                <w:bCs/>
              </w:rPr>
              <w:t>Total cost</w:t>
            </w:r>
          </w:p>
        </w:tc>
        <w:tc>
          <w:tcPr>
            <w:tcW w:w="0" w:type="auto"/>
            <w:tcMar>
              <w:top w:w="0" w:type="dxa"/>
              <w:left w:w="108" w:type="dxa"/>
              <w:bottom w:w="0" w:type="dxa"/>
              <w:right w:w="108" w:type="dxa"/>
            </w:tcMar>
            <w:vAlign w:val="center"/>
          </w:tcPr>
          <w:p w14:paraId="51F14168" w14:textId="77777777" w:rsidR="00D94C1E" w:rsidRPr="00C070DE" w:rsidRDefault="00D94C1E" w:rsidP="003145AC">
            <w:pPr>
              <w:pStyle w:val="TableText"/>
              <w:jc w:val="center"/>
              <w:rPr>
                <w:b/>
                <w:bCs/>
              </w:rPr>
            </w:pPr>
            <w:r w:rsidRPr="00C070DE">
              <w:rPr>
                <w:b/>
                <w:bCs/>
              </w:rPr>
              <w:t>$4,672,652</w:t>
            </w:r>
          </w:p>
        </w:tc>
        <w:tc>
          <w:tcPr>
            <w:tcW w:w="0" w:type="auto"/>
            <w:tcMar>
              <w:top w:w="0" w:type="dxa"/>
              <w:left w:w="108" w:type="dxa"/>
              <w:bottom w:w="0" w:type="dxa"/>
              <w:right w:w="108" w:type="dxa"/>
            </w:tcMar>
            <w:vAlign w:val="center"/>
          </w:tcPr>
          <w:p w14:paraId="2F67129E" w14:textId="77777777" w:rsidR="00D94C1E" w:rsidRPr="00C070DE" w:rsidRDefault="00D94C1E" w:rsidP="003145AC">
            <w:pPr>
              <w:pStyle w:val="TableText"/>
              <w:jc w:val="center"/>
              <w:rPr>
                <w:b/>
                <w:bCs/>
              </w:rPr>
            </w:pPr>
            <w:r w:rsidRPr="00C070DE">
              <w:rPr>
                <w:b/>
                <w:bCs/>
              </w:rPr>
              <w:t>$8,901,243</w:t>
            </w:r>
          </w:p>
        </w:tc>
        <w:tc>
          <w:tcPr>
            <w:tcW w:w="0" w:type="auto"/>
            <w:tcMar>
              <w:top w:w="0" w:type="dxa"/>
              <w:left w:w="108" w:type="dxa"/>
              <w:bottom w:w="0" w:type="dxa"/>
              <w:right w:w="108" w:type="dxa"/>
            </w:tcMar>
            <w:vAlign w:val="center"/>
          </w:tcPr>
          <w:p w14:paraId="2041F717" w14:textId="77777777" w:rsidR="00D94C1E" w:rsidRPr="00C070DE" w:rsidRDefault="00D94C1E" w:rsidP="003145AC">
            <w:pPr>
              <w:pStyle w:val="TableText"/>
              <w:jc w:val="center"/>
              <w:rPr>
                <w:b/>
                <w:bCs/>
              </w:rPr>
            </w:pPr>
            <w:r w:rsidRPr="00C070DE">
              <w:rPr>
                <w:b/>
                <w:bCs/>
              </w:rPr>
              <w:t>$13,280,741</w:t>
            </w:r>
          </w:p>
        </w:tc>
        <w:tc>
          <w:tcPr>
            <w:tcW w:w="0" w:type="auto"/>
            <w:tcMar>
              <w:top w:w="0" w:type="dxa"/>
              <w:left w:w="108" w:type="dxa"/>
              <w:bottom w:w="0" w:type="dxa"/>
              <w:right w:w="108" w:type="dxa"/>
            </w:tcMar>
            <w:vAlign w:val="center"/>
          </w:tcPr>
          <w:p w14:paraId="1DB0EFF8" w14:textId="77777777" w:rsidR="00D94C1E" w:rsidRPr="00C070DE" w:rsidRDefault="00D94C1E" w:rsidP="003145AC">
            <w:pPr>
              <w:pStyle w:val="TableText"/>
              <w:jc w:val="center"/>
              <w:rPr>
                <w:b/>
                <w:bCs/>
              </w:rPr>
            </w:pPr>
            <w:r w:rsidRPr="00C070DE">
              <w:rPr>
                <w:b/>
                <w:bCs/>
              </w:rPr>
              <w:t>$17,682,958</w:t>
            </w:r>
          </w:p>
        </w:tc>
        <w:tc>
          <w:tcPr>
            <w:tcW w:w="1129" w:type="dxa"/>
            <w:tcMar>
              <w:top w:w="0" w:type="dxa"/>
              <w:left w:w="108" w:type="dxa"/>
              <w:bottom w:w="0" w:type="dxa"/>
              <w:right w:w="108" w:type="dxa"/>
            </w:tcMar>
            <w:vAlign w:val="center"/>
          </w:tcPr>
          <w:p w14:paraId="27F2C2EE" w14:textId="77777777" w:rsidR="00D94C1E" w:rsidRPr="00C070DE" w:rsidRDefault="00D94C1E" w:rsidP="003145AC">
            <w:pPr>
              <w:pStyle w:val="TableText"/>
              <w:jc w:val="center"/>
              <w:rPr>
                <w:b/>
                <w:bCs/>
              </w:rPr>
            </w:pPr>
            <w:r w:rsidRPr="00C070DE">
              <w:rPr>
                <w:b/>
                <w:bCs/>
              </w:rPr>
              <w:t>$22,376,554</w:t>
            </w:r>
          </w:p>
        </w:tc>
        <w:tc>
          <w:tcPr>
            <w:tcW w:w="1129" w:type="dxa"/>
            <w:tcMar>
              <w:top w:w="0" w:type="dxa"/>
              <w:left w:w="108" w:type="dxa"/>
              <w:bottom w:w="0" w:type="dxa"/>
              <w:right w:w="108" w:type="dxa"/>
            </w:tcMar>
            <w:vAlign w:val="center"/>
          </w:tcPr>
          <w:p w14:paraId="272CE307" w14:textId="77777777" w:rsidR="00D94C1E" w:rsidRPr="00C070DE" w:rsidRDefault="00D94C1E" w:rsidP="003145AC">
            <w:pPr>
              <w:pStyle w:val="TableText"/>
              <w:jc w:val="center"/>
              <w:rPr>
                <w:b/>
                <w:bCs/>
              </w:rPr>
            </w:pPr>
            <w:r w:rsidRPr="00C070DE">
              <w:rPr>
                <w:b/>
                <w:bCs/>
              </w:rPr>
              <w:t>$22,771,075</w:t>
            </w:r>
          </w:p>
        </w:tc>
      </w:tr>
      <w:tr w:rsidR="00D94C1E" w:rsidRPr="00CE28E3" w14:paraId="45AF514C" w14:textId="77777777" w:rsidTr="003145AC">
        <w:tc>
          <w:tcPr>
            <w:tcW w:w="9016" w:type="dxa"/>
            <w:gridSpan w:val="7"/>
            <w:tcMar>
              <w:top w:w="0" w:type="dxa"/>
              <w:left w:w="108" w:type="dxa"/>
              <w:bottom w:w="0" w:type="dxa"/>
              <w:right w:w="108" w:type="dxa"/>
            </w:tcMar>
          </w:tcPr>
          <w:p w14:paraId="403B8021" w14:textId="77777777" w:rsidR="00D94C1E" w:rsidRPr="00CE28E3" w:rsidRDefault="00D94C1E" w:rsidP="003145AC">
            <w:pPr>
              <w:pStyle w:val="TableText"/>
            </w:pPr>
            <w:r>
              <w:rPr>
                <w:b/>
                <w:bCs/>
              </w:rPr>
              <w:t xml:space="preserve">Department </w:t>
            </w:r>
            <w:r w:rsidRPr="006A6B90">
              <w:rPr>
                <w:b/>
                <w:bCs/>
              </w:rPr>
              <w:t xml:space="preserve">Model </w:t>
            </w:r>
            <w:r>
              <w:rPr>
                <w:b/>
                <w:bCs/>
              </w:rPr>
              <w:t>2</w:t>
            </w:r>
          </w:p>
        </w:tc>
      </w:tr>
      <w:tr w:rsidR="00D94C1E" w:rsidRPr="00CE28E3" w14:paraId="08336C68" w14:textId="77777777" w:rsidTr="003145AC">
        <w:tc>
          <w:tcPr>
            <w:tcW w:w="0" w:type="auto"/>
            <w:tcMar>
              <w:top w:w="0" w:type="dxa"/>
              <w:left w:w="108" w:type="dxa"/>
              <w:bottom w:w="0" w:type="dxa"/>
              <w:right w:w="108" w:type="dxa"/>
            </w:tcMar>
          </w:tcPr>
          <w:p w14:paraId="71CEB9E2" w14:textId="77777777" w:rsidR="00D94C1E" w:rsidRPr="00E62561" w:rsidRDefault="00D94C1E" w:rsidP="003145AC">
            <w:pPr>
              <w:pStyle w:val="TableText"/>
            </w:pPr>
            <w:r w:rsidRPr="00803E65">
              <w:rPr>
                <w:b/>
                <w:bCs/>
              </w:rPr>
              <w:t xml:space="preserve">Total FTE pharmacists </w:t>
            </w:r>
          </w:p>
        </w:tc>
        <w:tc>
          <w:tcPr>
            <w:tcW w:w="0" w:type="auto"/>
            <w:tcMar>
              <w:top w:w="0" w:type="dxa"/>
              <w:left w:w="108" w:type="dxa"/>
              <w:bottom w:w="0" w:type="dxa"/>
              <w:right w:w="108" w:type="dxa"/>
            </w:tcMar>
            <w:vAlign w:val="center"/>
          </w:tcPr>
          <w:p w14:paraId="22BDF4CF" w14:textId="77777777" w:rsidR="00D94C1E" w:rsidRPr="00CE28E3" w:rsidRDefault="00D94C1E" w:rsidP="003145AC">
            <w:pPr>
              <w:pStyle w:val="TableText"/>
              <w:jc w:val="center"/>
            </w:pPr>
            <w:r w:rsidRPr="007474D3">
              <w:t>111</w:t>
            </w:r>
          </w:p>
        </w:tc>
        <w:tc>
          <w:tcPr>
            <w:tcW w:w="0" w:type="auto"/>
            <w:tcMar>
              <w:top w:w="0" w:type="dxa"/>
              <w:left w:w="108" w:type="dxa"/>
              <w:bottom w:w="0" w:type="dxa"/>
              <w:right w:w="108" w:type="dxa"/>
            </w:tcMar>
            <w:vAlign w:val="center"/>
          </w:tcPr>
          <w:p w14:paraId="6C657DA4" w14:textId="77777777" w:rsidR="00D94C1E" w:rsidRPr="00CE28E3" w:rsidRDefault="00D94C1E" w:rsidP="003145AC">
            <w:pPr>
              <w:pStyle w:val="TableText"/>
              <w:jc w:val="center"/>
            </w:pPr>
            <w:r w:rsidRPr="007474D3">
              <w:t>111</w:t>
            </w:r>
          </w:p>
        </w:tc>
        <w:tc>
          <w:tcPr>
            <w:tcW w:w="0" w:type="auto"/>
            <w:tcMar>
              <w:top w:w="0" w:type="dxa"/>
              <w:left w:w="108" w:type="dxa"/>
              <w:bottom w:w="0" w:type="dxa"/>
              <w:right w:w="108" w:type="dxa"/>
            </w:tcMar>
            <w:vAlign w:val="center"/>
          </w:tcPr>
          <w:p w14:paraId="0C91F19F" w14:textId="77777777" w:rsidR="00D94C1E" w:rsidRPr="00CE28E3" w:rsidRDefault="00D94C1E" w:rsidP="003145AC">
            <w:pPr>
              <w:pStyle w:val="TableText"/>
              <w:jc w:val="center"/>
            </w:pPr>
            <w:r w:rsidRPr="007474D3">
              <w:t>111</w:t>
            </w:r>
          </w:p>
        </w:tc>
        <w:tc>
          <w:tcPr>
            <w:tcW w:w="0" w:type="auto"/>
            <w:tcMar>
              <w:top w:w="0" w:type="dxa"/>
              <w:left w:w="108" w:type="dxa"/>
              <w:bottom w:w="0" w:type="dxa"/>
              <w:right w:w="108" w:type="dxa"/>
            </w:tcMar>
            <w:vAlign w:val="center"/>
          </w:tcPr>
          <w:p w14:paraId="55EF09BF" w14:textId="77777777" w:rsidR="00D94C1E" w:rsidRPr="00CE28E3" w:rsidRDefault="00D94C1E" w:rsidP="003145AC">
            <w:pPr>
              <w:pStyle w:val="TableText"/>
              <w:jc w:val="center"/>
            </w:pPr>
            <w:r w:rsidRPr="007474D3">
              <w:t>111</w:t>
            </w:r>
          </w:p>
        </w:tc>
        <w:tc>
          <w:tcPr>
            <w:tcW w:w="1129" w:type="dxa"/>
            <w:tcMar>
              <w:top w:w="0" w:type="dxa"/>
              <w:left w:w="108" w:type="dxa"/>
              <w:bottom w:w="0" w:type="dxa"/>
              <w:right w:w="108" w:type="dxa"/>
            </w:tcMar>
            <w:vAlign w:val="center"/>
          </w:tcPr>
          <w:p w14:paraId="4E55CBF0" w14:textId="77777777" w:rsidR="00D94C1E" w:rsidRPr="00CE28E3" w:rsidRDefault="00D94C1E" w:rsidP="003145AC">
            <w:pPr>
              <w:pStyle w:val="TableText"/>
              <w:jc w:val="center"/>
            </w:pPr>
            <w:r w:rsidRPr="007474D3">
              <w:t>111</w:t>
            </w:r>
          </w:p>
        </w:tc>
        <w:tc>
          <w:tcPr>
            <w:tcW w:w="1129" w:type="dxa"/>
            <w:tcMar>
              <w:top w:w="0" w:type="dxa"/>
              <w:left w:w="108" w:type="dxa"/>
              <w:bottom w:w="0" w:type="dxa"/>
              <w:right w:w="108" w:type="dxa"/>
            </w:tcMar>
            <w:vAlign w:val="center"/>
          </w:tcPr>
          <w:p w14:paraId="4C7D9113" w14:textId="77777777" w:rsidR="00D94C1E" w:rsidRPr="00CE28E3" w:rsidRDefault="00D94C1E" w:rsidP="003145AC">
            <w:pPr>
              <w:pStyle w:val="TableText"/>
              <w:jc w:val="center"/>
            </w:pPr>
            <w:r w:rsidRPr="007474D3">
              <w:t>111</w:t>
            </w:r>
          </w:p>
        </w:tc>
      </w:tr>
      <w:tr w:rsidR="00D94C1E" w:rsidRPr="00CE28E3" w14:paraId="15D0E0CC" w14:textId="77777777" w:rsidTr="003145AC">
        <w:tc>
          <w:tcPr>
            <w:tcW w:w="0" w:type="auto"/>
            <w:tcMar>
              <w:top w:w="0" w:type="dxa"/>
              <w:left w:w="108" w:type="dxa"/>
              <w:bottom w:w="0" w:type="dxa"/>
              <w:right w:w="108" w:type="dxa"/>
            </w:tcMar>
          </w:tcPr>
          <w:p w14:paraId="37D297D7" w14:textId="77777777" w:rsidR="00D94C1E" w:rsidRDefault="00D94C1E" w:rsidP="003145AC">
            <w:pPr>
              <w:pStyle w:val="TableText"/>
              <w:tabs>
                <w:tab w:val="left" w:pos="284"/>
              </w:tabs>
              <w:ind w:left="174"/>
            </w:pPr>
            <w:r>
              <w:t xml:space="preserve">FTE pharmacists </w:t>
            </w:r>
          </w:p>
          <w:p w14:paraId="2517E694" w14:textId="77777777" w:rsidR="00D94C1E" w:rsidRPr="00E62561" w:rsidRDefault="00D94C1E" w:rsidP="003145AC">
            <w:pPr>
              <w:pStyle w:val="TableText"/>
              <w:ind w:firstLine="174"/>
            </w:pPr>
            <w:r>
              <w:t xml:space="preserve">(100% uptake) </w:t>
            </w:r>
          </w:p>
        </w:tc>
        <w:tc>
          <w:tcPr>
            <w:tcW w:w="0" w:type="auto"/>
            <w:tcMar>
              <w:top w:w="0" w:type="dxa"/>
              <w:left w:w="108" w:type="dxa"/>
              <w:bottom w:w="0" w:type="dxa"/>
              <w:right w:w="108" w:type="dxa"/>
            </w:tcMar>
            <w:vAlign w:val="center"/>
          </w:tcPr>
          <w:p w14:paraId="20F57C95" w14:textId="77777777" w:rsidR="00D94C1E" w:rsidRPr="00CE28E3" w:rsidRDefault="00D94C1E" w:rsidP="003145AC">
            <w:pPr>
              <w:pStyle w:val="TableText"/>
              <w:jc w:val="center"/>
            </w:pPr>
            <w:r w:rsidRPr="00B77C01">
              <w:t>101</w:t>
            </w:r>
          </w:p>
        </w:tc>
        <w:tc>
          <w:tcPr>
            <w:tcW w:w="0" w:type="auto"/>
            <w:tcMar>
              <w:top w:w="0" w:type="dxa"/>
              <w:left w:w="108" w:type="dxa"/>
              <w:bottom w:w="0" w:type="dxa"/>
              <w:right w:w="108" w:type="dxa"/>
            </w:tcMar>
            <w:vAlign w:val="center"/>
          </w:tcPr>
          <w:p w14:paraId="04B9182E" w14:textId="77777777" w:rsidR="00D94C1E" w:rsidRPr="00CE28E3" w:rsidRDefault="00D94C1E" w:rsidP="003145AC">
            <w:pPr>
              <w:pStyle w:val="TableText"/>
              <w:jc w:val="center"/>
            </w:pPr>
            <w:r w:rsidRPr="00B77C01">
              <w:t>101</w:t>
            </w:r>
          </w:p>
        </w:tc>
        <w:tc>
          <w:tcPr>
            <w:tcW w:w="0" w:type="auto"/>
            <w:tcMar>
              <w:top w:w="0" w:type="dxa"/>
              <w:left w:w="108" w:type="dxa"/>
              <w:bottom w:w="0" w:type="dxa"/>
              <w:right w:w="108" w:type="dxa"/>
            </w:tcMar>
            <w:vAlign w:val="center"/>
          </w:tcPr>
          <w:p w14:paraId="4BE14B17" w14:textId="77777777" w:rsidR="00D94C1E" w:rsidRPr="00CE28E3" w:rsidRDefault="00D94C1E" w:rsidP="003145AC">
            <w:pPr>
              <w:pStyle w:val="TableText"/>
              <w:jc w:val="center"/>
            </w:pPr>
            <w:r w:rsidRPr="00B77C01">
              <w:t>101</w:t>
            </w:r>
          </w:p>
        </w:tc>
        <w:tc>
          <w:tcPr>
            <w:tcW w:w="0" w:type="auto"/>
            <w:tcMar>
              <w:top w:w="0" w:type="dxa"/>
              <w:left w:w="108" w:type="dxa"/>
              <w:bottom w:w="0" w:type="dxa"/>
              <w:right w:w="108" w:type="dxa"/>
            </w:tcMar>
            <w:vAlign w:val="center"/>
          </w:tcPr>
          <w:p w14:paraId="1D0A9BE8" w14:textId="77777777" w:rsidR="00D94C1E" w:rsidRPr="00CE28E3" w:rsidRDefault="00D94C1E" w:rsidP="003145AC">
            <w:pPr>
              <w:pStyle w:val="TableText"/>
              <w:jc w:val="center"/>
            </w:pPr>
            <w:r w:rsidRPr="00B77C01">
              <w:t>101</w:t>
            </w:r>
          </w:p>
        </w:tc>
        <w:tc>
          <w:tcPr>
            <w:tcW w:w="1129" w:type="dxa"/>
            <w:tcMar>
              <w:top w:w="0" w:type="dxa"/>
              <w:left w:w="108" w:type="dxa"/>
              <w:bottom w:w="0" w:type="dxa"/>
              <w:right w:w="108" w:type="dxa"/>
            </w:tcMar>
            <w:vAlign w:val="center"/>
          </w:tcPr>
          <w:p w14:paraId="3B0BD1FF" w14:textId="77777777" w:rsidR="00D94C1E" w:rsidRPr="00CE28E3" w:rsidRDefault="00D94C1E" w:rsidP="003145AC">
            <w:pPr>
              <w:pStyle w:val="TableText"/>
              <w:jc w:val="center"/>
            </w:pPr>
            <w:r w:rsidRPr="00B77C01">
              <w:t>101</w:t>
            </w:r>
          </w:p>
        </w:tc>
        <w:tc>
          <w:tcPr>
            <w:tcW w:w="1129" w:type="dxa"/>
            <w:tcMar>
              <w:top w:w="0" w:type="dxa"/>
              <w:left w:w="108" w:type="dxa"/>
              <w:bottom w:w="0" w:type="dxa"/>
              <w:right w:w="108" w:type="dxa"/>
            </w:tcMar>
            <w:vAlign w:val="center"/>
          </w:tcPr>
          <w:p w14:paraId="4F83FEC0" w14:textId="77777777" w:rsidR="00D94C1E" w:rsidRPr="00CE28E3" w:rsidRDefault="00D94C1E" w:rsidP="003145AC">
            <w:pPr>
              <w:pStyle w:val="TableText"/>
              <w:jc w:val="center"/>
            </w:pPr>
            <w:r w:rsidRPr="00B77C01">
              <w:t>101</w:t>
            </w:r>
          </w:p>
        </w:tc>
      </w:tr>
      <w:tr w:rsidR="00D94C1E" w:rsidRPr="00CE28E3" w14:paraId="5CFAD76C" w14:textId="77777777" w:rsidTr="003145AC">
        <w:tc>
          <w:tcPr>
            <w:tcW w:w="0" w:type="auto"/>
            <w:tcMar>
              <w:top w:w="0" w:type="dxa"/>
              <w:left w:w="108" w:type="dxa"/>
              <w:bottom w:w="0" w:type="dxa"/>
              <w:right w:w="108" w:type="dxa"/>
            </w:tcMar>
          </w:tcPr>
          <w:p w14:paraId="094CABCF" w14:textId="77777777" w:rsidR="00D94C1E" w:rsidRPr="00E62561" w:rsidRDefault="00D94C1E" w:rsidP="003145AC">
            <w:pPr>
              <w:pStyle w:val="TableText"/>
              <w:ind w:left="174"/>
            </w:pPr>
            <w:r>
              <w:t xml:space="preserve">NT consortium FTE pharmacists </w:t>
            </w:r>
          </w:p>
        </w:tc>
        <w:tc>
          <w:tcPr>
            <w:tcW w:w="0" w:type="auto"/>
            <w:tcMar>
              <w:top w:w="0" w:type="dxa"/>
              <w:left w:w="108" w:type="dxa"/>
              <w:bottom w:w="0" w:type="dxa"/>
              <w:right w:w="108" w:type="dxa"/>
            </w:tcMar>
            <w:vAlign w:val="center"/>
          </w:tcPr>
          <w:p w14:paraId="5D67D26E" w14:textId="77777777" w:rsidR="00D94C1E" w:rsidRPr="00CE28E3" w:rsidRDefault="00D94C1E" w:rsidP="003145AC">
            <w:pPr>
              <w:pStyle w:val="TableText"/>
              <w:jc w:val="center"/>
            </w:pPr>
            <w:r w:rsidRPr="00B77C01">
              <w:t>10</w:t>
            </w:r>
          </w:p>
        </w:tc>
        <w:tc>
          <w:tcPr>
            <w:tcW w:w="0" w:type="auto"/>
            <w:tcMar>
              <w:top w:w="0" w:type="dxa"/>
              <w:left w:w="108" w:type="dxa"/>
              <w:bottom w:w="0" w:type="dxa"/>
              <w:right w:w="108" w:type="dxa"/>
            </w:tcMar>
            <w:vAlign w:val="center"/>
          </w:tcPr>
          <w:p w14:paraId="7300A292" w14:textId="77777777" w:rsidR="00D94C1E" w:rsidRPr="00CE28E3" w:rsidRDefault="00D94C1E" w:rsidP="003145AC">
            <w:pPr>
              <w:pStyle w:val="TableText"/>
              <w:jc w:val="center"/>
            </w:pPr>
            <w:r w:rsidRPr="00B77C01">
              <w:t>10</w:t>
            </w:r>
          </w:p>
        </w:tc>
        <w:tc>
          <w:tcPr>
            <w:tcW w:w="0" w:type="auto"/>
            <w:tcMar>
              <w:top w:w="0" w:type="dxa"/>
              <w:left w:w="108" w:type="dxa"/>
              <w:bottom w:w="0" w:type="dxa"/>
              <w:right w:w="108" w:type="dxa"/>
            </w:tcMar>
            <w:vAlign w:val="center"/>
          </w:tcPr>
          <w:p w14:paraId="7A69A85B" w14:textId="77777777" w:rsidR="00D94C1E" w:rsidRPr="00CE28E3" w:rsidRDefault="00D94C1E" w:rsidP="003145AC">
            <w:pPr>
              <w:pStyle w:val="TableText"/>
              <w:jc w:val="center"/>
            </w:pPr>
            <w:r w:rsidRPr="00B77C01">
              <w:t>10</w:t>
            </w:r>
          </w:p>
        </w:tc>
        <w:tc>
          <w:tcPr>
            <w:tcW w:w="0" w:type="auto"/>
            <w:tcMar>
              <w:top w:w="0" w:type="dxa"/>
              <w:left w:w="108" w:type="dxa"/>
              <w:bottom w:w="0" w:type="dxa"/>
              <w:right w:w="108" w:type="dxa"/>
            </w:tcMar>
            <w:vAlign w:val="center"/>
          </w:tcPr>
          <w:p w14:paraId="426CABDC" w14:textId="77777777" w:rsidR="00D94C1E" w:rsidRPr="00CE28E3" w:rsidRDefault="00D94C1E" w:rsidP="003145AC">
            <w:pPr>
              <w:pStyle w:val="TableText"/>
              <w:jc w:val="center"/>
            </w:pPr>
            <w:r w:rsidRPr="00B77C01">
              <w:t>10</w:t>
            </w:r>
          </w:p>
        </w:tc>
        <w:tc>
          <w:tcPr>
            <w:tcW w:w="1129" w:type="dxa"/>
            <w:tcMar>
              <w:top w:w="0" w:type="dxa"/>
              <w:left w:w="108" w:type="dxa"/>
              <w:bottom w:w="0" w:type="dxa"/>
              <w:right w:w="108" w:type="dxa"/>
            </w:tcMar>
            <w:vAlign w:val="center"/>
          </w:tcPr>
          <w:p w14:paraId="5E09FA0D" w14:textId="77777777" w:rsidR="00D94C1E" w:rsidRPr="00CE28E3" w:rsidRDefault="00D94C1E" w:rsidP="003145AC">
            <w:pPr>
              <w:pStyle w:val="TableText"/>
              <w:jc w:val="center"/>
            </w:pPr>
            <w:r w:rsidRPr="00B77C01">
              <w:t>10</w:t>
            </w:r>
          </w:p>
        </w:tc>
        <w:tc>
          <w:tcPr>
            <w:tcW w:w="1129" w:type="dxa"/>
            <w:tcMar>
              <w:top w:w="0" w:type="dxa"/>
              <w:left w:w="108" w:type="dxa"/>
              <w:bottom w:w="0" w:type="dxa"/>
              <w:right w:w="108" w:type="dxa"/>
            </w:tcMar>
            <w:vAlign w:val="center"/>
          </w:tcPr>
          <w:p w14:paraId="3FCAAA7A" w14:textId="77777777" w:rsidR="00D94C1E" w:rsidRPr="00CE28E3" w:rsidRDefault="00D94C1E" w:rsidP="003145AC">
            <w:pPr>
              <w:pStyle w:val="TableText"/>
              <w:jc w:val="center"/>
            </w:pPr>
            <w:r w:rsidRPr="00B77C01">
              <w:t>10</w:t>
            </w:r>
          </w:p>
        </w:tc>
      </w:tr>
      <w:tr w:rsidR="00D94C1E" w:rsidRPr="00CE28E3" w14:paraId="373390C8" w14:textId="77777777" w:rsidTr="003145AC">
        <w:tc>
          <w:tcPr>
            <w:tcW w:w="0" w:type="auto"/>
            <w:tcMar>
              <w:top w:w="0" w:type="dxa"/>
              <w:left w:w="108" w:type="dxa"/>
              <w:bottom w:w="0" w:type="dxa"/>
              <w:right w:w="108" w:type="dxa"/>
            </w:tcMar>
          </w:tcPr>
          <w:p w14:paraId="1E27208E" w14:textId="77777777" w:rsidR="00D94C1E" w:rsidRPr="00E62561" w:rsidRDefault="00D94C1E" w:rsidP="003145AC">
            <w:pPr>
              <w:pStyle w:val="TableText"/>
            </w:pPr>
            <w:r w:rsidRPr="00803E65">
              <w:rPr>
                <w:b/>
                <w:bCs/>
              </w:rPr>
              <w:t>Salary costs</w:t>
            </w:r>
          </w:p>
        </w:tc>
        <w:tc>
          <w:tcPr>
            <w:tcW w:w="0" w:type="auto"/>
            <w:tcMar>
              <w:top w:w="0" w:type="dxa"/>
              <w:left w:w="108" w:type="dxa"/>
              <w:bottom w:w="0" w:type="dxa"/>
              <w:right w:w="108" w:type="dxa"/>
            </w:tcMar>
          </w:tcPr>
          <w:p w14:paraId="5E18A4A7" w14:textId="77777777" w:rsidR="00D94C1E" w:rsidRPr="00CE28E3" w:rsidRDefault="00D94C1E" w:rsidP="003145AC">
            <w:pPr>
              <w:pStyle w:val="TableText"/>
            </w:pPr>
          </w:p>
        </w:tc>
        <w:tc>
          <w:tcPr>
            <w:tcW w:w="0" w:type="auto"/>
            <w:tcMar>
              <w:top w:w="0" w:type="dxa"/>
              <w:left w:w="108" w:type="dxa"/>
              <w:bottom w:w="0" w:type="dxa"/>
              <w:right w:w="108" w:type="dxa"/>
            </w:tcMar>
          </w:tcPr>
          <w:p w14:paraId="727175EE" w14:textId="77777777" w:rsidR="00D94C1E" w:rsidRPr="00CE28E3" w:rsidRDefault="00D94C1E" w:rsidP="003145AC">
            <w:pPr>
              <w:pStyle w:val="TableText"/>
            </w:pPr>
          </w:p>
        </w:tc>
        <w:tc>
          <w:tcPr>
            <w:tcW w:w="0" w:type="auto"/>
            <w:tcMar>
              <w:top w:w="0" w:type="dxa"/>
              <w:left w:w="108" w:type="dxa"/>
              <w:bottom w:w="0" w:type="dxa"/>
              <w:right w:w="108" w:type="dxa"/>
            </w:tcMar>
          </w:tcPr>
          <w:p w14:paraId="05C60E72" w14:textId="77777777" w:rsidR="00D94C1E" w:rsidRPr="00CE28E3" w:rsidRDefault="00D94C1E" w:rsidP="003145AC">
            <w:pPr>
              <w:pStyle w:val="TableText"/>
            </w:pPr>
          </w:p>
        </w:tc>
        <w:tc>
          <w:tcPr>
            <w:tcW w:w="0" w:type="auto"/>
            <w:tcMar>
              <w:top w:w="0" w:type="dxa"/>
              <w:left w:w="108" w:type="dxa"/>
              <w:bottom w:w="0" w:type="dxa"/>
              <w:right w:w="108" w:type="dxa"/>
            </w:tcMar>
          </w:tcPr>
          <w:p w14:paraId="1A24DCF2" w14:textId="77777777" w:rsidR="00D94C1E" w:rsidRPr="00CE28E3" w:rsidRDefault="00D94C1E" w:rsidP="003145AC">
            <w:pPr>
              <w:pStyle w:val="TableText"/>
            </w:pPr>
          </w:p>
        </w:tc>
        <w:tc>
          <w:tcPr>
            <w:tcW w:w="1129" w:type="dxa"/>
            <w:tcMar>
              <w:top w:w="0" w:type="dxa"/>
              <w:left w:w="108" w:type="dxa"/>
              <w:bottom w:w="0" w:type="dxa"/>
              <w:right w:w="108" w:type="dxa"/>
            </w:tcMar>
          </w:tcPr>
          <w:p w14:paraId="133CE5DE" w14:textId="77777777" w:rsidR="00D94C1E" w:rsidRPr="00CE28E3" w:rsidRDefault="00D94C1E" w:rsidP="003145AC">
            <w:pPr>
              <w:pStyle w:val="TableText"/>
            </w:pPr>
          </w:p>
        </w:tc>
        <w:tc>
          <w:tcPr>
            <w:tcW w:w="1129" w:type="dxa"/>
            <w:tcMar>
              <w:top w:w="0" w:type="dxa"/>
              <w:left w:w="108" w:type="dxa"/>
              <w:bottom w:w="0" w:type="dxa"/>
              <w:right w:w="108" w:type="dxa"/>
            </w:tcMar>
          </w:tcPr>
          <w:p w14:paraId="224B20BC" w14:textId="77777777" w:rsidR="00D94C1E" w:rsidRPr="00CE28E3" w:rsidRDefault="00D94C1E" w:rsidP="003145AC">
            <w:pPr>
              <w:pStyle w:val="TableText"/>
            </w:pPr>
          </w:p>
        </w:tc>
      </w:tr>
      <w:tr w:rsidR="00D94C1E" w:rsidRPr="00CE28E3" w14:paraId="6A09986C" w14:textId="77777777" w:rsidTr="003145AC">
        <w:tc>
          <w:tcPr>
            <w:tcW w:w="0" w:type="auto"/>
            <w:tcMar>
              <w:top w:w="0" w:type="dxa"/>
              <w:left w:w="108" w:type="dxa"/>
              <w:bottom w:w="0" w:type="dxa"/>
              <w:right w:w="108" w:type="dxa"/>
            </w:tcMar>
          </w:tcPr>
          <w:p w14:paraId="5046233E" w14:textId="77777777" w:rsidR="00D94C1E" w:rsidRDefault="00D94C1E" w:rsidP="003145AC">
            <w:pPr>
              <w:pStyle w:val="TableText"/>
            </w:pPr>
            <w:r w:rsidRPr="00E62561">
              <w:t xml:space="preserve">Pharmacist salaries </w:t>
            </w:r>
          </w:p>
          <w:p w14:paraId="2DC2F284" w14:textId="77777777" w:rsidR="00D94C1E" w:rsidRPr="00E62561" w:rsidRDefault="00D94C1E" w:rsidP="003145AC">
            <w:pPr>
              <w:pStyle w:val="TableText"/>
            </w:pPr>
            <w:r w:rsidRPr="00E62561">
              <w:t>(</w:t>
            </w:r>
            <w:r>
              <w:t xml:space="preserve">100% uptake, </w:t>
            </w:r>
            <w:r w:rsidRPr="00E62561">
              <w:t>excluding NT consortium)</w:t>
            </w:r>
          </w:p>
        </w:tc>
        <w:tc>
          <w:tcPr>
            <w:tcW w:w="0" w:type="auto"/>
            <w:tcMar>
              <w:top w:w="0" w:type="dxa"/>
              <w:left w:w="108" w:type="dxa"/>
              <w:bottom w:w="0" w:type="dxa"/>
              <w:right w:w="108" w:type="dxa"/>
            </w:tcMar>
            <w:vAlign w:val="center"/>
          </w:tcPr>
          <w:p w14:paraId="2ADE887F" w14:textId="77777777" w:rsidR="00D94C1E" w:rsidRPr="00CE28E3" w:rsidRDefault="00D94C1E" w:rsidP="003145AC">
            <w:pPr>
              <w:pStyle w:val="TableText"/>
              <w:jc w:val="center"/>
            </w:pPr>
            <w:r w:rsidRPr="00322ED0">
              <w:t>$14,368,227</w:t>
            </w:r>
          </w:p>
        </w:tc>
        <w:tc>
          <w:tcPr>
            <w:tcW w:w="0" w:type="auto"/>
            <w:tcMar>
              <w:top w:w="0" w:type="dxa"/>
              <w:left w:w="108" w:type="dxa"/>
              <w:bottom w:w="0" w:type="dxa"/>
              <w:right w:w="108" w:type="dxa"/>
            </w:tcMar>
            <w:vAlign w:val="center"/>
          </w:tcPr>
          <w:p w14:paraId="3627421C" w14:textId="77777777" w:rsidR="00D94C1E" w:rsidRPr="00CE28E3" w:rsidRDefault="00D94C1E" w:rsidP="003145AC">
            <w:pPr>
              <w:pStyle w:val="TableText"/>
              <w:jc w:val="center"/>
            </w:pPr>
            <w:r w:rsidRPr="00322ED0">
              <w:t>$14,626,855</w:t>
            </w:r>
          </w:p>
        </w:tc>
        <w:tc>
          <w:tcPr>
            <w:tcW w:w="0" w:type="auto"/>
            <w:tcMar>
              <w:top w:w="0" w:type="dxa"/>
              <w:left w:w="108" w:type="dxa"/>
              <w:bottom w:w="0" w:type="dxa"/>
              <w:right w:w="108" w:type="dxa"/>
            </w:tcMar>
            <w:vAlign w:val="center"/>
          </w:tcPr>
          <w:p w14:paraId="1B1FFB13" w14:textId="77777777" w:rsidR="00D94C1E" w:rsidRPr="00CE28E3" w:rsidRDefault="00D94C1E" w:rsidP="003145AC">
            <w:pPr>
              <w:pStyle w:val="TableText"/>
              <w:jc w:val="center"/>
            </w:pPr>
            <w:r w:rsidRPr="00322ED0">
              <w:t>$14,890,138</w:t>
            </w:r>
          </w:p>
        </w:tc>
        <w:tc>
          <w:tcPr>
            <w:tcW w:w="0" w:type="auto"/>
            <w:tcMar>
              <w:top w:w="0" w:type="dxa"/>
              <w:left w:w="108" w:type="dxa"/>
              <w:bottom w:w="0" w:type="dxa"/>
              <w:right w:w="108" w:type="dxa"/>
            </w:tcMar>
            <w:vAlign w:val="center"/>
          </w:tcPr>
          <w:p w14:paraId="34EFC5A5" w14:textId="77777777" w:rsidR="00D94C1E" w:rsidRPr="00CE28E3" w:rsidRDefault="00D94C1E" w:rsidP="003145AC">
            <w:pPr>
              <w:pStyle w:val="TableText"/>
              <w:jc w:val="center"/>
            </w:pPr>
            <w:r w:rsidRPr="00322ED0">
              <w:t>$15,158,161</w:t>
            </w:r>
          </w:p>
        </w:tc>
        <w:tc>
          <w:tcPr>
            <w:tcW w:w="1129" w:type="dxa"/>
            <w:tcMar>
              <w:top w:w="0" w:type="dxa"/>
              <w:left w:w="108" w:type="dxa"/>
              <w:bottom w:w="0" w:type="dxa"/>
              <w:right w:w="108" w:type="dxa"/>
            </w:tcMar>
            <w:vAlign w:val="center"/>
          </w:tcPr>
          <w:p w14:paraId="6D7E1831" w14:textId="77777777" w:rsidR="00D94C1E" w:rsidRPr="00CE28E3" w:rsidRDefault="00D94C1E" w:rsidP="003145AC">
            <w:pPr>
              <w:pStyle w:val="TableText"/>
              <w:jc w:val="center"/>
            </w:pPr>
            <w:r w:rsidRPr="00322ED0">
              <w:t>$15,431,008</w:t>
            </w:r>
          </w:p>
        </w:tc>
        <w:tc>
          <w:tcPr>
            <w:tcW w:w="1129" w:type="dxa"/>
            <w:tcMar>
              <w:top w:w="0" w:type="dxa"/>
              <w:left w:w="108" w:type="dxa"/>
              <w:bottom w:w="0" w:type="dxa"/>
              <w:right w:w="108" w:type="dxa"/>
            </w:tcMar>
            <w:vAlign w:val="center"/>
          </w:tcPr>
          <w:p w14:paraId="1972F40F" w14:textId="77777777" w:rsidR="00D94C1E" w:rsidRPr="00CE28E3" w:rsidRDefault="00D94C1E" w:rsidP="003145AC">
            <w:pPr>
              <w:pStyle w:val="TableText"/>
              <w:jc w:val="center"/>
            </w:pPr>
            <w:r w:rsidRPr="00322ED0">
              <w:t>$15,708,766</w:t>
            </w:r>
          </w:p>
        </w:tc>
      </w:tr>
      <w:tr w:rsidR="00D94C1E" w:rsidRPr="00CE28E3" w14:paraId="54CB21CC" w14:textId="77777777" w:rsidTr="003145AC">
        <w:tc>
          <w:tcPr>
            <w:tcW w:w="0" w:type="auto"/>
            <w:tcMar>
              <w:top w:w="0" w:type="dxa"/>
              <w:left w:w="108" w:type="dxa"/>
              <w:bottom w:w="0" w:type="dxa"/>
              <w:right w:w="108" w:type="dxa"/>
            </w:tcMar>
          </w:tcPr>
          <w:p w14:paraId="0D295130" w14:textId="77777777" w:rsidR="00D94C1E" w:rsidRDefault="00D94C1E" w:rsidP="003145AC">
            <w:pPr>
              <w:pStyle w:val="TableText"/>
            </w:pPr>
            <w:r w:rsidRPr="00E62561">
              <w:t xml:space="preserve">Pharmacist salaries </w:t>
            </w:r>
          </w:p>
          <w:p w14:paraId="051C4BC6" w14:textId="77777777" w:rsidR="00D94C1E" w:rsidRPr="00E62561" w:rsidRDefault="00D94C1E" w:rsidP="003145AC">
            <w:pPr>
              <w:pStyle w:val="TableText"/>
            </w:pPr>
            <w:r w:rsidRPr="00E62561">
              <w:t xml:space="preserve">(NT consortium) </w:t>
            </w:r>
          </w:p>
        </w:tc>
        <w:tc>
          <w:tcPr>
            <w:tcW w:w="0" w:type="auto"/>
            <w:tcMar>
              <w:top w:w="0" w:type="dxa"/>
              <w:left w:w="108" w:type="dxa"/>
              <w:bottom w:w="0" w:type="dxa"/>
              <w:right w:w="108" w:type="dxa"/>
            </w:tcMar>
            <w:vAlign w:val="center"/>
          </w:tcPr>
          <w:p w14:paraId="29939A49" w14:textId="77777777" w:rsidR="00D94C1E" w:rsidRPr="00CE28E3" w:rsidRDefault="00D94C1E" w:rsidP="003145AC">
            <w:pPr>
              <w:pStyle w:val="TableText"/>
              <w:jc w:val="center"/>
            </w:pPr>
            <w:r w:rsidRPr="00322ED0">
              <w:t>$1,694,100</w:t>
            </w:r>
          </w:p>
        </w:tc>
        <w:tc>
          <w:tcPr>
            <w:tcW w:w="0" w:type="auto"/>
            <w:tcMar>
              <w:top w:w="0" w:type="dxa"/>
              <w:left w:w="108" w:type="dxa"/>
              <w:bottom w:w="0" w:type="dxa"/>
              <w:right w:w="108" w:type="dxa"/>
            </w:tcMar>
            <w:vAlign w:val="center"/>
          </w:tcPr>
          <w:p w14:paraId="1E92B492" w14:textId="77777777" w:rsidR="00D94C1E" w:rsidRPr="00CE28E3" w:rsidRDefault="00D94C1E" w:rsidP="003145AC">
            <w:pPr>
              <w:pStyle w:val="TableText"/>
              <w:jc w:val="center"/>
            </w:pPr>
            <w:r w:rsidRPr="00322ED0">
              <w:t>$1,724,594</w:t>
            </w:r>
          </w:p>
        </w:tc>
        <w:tc>
          <w:tcPr>
            <w:tcW w:w="0" w:type="auto"/>
            <w:tcMar>
              <w:top w:w="0" w:type="dxa"/>
              <w:left w:w="108" w:type="dxa"/>
              <w:bottom w:w="0" w:type="dxa"/>
              <w:right w:w="108" w:type="dxa"/>
            </w:tcMar>
            <w:vAlign w:val="center"/>
          </w:tcPr>
          <w:p w14:paraId="7D25F48A" w14:textId="77777777" w:rsidR="00D94C1E" w:rsidRPr="00CE28E3" w:rsidRDefault="00D94C1E" w:rsidP="003145AC">
            <w:pPr>
              <w:pStyle w:val="TableText"/>
              <w:jc w:val="center"/>
            </w:pPr>
            <w:r w:rsidRPr="00322ED0">
              <w:t>$1,755,636</w:t>
            </w:r>
          </w:p>
        </w:tc>
        <w:tc>
          <w:tcPr>
            <w:tcW w:w="0" w:type="auto"/>
            <w:tcMar>
              <w:top w:w="0" w:type="dxa"/>
              <w:left w:w="108" w:type="dxa"/>
              <w:bottom w:w="0" w:type="dxa"/>
              <w:right w:w="108" w:type="dxa"/>
            </w:tcMar>
            <w:vAlign w:val="center"/>
          </w:tcPr>
          <w:p w14:paraId="3423587B" w14:textId="77777777" w:rsidR="00D94C1E" w:rsidRPr="00CE28E3" w:rsidRDefault="00D94C1E" w:rsidP="003145AC">
            <w:pPr>
              <w:pStyle w:val="TableText"/>
              <w:jc w:val="center"/>
            </w:pPr>
            <w:r w:rsidRPr="00322ED0">
              <w:t>$1,787,238</w:t>
            </w:r>
          </w:p>
        </w:tc>
        <w:tc>
          <w:tcPr>
            <w:tcW w:w="1129" w:type="dxa"/>
            <w:tcMar>
              <w:top w:w="0" w:type="dxa"/>
              <w:left w:w="108" w:type="dxa"/>
              <w:bottom w:w="0" w:type="dxa"/>
              <w:right w:w="108" w:type="dxa"/>
            </w:tcMar>
            <w:vAlign w:val="center"/>
          </w:tcPr>
          <w:p w14:paraId="4B063462" w14:textId="77777777" w:rsidR="00D94C1E" w:rsidRPr="00CE28E3" w:rsidRDefault="00D94C1E" w:rsidP="003145AC">
            <w:pPr>
              <w:pStyle w:val="TableText"/>
              <w:jc w:val="center"/>
            </w:pPr>
            <w:r w:rsidRPr="00322ED0">
              <w:t>$1,819,408</w:t>
            </w:r>
          </w:p>
        </w:tc>
        <w:tc>
          <w:tcPr>
            <w:tcW w:w="1129" w:type="dxa"/>
            <w:tcMar>
              <w:top w:w="0" w:type="dxa"/>
              <w:left w:w="108" w:type="dxa"/>
              <w:bottom w:w="0" w:type="dxa"/>
              <w:right w:w="108" w:type="dxa"/>
            </w:tcMar>
            <w:vAlign w:val="center"/>
          </w:tcPr>
          <w:p w14:paraId="48147B4D" w14:textId="77777777" w:rsidR="00D94C1E" w:rsidRPr="00CE28E3" w:rsidRDefault="00D94C1E" w:rsidP="003145AC">
            <w:pPr>
              <w:pStyle w:val="TableText"/>
              <w:jc w:val="center"/>
            </w:pPr>
            <w:r w:rsidRPr="00322ED0">
              <w:t>$1,852,158</w:t>
            </w:r>
          </w:p>
        </w:tc>
      </w:tr>
      <w:tr w:rsidR="00D94C1E" w:rsidRPr="00CE28E3" w14:paraId="4E175AE5" w14:textId="77777777" w:rsidTr="003145AC">
        <w:tc>
          <w:tcPr>
            <w:tcW w:w="0" w:type="auto"/>
            <w:tcMar>
              <w:top w:w="0" w:type="dxa"/>
              <w:left w:w="108" w:type="dxa"/>
              <w:bottom w:w="0" w:type="dxa"/>
              <w:right w:w="108" w:type="dxa"/>
            </w:tcMar>
          </w:tcPr>
          <w:p w14:paraId="0FDC6D5F" w14:textId="77777777" w:rsidR="00D94C1E" w:rsidRPr="00E62561" w:rsidRDefault="00D94C1E" w:rsidP="003145AC">
            <w:pPr>
              <w:pStyle w:val="TableText"/>
            </w:pPr>
            <w:r w:rsidRPr="00E62561">
              <w:t xml:space="preserve">Uptake </w:t>
            </w:r>
          </w:p>
        </w:tc>
        <w:tc>
          <w:tcPr>
            <w:tcW w:w="0" w:type="auto"/>
            <w:tcMar>
              <w:top w:w="0" w:type="dxa"/>
              <w:left w:w="108" w:type="dxa"/>
              <w:bottom w:w="0" w:type="dxa"/>
              <w:right w:w="108" w:type="dxa"/>
            </w:tcMar>
            <w:vAlign w:val="center"/>
          </w:tcPr>
          <w:p w14:paraId="165C9C52" w14:textId="77777777" w:rsidR="00D94C1E" w:rsidRPr="00CE28E3" w:rsidRDefault="00D94C1E" w:rsidP="003145AC">
            <w:pPr>
              <w:pStyle w:val="TableText"/>
              <w:jc w:val="center"/>
            </w:pPr>
            <w:r w:rsidRPr="00A82117">
              <w:t>20%</w:t>
            </w:r>
          </w:p>
        </w:tc>
        <w:tc>
          <w:tcPr>
            <w:tcW w:w="0" w:type="auto"/>
            <w:tcMar>
              <w:top w:w="0" w:type="dxa"/>
              <w:left w:w="108" w:type="dxa"/>
              <w:bottom w:w="0" w:type="dxa"/>
              <w:right w:w="108" w:type="dxa"/>
            </w:tcMar>
            <w:vAlign w:val="center"/>
          </w:tcPr>
          <w:p w14:paraId="79E5C236" w14:textId="77777777" w:rsidR="00D94C1E" w:rsidRPr="00CE28E3" w:rsidRDefault="00D94C1E" w:rsidP="003145AC">
            <w:pPr>
              <w:pStyle w:val="TableText"/>
              <w:jc w:val="center"/>
            </w:pPr>
            <w:r w:rsidRPr="00A82117">
              <w:t>40%</w:t>
            </w:r>
          </w:p>
        </w:tc>
        <w:tc>
          <w:tcPr>
            <w:tcW w:w="0" w:type="auto"/>
            <w:tcMar>
              <w:top w:w="0" w:type="dxa"/>
              <w:left w:w="108" w:type="dxa"/>
              <w:bottom w:w="0" w:type="dxa"/>
              <w:right w:w="108" w:type="dxa"/>
            </w:tcMar>
            <w:vAlign w:val="center"/>
          </w:tcPr>
          <w:p w14:paraId="7E589C4E" w14:textId="77777777" w:rsidR="00D94C1E" w:rsidRPr="00CE28E3" w:rsidRDefault="00D94C1E" w:rsidP="003145AC">
            <w:pPr>
              <w:pStyle w:val="TableText"/>
              <w:jc w:val="center"/>
            </w:pPr>
            <w:r w:rsidRPr="00A82117">
              <w:t>60%</w:t>
            </w:r>
          </w:p>
        </w:tc>
        <w:tc>
          <w:tcPr>
            <w:tcW w:w="0" w:type="auto"/>
            <w:tcMar>
              <w:top w:w="0" w:type="dxa"/>
              <w:left w:w="108" w:type="dxa"/>
              <w:bottom w:w="0" w:type="dxa"/>
              <w:right w:w="108" w:type="dxa"/>
            </w:tcMar>
            <w:vAlign w:val="center"/>
          </w:tcPr>
          <w:p w14:paraId="287164EF" w14:textId="77777777" w:rsidR="00D94C1E" w:rsidRPr="00CE28E3" w:rsidRDefault="00D94C1E" w:rsidP="003145AC">
            <w:pPr>
              <w:pStyle w:val="TableText"/>
              <w:jc w:val="center"/>
            </w:pPr>
            <w:r w:rsidRPr="00A82117">
              <w:t>80%</w:t>
            </w:r>
          </w:p>
        </w:tc>
        <w:tc>
          <w:tcPr>
            <w:tcW w:w="1129" w:type="dxa"/>
            <w:tcMar>
              <w:top w:w="0" w:type="dxa"/>
              <w:left w:w="108" w:type="dxa"/>
              <w:bottom w:w="0" w:type="dxa"/>
              <w:right w:w="108" w:type="dxa"/>
            </w:tcMar>
            <w:vAlign w:val="center"/>
          </w:tcPr>
          <w:p w14:paraId="2139DD66" w14:textId="77777777" w:rsidR="00D94C1E" w:rsidRPr="00CE28E3" w:rsidRDefault="00D94C1E" w:rsidP="003145AC">
            <w:pPr>
              <w:pStyle w:val="TableText"/>
              <w:jc w:val="center"/>
            </w:pPr>
            <w:r w:rsidRPr="00A82117">
              <w:t>100%</w:t>
            </w:r>
          </w:p>
        </w:tc>
        <w:tc>
          <w:tcPr>
            <w:tcW w:w="1129" w:type="dxa"/>
            <w:tcMar>
              <w:top w:w="0" w:type="dxa"/>
              <w:left w:w="108" w:type="dxa"/>
              <w:bottom w:w="0" w:type="dxa"/>
              <w:right w:w="108" w:type="dxa"/>
            </w:tcMar>
            <w:vAlign w:val="center"/>
          </w:tcPr>
          <w:p w14:paraId="43EF4ADA" w14:textId="77777777" w:rsidR="00D94C1E" w:rsidRPr="00CE28E3" w:rsidRDefault="00D94C1E" w:rsidP="003145AC">
            <w:pPr>
              <w:pStyle w:val="TableText"/>
              <w:jc w:val="center"/>
            </w:pPr>
            <w:r w:rsidRPr="00A82117">
              <w:t>100%</w:t>
            </w:r>
          </w:p>
        </w:tc>
      </w:tr>
      <w:tr w:rsidR="00D94C1E" w:rsidRPr="00CE28E3" w14:paraId="107000BF" w14:textId="77777777" w:rsidTr="003145AC">
        <w:tc>
          <w:tcPr>
            <w:tcW w:w="0" w:type="auto"/>
            <w:tcMar>
              <w:top w:w="0" w:type="dxa"/>
              <w:left w:w="108" w:type="dxa"/>
              <w:bottom w:w="0" w:type="dxa"/>
              <w:right w:w="108" w:type="dxa"/>
            </w:tcMar>
          </w:tcPr>
          <w:p w14:paraId="7106EAE4" w14:textId="77777777" w:rsidR="00D94C1E" w:rsidRPr="00CE28E3" w:rsidRDefault="00D94C1E" w:rsidP="003145AC">
            <w:pPr>
              <w:pStyle w:val="TableText"/>
            </w:pPr>
            <w:r w:rsidRPr="00F56A1E">
              <w:t xml:space="preserve">Total </w:t>
            </w:r>
            <w:r>
              <w:t xml:space="preserve">pharmacist </w:t>
            </w:r>
            <w:r w:rsidRPr="00F56A1E">
              <w:t>salaries</w:t>
            </w:r>
          </w:p>
        </w:tc>
        <w:tc>
          <w:tcPr>
            <w:tcW w:w="0" w:type="auto"/>
            <w:tcMar>
              <w:top w:w="0" w:type="dxa"/>
              <w:left w:w="108" w:type="dxa"/>
              <w:bottom w:w="0" w:type="dxa"/>
              <w:right w:w="108" w:type="dxa"/>
            </w:tcMar>
            <w:vAlign w:val="center"/>
          </w:tcPr>
          <w:p w14:paraId="316E15A7" w14:textId="77777777" w:rsidR="00D94C1E" w:rsidRPr="00CE28E3" w:rsidRDefault="00D94C1E" w:rsidP="003145AC">
            <w:pPr>
              <w:pStyle w:val="TableText"/>
              <w:jc w:val="center"/>
            </w:pPr>
            <w:r w:rsidRPr="00577081">
              <w:t>$3,212,465</w:t>
            </w:r>
          </w:p>
        </w:tc>
        <w:tc>
          <w:tcPr>
            <w:tcW w:w="0" w:type="auto"/>
            <w:tcMar>
              <w:top w:w="0" w:type="dxa"/>
              <w:left w:w="108" w:type="dxa"/>
              <w:bottom w:w="0" w:type="dxa"/>
              <w:right w:w="108" w:type="dxa"/>
            </w:tcMar>
            <w:vAlign w:val="center"/>
          </w:tcPr>
          <w:p w14:paraId="67418600" w14:textId="77777777" w:rsidR="00D94C1E" w:rsidRPr="00CE28E3" w:rsidRDefault="00D94C1E" w:rsidP="003145AC">
            <w:pPr>
              <w:pStyle w:val="TableText"/>
              <w:jc w:val="center"/>
            </w:pPr>
            <w:r w:rsidRPr="00577081">
              <w:t>$6,540,579</w:t>
            </w:r>
          </w:p>
        </w:tc>
        <w:tc>
          <w:tcPr>
            <w:tcW w:w="0" w:type="auto"/>
            <w:tcMar>
              <w:top w:w="0" w:type="dxa"/>
              <w:left w:w="108" w:type="dxa"/>
              <w:bottom w:w="0" w:type="dxa"/>
              <w:right w:w="108" w:type="dxa"/>
            </w:tcMar>
            <w:vAlign w:val="center"/>
          </w:tcPr>
          <w:p w14:paraId="57BEA223" w14:textId="77777777" w:rsidR="00D94C1E" w:rsidRPr="00CE28E3" w:rsidRDefault="00D94C1E" w:rsidP="003145AC">
            <w:pPr>
              <w:pStyle w:val="TableText"/>
              <w:jc w:val="center"/>
            </w:pPr>
            <w:r w:rsidRPr="00577081">
              <w:t>$9,987,465</w:t>
            </w:r>
          </w:p>
        </w:tc>
        <w:tc>
          <w:tcPr>
            <w:tcW w:w="0" w:type="auto"/>
            <w:tcMar>
              <w:top w:w="0" w:type="dxa"/>
              <w:left w:w="108" w:type="dxa"/>
              <w:bottom w:w="0" w:type="dxa"/>
              <w:right w:w="108" w:type="dxa"/>
            </w:tcMar>
            <w:vAlign w:val="center"/>
          </w:tcPr>
          <w:p w14:paraId="475F0762" w14:textId="77777777" w:rsidR="00D94C1E" w:rsidRPr="00CE28E3" w:rsidRDefault="00D94C1E" w:rsidP="003145AC">
            <w:pPr>
              <w:pStyle w:val="TableText"/>
              <w:jc w:val="center"/>
            </w:pPr>
            <w:r w:rsidRPr="00577081">
              <w:t>$13,556,319</w:t>
            </w:r>
          </w:p>
        </w:tc>
        <w:tc>
          <w:tcPr>
            <w:tcW w:w="1129" w:type="dxa"/>
            <w:tcMar>
              <w:top w:w="0" w:type="dxa"/>
              <w:left w:w="108" w:type="dxa"/>
              <w:bottom w:w="0" w:type="dxa"/>
              <w:right w:w="108" w:type="dxa"/>
            </w:tcMar>
            <w:vAlign w:val="center"/>
          </w:tcPr>
          <w:p w14:paraId="23AB1F4F" w14:textId="77777777" w:rsidR="00D94C1E" w:rsidRPr="00CE28E3" w:rsidRDefault="00D94C1E" w:rsidP="003145AC">
            <w:pPr>
              <w:pStyle w:val="TableText"/>
              <w:jc w:val="center"/>
            </w:pPr>
            <w:r w:rsidRPr="00577081">
              <w:t>$17,250,416</w:t>
            </w:r>
          </w:p>
        </w:tc>
        <w:tc>
          <w:tcPr>
            <w:tcW w:w="1129" w:type="dxa"/>
            <w:tcMar>
              <w:top w:w="0" w:type="dxa"/>
              <w:left w:w="108" w:type="dxa"/>
              <w:bottom w:w="0" w:type="dxa"/>
              <w:right w:w="108" w:type="dxa"/>
            </w:tcMar>
            <w:vAlign w:val="center"/>
          </w:tcPr>
          <w:p w14:paraId="76DCD1F8" w14:textId="77777777" w:rsidR="00D94C1E" w:rsidRPr="00CE28E3" w:rsidRDefault="00D94C1E" w:rsidP="003145AC">
            <w:pPr>
              <w:pStyle w:val="TableText"/>
              <w:jc w:val="center"/>
            </w:pPr>
            <w:r w:rsidRPr="00577081">
              <w:t>$17,560,923</w:t>
            </w:r>
          </w:p>
        </w:tc>
      </w:tr>
      <w:tr w:rsidR="00D94C1E" w:rsidRPr="00CE28E3" w14:paraId="168873AA" w14:textId="77777777" w:rsidTr="003145AC">
        <w:tc>
          <w:tcPr>
            <w:tcW w:w="0" w:type="auto"/>
            <w:tcMar>
              <w:top w:w="0" w:type="dxa"/>
              <w:left w:w="108" w:type="dxa"/>
              <w:bottom w:w="0" w:type="dxa"/>
              <w:right w:w="108" w:type="dxa"/>
            </w:tcMar>
          </w:tcPr>
          <w:p w14:paraId="33D9575C" w14:textId="77777777" w:rsidR="00D94C1E" w:rsidRPr="00CE28E3" w:rsidRDefault="00D94C1E" w:rsidP="003145AC">
            <w:pPr>
              <w:pStyle w:val="TableText"/>
            </w:pPr>
            <w:r w:rsidRPr="00803E65">
              <w:rPr>
                <w:b/>
                <w:bCs/>
              </w:rPr>
              <w:t>Program costs</w:t>
            </w:r>
          </w:p>
        </w:tc>
        <w:tc>
          <w:tcPr>
            <w:tcW w:w="0" w:type="auto"/>
            <w:tcMar>
              <w:top w:w="0" w:type="dxa"/>
              <w:left w:w="108" w:type="dxa"/>
              <w:bottom w:w="0" w:type="dxa"/>
              <w:right w:w="108" w:type="dxa"/>
            </w:tcMar>
          </w:tcPr>
          <w:p w14:paraId="33F93233" w14:textId="77777777" w:rsidR="00D94C1E" w:rsidRPr="00CE28E3" w:rsidRDefault="00D94C1E" w:rsidP="003145AC">
            <w:pPr>
              <w:pStyle w:val="TableText"/>
            </w:pPr>
          </w:p>
        </w:tc>
        <w:tc>
          <w:tcPr>
            <w:tcW w:w="0" w:type="auto"/>
            <w:tcMar>
              <w:top w:w="0" w:type="dxa"/>
              <w:left w:w="108" w:type="dxa"/>
              <w:bottom w:w="0" w:type="dxa"/>
              <w:right w:w="108" w:type="dxa"/>
            </w:tcMar>
          </w:tcPr>
          <w:p w14:paraId="7A0796D4" w14:textId="77777777" w:rsidR="00D94C1E" w:rsidRPr="00CE28E3" w:rsidRDefault="00D94C1E" w:rsidP="003145AC">
            <w:pPr>
              <w:pStyle w:val="TableText"/>
            </w:pPr>
          </w:p>
        </w:tc>
        <w:tc>
          <w:tcPr>
            <w:tcW w:w="0" w:type="auto"/>
            <w:tcMar>
              <w:top w:w="0" w:type="dxa"/>
              <w:left w:w="108" w:type="dxa"/>
              <w:bottom w:w="0" w:type="dxa"/>
              <w:right w:w="108" w:type="dxa"/>
            </w:tcMar>
          </w:tcPr>
          <w:p w14:paraId="10324E16" w14:textId="77777777" w:rsidR="00D94C1E" w:rsidRPr="00CE28E3" w:rsidRDefault="00D94C1E" w:rsidP="003145AC">
            <w:pPr>
              <w:pStyle w:val="TableText"/>
            </w:pPr>
          </w:p>
        </w:tc>
        <w:tc>
          <w:tcPr>
            <w:tcW w:w="0" w:type="auto"/>
            <w:tcMar>
              <w:top w:w="0" w:type="dxa"/>
              <w:left w:w="108" w:type="dxa"/>
              <w:bottom w:w="0" w:type="dxa"/>
              <w:right w:w="108" w:type="dxa"/>
            </w:tcMar>
          </w:tcPr>
          <w:p w14:paraId="74EA5A43" w14:textId="77777777" w:rsidR="00D94C1E" w:rsidRPr="00CE28E3" w:rsidRDefault="00D94C1E" w:rsidP="003145AC">
            <w:pPr>
              <w:pStyle w:val="TableText"/>
            </w:pPr>
          </w:p>
        </w:tc>
        <w:tc>
          <w:tcPr>
            <w:tcW w:w="1129" w:type="dxa"/>
            <w:tcMar>
              <w:top w:w="0" w:type="dxa"/>
              <w:left w:w="108" w:type="dxa"/>
              <w:bottom w:w="0" w:type="dxa"/>
              <w:right w:w="108" w:type="dxa"/>
            </w:tcMar>
          </w:tcPr>
          <w:p w14:paraId="5D95A5FD" w14:textId="77777777" w:rsidR="00D94C1E" w:rsidRPr="00CE28E3" w:rsidRDefault="00D94C1E" w:rsidP="003145AC">
            <w:pPr>
              <w:pStyle w:val="TableText"/>
            </w:pPr>
          </w:p>
        </w:tc>
        <w:tc>
          <w:tcPr>
            <w:tcW w:w="1129" w:type="dxa"/>
            <w:tcMar>
              <w:top w:w="0" w:type="dxa"/>
              <w:left w:w="108" w:type="dxa"/>
              <w:bottom w:w="0" w:type="dxa"/>
              <w:right w:w="108" w:type="dxa"/>
            </w:tcMar>
          </w:tcPr>
          <w:p w14:paraId="510DB93F" w14:textId="77777777" w:rsidR="00D94C1E" w:rsidRPr="00CE28E3" w:rsidRDefault="00D94C1E" w:rsidP="003145AC">
            <w:pPr>
              <w:pStyle w:val="TableText"/>
            </w:pPr>
          </w:p>
        </w:tc>
      </w:tr>
      <w:tr w:rsidR="00D94C1E" w:rsidRPr="00CE28E3" w14:paraId="60E58306" w14:textId="77777777" w:rsidTr="003145AC">
        <w:tc>
          <w:tcPr>
            <w:tcW w:w="0" w:type="auto"/>
            <w:tcMar>
              <w:top w:w="0" w:type="dxa"/>
              <w:left w:w="108" w:type="dxa"/>
              <w:bottom w:w="0" w:type="dxa"/>
              <w:right w:w="108" w:type="dxa"/>
            </w:tcMar>
          </w:tcPr>
          <w:p w14:paraId="0BCA0911" w14:textId="77777777" w:rsidR="00D94C1E" w:rsidRPr="00CE28E3" w:rsidRDefault="00D94C1E" w:rsidP="003145AC">
            <w:pPr>
              <w:pStyle w:val="TableText"/>
            </w:pPr>
            <w:r w:rsidRPr="00F9497A">
              <w:t>Mentoring and community of practice</w:t>
            </w:r>
          </w:p>
        </w:tc>
        <w:tc>
          <w:tcPr>
            <w:tcW w:w="0" w:type="auto"/>
            <w:tcMar>
              <w:top w:w="0" w:type="dxa"/>
              <w:left w:w="108" w:type="dxa"/>
              <w:bottom w:w="0" w:type="dxa"/>
              <w:right w:w="108" w:type="dxa"/>
            </w:tcMar>
            <w:vAlign w:val="center"/>
          </w:tcPr>
          <w:p w14:paraId="60CA8F84" w14:textId="77777777" w:rsidR="00D94C1E" w:rsidRPr="00CE28E3" w:rsidRDefault="00D94C1E" w:rsidP="003145AC">
            <w:pPr>
              <w:pStyle w:val="TableText"/>
              <w:jc w:val="center"/>
            </w:pPr>
            <w:r w:rsidRPr="00030632">
              <w:t>$591,000</w:t>
            </w:r>
          </w:p>
        </w:tc>
        <w:tc>
          <w:tcPr>
            <w:tcW w:w="0" w:type="auto"/>
            <w:tcMar>
              <w:top w:w="0" w:type="dxa"/>
              <w:left w:w="108" w:type="dxa"/>
              <w:bottom w:w="0" w:type="dxa"/>
              <w:right w:w="108" w:type="dxa"/>
            </w:tcMar>
            <w:vAlign w:val="center"/>
          </w:tcPr>
          <w:p w14:paraId="55F09996" w14:textId="77777777" w:rsidR="00D94C1E" w:rsidRPr="00CE28E3" w:rsidRDefault="00D94C1E" w:rsidP="003145AC">
            <w:pPr>
              <w:pStyle w:val="TableText"/>
              <w:jc w:val="center"/>
            </w:pPr>
            <w:r w:rsidRPr="00030632">
              <w:t>$591,000</w:t>
            </w:r>
          </w:p>
        </w:tc>
        <w:tc>
          <w:tcPr>
            <w:tcW w:w="0" w:type="auto"/>
            <w:tcMar>
              <w:top w:w="0" w:type="dxa"/>
              <w:left w:w="108" w:type="dxa"/>
              <w:bottom w:w="0" w:type="dxa"/>
              <w:right w:w="108" w:type="dxa"/>
            </w:tcMar>
            <w:vAlign w:val="center"/>
          </w:tcPr>
          <w:p w14:paraId="0A40F925" w14:textId="77777777" w:rsidR="00D94C1E" w:rsidRPr="00CE28E3" w:rsidRDefault="00D94C1E" w:rsidP="003145AC">
            <w:pPr>
              <w:pStyle w:val="TableText"/>
              <w:jc w:val="center"/>
            </w:pPr>
            <w:r w:rsidRPr="00030632">
              <w:t>$591,000</w:t>
            </w:r>
          </w:p>
        </w:tc>
        <w:tc>
          <w:tcPr>
            <w:tcW w:w="0" w:type="auto"/>
            <w:tcMar>
              <w:top w:w="0" w:type="dxa"/>
              <w:left w:w="108" w:type="dxa"/>
              <w:bottom w:w="0" w:type="dxa"/>
              <w:right w:w="108" w:type="dxa"/>
            </w:tcMar>
            <w:vAlign w:val="center"/>
          </w:tcPr>
          <w:p w14:paraId="79A2B843" w14:textId="77777777" w:rsidR="00D94C1E" w:rsidRPr="00CE28E3" w:rsidRDefault="00D94C1E" w:rsidP="003145AC">
            <w:pPr>
              <w:pStyle w:val="TableText"/>
              <w:jc w:val="center"/>
            </w:pPr>
            <w:r w:rsidRPr="00030632">
              <w:t>$458,750</w:t>
            </w:r>
          </w:p>
        </w:tc>
        <w:tc>
          <w:tcPr>
            <w:tcW w:w="1129" w:type="dxa"/>
            <w:tcMar>
              <w:top w:w="0" w:type="dxa"/>
              <w:left w:w="108" w:type="dxa"/>
              <w:bottom w:w="0" w:type="dxa"/>
              <w:right w:w="108" w:type="dxa"/>
            </w:tcMar>
            <w:vAlign w:val="center"/>
          </w:tcPr>
          <w:p w14:paraId="7283C88A" w14:textId="77777777" w:rsidR="00D94C1E" w:rsidRPr="00CE28E3" w:rsidRDefault="00D94C1E" w:rsidP="003145AC">
            <w:pPr>
              <w:pStyle w:val="TableText"/>
              <w:jc w:val="center"/>
            </w:pPr>
            <w:r w:rsidRPr="00030632">
              <w:t>$458,750</w:t>
            </w:r>
          </w:p>
        </w:tc>
        <w:tc>
          <w:tcPr>
            <w:tcW w:w="1129" w:type="dxa"/>
            <w:tcMar>
              <w:top w:w="0" w:type="dxa"/>
              <w:left w:w="108" w:type="dxa"/>
              <w:bottom w:w="0" w:type="dxa"/>
              <w:right w:w="108" w:type="dxa"/>
            </w:tcMar>
            <w:vAlign w:val="center"/>
          </w:tcPr>
          <w:p w14:paraId="44B14D0B" w14:textId="77777777" w:rsidR="00D94C1E" w:rsidRPr="00CE28E3" w:rsidRDefault="00D94C1E" w:rsidP="003145AC">
            <w:pPr>
              <w:pStyle w:val="TableText"/>
              <w:jc w:val="center"/>
            </w:pPr>
            <w:r w:rsidRPr="00030632">
              <w:t>$458,750</w:t>
            </w:r>
          </w:p>
        </w:tc>
      </w:tr>
      <w:tr w:rsidR="00D94C1E" w:rsidRPr="00CE28E3" w14:paraId="5A106783" w14:textId="77777777" w:rsidTr="003145AC">
        <w:tc>
          <w:tcPr>
            <w:tcW w:w="0" w:type="auto"/>
            <w:tcMar>
              <w:top w:w="0" w:type="dxa"/>
              <w:left w:w="108" w:type="dxa"/>
              <w:bottom w:w="0" w:type="dxa"/>
              <w:right w:w="108" w:type="dxa"/>
            </w:tcMar>
          </w:tcPr>
          <w:p w14:paraId="3D6DFB4A" w14:textId="77777777" w:rsidR="00D94C1E" w:rsidRDefault="00D94C1E" w:rsidP="003145AC">
            <w:pPr>
              <w:pStyle w:val="TableText"/>
              <w:rPr>
                <w:b/>
                <w:bCs/>
              </w:rPr>
            </w:pPr>
            <w:r w:rsidRPr="00F56A1E">
              <w:rPr>
                <w:b/>
                <w:bCs/>
              </w:rPr>
              <w:t>Total cost</w:t>
            </w:r>
          </w:p>
          <w:p w14:paraId="5FE069D3" w14:textId="4E480ED6" w:rsidR="00870D51" w:rsidRPr="00CE28E3" w:rsidRDefault="00870D51" w:rsidP="003145AC">
            <w:pPr>
              <w:pStyle w:val="TableText"/>
            </w:pPr>
          </w:p>
        </w:tc>
        <w:tc>
          <w:tcPr>
            <w:tcW w:w="0" w:type="auto"/>
            <w:tcMar>
              <w:top w:w="0" w:type="dxa"/>
              <w:left w:w="108" w:type="dxa"/>
              <w:bottom w:w="0" w:type="dxa"/>
              <w:right w:w="108" w:type="dxa"/>
            </w:tcMar>
          </w:tcPr>
          <w:p w14:paraId="3F48AC07" w14:textId="77777777" w:rsidR="00D94C1E" w:rsidRPr="00673941" w:rsidRDefault="00D94C1E" w:rsidP="003145AC">
            <w:pPr>
              <w:pStyle w:val="TableText"/>
              <w:jc w:val="center"/>
              <w:rPr>
                <w:b/>
                <w:bCs/>
              </w:rPr>
            </w:pPr>
            <w:r w:rsidRPr="00673941">
              <w:rPr>
                <w:b/>
                <w:bCs/>
              </w:rPr>
              <w:t>$3,803,465</w:t>
            </w:r>
          </w:p>
        </w:tc>
        <w:tc>
          <w:tcPr>
            <w:tcW w:w="0" w:type="auto"/>
            <w:tcMar>
              <w:top w:w="0" w:type="dxa"/>
              <w:left w:w="108" w:type="dxa"/>
              <w:bottom w:w="0" w:type="dxa"/>
              <w:right w:w="108" w:type="dxa"/>
            </w:tcMar>
          </w:tcPr>
          <w:p w14:paraId="61FC635B" w14:textId="77777777" w:rsidR="00D94C1E" w:rsidRPr="00673941" w:rsidRDefault="00D94C1E" w:rsidP="003145AC">
            <w:pPr>
              <w:pStyle w:val="TableText"/>
              <w:jc w:val="center"/>
              <w:rPr>
                <w:b/>
                <w:bCs/>
              </w:rPr>
            </w:pPr>
            <w:r w:rsidRPr="00673941">
              <w:rPr>
                <w:b/>
                <w:bCs/>
              </w:rPr>
              <w:t>$7,131,579</w:t>
            </w:r>
          </w:p>
        </w:tc>
        <w:tc>
          <w:tcPr>
            <w:tcW w:w="0" w:type="auto"/>
            <w:tcMar>
              <w:top w:w="0" w:type="dxa"/>
              <w:left w:w="108" w:type="dxa"/>
              <w:bottom w:w="0" w:type="dxa"/>
              <w:right w:w="108" w:type="dxa"/>
            </w:tcMar>
          </w:tcPr>
          <w:p w14:paraId="2A7C7998" w14:textId="77777777" w:rsidR="00D94C1E" w:rsidRPr="00673941" w:rsidRDefault="00D94C1E" w:rsidP="003145AC">
            <w:pPr>
              <w:pStyle w:val="TableText"/>
              <w:jc w:val="center"/>
              <w:rPr>
                <w:b/>
                <w:bCs/>
              </w:rPr>
            </w:pPr>
            <w:r w:rsidRPr="00673941">
              <w:rPr>
                <w:b/>
                <w:bCs/>
              </w:rPr>
              <w:t>$10,578,465</w:t>
            </w:r>
          </w:p>
        </w:tc>
        <w:tc>
          <w:tcPr>
            <w:tcW w:w="0" w:type="auto"/>
            <w:tcMar>
              <w:top w:w="0" w:type="dxa"/>
              <w:left w:w="108" w:type="dxa"/>
              <w:bottom w:w="0" w:type="dxa"/>
              <w:right w:w="108" w:type="dxa"/>
            </w:tcMar>
          </w:tcPr>
          <w:p w14:paraId="04518667" w14:textId="77777777" w:rsidR="00D94C1E" w:rsidRPr="00673941" w:rsidRDefault="00D94C1E" w:rsidP="003145AC">
            <w:pPr>
              <w:pStyle w:val="TableText"/>
              <w:jc w:val="center"/>
              <w:rPr>
                <w:b/>
                <w:bCs/>
              </w:rPr>
            </w:pPr>
            <w:r w:rsidRPr="00673941">
              <w:rPr>
                <w:b/>
                <w:bCs/>
              </w:rPr>
              <w:t>$14,015,069</w:t>
            </w:r>
          </w:p>
        </w:tc>
        <w:tc>
          <w:tcPr>
            <w:tcW w:w="1129" w:type="dxa"/>
            <w:tcMar>
              <w:top w:w="0" w:type="dxa"/>
              <w:left w:w="108" w:type="dxa"/>
              <w:bottom w:w="0" w:type="dxa"/>
              <w:right w:w="108" w:type="dxa"/>
            </w:tcMar>
          </w:tcPr>
          <w:p w14:paraId="469DCA26" w14:textId="77777777" w:rsidR="00D94C1E" w:rsidRPr="00673941" w:rsidRDefault="00D94C1E" w:rsidP="003145AC">
            <w:pPr>
              <w:pStyle w:val="TableText"/>
              <w:jc w:val="center"/>
              <w:rPr>
                <w:b/>
                <w:bCs/>
              </w:rPr>
            </w:pPr>
            <w:r w:rsidRPr="00673941">
              <w:rPr>
                <w:b/>
                <w:bCs/>
              </w:rPr>
              <w:t>$17,709,166</w:t>
            </w:r>
          </w:p>
        </w:tc>
        <w:tc>
          <w:tcPr>
            <w:tcW w:w="1129" w:type="dxa"/>
            <w:tcMar>
              <w:top w:w="0" w:type="dxa"/>
              <w:left w:w="108" w:type="dxa"/>
              <w:bottom w:w="0" w:type="dxa"/>
              <w:right w:w="108" w:type="dxa"/>
            </w:tcMar>
          </w:tcPr>
          <w:p w14:paraId="2E60FE81" w14:textId="77777777" w:rsidR="00D94C1E" w:rsidRPr="00673941" w:rsidRDefault="00D94C1E" w:rsidP="003145AC">
            <w:pPr>
              <w:pStyle w:val="TableText"/>
              <w:jc w:val="center"/>
              <w:rPr>
                <w:b/>
                <w:bCs/>
              </w:rPr>
            </w:pPr>
            <w:r w:rsidRPr="00673941">
              <w:rPr>
                <w:b/>
                <w:bCs/>
              </w:rPr>
              <w:t>$18,019,673</w:t>
            </w:r>
          </w:p>
        </w:tc>
      </w:tr>
      <w:tr w:rsidR="00D94C1E" w:rsidRPr="00CE28E3" w14:paraId="78CC4571" w14:textId="77777777" w:rsidTr="003145AC">
        <w:tc>
          <w:tcPr>
            <w:tcW w:w="0" w:type="auto"/>
            <w:gridSpan w:val="7"/>
            <w:tcMar>
              <w:top w:w="0" w:type="dxa"/>
              <w:left w:w="108" w:type="dxa"/>
              <w:bottom w:w="0" w:type="dxa"/>
              <w:right w:w="108" w:type="dxa"/>
            </w:tcMar>
            <w:hideMark/>
          </w:tcPr>
          <w:p w14:paraId="426005D3" w14:textId="77777777" w:rsidR="00D94C1E" w:rsidRPr="00CE28E3" w:rsidRDefault="00D94C1E" w:rsidP="003145AC">
            <w:pPr>
              <w:pStyle w:val="TableText"/>
              <w:rPr>
                <w:b/>
                <w:bCs/>
              </w:rPr>
            </w:pPr>
            <w:r>
              <w:rPr>
                <w:b/>
                <w:bCs/>
              </w:rPr>
              <w:lastRenderedPageBreak/>
              <w:t>Department Model 3</w:t>
            </w:r>
          </w:p>
        </w:tc>
      </w:tr>
      <w:tr w:rsidR="00D94C1E" w:rsidRPr="00CE28E3" w14:paraId="6FBCD395" w14:textId="77777777" w:rsidTr="003145AC">
        <w:tc>
          <w:tcPr>
            <w:tcW w:w="0" w:type="auto"/>
            <w:tcMar>
              <w:top w:w="0" w:type="dxa"/>
              <w:left w:w="108" w:type="dxa"/>
              <w:bottom w:w="0" w:type="dxa"/>
              <w:right w:w="108" w:type="dxa"/>
            </w:tcMar>
          </w:tcPr>
          <w:p w14:paraId="4F90FF6E" w14:textId="77777777" w:rsidR="00D94C1E" w:rsidRPr="00CE28E3" w:rsidRDefault="00D94C1E" w:rsidP="003145AC">
            <w:pPr>
              <w:pStyle w:val="TableText"/>
            </w:pPr>
            <w:r w:rsidRPr="00803E65">
              <w:rPr>
                <w:b/>
                <w:bCs/>
              </w:rPr>
              <w:t xml:space="preserve">Total FTE pharmacists </w:t>
            </w:r>
          </w:p>
        </w:tc>
        <w:tc>
          <w:tcPr>
            <w:tcW w:w="0" w:type="auto"/>
            <w:tcMar>
              <w:top w:w="0" w:type="dxa"/>
              <w:left w:w="108" w:type="dxa"/>
              <w:bottom w:w="0" w:type="dxa"/>
              <w:right w:w="108" w:type="dxa"/>
            </w:tcMar>
            <w:vAlign w:val="center"/>
          </w:tcPr>
          <w:p w14:paraId="08A3F0B6" w14:textId="77777777" w:rsidR="00D94C1E" w:rsidRPr="00CE28E3" w:rsidRDefault="00D94C1E" w:rsidP="003145AC">
            <w:pPr>
              <w:pStyle w:val="TableText"/>
              <w:jc w:val="center"/>
            </w:pPr>
            <w:r w:rsidRPr="00896923">
              <w:t>93</w:t>
            </w:r>
          </w:p>
        </w:tc>
        <w:tc>
          <w:tcPr>
            <w:tcW w:w="0" w:type="auto"/>
            <w:tcMar>
              <w:top w:w="0" w:type="dxa"/>
              <w:left w:w="108" w:type="dxa"/>
              <w:bottom w:w="0" w:type="dxa"/>
              <w:right w:w="108" w:type="dxa"/>
            </w:tcMar>
            <w:vAlign w:val="center"/>
          </w:tcPr>
          <w:p w14:paraId="1456301D" w14:textId="77777777" w:rsidR="00D94C1E" w:rsidRPr="00CE28E3" w:rsidRDefault="00D94C1E" w:rsidP="003145AC">
            <w:pPr>
              <w:pStyle w:val="TableText"/>
              <w:jc w:val="center"/>
            </w:pPr>
            <w:r w:rsidRPr="00896923">
              <w:t>93</w:t>
            </w:r>
          </w:p>
        </w:tc>
        <w:tc>
          <w:tcPr>
            <w:tcW w:w="0" w:type="auto"/>
            <w:tcMar>
              <w:top w:w="0" w:type="dxa"/>
              <w:left w:w="108" w:type="dxa"/>
              <w:bottom w:w="0" w:type="dxa"/>
              <w:right w:w="108" w:type="dxa"/>
            </w:tcMar>
            <w:vAlign w:val="center"/>
          </w:tcPr>
          <w:p w14:paraId="498092A4" w14:textId="77777777" w:rsidR="00D94C1E" w:rsidRPr="00CE28E3" w:rsidRDefault="00D94C1E" w:rsidP="003145AC">
            <w:pPr>
              <w:pStyle w:val="TableText"/>
              <w:jc w:val="center"/>
            </w:pPr>
            <w:r w:rsidRPr="00896923">
              <w:t>93</w:t>
            </w:r>
          </w:p>
        </w:tc>
        <w:tc>
          <w:tcPr>
            <w:tcW w:w="0" w:type="auto"/>
            <w:tcMar>
              <w:top w:w="0" w:type="dxa"/>
              <w:left w:w="108" w:type="dxa"/>
              <w:bottom w:w="0" w:type="dxa"/>
              <w:right w:w="108" w:type="dxa"/>
            </w:tcMar>
            <w:vAlign w:val="center"/>
          </w:tcPr>
          <w:p w14:paraId="648669B4" w14:textId="77777777" w:rsidR="00D94C1E" w:rsidRPr="00CE28E3" w:rsidRDefault="00D94C1E" w:rsidP="003145AC">
            <w:pPr>
              <w:pStyle w:val="TableText"/>
              <w:jc w:val="center"/>
            </w:pPr>
            <w:r w:rsidRPr="00896923">
              <w:t>93</w:t>
            </w:r>
          </w:p>
        </w:tc>
        <w:tc>
          <w:tcPr>
            <w:tcW w:w="1129" w:type="dxa"/>
            <w:tcMar>
              <w:top w:w="0" w:type="dxa"/>
              <w:left w:w="108" w:type="dxa"/>
              <w:bottom w:w="0" w:type="dxa"/>
              <w:right w:w="108" w:type="dxa"/>
            </w:tcMar>
            <w:vAlign w:val="center"/>
          </w:tcPr>
          <w:p w14:paraId="13920D36" w14:textId="77777777" w:rsidR="00D94C1E" w:rsidRPr="00CE28E3" w:rsidRDefault="00D94C1E" w:rsidP="003145AC">
            <w:pPr>
              <w:pStyle w:val="TableText"/>
              <w:jc w:val="center"/>
            </w:pPr>
            <w:r w:rsidRPr="00896923">
              <w:t>93</w:t>
            </w:r>
          </w:p>
        </w:tc>
        <w:tc>
          <w:tcPr>
            <w:tcW w:w="1129" w:type="dxa"/>
            <w:tcMar>
              <w:top w:w="0" w:type="dxa"/>
              <w:left w:w="108" w:type="dxa"/>
              <w:bottom w:w="0" w:type="dxa"/>
              <w:right w:w="108" w:type="dxa"/>
            </w:tcMar>
            <w:vAlign w:val="center"/>
          </w:tcPr>
          <w:p w14:paraId="65119CE4" w14:textId="77777777" w:rsidR="00D94C1E" w:rsidRPr="00CE28E3" w:rsidRDefault="00D94C1E" w:rsidP="003145AC">
            <w:pPr>
              <w:pStyle w:val="TableText"/>
              <w:jc w:val="center"/>
            </w:pPr>
            <w:r w:rsidRPr="00896923">
              <w:t>93</w:t>
            </w:r>
          </w:p>
        </w:tc>
      </w:tr>
      <w:tr w:rsidR="00D94C1E" w:rsidRPr="00CE28E3" w14:paraId="36DF1575" w14:textId="77777777" w:rsidTr="003145AC">
        <w:tc>
          <w:tcPr>
            <w:tcW w:w="0" w:type="auto"/>
            <w:tcMar>
              <w:top w:w="0" w:type="dxa"/>
              <w:left w:w="108" w:type="dxa"/>
              <w:bottom w:w="0" w:type="dxa"/>
              <w:right w:w="108" w:type="dxa"/>
            </w:tcMar>
          </w:tcPr>
          <w:p w14:paraId="3A0DE587" w14:textId="77777777" w:rsidR="00D94C1E" w:rsidRDefault="00D94C1E" w:rsidP="003145AC">
            <w:pPr>
              <w:pStyle w:val="TableText"/>
              <w:tabs>
                <w:tab w:val="left" w:pos="284"/>
              </w:tabs>
              <w:ind w:left="174"/>
            </w:pPr>
            <w:r>
              <w:t xml:space="preserve">FTE pharmacists </w:t>
            </w:r>
          </w:p>
          <w:p w14:paraId="422B432F" w14:textId="77777777" w:rsidR="00D94C1E" w:rsidRPr="00CE28E3" w:rsidRDefault="00D94C1E" w:rsidP="003145AC">
            <w:pPr>
              <w:pStyle w:val="TableText"/>
              <w:ind w:firstLine="174"/>
            </w:pPr>
            <w:r>
              <w:t xml:space="preserve">(100% uptake) </w:t>
            </w:r>
          </w:p>
        </w:tc>
        <w:tc>
          <w:tcPr>
            <w:tcW w:w="0" w:type="auto"/>
            <w:tcMar>
              <w:top w:w="0" w:type="dxa"/>
              <w:left w:w="108" w:type="dxa"/>
              <w:bottom w:w="0" w:type="dxa"/>
              <w:right w:w="108" w:type="dxa"/>
            </w:tcMar>
            <w:vAlign w:val="center"/>
          </w:tcPr>
          <w:p w14:paraId="10BD456F" w14:textId="77777777" w:rsidR="00D94C1E" w:rsidRPr="00CE28E3" w:rsidRDefault="00D94C1E" w:rsidP="003145AC">
            <w:pPr>
              <w:pStyle w:val="TableText"/>
              <w:jc w:val="center"/>
            </w:pPr>
            <w:r w:rsidRPr="005F1484">
              <w:t>83</w:t>
            </w:r>
          </w:p>
        </w:tc>
        <w:tc>
          <w:tcPr>
            <w:tcW w:w="0" w:type="auto"/>
            <w:tcMar>
              <w:top w:w="0" w:type="dxa"/>
              <w:left w:w="108" w:type="dxa"/>
              <w:bottom w:w="0" w:type="dxa"/>
              <w:right w:w="108" w:type="dxa"/>
            </w:tcMar>
            <w:vAlign w:val="center"/>
          </w:tcPr>
          <w:p w14:paraId="481D6141" w14:textId="77777777" w:rsidR="00D94C1E" w:rsidRPr="00CE28E3" w:rsidRDefault="00D94C1E" w:rsidP="003145AC">
            <w:pPr>
              <w:pStyle w:val="TableText"/>
              <w:jc w:val="center"/>
            </w:pPr>
            <w:r w:rsidRPr="005F1484">
              <w:t>83</w:t>
            </w:r>
          </w:p>
        </w:tc>
        <w:tc>
          <w:tcPr>
            <w:tcW w:w="0" w:type="auto"/>
            <w:tcMar>
              <w:top w:w="0" w:type="dxa"/>
              <w:left w:w="108" w:type="dxa"/>
              <w:bottom w:w="0" w:type="dxa"/>
              <w:right w:w="108" w:type="dxa"/>
            </w:tcMar>
            <w:vAlign w:val="center"/>
          </w:tcPr>
          <w:p w14:paraId="2A28E1B7" w14:textId="77777777" w:rsidR="00D94C1E" w:rsidRPr="00CE28E3" w:rsidRDefault="00D94C1E" w:rsidP="003145AC">
            <w:pPr>
              <w:pStyle w:val="TableText"/>
              <w:jc w:val="center"/>
            </w:pPr>
            <w:r w:rsidRPr="005F1484">
              <w:t>83</w:t>
            </w:r>
          </w:p>
        </w:tc>
        <w:tc>
          <w:tcPr>
            <w:tcW w:w="0" w:type="auto"/>
            <w:tcMar>
              <w:top w:w="0" w:type="dxa"/>
              <w:left w:w="108" w:type="dxa"/>
              <w:bottom w:w="0" w:type="dxa"/>
              <w:right w:w="108" w:type="dxa"/>
            </w:tcMar>
            <w:vAlign w:val="center"/>
          </w:tcPr>
          <w:p w14:paraId="7D6800EB" w14:textId="77777777" w:rsidR="00D94C1E" w:rsidRPr="00CE28E3" w:rsidRDefault="00D94C1E" w:rsidP="003145AC">
            <w:pPr>
              <w:pStyle w:val="TableText"/>
              <w:jc w:val="center"/>
            </w:pPr>
            <w:r w:rsidRPr="005F1484">
              <w:t>83</w:t>
            </w:r>
          </w:p>
        </w:tc>
        <w:tc>
          <w:tcPr>
            <w:tcW w:w="1129" w:type="dxa"/>
            <w:tcMar>
              <w:top w:w="0" w:type="dxa"/>
              <w:left w:w="108" w:type="dxa"/>
              <w:bottom w:w="0" w:type="dxa"/>
              <w:right w:w="108" w:type="dxa"/>
            </w:tcMar>
            <w:vAlign w:val="center"/>
          </w:tcPr>
          <w:p w14:paraId="19F8369A" w14:textId="77777777" w:rsidR="00D94C1E" w:rsidRPr="00CE28E3" w:rsidRDefault="00D94C1E" w:rsidP="003145AC">
            <w:pPr>
              <w:pStyle w:val="TableText"/>
              <w:jc w:val="center"/>
            </w:pPr>
            <w:r w:rsidRPr="005F1484">
              <w:t>83</w:t>
            </w:r>
          </w:p>
        </w:tc>
        <w:tc>
          <w:tcPr>
            <w:tcW w:w="1129" w:type="dxa"/>
            <w:tcMar>
              <w:top w:w="0" w:type="dxa"/>
              <w:left w:w="108" w:type="dxa"/>
              <w:bottom w:w="0" w:type="dxa"/>
              <w:right w:w="108" w:type="dxa"/>
            </w:tcMar>
            <w:vAlign w:val="center"/>
          </w:tcPr>
          <w:p w14:paraId="625375E7" w14:textId="77777777" w:rsidR="00D94C1E" w:rsidRPr="00CE28E3" w:rsidRDefault="00D94C1E" w:rsidP="003145AC">
            <w:pPr>
              <w:pStyle w:val="TableText"/>
              <w:jc w:val="center"/>
            </w:pPr>
            <w:r w:rsidRPr="005F1484">
              <w:t>83</w:t>
            </w:r>
          </w:p>
        </w:tc>
      </w:tr>
      <w:tr w:rsidR="00D94C1E" w:rsidRPr="00CE28E3" w14:paraId="7E96B2FF" w14:textId="77777777" w:rsidTr="003145AC">
        <w:tc>
          <w:tcPr>
            <w:tcW w:w="0" w:type="auto"/>
            <w:tcMar>
              <w:top w:w="0" w:type="dxa"/>
              <w:left w:w="108" w:type="dxa"/>
              <w:bottom w:w="0" w:type="dxa"/>
              <w:right w:w="108" w:type="dxa"/>
            </w:tcMar>
          </w:tcPr>
          <w:p w14:paraId="2746EA9E" w14:textId="77777777" w:rsidR="00D94C1E" w:rsidRPr="00CE28E3" w:rsidRDefault="00D94C1E" w:rsidP="003145AC">
            <w:pPr>
              <w:pStyle w:val="TableText"/>
            </w:pPr>
            <w:r>
              <w:t xml:space="preserve">NT consortium FTE pharmacists </w:t>
            </w:r>
          </w:p>
        </w:tc>
        <w:tc>
          <w:tcPr>
            <w:tcW w:w="0" w:type="auto"/>
            <w:tcMar>
              <w:top w:w="0" w:type="dxa"/>
              <w:left w:w="108" w:type="dxa"/>
              <w:bottom w:w="0" w:type="dxa"/>
              <w:right w:w="108" w:type="dxa"/>
            </w:tcMar>
            <w:vAlign w:val="center"/>
          </w:tcPr>
          <w:p w14:paraId="66A38351" w14:textId="77777777" w:rsidR="00D94C1E" w:rsidRPr="00CE28E3" w:rsidRDefault="00D94C1E" w:rsidP="003145AC">
            <w:pPr>
              <w:pStyle w:val="TableText"/>
              <w:jc w:val="center"/>
            </w:pPr>
            <w:r w:rsidRPr="005F1484">
              <w:t>10</w:t>
            </w:r>
          </w:p>
        </w:tc>
        <w:tc>
          <w:tcPr>
            <w:tcW w:w="0" w:type="auto"/>
            <w:tcMar>
              <w:top w:w="0" w:type="dxa"/>
              <w:left w:w="108" w:type="dxa"/>
              <w:bottom w:w="0" w:type="dxa"/>
              <w:right w:w="108" w:type="dxa"/>
            </w:tcMar>
            <w:vAlign w:val="center"/>
          </w:tcPr>
          <w:p w14:paraId="29F1A50D" w14:textId="77777777" w:rsidR="00D94C1E" w:rsidRPr="00CE28E3" w:rsidRDefault="00D94C1E" w:rsidP="003145AC">
            <w:pPr>
              <w:pStyle w:val="TableText"/>
              <w:jc w:val="center"/>
            </w:pPr>
            <w:r w:rsidRPr="005F1484">
              <w:t>10</w:t>
            </w:r>
          </w:p>
        </w:tc>
        <w:tc>
          <w:tcPr>
            <w:tcW w:w="0" w:type="auto"/>
            <w:tcMar>
              <w:top w:w="0" w:type="dxa"/>
              <w:left w:w="108" w:type="dxa"/>
              <w:bottom w:w="0" w:type="dxa"/>
              <w:right w:w="108" w:type="dxa"/>
            </w:tcMar>
            <w:vAlign w:val="center"/>
          </w:tcPr>
          <w:p w14:paraId="3655A968" w14:textId="77777777" w:rsidR="00D94C1E" w:rsidRPr="00CE28E3" w:rsidRDefault="00D94C1E" w:rsidP="003145AC">
            <w:pPr>
              <w:pStyle w:val="TableText"/>
              <w:jc w:val="center"/>
            </w:pPr>
            <w:r w:rsidRPr="005F1484">
              <w:t>10</w:t>
            </w:r>
          </w:p>
        </w:tc>
        <w:tc>
          <w:tcPr>
            <w:tcW w:w="0" w:type="auto"/>
            <w:tcMar>
              <w:top w:w="0" w:type="dxa"/>
              <w:left w:w="108" w:type="dxa"/>
              <w:bottom w:w="0" w:type="dxa"/>
              <w:right w:w="108" w:type="dxa"/>
            </w:tcMar>
            <w:vAlign w:val="center"/>
          </w:tcPr>
          <w:p w14:paraId="0F50D1C7" w14:textId="77777777" w:rsidR="00D94C1E" w:rsidRPr="00CE28E3" w:rsidRDefault="00D94C1E" w:rsidP="003145AC">
            <w:pPr>
              <w:pStyle w:val="TableText"/>
              <w:jc w:val="center"/>
            </w:pPr>
            <w:r w:rsidRPr="005F1484">
              <w:t>10</w:t>
            </w:r>
          </w:p>
        </w:tc>
        <w:tc>
          <w:tcPr>
            <w:tcW w:w="1129" w:type="dxa"/>
            <w:tcMar>
              <w:top w:w="0" w:type="dxa"/>
              <w:left w:w="108" w:type="dxa"/>
              <w:bottom w:w="0" w:type="dxa"/>
              <w:right w:w="108" w:type="dxa"/>
            </w:tcMar>
            <w:vAlign w:val="center"/>
          </w:tcPr>
          <w:p w14:paraId="2A8C6E59" w14:textId="77777777" w:rsidR="00D94C1E" w:rsidRPr="00CE28E3" w:rsidRDefault="00D94C1E" w:rsidP="003145AC">
            <w:pPr>
              <w:pStyle w:val="TableText"/>
              <w:jc w:val="center"/>
            </w:pPr>
            <w:r w:rsidRPr="005F1484">
              <w:t>10</w:t>
            </w:r>
          </w:p>
        </w:tc>
        <w:tc>
          <w:tcPr>
            <w:tcW w:w="1129" w:type="dxa"/>
            <w:tcMar>
              <w:top w:w="0" w:type="dxa"/>
              <w:left w:w="108" w:type="dxa"/>
              <w:bottom w:w="0" w:type="dxa"/>
              <w:right w:w="108" w:type="dxa"/>
            </w:tcMar>
            <w:vAlign w:val="center"/>
          </w:tcPr>
          <w:p w14:paraId="687228DE" w14:textId="77777777" w:rsidR="00D94C1E" w:rsidRPr="00CE28E3" w:rsidRDefault="00D94C1E" w:rsidP="003145AC">
            <w:pPr>
              <w:pStyle w:val="TableText"/>
              <w:jc w:val="center"/>
            </w:pPr>
            <w:r w:rsidRPr="005F1484">
              <w:t>10</w:t>
            </w:r>
          </w:p>
        </w:tc>
      </w:tr>
      <w:tr w:rsidR="00D94C1E" w:rsidRPr="00CE28E3" w14:paraId="53CCDC56" w14:textId="77777777" w:rsidTr="003145AC">
        <w:tc>
          <w:tcPr>
            <w:tcW w:w="0" w:type="auto"/>
            <w:tcMar>
              <w:top w:w="0" w:type="dxa"/>
              <w:left w:w="108" w:type="dxa"/>
              <w:bottom w:w="0" w:type="dxa"/>
              <w:right w:w="108" w:type="dxa"/>
            </w:tcMar>
          </w:tcPr>
          <w:p w14:paraId="765DE57B" w14:textId="77777777" w:rsidR="00D94C1E" w:rsidRPr="00CE28E3" w:rsidRDefault="00D94C1E" w:rsidP="003145AC">
            <w:pPr>
              <w:pStyle w:val="TableText"/>
            </w:pPr>
            <w:r w:rsidRPr="00803E65">
              <w:rPr>
                <w:b/>
                <w:bCs/>
              </w:rPr>
              <w:t>Salary costs</w:t>
            </w:r>
          </w:p>
        </w:tc>
        <w:tc>
          <w:tcPr>
            <w:tcW w:w="0" w:type="auto"/>
            <w:tcMar>
              <w:top w:w="0" w:type="dxa"/>
              <w:left w:w="108" w:type="dxa"/>
              <w:bottom w:w="0" w:type="dxa"/>
              <w:right w:w="108" w:type="dxa"/>
            </w:tcMar>
          </w:tcPr>
          <w:p w14:paraId="0B39A1D6" w14:textId="77777777" w:rsidR="00D94C1E" w:rsidRPr="00CE28E3" w:rsidRDefault="00D94C1E" w:rsidP="003145AC">
            <w:pPr>
              <w:pStyle w:val="TableText"/>
            </w:pPr>
          </w:p>
        </w:tc>
        <w:tc>
          <w:tcPr>
            <w:tcW w:w="0" w:type="auto"/>
            <w:tcMar>
              <w:top w:w="0" w:type="dxa"/>
              <w:left w:w="108" w:type="dxa"/>
              <w:bottom w:w="0" w:type="dxa"/>
              <w:right w:w="108" w:type="dxa"/>
            </w:tcMar>
          </w:tcPr>
          <w:p w14:paraId="3D0255DA" w14:textId="77777777" w:rsidR="00D94C1E" w:rsidRPr="00CE28E3" w:rsidRDefault="00D94C1E" w:rsidP="003145AC">
            <w:pPr>
              <w:pStyle w:val="TableText"/>
            </w:pPr>
          </w:p>
        </w:tc>
        <w:tc>
          <w:tcPr>
            <w:tcW w:w="0" w:type="auto"/>
            <w:tcMar>
              <w:top w:w="0" w:type="dxa"/>
              <w:left w:w="108" w:type="dxa"/>
              <w:bottom w:w="0" w:type="dxa"/>
              <w:right w:w="108" w:type="dxa"/>
            </w:tcMar>
          </w:tcPr>
          <w:p w14:paraId="1DA44E22" w14:textId="77777777" w:rsidR="00D94C1E" w:rsidRPr="00CE28E3" w:rsidRDefault="00D94C1E" w:rsidP="003145AC">
            <w:pPr>
              <w:pStyle w:val="TableText"/>
            </w:pPr>
          </w:p>
        </w:tc>
        <w:tc>
          <w:tcPr>
            <w:tcW w:w="0" w:type="auto"/>
            <w:tcMar>
              <w:top w:w="0" w:type="dxa"/>
              <w:left w:w="108" w:type="dxa"/>
              <w:bottom w:w="0" w:type="dxa"/>
              <w:right w:w="108" w:type="dxa"/>
            </w:tcMar>
          </w:tcPr>
          <w:p w14:paraId="43564232" w14:textId="77777777" w:rsidR="00D94C1E" w:rsidRPr="00CE28E3" w:rsidRDefault="00D94C1E" w:rsidP="003145AC">
            <w:pPr>
              <w:pStyle w:val="TableText"/>
            </w:pPr>
          </w:p>
        </w:tc>
        <w:tc>
          <w:tcPr>
            <w:tcW w:w="1129" w:type="dxa"/>
            <w:tcMar>
              <w:top w:w="0" w:type="dxa"/>
              <w:left w:w="108" w:type="dxa"/>
              <w:bottom w:w="0" w:type="dxa"/>
              <w:right w:w="108" w:type="dxa"/>
            </w:tcMar>
          </w:tcPr>
          <w:p w14:paraId="5F365BD1" w14:textId="77777777" w:rsidR="00D94C1E" w:rsidRPr="00CE28E3" w:rsidRDefault="00D94C1E" w:rsidP="003145AC">
            <w:pPr>
              <w:pStyle w:val="TableText"/>
            </w:pPr>
          </w:p>
        </w:tc>
        <w:tc>
          <w:tcPr>
            <w:tcW w:w="1129" w:type="dxa"/>
            <w:tcMar>
              <w:top w:w="0" w:type="dxa"/>
              <w:left w:w="108" w:type="dxa"/>
              <w:bottom w:w="0" w:type="dxa"/>
              <w:right w:w="108" w:type="dxa"/>
            </w:tcMar>
          </w:tcPr>
          <w:p w14:paraId="436D5118" w14:textId="77777777" w:rsidR="00D94C1E" w:rsidRPr="00CE28E3" w:rsidRDefault="00D94C1E" w:rsidP="003145AC">
            <w:pPr>
              <w:pStyle w:val="TableText"/>
            </w:pPr>
          </w:p>
        </w:tc>
      </w:tr>
      <w:tr w:rsidR="00D94C1E" w:rsidRPr="00CE28E3" w14:paraId="1DDAF7D9" w14:textId="77777777" w:rsidTr="003145AC">
        <w:tc>
          <w:tcPr>
            <w:tcW w:w="0" w:type="auto"/>
            <w:tcMar>
              <w:top w:w="0" w:type="dxa"/>
              <w:left w:w="108" w:type="dxa"/>
              <w:bottom w:w="0" w:type="dxa"/>
              <w:right w:w="108" w:type="dxa"/>
            </w:tcMar>
          </w:tcPr>
          <w:p w14:paraId="752DA82E" w14:textId="77777777" w:rsidR="00D94C1E" w:rsidRDefault="00D94C1E" w:rsidP="003145AC">
            <w:pPr>
              <w:pStyle w:val="TableText"/>
            </w:pPr>
            <w:r w:rsidRPr="00E62561">
              <w:t xml:space="preserve">Pharmacist salaries </w:t>
            </w:r>
          </w:p>
          <w:p w14:paraId="7399DDDA" w14:textId="77777777" w:rsidR="00D94C1E" w:rsidRPr="00CE28E3" w:rsidRDefault="00D94C1E" w:rsidP="003145AC">
            <w:pPr>
              <w:pStyle w:val="TableText"/>
            </w:pPr>
            <w:r w:rsidRPr="00E62561">
              <w:t>(</w:t>
            </w:r>
            <w:r>
              <w:t xml:space="preserve">100% uptake, </w:t>
            </w:r>
            <w:r w:rsidRPr="00E62561">
              <w:t>excluding NT consortium)</w:t>
            </w:r>
          </w:p>
        </w:tc>
        <w:tc>
          <w:tcPr>
            <w:tcW w:w="0" w:type="auto"/>
            <w:tcMar>
              <w:top w:w="0" w:type="dxa"/>
              <w:left w:w="108" w:type="dxa"/>
              <w:bottom w:w="0" w:type="dxa"/>
              <w:right w:w="108" w:type="dxa"/>
            </w:tcMar>
          </w:tcPr>
          <w:p w14:paraId="70E0D8D2" w14:textId="77777777" w:rsidR="00D94C1E" w:rsidRPr="00CE28E3" w:rsidRDefault="00D94C1E" w:rsidP="003145AC">
            <w:pPr>
              <w:pStyle w:val="TableText"/>
            </w:pPr>
            <w:r w:rsidRPr="00B767C7">
              <w:t>$12,017,945</w:t>
            </w:r>
          </w:p>
        </w:tc>
        <w:tc>
          <w:tcPr>
            <w:tcW w:w="0" w:type="auto"/>
            <w:tcMar>
              <w:top w:w="0" w:type="dxa"/>
              <w:left w:w="108" w:type="dxa"/>
              <w:bottom w:w="0" w:type="dxa"/>
              <w:right w:w="108" w:type="dxa"/>
            </w:tcMar>
          </w:tcPr>
          <w:p w14:paraId="7CEAEE64" w14:textId="77777777" w:rsidR="00D94C1E" w:rsidRPr="00CE28E3" w:rsidRDefault="00D94C1E" w:rsidP="003145AC">
            <w:pPr>
              <w:pStyle w:val="TableText"/>
            </w:pPr>
            <w:r w:rsidRPr="00B767C7">
              <w:t>$12,234,268</w:t>
            </w:r>
          </w:p>
        </w:tc>
        <w:tc>
          <w:tcPr>
            <w:tcW w:w="0" w:type="auto"/>
            <w:tcMar>
              <w:top w:w="0" w:type="dxa"/>
              <w:left w:w="108" w:type="dxa"/>
              <w:bottom w:w="0" w:type="dxa"/>
              <w:right w:w="108" w:type="dxa"/>
            </w:tcMar>
          </w:tcPr>
          <w:p w14:paraId="5BC86724" w14:textId="77777777" w:rsidR="00D94C1E" w:rsidRPr="00CE28E3" w:rsidRDefault="00D94C1E" w:rsidP="003145AC">
            <w:pPr>
              <w:pStyle w:val="TableText"/>
            </w:pPr>
            <w:r w:rsidRPr="00B767C7">
              <w:t>$12,454,485</w:t>
            </w:r>
          </w:p>
        </w:tc>
        <w:tc>
          <w:tcPr>
            <w:tcW w:w="0" w:type="auto"/>
            <w:tcMar>
              <w:top w:w="0" w:type="dxa"/>
              <w:left w:w="108" w:type="dxa"/>
              <w:bottom w:w="0" w:type="dxa"/>
              <w:right w:w="108" w:type="dxa"/>
            </w:tcMar>
          </w:tcPr>
          <w:p w14:paraId="3229B0D0" w14:textId="77777777" w:rsidR="00D94C1E" w:rsidRPr="00CE28E3" w:rsidRDefault="00D94C1E" w:rsidP="003145AC">
            <w:pPr>
              <w:pStyle w:val="TableText"/>
            </w:pPr>
            <w:r w:rsidRPr="00B767C7">
              <w:t>$12,678,666</w:t>
            </w:r>
          </w:p>
        </w:tc>
        <w:tc>
          <w:tcPr>
            <w:tcW w:w="1129" w:type="dxa"/>
            <w:tcMar>
              <w:top w:w="0" w:type="dxa"/>
              <w:left w:w="108" w:type="dxa"/>
              <w:bottom w:w="0" w:type="dxa"/>
              <w:right w:w="108" w:type="dxa"/>
            </w:tcMar>
          </w:tcPr>
          <w:p w14:paraId="0470E226" w14:textId="77777777" w:rsidR="00D94C1E" w:rsidRPr="00CE28E3" w:rsidRDefault="00D94C1E" w:rsidP="003145AC">
            <w:pPr>
              <w:pStyle w:val="TableText"/>
            </w:pPr>
            <w:r w:rsidRPr="00B767C7">
              <w:t>$12,906,882</w:t>
            </w:r>
          </w:p>
        </w:tc>
        <w:tc>
          <w:tcPr>
            <w:tcW w:w="1129" w:type="dxa"/>
            <w:tcMar>
              <w:top w:w="0" w:type="dxa"/>
              <w:left w:w="108" w:type="dxa"/>
              <w:bottom w:w="0" w:type="dxa"/>
              <w:right w:w="108" w:type="dxa"/>
            </w:tcMar>
          </w:tcPr>
          <w:p w14:paraId="79A08353" w14:textId="77777777" w:rsidR="00D94C1E" w:rsidRPr="00CE28E3" w:rsidRDefault="00D94C1E" w:rsidP="003145AC">
            <w:pPr>
              <w:pStyle w:val="TableText"/>
            </w:pPr>
            <w:r w:rsidRPr="00B767C7">
              <w:t>$13,139,206</w:t>
            </w:r>
          </w:p>
        </w:tc>
      </w:tr>
      <w:tr w:rsidR="00D94C1E" w:rsidRPr="00CE28E3" w14:paraId="5E071E02" w14:textId="77777777" w:rsidTr="003145AC">
        <w:tc>
          <w:tcPr>
            <w:tcW w:w="0" w:type="auto"/>
            <w:tcMar>
              <w:top w:w="0" w:type="dxa"/>
              <w:left w:w="108" w:type="dxa"/>
              <w:bottom w:w="0" w:type="dxa"/>
              <w:right w:w="108" w:type="dxa"/>
            </w:tcMar>
          </w:tcPr>
          <w:p w14:paraId="7462FA7F" w14:textId="77777777" w:rsidR="00D94C1E" w:rsidRDefault="00D94C1E" w:rsidP="003145AC">
            <w:pPr>
              <w:pStyle w:val="TableText"/>
            </w:pPr>
            <w:r w:rsidRPr="00E62561">
              <w:t xml:space="preserve">Pharmacist salaries </w:t>
            </w:r>
          </w:p>
          <w:p w14:paraId="1430E2F5" w14:textId="77777777" w:rsidR="00D94C1E" w:rsidRPr="00CE28E3" w:rsidRDefault="00D94C1E" w:rsidP="003145AC">
            <w:pPr>
              <w:pStyle w:val="TableText"/>
            </w:pPr>
            <w:r w:rsidRPr="00E62561">
              <w:t xml:space="preserve">(NT consortium) </w:t>
            </w:r>
          </w:p>
        </w:tc>
        <w:tc>
          <w:tcPr>
            <w:tcW w:w="0" w:type="auto"/>
            <w:tcMar>
              <w:top w:w="0" w:type="dxa"/>
              <w:left w:w="108" w:type="dxa"/>
              <w:bottom w:w="0" w:type="dxa"/>
              <w:right w:w="108" w:type="dxa"/>
            </w:tcMar>
            <w:vAlign w:val="center"/>
          </w:tcPr>
          <w:p w14:paraId="327F9E8E" w14:textId="77777777" w:rsidR="00D94C1E" w:rsidRPr="00CE28E3" w:rsidRDefault="00D94C1E" w:rsidP="003145AC">
            <w:pPr>
              <w:pStyle w:val="TableText"/>
              <w:jc w:val="center"/>
            </w:pPr>
            <w:r w:rsidRPr="00B767C7">
              <w:t>$1,694,100</w:t>
            </w:r>
          </w:p>
        </w:tc>
        <w:tc>
          <w:tcPr>
            <w:tcW w:w="0" w:type="auto"/>
            <w:tcMar>
              <w:top w:w="0" w:type="dxa"/>
              <w:left w:w="108" w:type="dxa"/>
              <w:bottom w:w="0" w:type="dxa"/>
              <w:right w:w="108" w:type="dxa"/>
            </w:tcMar>
            <w:vAlign w:val="center"/>
          </w:tcPr>
          <w:p w14:paraId="64F28759" w14:textId="77777777" w:rsidR="00D94C1E" w:rsidRPr="00CE28E3" w:rsidRDefault="00D94C1E" w:rsidP="003145AC">
            <w:pPr>
              <w:pStyle w:val="TableText"/>
              <w:jc w:val="center"/>
            </w:pPr>
            <w:r w:rsidRPr="00B767C7">
              <w:t>$1,724,594</w:t>
            </w:r>
          </w:p>
        </w:tc>
        <w:tc>
          <w:tcPr>
            <w:tcW w:w="0" w:type="auto"/>
            <w:tcMar>
              <w:top w:w="0" w:type="dxa"/>
              <w:left w:w="108" w:type="dxa"/>
              <w:bottom w:w="0" w:type="dxa"/>
              <w:right w:w="108" w:type="dxa"/>
            </w:tcMar>
            <w:vAlign w:val="center"/>
          </w:tcPr>
          <w:p w14:paraId="473F5266" w14:textId="77777777" w:rsidR="00D94C1E" w:rsidRPr="00CE28E3" w:rsidRDefault="00D94C1E" w:rsidP="003145AC">
            <w:pPr>
              <w:pStyle w:val="TableText"/>
              <w:jc w:val="center"/>
            </w:pPr>
            <w:r w:rsidRPr="00B767C7">
              <w:t>$1,755,636</w:t>
            </w:r>
          </w:p>
        </w:tc>
        <w:tc>
          <w:tcPr>
            <w:tcW w:w="0" w:type="auto"/>
            <w:tcMar>
              <w:top w:w="0" w:type="dxa"/>
              <w:left w:w="108" w:type="dxa"/>
              <w:bottom w:w="0" w:type="dxa"/>
              <w:right w:w="108" w:type="dxa"/>
            </w:tcMar>
            <w:vAlign w:val="center"/>
          </w:tcPr>
          <w:p w14:paraId="6348F090" w14:textId="77777777" w:rsidR="00D94C1E" w:rsidRPr="00CE28E3" w:rsidRDefault="00D94C1E" w:rsidP="003145AC">
            <w:pPr>
              <w:pStyle w:val="TableText"/>
              <w:jc w:val="center"/>
            </w:pPr>
            <w:r w:rsidRPr="00B767C7">
              <w:t>$1,787,238</w:t>
            </w:r>
          </w:p>
        </w:tc>
        <w:tc>
          <w:tcPr>
            <w:tcW w:w="1129" w:type="dxa"/>
            <w:tcMar>
              <w:top w:w="0" w:type="dxa"/>
              <w:left w:w="108" w:type="dxa"/>
              <w:bottom w:w="0" w:type="dxa"/>
              <w:right w:w="108" w:type="dxa"/>
            </w:tcMar>
            <w:vAlign w:val="center"/>
          </w:tcPr>
          <w:p w14:paraId="0041B888" w14:textId="77777777" w:rsidR="00D94C1E" w:rsidRPr="00CE28E3" w:rsidRDefault="00D94C1E" w:rsidP="003145AC">
            <w:pPr>
              <w:pStyle w:val="TableText"/>
              <w:jc w:val="center"/>
            </w:pPr>
            <w:r w:rsidRPr="00B767C7">
              <w:t>$1,819,408</w:t>
            </w:r>
          </w:p>
        </w:tc>
        <w:tc>
          <w:tcPr>
            <w:tcW w:w="1129" w:type="dxa"/>
            <w:tcMar>
              <w:top w:w="0" w:type="dxa"/>
              <w:left w:w="108" w:type="dxa"/>
              <w:bottom w:w="0" w:type="dxa"/>
              <w:right w:w="108" w:type="dxa"/>
            </w:tcMar>
            <w:vAlign w:val="center"/>
          </w:tcPr>
          <w:p w14:paraId="7450E250" w14:textId="77777777" w:rsidR="00D94C1E" w:rsidRPr="00CE28E3" w:rsidRDefault="00D94C1E" w:rsidP="003145AC">
            <w:pPr>
              <w:pStyle w:val="TableText"/>
              <w:jc w:val="center"/>
            </w:pPr>
            <w:r w:rsidRPr="00B767C7">
              <w:t>$1,852,158</w:t>
            </w:r>
          </w:p>
        </w:tc>
      </w:tr>
      <w:tr w:rsidR="00D94C1E" w:rsidRPr="00CE28E3" w14:paraId="7486580B" w14:textId="77777777" w:rsidTr="003145AC">
        <w:tc>
          <w:tcPr>
            <w:tcW w:w="0" w:type="auto"/>
            <w:tcMar>
              <w:top w:w="0" w:type="dxa"/>
              <w:left w:w="108" w:type="dxa"/>
              <w:bottom w:w="0" w:type="dxa"/>
              <w:right w:w="108" w:type="dxa"/>
            </w:tcMar>
          </w:tcPr>
          <w:p w14:paraId="52172032" w14:textId="77777777" w:rsidR="00D94C1E" w:rsidRPr="00CE28E3" w:rsidRDefault="00D94C1E" w:rsidP="003145AC">
            <w:pPr>
              <w:pStyle w:val="TableText"/>
            </w:pPr>
            <w:r w:rsidRPr="00E62561">
              <w:t xml:space="preserve">Uptake </w:t>
            </w:r>
          </w:p>
        </w:tc>
        <w:tc>
          <w:tcPr>
            <w:tcW w:w="0" w:type="auto"/>
            <w:tcMar>
              <w:top w:w="0" w:type="dxa"/>
              <w:left w:w="108" w:type="dxa"/>
              <w:bottom w:w="0" w:type="dxa"/>
              <w:right w:w="108" w:type="dxa"/>
            </w:tcMar>
            <w:vAlign w:val="center"/>
          </w:tcPr>
          <w:p w14:paraId="5C3B0676" w14:textId="77777777" w:rsidR="00D94C1E" w:rsidRPr="00CE28E3" w:rsidRDefault="00D94C1E" w:rsidP="003145AC">
            <w:pPr>
              <w:pStyle w:val="TableText"/>
              <w:jc w:val="center"/>
            </w:pPr>
            <w:r w:rsidRPr="00544FDD">
              <w:t>20%</w:t>
            </w:r>
          </w:p>
        </w:tc>
        <w:tc>
          <w:tcPr>
            <w:tcW w:w="0" w:type="auto"/>
            <w:tcMar>
              <w:top w:w="0" w:type="dxa"/>
              <w:left w:w="108" w:type="dxa"/>
              <w:bottom w:w="0" w:type="dxa"/>
              <w:right w:w="108" w:type="dxa"/>
            </w:tcMar>
            <w:vAlign w:val="center"/>
          </w:tcPr>
          <w:p w14:paraId="5F73D713" w14:textId="77777777" w:rsidR="00D94C1E" w:rsidRPr="00CE28E3" w:rsidRDefault="00D94C1E" w:rsidP="003145AC">
            <w:pPr>
              <w:pStyle w:val="TableText"/>
              <w:jc w:val="center"/>
            </w:pPr>
            <w:r w:rsidRPr="00544FDD">
              <w:t>40%</w:t>
            </w:r>
          </w:p>
        </w:tc>
        <w:tc>
          <w:tcPr>
            <w:tcW w:w="0" w:type="auto"/>
            <w:tcMar>
              <w:top w:w="0" w:type="dxa"/>
              <w:left w:w="108" w:type="dxa"/>
              <w:bottom w:w="0" w:type="dxa"/>
              <w:right w:w="108" w:type="dxa"/>
            </w:tcMar>
            <w:vAlign w:val="center"/>
          </w:tcPr>
          <w:p w14:paraId="7A0ED78E" w14:textId="77777777" w:rsidR="00D94C1E" w:rsidRPr="00CE28E3" w:rsidRDefault="00D94C1E" w:rsidP="003145AC">
            <w:pPr>
              <w:pStyle w:val="TableText"/>
              <w:jc w:val="center"/>
            </w:pPr>
            <w:r w:rsidRPr="00544FDD">
              <w:t>60%</w:t>
            </w:r>
          </w:p>
        </w:tc>
        <w:tc>
          <w:tcPr>
            <w:tcW w:w="0" w:type="auto"/>
            <w:tcMar>
              <w:top w:w="0" w:type="dxa"/>
              <w:left w:w="108" w:type="dxa"/>
              <w:bottom w:w="0" w:type="dxa"/>
              <w:right w:w="108" w:type="dxa"/>
            </w:tcMar>
            <w:vAlign w:val="center"/>
          </w:tcPr>
          <w:p w14:paraId="267052C1" w14:textId="77777777" w:rsidR="00D94C1E" w:rsidRPr="00CE28E3" w:rsidRDefault="00D94C1E" w:rsidP="003145AC">
            <w:pPr>
              <w:pStyle w:val="TableText"/>
              <w:jc w:val="center"/>
            </w:pPr>
            <w:r w:rsidRPr="00544FDD">
              <w:t>80%</w:t>
            </w:r>
          </w:p>
        </w:tc>
        <w:tc>
          <w:tcPr>
            <w:tcW w:w="1129" w:type="dxa"/>
            <w:tcMar>
              <w:top w:w="0" w:type="dxa"/>
              <w:left w:w="108" w:type="dxa"/>
              <w:bottom w:w="0" w:type="dxa"/>
              <w:right w:w="108" w:type="dxa"/>
            </w:tcMar>
            <w:vAlign w:val="center"/>
          </w:tcPr>
          <w:p w14:paraId="3E238CCE" w14:textId="77777777" w:rsidR="00D94C1E" w:rsidRPr="00CE28E3" w:rsidRDefault="00D94C1E" w:rsidP="003145AC">
            <w:pPr>
              <w:pStyle w:val="TableText"/>
              <w:jc w:val="center"/>
            </w:pPr>
            <w:r w:rsidRPr="00544FDD">
              <w:t>100%</w:t>
            </w:r>
          </w:p>
        </w:tc>
        <w:tc>
          <w:tcPr>
            <w:tcW w:w="1129" w:type="dxa"/>
            <w:tcMar>
              <w:top w:w="0" w:type="dxa"/>
              <w:left w:w="108" w:type="dxa"/>
              <w:bottom w:w="0" w:type="dxa"/>
              <w:right w:w="108" w:type="dxa"/>
            </w:tcMar>
            <w:vAlign w:val="center"/>
          </w:tcPr>
          <w:p w14:paraId="74DD9ABE" w14:textId="77777777" w:rsidR="00D94C1E" w:rsidRPr="00CE28E3" w:rsidRDefault="00D94C1E" w:rsidP="003145AC">
            <w:pPr>
              <w:pStyle w:val="TableText"/>
              <w:jc w:val="center"/>
            </w:pPr>
            <w:r w:rsidRPr="00544FDD">
              <w:t>100%</w:t>
            </w:r>
          </w:p>
        </w:tc>
      </w:tr>
      <w:tr w:rsidR="00D94C1E" w:rsidRPr="00CE28E3" w14:paraId="64B77378" w14:textId="77777777" w:rsidTr="003145AC">
        <w:tc>
          <w:tcPr>
            <w:tcW w:w="0" w:type="auto"/>
            <w:tcMar>
              <w:top w:w="0" w:type="dxa"/>
              <w:left w:w="108" w:type="dxa"/>
              <w:bottom w:w="0" w:type="dxa"/>
              <w:right w:w="108" w:type="dxa"/>
            </w:tcMar>
          </w:tcPr>
          <w:p w14:paraId="60EC82EC" w14:textId="77777777" w:rsidR="00D94C1E" w:rsidRPr="00CE28E3" w:rsidRDefault="00D94C1E" w:rsidP="003145AC">
            <w:pPr>
              <w:pStyle w:val="TableText"/>
            </w:pPr>
            <w:r w:rsidRPr="00F56A1E">
              <w:t xml:space="preserve">Total </w:t>
            </w:r>
            <w:r>
              <w:t xml:space="preserve">pharmacist </w:t>
            </w:r>
            <w:r w:rsidRPr="00F56A1E">
              <w:t>salaries</w:t>
            </w:r>
          </w:p>
        </w:tc>
        <w:tc>
          <w:tcPr>
            <w:tcW w:w="0" w:type="auto"/>
            <w:tcMar>
              <w:top w:w="0" w:type="dxa"/>
              <w:left w:w="108" w:type="dxa"/>
              <w:bottom w:w="0" w:type="dxa"/>
              <w:right w:w="108" w:type="dxa"/>
            </w:tcMar>
            <w:vAlign w:val="center"/>
          </w:tcPr>
          <w:p w14:paraId="6C678B59" w14:textId="77777777" w:rsidR="00D94C1E" w:rsidRPr="00CE28E3" w:rsidRDefault="00D94C1E" w:rsidP="003145AC">
            <w:pPr>
              <w:pStyle w:val="TableText"/>
              <w:jc w:val="center"/>
            </w:pPr>
            <w:r w:rsidRPr="00BA0E4F">
              <w:t>$2,742,409</w:t>
            </w:r>
          </w:p>
        </w:tc>
        <w:tc>
          <w:tcPr>
            <w:tcW w:w="0" w:type="auto"/>
            <w:tcMar>
              <w:top w:w="0" w:type="dxa"/>
              <w:left w:w="108" w:type="dxa"/>
              <w:bottom w:w="0" w:type="dxa"/>
              <w:right w:w="108" w:type="dxa"/>
            </w:tcMar>
            <w:vAlign w:val="center"/>
          </w:tcPr>
          <w:p w14:paraId="5B59B996" w14:textId="77777777" w:rsidR="00D94C1E" w:rsidRPr="00CE28E3" w:rsidRDefault="00D94C1E" w:rsidP="003145AC">
            <w:pPr>
              <w:pStyle w:val="TableText"/>
              <w:jc w:val="center"/>
            </w:pPr>
            <w:r w:rsidRPr="00BA0E4F">
              <w:t>$5,583,545</w:t>
            </w:r>
          </w:p>
        </w:tc>
        <w:tc>
          <w:tcPr>
            <w:tcW w:w="0" w:type="auto"/>
            <w:tcMar>
              <w:top w:w="0" w:type="dxa"/>
              <w:left w:w="108" w:type="dxa"/>
              <w:bottom w:w="0" w:type="dxa"/>
              <w:right w:w="108" w:type="dxa"/>
            </w:tcMar>
            <w:vAlign w:val="center"/>
          </w:tcPr>
          <w:p w14:paraId="1C318AD5" w14:textId="77777777" w:rsidR="00D94C1E" w:rsidRPr="00CE28E3" w:rsidRDefault="00D94C1E" w:rsidP="003145AC">
            <w:pPr>
              <w:pStyle w:val="TableText"/>
              <w:jc w:val="center"/>
            </w:pPr>
            <w:r w:rsidRPr="00BA0E4F">
              <w:t>$8,526,073</w:t>
            </w:r>
          </w:p>
        </w:tc>
        <w:tc>
          <w:tcPr>
            <w:tcW w:w="0" w:type="auto"/>
            <w:tcMar>
              <w:top w:w="0" w:type="dxa"/>
              <w:left w:w="108" w:type="dxa"/>
              <w:bottom w:w="0" w:type="dxa"/>
              <w:right w:w="108" w:type="dxa"/>
            </w:tcMar>
            <w:vAlign w:val="center"/>
          </w:tcPr>
          <w:p w14:paraId="33A7D0F7" w14:textId="77777777" w:rsidR="00D94C1E" w:rsidRPr="00CE28E3" w:rsidRDefault="00D94C1E" w:rsidP="003145AC">
            <w:pPr>
              <w:pStyle w:val="TableText"/>
              <w:jc w:val="center"/>
            </w:pPr>
            <w:r w:rsidRPr="00BA0E4F">
              <w:t>$11,572,723</w:t>
            </w:r>
          </w:p>
        </w:tc>
        <w:tc>
          <w:tcPr>
            <w:tcW w:w="1129" w:type="dxa"/>
            <w:tcMar>
              <w:top w:w="0" w:type="dxa"/>
              <w:left w:w="108" w:type="dxa"/>
              <w:bottom w:w="0" w:type="dxa"/>
              <w:right w:w="108" w:type="dxa"/>
            </w:tcMar>
            <w:vAlign w:val="center"/>
          </w:tcPr>
          <w:p w14:paraId="4808676D" w14:textId="77777777" w:rsidR="00D94C1E" w:rsidRPr="00CE28E3" w:rsidRDefault="00D94C1E" w:rsidP="003145AC">
            <w:pPr>
              <w:pStyle w:val="TableText"/>
              <w:jc w:val="center"/>
            </w:pPr>
            <w:r w:rsidRPr="00BA0E4F">
              <w:t>$14,726,290</w:t>
            </w:r>
          </w:p>
        </w:tc>
        <w:tc>
          <w:tcPr>
            <w:tcW w:w="1129" w:type="dxa"/>
            <w:tcMar>
              <w:top w:w="0" w:type="dxa"/>
              <w:left w:w="108" w:type="dxa"/>
              <w:bottom w:w="0" w:type="dxa"/>
              <w:right w:w="108" w:type="dxa"/>
            </w:tcMar>
            <w:vAlign w:val="center"/>
          </w:tcPr>
          <w:p w14:paraId="05749652" w14:textId="77777777" w:rsidR="00D94C1E" w:rsidRPr="00CE28E3" w:rsidRDefault="00D94C1E" w:rsidP="003145AC">
            <w:pPr>
              <w:pStyle w:val="TableText"/>
              <w:jc w:val="center"/>
            </w:pPr>
            <w:r w:rsidRPr="00BA0E4F">
              <w:t>$14,991,363</w:t>
            </w:r>
          </w:p>
        </w:tc>
      </w:tr>
      <w:tr w:rsidR="00D94C1E" w:rsidRPr="00CE28E3" w14:paraId="0EBD9220" w14:textId="77777777" w:rsidTr="003145AC">
        <w:tc>
          <w:tcPr>
            <w:tcW w:w="0" w:type="auto"/>
            <w:tcMar>
              <w:top w:w="0" w:type="dxa"/>
              <w:left w:w="108" w:type="dxa"/>
              <w:bottom w:w="0" w:type="dxa"/>
              <w:right w:w="108" w:type="dxa"/>
            </w:tcMar>
          </w:tcPr>
          <w:p w14:paraId="6CD5BED3" w14:textId="77777777" w:rsidR="00D94C1E" w:rsidRPr="00CE28E3" w:rsidRDefault="00D94C1E" w:rsidP="003145AC">
            <w:pPr>
              <w:pStyle w:val="TableText"/>
            </w:pPr>
            <w:r w:rsidRPr="00803E65">
              <w:rPr>
                <w:b/>
                <w:bCs/>
              </w:rPr>
              <w:t>Program costs</w:t>
            </w:r>
          </w:p>
        </w:tc>
        <w:tc>
          <w:tcPr>
            <w:tcW w:w="0" w:type="auto"/>
            <w:tcMar>
              <w:top w:w="0" w:type="dxa"/>
              <w:left w:w="108" w:type="dxa"/>
              <w:bottom w:w="0" w:type="dxa"/>
              <w:right w:w="108" w:type="dxa"/>
            </w:tcMar>
            <w:vAlign w:val="center"/>
          </w:tcPr>
          <w:p w14:paraId="5F0684A2" w14:textId="77777777" w:rsidR="00D94C1E" w:rsidRPr="00CE28E3" w:rsidRDefault="00D94C1E" w:rsidP="003145AC">
            <w:pPr>
              <w:pStyle w:val="TableText"/>
              <w:jc w:val="center"/>
            </w:pPr>
          </w:p>
        </w:tc>
        <w:tc>
          <w:tcPr>
            <w:tcW w:w="0" w:type="auto"/>
            <w:tcMar>
              <w:top w:w="0" w:type="dxa"/>
              <w:left w:w="108" w:type="dxa"/>
              <w:bottom w:w="0" w:type="dxa"/>
              <w:right w:w="108" w:type="dxa"/>
            </w:tcMar>
            <w:vAlign w:val="center"/>
          </w:tcPr>
          <w:p w14:paraId="181B2EEB" w14:textId="77777777" w:rsidR="00D94C1E" w:rsidRPr="00CE28E3" w:rsidRDefault="00D94C1E" w:rsidP="003145AC">
            <w:pPr>
              <w:pStyle w:val="TableText"/>
              <w:jc w:val="center"/>
            </w:pPr>
          </w:p>
        </w:tc>
        <w:tc>
          <w:tcPr>
            <w:tcW w:w="0" w:type="auto"/>
            <w:tcMar>
              <w:top w:w="0" w:type="dxa"/>
              <w:left w:w="108" w:type="dxa"/>
              <w:bottom w:w="0" w:type="dxa"/>
              <w:right w:w="108" w:type="dxa"/>
            </w:tcMar>
            <w:vAlign w:val="center"/>
          </w:tcPr>
          <w:p w14:paraId="65E3AEB5" w14:textId="77777777" w:rsidR="00D94C1E" w:rsidRPr="00CE28E3" w:rsidRDefault="00D94C1E" w:rsidP="003145AC">
            <w:pPr>
              <w:pStyle w:val="TableText"/>
              <w:jc w:val="center"/>
            </w:pPr>
          </w:p>
        </w:tc>
        <w:tc>
          <w:tcPr>
            <w:tcW w:w="0" w:type="auto"/>
            <w:tcMar>
              <w:top w:w="0" w:type="dxa"/>
              <w:left w:w="108" w:type="dxa"/>
              <w:bottom w:w="0" w:type="dxa"/>
              <w:right w:w="108" w:type="dxa"/>
            </w:tcMar>
            <w:vAlign w:val="center"/>
          </w:tcPr>
          <w:p w14:paraId="6AB23E94" w14:textId="77777777" w:rsidR="00D94C1E" w:rsidRPr="00CE28E3" w:rsidRDefault="00D94C1E" w:rsidP="003145AC">
            <w:pPr>
              <w:pStyle w:val="TableText"/>
              <w:jc w:val="center"/>
            </w:pPr>
          </w:p>
        </w:tc>
        <w:tc>
          <w:tcPr>
            <w:tcW w:w="1129" w:type="dxa"/>
            <w:tcMar>
              <w:top w:w="0" w:type="dxa"/>
              <w:left w:w="108" w:type="dxa"/>
              <w:bottom w:w="0" w:type="dxa"/>
              <w:right w:w="108" w:type="dxa"/>
            </w:tcMar>
            <w:vAlign w:val="center"/>
          </w:tcPr>
          <w:p w14:paraId="53179206" w14:textId="77777777" w:rsidR="00D94C1E" w:rsidRPr="00CE28E3" w:rsidRDefault="00D94C1E" w:rsidP="003145AC">
            <w:pPr>
              <w:pStyle w:val="TableText"/>
              <w:jc w:val="center"/>
            </w:pPr>
          </w:p>
        </w:tc>
        <w:tc>
          <w:tcPr>
            <w:tcW w:w="1129" w:type="dxa"/>
            <w:tcMar>
              <w:top w:w="0" w:type="dxa"/>
              <w:left w:w="108" w:type="dxa"/>
              <w:bottom w:w="0" w:type="dxa"/>
              <w:right w:w="108" w:type="dxa"/>
            </w:tcMar>
            <w:vAlign w:val="center"/>
          </w:tcPr>
          <w:p w14:paraId="4A49DD5A" w14:textId="77777777" w:rsidR="00D94C1E" w:rsidRPr="00CE28E3" w:rsidRDefault="00D94C1E" w:rsidP="003145AC">
            <w:pPr>
              <w:pStyle w:val="TableText"/>
              <w:jc w:val="center"/>
            </w:pPr>
          </w:p>
        </w:tc>
      </w:tr>
      <w:tr w:rsidR="00D94C1E" w:rsidRPr="00CE28E3" w14:paraId="2F2FF2CC" w14:textId="77777777" w:rsidTr="003145AC">
        <w:tc>
          <w:tcPr>
            <w:tcW w:w="0" w:type="auto"/>
            <w:tcMar>
              <w:top w:w="0" w:type="dxa"/>
              <w:left w:w="108" w:type="dxa"/>
              <w:bottom w:w="0" w:type="dxa"/>
              <w:right w:w="108" w:type="dxa"/>
            </w:tcMar>
          </w:tcPr>
          <w:p w14:paraId="199B9398" w14:textId="77777777" w:rsidR="00D94C1E" w:rsidRPr="00CE28E3" w:rsidRDefault="00D94C1E" w:rsidP="003145AC">
            <w:pPr>
              <w:pStyle w:val="TableText"/>
            </w:pPr>
            <w:r w:rsidRPr="00F9497A">
              <w:t>Mentoring and community of practice</w:t>
            </w:r>
          </w:p>
        </w:tc>
        <w:tc>
          <w:tcPr>
            <w:tcW w:w="0" w:type="auto"/>
            <w:tcMar>
              <w:top w:w="0" w:type="dxa"/>
              <w:left w:w="108" w:type="dxa"/>
              <w:bottom w:w="0" w:type="dxa"/>
              <w:right w:w="108" w:type="dxa"/>
            </w:tcMar>
            <w:vAlign w:val="center"/>
          </w:tcPr>
          <w:p w14:paraId="0079EA04" w14:textId="77777777" w:rsidR="00D94C1E" w:rsidRPr="00CE28E3" w:rsidRDefault="00D94C1E" w:rsidP="003145AC">
            <w:pPr>
              <w:pStyle w:val="TableText"/>
              <w:jc w:val="center"/>
            </w:pPr>
            <w:r w:rsidRPr="00F7157D">
              <w:t>$591,000</w:t>
            </w:r>
          </w:p>
        </w:tc>
        <w:tc>
          <w:tcPr>
            <w:tcW w:w="0" w:type="auto"/>
            <w:tcMar>
              <w:top w:w="0" w:type="dxa"/>
              <w:left w:w="108" w:type="dxa"/>
              <w:bottom w:w="0" w:type="dxa"/>
              <w:right w:w="108" w:type="dxa"/>
            </w:tcMar>
            <w:vAlign w:val="center"/>
          </w:tcPr>
          <w:p w14:paraId="60134CFB" w14:textId="77777777" w:rsidR="00D94C1E" w:rsidRPr="00CE28E3" w:rsidRDefault="00D94C1E" w:rsidP="003145AC">
            <w:pPr>
              <w:pStyle w:val="TableText"/>
              <w:jc w:val="center"/>
            </w:pPr>
            <w:r w:rsidRPr="00F7157D">
              <w:t>$591,000</w:t>
            </w:r>
          </w:p>
        </w:tc>
        <w:tc>
          <w:tcPr>
            <w:tcW w:w="0" w:type="auto"/>
            <w:tcMar>
              <w:top w:w="0" w:type="dxa"/>
              <w:left w:w="108" w:type="dxa"/>
              <w:bottom w:w="0" w:type="dxa"/>
              <w:right w:w="108" w:type="dxa"/>
            </w:tcMar>
            <w:vAlign w:val="center"/>
          </w:tcPr>
          <w:p w14:paraId="5F7D157F" w14:textId="77777777" w:rsidR="00D94C1E" w:rsidRPr="00CE28E3" w:rsidRDefault="00D94C1E" w:rsidP="003145AC">
            <w:pPr>
              <w:pStyle w:val="TableText"/>
              <w:jc w:val="center"/>
            </w:pPr>
            <w:r w:rsidRPr="00F7157D">
              <w:t>$591,000</w:t>
            </w:r>
          </w:p>
        </w:tc>
        <w:tc>
          <w:tcPr>
            <w:tcW w:w="0" w:type="auto"/>
            <w:tcMar>
              <w:top w:w="0" w:type="dxa"/>
              <w:left w:w="108" w:type="dxa"/>
              <w:bottom w:w="0" w:type="dxa"/>
              <w:right w:w="108" w:type="dxa"/>
            </w:tcMar>
            <w:vAlign w:val="center"/>
          </w:tcPr>
          <w:p w14:paraId="5CAE860C" w14:textId="77777777" w:rsidR="00D94C1E" w:rsidRPr="00CE28E3" w:rsidRDefault="00D94C1E" w:rsidP="003145AC">
            <w:pPr>
              <w:pStyle w:val="TableText"/>
              <w:jc w:val="center"/>
            </w:pPr>
            <w:r w:rsidRPr="00F7157D">
              <w:t>$458,750</w:t>
            </w:r>
          </w:p>
        </w:tc>
        <w:tc>
          <w:tcPr>
            <w:tcW w:w="1129" w:type="dxa"/>
            <w:tcMar>
              <w:top w:w="0" w:type="dxa"/>
              <w:left w:w="108" w:type="dxa"/>
              <w:bottom w:w="0" w:type="dxa"/>
              <w:right w:w="108" w:type="dxa"/>
            </w:tcMar>
            <w:vAlign w:val="center"/>
          </w:tcPr>
          <w:p w14:paraId="2E595D31" w14:textId="77777777" w:rsidR="00D94C1E" w:rsidRPr="00CE28E3" w:rsidRDefault="00D94C1E" w:rsidP="003145AC">
            <w:pPr>
              <w:pStyle w:val="TableText"/>
              <w:jc w:val="center"/>
            </w:pPr>
            <w:r w:rsidRPr="00F7157D">
              <w:t>$458,750</w:t>
            </w:r>
          </w:p>
        </w:tc>
        <w:tc>
          <w:tcPr>
            <w:tcW w:w="1129" w:type="dxa"/>
            <w:tcMar>
              <w:top w:w="0" w:type="dxa"/>
              <w:left w:w="108" w:type="dxa"/>
              <w:bottom w:w="0" w:type="dxa"/>
              <w:right w:w="108" w:type="dxa"/>
            </w:tcMar>
            <w:vAlign w:val="center"/>
          </w:tcPr>
          <w:p w14:paraId="3558EAAE" w14:textId="77777777" w:rsidR="00D94C1E" w:rsidRPr="00CE28E3" w:rsidRDefault="00D94C1E" w:rsidP="003145AC">
            <w:pPr>
              <w:pStyle w:val="TableText"/>
              <w:jc w:val="center"/>
            </w:pPr>
            <w:r w:rsidRPr="00F7157D">
              <w:t>$458,750</w:t>
            </w:r>
          </w:p>
        </w:tc>
      </w:tr>
      <w:tr w:rsidR="00D94C1E" w:rsidRPr="00CE28E3" w14:paraId="0E1AF470" w14:textId="77777777" w:rsidTr="003145AC">
        <w:tc>
          <w:tcPr>
            <w:tcW w:w="0" w:type="auto"/>
            <w:tcMar>
              <w:top w:w="0" w:type="dxa"/>
              <w:left w:w="108" w:type="dxa"/>
              <w:bottom w:w="0" w:type="dxa"/>
              <w:right w:w="108" w:type="dxa"/>
            </w:tcMar>
          </w:tcPr>
          <w:p w14:paraId="5D8250ED" w14:textId="77777777" w:rsidR="00D94C1E" w:rsidRPr="00CE28E3" w:rsidRDefault="00D94C1E" w:rsidP="003145AC">
            <w:pPr>
              <w:pStyle w:val="TableText"/>
            </w:pPr>
            <w:r w:rsidRPr="00803E65">
              <w:rPr>
                <w:b/>
                <w:bCs/>
              </w:rPr>
              <w:t xml:space="preserve">Total </w:t>
            </w:r>
            <w:r>
              <w:rPr>
                <w:b/>
                <w:bCs/>
              </w:rPr>
              <w:t>cost</w:t>
            </w:r>
            <w:r w:rsidRPr="00803E65">
              <w:rPr>
                <w:b/>
                <w:bCs/>
              </w:rPr>
              <w:t xml:space="preserve"> </w:t>
            </w:r>
          </w:p>
        </w:tc>
        <w:tc>
          <w:tcPr>
            <w:tcW w:w="0" w:type="auto"/>
            <w:tcMar>
              <w:top w:w="0" w:type="dxa"/>
              <w:left w:w="108" w:type="dxa"/>
              <w:bottom w:w="0" w:type="dxa"/>
              <w:right w:w="108" w:type="dxa"/>
            </w:tcMar>
            <w:vAlign w:val="center"/>
          </w:tcPr>
          <w:p w14:paraId="6B67859D" w14:textId="77777777" w:rsidR="00D94C1E" w:rsidRPr="00AC6B44" w:rsidRDefault="00D94C1E" w:rsidP="003145AC">
            <w:pPr>
              <w:pStyle w:val="TableText"/>
              <w:jc w:val="center"/>
              <w:rPr>
                <w:b/>
                <w:bCs/>
              </w:rPr>
            </w:pPr>
            <w:r w:rsidRPr="00AC6B44">
              <w:rPr>
                <w:b/>
                <w:bCs/>
              </w:rPr>
              <w:t>$3,333,409</w:t>
            </w:r>
          </w:p>
        </w:tc>
        <w:tc>
          <w:tcPr>
            <w:tcW w:w="0" w:type="auto"/>
            <w:tcMar>
              <w:top w:w="0" w:type="dxa"/>
              <w:left w:w="108" w:type="dxa"/>
              <w:bottom w:w="0" w:type="dxa"/>
              <w:right w:w="108" w:type="dxa"/>
            </w:tcMar>
            <w:vAlign w:val="center"/>
          </w:tcPr>
          <w:p w14:paraId="7D7DB8FD" w14:textId="77777777" w:rsidR="00D94C1E" w:rsidRPr="00AC6B44" w:rsidRDefault="00D94C1E" w:rsidP="003145AC">
            <w:pPr>
              <w:pStyle w:val="TableText"/>
              <w:jc w:val="center"/>
              <w:rPr>
                <w:b/>
                <w:bCs/>
              </w:rPr>
            </w:pPr>
            <w:r w:rsidRPr="00AC6B44">
              <w:rPr>
                <w:b/>
                <w:bCs/>
              </w:rPr>
              <w:t>$6,174,545</w:t>
            </w:r>
          </w:p>
        </w:tc>
        <w:tc>
          <w:tcPr>
            <w:tcW w:w="0" w:type="auto"/>
            <w:tcMar>
              <w:top w:w="0" w:type="dxa"/>
              <w:left w:w="108" w:type="dxa"/>
              <w:bottom w:w="0" w:type="dxa"/>
              <w:right w:w="108" w:type="dxa"/>
            </w:tcMar>
            <w:vAlign w:val="center"/>
          </w:tcPr>
          <w:p w14:paraId="5B2EC3E9" w14:textId="77777777" w:rsidR="00D94C1E" w:rsidRPr="00AC6B44" w:rsidRDefault="00D94C1E" w:rsidP="003145AC">
            <w:pPr>
              <w:pStyle w:val="TableText"/>
              <w:jc w:val="center"/>
              <w:rPr>
                <w:b/>
                <w:bCs/>
              </w:rPr>
            </w:pPr>
            <w:r w:rsidRPr="00AC6B44">
              <w:rPr>
                <w:b/>
                <w:bCs/>
              </w:rPr>
              <w:t>$9,117,073</w:t>
            </w:r>
          </w:p>
        </w:tc>
        <w:tc>
          <w:tcPr>
            <w:tcW w:w="0" w:type="auto"/>
            <w:tcMar>
              <w:top w:w="0" w:type="dxa"/>
              <w:left w:w="108" w:type="dxa"/>
              <w:bottom w:w="0" w:type="dxa"/>
              <w:right w:w="108" w:type="dxa"/>
            </w:tcMar>
            <w:vAlign w:val="center"/>
          </w:tcPr>
          <w:p w14:paraId="2C1EA12E" w14:textId="77777777" w:rsidR="00D94C1E" w:rsidRPr="00AC6B44" w:rsidRDefault="00D94C1E" w:rsidP="003145AC">
            <w:pPr>
              <w:pStyle w:val="TableText"/>
              <w:jc w:val="center"/>
              <w:rPr>
                <w:b/>
                <w:bCs/>
              </w:rPr>
            </w:pPr>
            <w:r w:rsidRPr="00AC6B44">
              <w:rPr>
                <w:b/>
                <w:bCs/>
              </w:rPr>
              <w:t>$12,031,473</w:t>
            </w:r>
          </w:p>
        </w:tc>
        <w:tc>
          <w:tcPr>
            <w:tcW w:w="1129" w:type="dxa"/>
            <w:tcMar>
              <w:top w:w="0" w:type="dxa"/>
              <w:left w:w="108" w:type="dxa"/>
              <w:bottom w:w="0" w:type="dxa"/>
              <w:right w:w="108" w:type="dxa"/>
            </w:tcMar>
            <w:vAlign w:val="center"/>
          </w:tcPr>
          <w:p w14:paraId="2E1A2BE4" w14:textId="77777777" w:rsidR="00D94C1E" w:rsidRPr="00AC6B44" w:rsidRDefault="00D94C1E" w:rsidP="003145AC">
            <w:pPr>
              <w:pStyle w:val="TableText"/>
              <w:jc w:val="center"/>
              <w:rPr>
                <w:b/>
                <w:bCs/>
              </w:rPr>
            </w:pPr>
            <w:r w:rsidRPr="00AC6B44">
              <w:rPr>
                <w:b/>
                <w:bCs/>
              </w:rPr>
              <w:t>$15,185,040</w:t>
            </w:r>
          </w:p>
        </w:tc>
        <w:tc>
          <w:tcPr>
            <w:tcW w:w="1129" w:type="dxa"/>
            <w:tcMar>
              <w:top w:w="0" w:type="dxa"/>
              <w:left w:w="108" w:type="dxa"/>
              <w:bottom w:w="0" w:type="dxa"/>
              <w:right w:w="108" w:type="dxa"/>
            </w:tcMar>
            <w:vAlign w:val="center"/>
          </w:tcPr>
          <w:p w14:paraId="3D129CED" w14:textId="77777777" w:rsidR="00D94C1E" w:rsidRPr="00AC6B44" w:rsidRDefault="00D94C1E" w:rsidP="003145AC">
            <w:pPr>
              <w:pStyle w:val="TableText"/>
              <w:jc w:val="center"/>
              <w:rPr>
                <w:b/>
                <w:bCs/>
              </w:rPr>
            </w:pPr>
            <w:r w:rsidRPr="00AC6B44">
              <w:rPr>
                <w:b/>
                <w:bCs/>
              </w:rPr>
              <w:t>$15,450,113</w:t>
            </w:r>
          </w:p>
        </w:tc>
      </w:tr>
    </w:tbl>
    <w:p w14:paraId="314B5062" w14:textId="10521C3B" w:rsidR="00215AFB" w:rsidRDefault="00BD2F74" w:rsidP="00227B5A">
      <w:pPr>
        <w:pStyle w:val="TableFooter"/>
        <w:keepLines/>
      </w:pPr>
      <w:r>
        <w:t xml:space="preserve">Source: Calculated by the Department. </w:t>
      </w:r>
    </w:p>
    <w:bookmarkEnd w:id="39"/>
    <w:p w14:paraId="15408D9E" w14:textId="4997D16B" w:rsidR="005715AB" w:rsidRDefault="005715AB" w:rsidP="00227B5A">
      <w:pPr>
        <w:pStyle w:val="TableFooter"/>
        <w:keepLines/>
      </w:pPr>
      <w:r>
        <w:t xml:space="preserve">Abbreviations: </w:t>
      </w:r>
      <w:r w:rsidR="00AC6B9F">
        <w:t xml:space="preserve">FTE = full time equivalent; NT = Northern Territory </w:t>
      </w:r>
    </w:p>
    <w:p w14:paraId="462A9CB2" w14:textId="41C5312B" w:rsidR="003A4462" w:rsidRDefault="00C379EE" w:rsidP="00836A43">
      <w:pPr>
        <w:spacing w:before="240"/>
      </w:pPr>
      <w:r>
        <w:t xml:space="preserve">The total cost of the proposed IPAC Program </w:t>
      </w:r>
      <w:r w:rsidR="00996720">
        <w:t>over six years was</w:t>
      </w:r>
      <w:r w:rsidR="00462B30">
        <w:t xml:space="preserve"> </w:t>
      </w:r>
      <w:r w:rsidR="002A7B4F">
        <w:t xml:space="preserve">$90 million for Department Model 1, </w:t>
      </w:r>
      <w:r w:rsidR="008D5DDD">
        <w:t>$71 million for Department Model 2 and $61</w:t>
      </w:r>
      <w:r w:rsidR="003F093E">
        <w:t xml:space="preserve"> million for Department Model 3. </w:t>
      </w:r>
      <w:r w:rsidR="003A4462">
        <w:t xml:space="preserve">The direct cost of the IPAC Program would be higher </w:t>
      </w:r>
      <w:r w:rsidR="0024542A">
        <w:t xml:space="preserve">if uptake is higher than forecast. </w:t>
      </w:r>
    </w:p>
    <w:p w14:paraId="1F047FFB" w14:textId="41C5312B" w:rsidR="000F4812" w:rsidRDefault="00642649" w:rsidP="00C379EE">
      <w:r>
        <w:t xml:space="preserve">The annual cost of </w:t>
      </w:r>
      <w:r w:rsidR="00CF1CAE">
        <w:t xml:space="preserve">the IPAC program would be </w:t>
      </w:r>
      <w:proofErr w:type="gramStart"/>
      <w:r w:rsidR="00CF1CAE">
        <w:t>similar to</w:t>
      </w:r>
      <w:proofErr w:type="gramEnd"/>
      <w:r w:rsidR="00CF1CAE">
        <w:t xml:space="preserve"> the annual cost of </w:t>
      </w:r>
      <w:r w:rsidR="000950B5">
        <w:t>the HMR Program</w:t>
      </w:r>
      <w:r w:rsidR="007E290D">
        <w:t xml:space="preserve"> (</w:t>
      </w:r>
      <w:r w:rsidR="00584300">
        <w:t xml:space="preserve">approximately </w:t>
      </w:r>
      <w:r w:rsidR="007E290D">
        <w:t>$22</w:t>
      </w:r>
      <w:r w:rsidR="00584300">
        <w:t> million per year</w:t>
      </w:r>
      <w:r w:rsidR="00A7463A">
        <w:t xml:space="preserve">) and </w:t>
      </w:r>
      <w:r w:rsidR="009231BC">
        <w:t>substan</w:t>
      </w:r>
      <w:r w:rsidR="00F713C1">
        <w:t>tially</w:t>
      </w:r>
      <w:r w:rsidR="009231BC">
        <w:t xml:space="preserve"> lower than the </w:t>
      </w:r>
      <w:proofErr w:type="spellStart"/>
      <w:r w:rsidR="00F713C1">
        <w:t>MedsCheck</w:t>
      </w:r>
      <w:proofErr w:type="spellEnd"/>
      <w:r w:rsidR="00F713C1">
        <w:t xml:space="preserve">/Diabetes </w:t>
      </w:r>
      <w:proofErr w:type="spellStart"/>
      <w:r w:rsidR="00F713C1">
        <w:t>MedsCheck</w:t>
      </w:r>
      <w:proofErr w:type="spellEnd"/>
      <w:r w:rsidR="00F713C1">
        <w:t xml:space="preserve"> Programs (</w:t>
      </w:r>
      <w:r w:rsidR="00B127E1">
        <w:t xml:space="preserve">approximately $40 million per year). </w:t>
      </w:r>
    </w:p>
    <w:p w14:paraId="1BE785D2" w14:textId="222BC87F" w:rsidR="00C379EE" w:rsidRDefault="005B5059" w:rsidP="00C379EE">
      <w:r>
        <w:t xml:space="preserve">The annual </w:t>
      </w:r>
      <w:r w:rsidR="00850ADA">
        <w:t xml:space="preserve">cost of the IPAC program will be substantially lower than </w:t>
      </w:r>
      <w:r w:rsidR="005B4790">
        <w:t xml:space="preserve">the </w:t>
      </w:r>
      <w:r w:rsidR="007102D3" w:rsidRPr="007102D3">
        <w:t xml:space="preserve">Aged Care on-site pharmacists </w:t>
      </w:r>
      <w:r w:rsidR="007102D3">
        <w:t xml:space="preserve">program </w:t>
      </w:r>
      <w:r w:rsidR="00BC189C">
        <w:t xml:space="preserve">that is expected to cost </w:t>
      </w:r>
      <w:r w:rsidR="00BC189C" w:rsidRPr="00BC189C">
        <w:t>$345.7 million</w:t>
      </w:r>
      <w:r w:rsidR="00BC189C">
        <w:t xml:space="preserve"> over 4 years</w:t>
      </w:r>
      <w:r w:rsidR="00C27B99">
        <w:t xml:space="preserve">. </w:t>
      </w:r>
    </w:p>
    <w:p w14:paraId="79B65AB2" w14:textId="64E73FB1" w:rsidR="007A543B" w:rsidRDefault="008211EC" w:rsidP="00C379EE">
      <w:r>
        <w:t xml:space="preserve">The </w:t>
      </w:r>
      <w:r w:rsidR="005C0839">
        <w:t xml:space="preserve">IPAC Program </w:t>
      </w:r>
      <w:r w:rsidR="009F4B5A">
        <w:t xml:space="preserve">may </w:t>
      </w:r>
      <w:r w:rsidR="00A2021A">
        <w:t xml:space="preserve">increase MBS costs </w:t>
      </w:r>
      <w:r w:rsidR="00BF266A">
        <w:t xml:space="preserve">for MBS </w:t>
      </w:r>
      <w:r w:rsidR="00AE597B">
        <w:t xml:space="preserve">items 900 and </w:t>
      </w:r>
      <w:r w:rsidR="007B74DA">
        <w:t xml:space="preserve">245 for </w:t>
      </w:r>
      <w:r w:rsidR="00001135">
        <w:t xml:space="preserve">a </w:t>
      </w:r>
      <w:r w:rsidR="00001135" w:rsidRPr="00001135">
        <w:t>medical practitioner</w:t>
      </w:r>
      <w:r w:rsidR="00001135">
        <w:t>’s involvement in a medication review</w:t>
      </w:r>
      <w:r w:rsidR="00EF3724">
        <w:t xml:space="preserve">. </w:t>
      </w:r>
      <w:r w:rsidR="00005A1A">
        <w:t xml:space="preserve">If the IPAC program results in overall greater utilisation of medicines, there may be additional costs of the PBS. </w:t>
      </w:r>
      <w:r w:rsidR="001426A6">
        <w:t xml:space="preserve">These costs may increase net costs to government but may result in </w:t>
      </w:r>
      <w:r w:rsidR="00B17273">
        <w:t xml:space="preserve">patients receiving overall better quality of care. </w:t>
      </w:r>
    </w:p>
    <w:p w14:paraId="7838A9FF" w14:textId="03BB2FCC" w:rsidR="00772829" w:rsidRPr="00CE28E3" w:rsidRDefault="00C36633" w:rsidP="002A18BE">
      <w:pPr>
        <w:pStyle w:val="Heading2"/>
        <w:numPr>
          <w:ilvl w:val="0"/>
          <w:numId w:val="0"/>
        </w:numPr>
      </w:pPr>
      <w:bookmarkStart w:id="40" w:name="_Toc69491427"/>
      <w:bookmarkStart w:id="41" w:name="_Ref128506089"/>
      <w:r>
        <w:t>1</w:t>
      </w:r>
      <w:r w:rsidR="0039393C">
        <w:t>5</w:t>
      </w:r>
      <w:r>
        <w:t>.</w:t>
      </w:r>
      <w:r>
        <w:tab/>
      </w:r>
      <w:r w:rsidR="00772829" w:rsidRPr="00CE28E3">
        <w:t xml:space="preserve">Other relevant </w:t>
      </w:r>
      <w:bookmarkEnd w:id="40"/>
      <w:r w:rsidR="00FA5766">
        <w:t>information</w:t>
      </w:r>
      <w:bookmarkEnd w:id="41"/>
    </w:p>
    <w:p w14:paraId="2CB46680" w14:textId="2DB3FDA3" w:rsidR="00583466" w:rsidRDefault="000D515B" w:rsidP="007026A1">
      <w:pPr>
        <w:pStyle w:val="Heading3"/>
      </w:pPr>
      <w:r>
        <w:t>Qualitative Evidence</w:t>
      </w:r>
    </w:p>
    <w:p w14:paraId="698660B4" w14:textId="16835CC5" w:rsidR="0001159C" w:rsidRDefault="0001159C" w:rsidP="0001159C">
      <w:r>
        <w:t>At its March 2022 meeting, MSAC noted the positive qualitative assessments by participants, GP</w:t>
      </w:r>
      <w:r w:rsidR="004B032A">
        <w:t>s</w:t>
      </w:r>
      <w:r>
        <w:t xml:space="preserve">, IPAC pharmacists, health service staff and managers and community pharmacists. MSAC noted the qualitative outcomes were positive. </w:t>
      </w:r>
      <w:proofErr w:type="gramStart"/>
      <w:r>
        <w:t>In particular, MSAC</w:t>
      </w:r>
      <w:proofErr w:type="gramEnd"/>
      <w:r>
        <w:t xml:space="preserve"> noted that nearly all the GPs provided positive feedback</w:t>
      </w:r>
      <w:r w:rsidR="00EF3724">
        <w:t xml:space="preserve">. </w:t>
      </w:r>
      <w:r>
        <w:t xml:space="preserve">While MSAC noted the positive narrative assessments, MSAC considered a formal appraisal and synthesis of the qualitative assessments should be performed. </w:t>
      </w:r>
    </w:p>
    <w:p w14:paraId="6338D086" w14:textId="18F65296" w:rsidR="0001159C" w:rsidRDefault="0001159C" w:rsidP="0001159C">
      <w:r>
        <w:lastRenderedPageBreak/>
        <w:t xml:space="preserve">The IPAC qualitative assessment was informed by 104 participants, including 24 IPAC pharmacists, 13 general practitioners, 12 service managers, ten community pharmacists, 17 health service staff, and 17 patients. Data from 24 IPAC pharmacists was collected using multiple methods including semi-structured interviews. ACCHS staff, patients and pharmacists identified many benefits to having a pharmacist integrated within the ACCHS. These were briefly summarised in </w:t>
      </w:r>
      <w:hyperlink r:id="rId34" w:history="1">
        <w:r w:rsidR="00BE71D1" w:rsidRPr="00330E91">
          <w:rPr>
            <w:rStyle w:val="Hyperlink"/>
          </w:rPr>
          <w:t>MSAC 1678 Public Summary Document</w:t>
        </w:r>
      </w:hyperlink>
      <w:r>
        <w:t xml:space="preserve"> and remain unchanged. </w:t>
      </w:r>
    </w:p>
    <w:p w14:paraId="15A49D8B" w14:textId="77777777" w:rsidR="0001159C" w:rsidRDefault="0001159C" w:rsidP="0001159C">
      <w:r>
        <w:t>The Commentary on the IPAC qualitative evidence (presented in MSAC application 1678 ADAR), in appraising and synthesising the qualitative evidence, aimed to answer the following questions:</w:t>
      </w:r>
    </w:p>
    <w:p w14:paraId="673C9072" w14:textId="498BECC0" w:rsidR="0001159C" w:rsidRDefault="0001159C" w:rsidP="003B3012">
      <w:pPr>
        <w:pStyle w:val="ListParagraph"/>
        <w:numPr>
          <w:ilvl w:val="0"/>
          <w:numId w:val="34"/>
        </w:numPr>
      </w:pPr>
      <w:r>
        <w:t>Did the proposed aim and methodology applied in the qualitative research align with the research activities conducted?</w:t>
      </w:r>
    </w:p>
    <w:p w14:paraId="197E5309" w14:textId="0F37BCD2" w:rsidR="0001159C" w:rsidRDefault="0001159C" w:rsidP="003B3012">
      <w:pPr>
        <w:pStyle w:val="ListParagraph"/>
        <w:numPr>
          <w:ilvl w:val="0"/>
          <w:numId w:val="34"/>
        </w:numPr>
      </w:pPr>
      <w:r>
        <w:t>Was the research approach consistent with best practice?</w:t>
      </w:r>
    </w:p>
    <w:p w14:paraId="1E445025" w14:textId="2E62ADA5" w:rsidR="0001159C" w:rsidRDefault="0001159C" w:rsidP="009C722E">
      <w:pPr>
        <w:pStyle w:val="ListParagraph"/>
        <w:numPr>
          <w:ilvl w:val="0"/>
          <w:numId w:val="34"/>
        </w:numPr>
      </w:pPr>
      <w:r>
        <w:t>Were the conclusions and recommendations consistent with the evidence presented?</w:t>
      </w:r>
    </w:p>
    <w:p w14:paraId="3DC3670B" w14:textId="57BAA947" w:rsidR="0001159C" w:rsidRDefault="0001159C" w:rsidP="0001159C">
      <w:r>
        <w:t>To facilitate consideration of these questions, the appraisal applied the Joanna-Briggs Inventory (JBI)</w:t>
      </w:r>
      <w:r w:rsidR="003B3012">
        <w:rPr>
          <w:rStyle w:val="FootnoteReference"/>
        </w:rPr>
        <w:footnoteReference w:id="14"/>
      </w:r>
      <w:r>
        <w:t xml:space="preserve"> for qualitative evidence to the overall evidence package, as well as the 32-item consolidated criteria for reporting qualitative research (COREQ)</w:t>
      </w:r>
      <w:r w:rsidR="005221D9">
        <w:rPr>
          <w:rStyle w:val="FootnoteReference"/>
        </w:rPr>
        <w:footnoteReference w:id="15"/>
      </w:r>
      <w:r>
        <w:t xml:space="preserve"> checklist for assessing the quality of reporting in the qualitative evidence report and potential risk of bias with each of the individual sources (as described above) used in accessing qualitative data.  </w:t>
      </w:r>
    </w:p>
    <w:p w14:paraId="0C54F567" w14:textId="2EFCE40F" w:rsidR="0001159C" w:rsidRDefault="0001159C" w:rsidP="0001159C">
      <w:r>
        <w:t>In addition, given the explicit focus of the IPAC project on Aboriginal and Torres Strait Islander health, the 14-item Aboriginal and Torres Strait Islander Quality Appraisal Tool (QAT)</w:t>
      </w:r>
      <w:r w:rsidR="00EB5404">
        <w:rPr>
          <w:rStyle w:val="FootnoteReference"/>
        </w:rPr>
        <w:footnoteReference w:id="16"/>
      </w:r>
      <w:r>
        <w:t xml:space="preserve"> has also been applied in assessing whether the qualitative evidence report followed best practice for culturally safe research in an Indigenous health context.  </w:t>
      </w:r>
    </w:p>
    <w:p w14:paraId="56533F7B" w14:textId="77777777" w:rsidR="0001159C" w:rsidRDefault="0001159C" w:rsidP="009C722E">
      <w:pPr>
        <w:pStyle w:val="Heading4"/>
      </w:pPr>
      <w:r>
        <w:t>Results of the Commentary appraisal of the qualitative evidence</w:t>
      </w:r>
    </w:p>
    <w:p w14:paraId="52B72E5E" w14:textId="7B4121C0" w:rsidR="0001159C" w:rsidRDefault="0001159C" w:rsidP="0001159C">
      <w:r>
        <w:t xml:space="preserve">The Commentary considered that in general, the IPAC qualitative methods were appropriate qualitative research methods to capture participants’ perceptions and experiences of the IPAC program. The use of several methods and sources of data collection, and multiple researchers to analyse the data supports the credibility of the findings. The conduct of interviews and focus groups aligns with the stated aims of the research. However, it was not clear from the information provided whether the online (GP) surveys fulfilled the stated research aims, largely because the capacity for open text responses within fields was, by nature, more restrictive (than could have occurred via an interview, for example).  </w:t>
      </w:r>
    </w:p>
    <w:p w14:paraId="587AC070" w14:textId="0CB8CB33" w:rsidR="0001159C" w:rsidRDefault="0001159C" w:rsidP="0001159C">
      <w:r>
        <w:t xml:space="preserve">The Commentary considered that the conduct of the qualitative research was generally consistent with good research practice. However, there appear to have been some deviations from best practice, including: </w:t>
      </w:r>
    </w:p>
    <w:p w14:paraId="78355EED" w14:textId="09634EC0" w:rsidR="0001159C" w:rsidRDefault="0001159C" w:rsidP="00885866">
      <w:pPr>
        <w:pStyle w:val="ListParagraph"/>
        <w:numPr>
          <w:ilvl w:val="0"/>
          <w:numId w:val="18"/>
        </w:numPr>
      </w:pPr>
      <w:r>
        <w:t xml:space="preserve">The applicant’s claim that the qualitative research component of the IPAC </w:t>
      </w:r>
      <w:r w:rsidR="00D76801">
        <w:t xml:space="preserve">study </w:t>
      </w:r>
      <w:r>
        <w:t xml:space="preserve">adhered to a </w:t>
      </w:r>
      <w:r w:rsidR="0CCF9670">
        <w:t>community-based participatory research</w:t>
      </w:r>
      <w:r>
        <w:t xml:space="preserve"> </w:t>
      </w:r>
      <w:r w:rsidR="5C8A90C3">
        <w:t>(</w:t>
      </w:r>
      <w:r>
        <w:t>CBPR</w:t>
      </w:r>
      <w:r w:rsidR="47C9BFA7">
        <w:t>)</w:t>
      </w:r>
      <w:r>
        <w:t xml:space="preserve"> model was not well substantiated</w:t>
      </w:r>
      <w:r w:rsidR="00EF3724">
        <w:t xml:space="preserve">. </w:t>
      </w:r>
      <w:r>
        <w:t>The details of the community groups involved and their roles throughout the various stages of the qualitative research process were not clearly articulated.</w:t>
      </w:r>
    </w:p>
    <w:p w14:paraId="3287ACEC" w14:textId="4440A339" w:rsidR="0001159C" w:rsidRDefault="0001159C" w:rsidP="00885866">
      <w:pPr>
        <w:pStyle w:val="ListParagraph"/>
        <w:numPr>
          <w:ilvl w:val="0"/>
          <w:numId w:val="18"/>
        </w:numPr>
      </w:pPr>
      <w:r>
        <w:lastRenderedPageBreak/>
        <w:t>Although the pre-planned documentation indicated that a thematic analysis would be applied, the findings reported in the IPAC qualitative evidence report were based on a narrative synthesis of results by prompt/question presented in each of the study approaches.</w:t>
      </w:r>
    </w:p>
    <w:p w14:paraId="1A01B945" w14:textId="09B3DF9A" w:rsidR="0001159C" w:rsidRDefault="0001159C" w:rsidP="00885866">
      <w:pPr>
        <w:pStyle w:val="ListParagraph"/>
        <w:numPr>
          <w:ilvl w:val="0"/>
          <w:numId w:val="18"/>
        </w:numPr>
      </w:pPr>
      <w:r>
        <w:t xml:space="preserve">Survey questions and instruments were piloted among members of the research team rather than potential research participants. </w:t>
      </w:r>
    </w:p>
    <w:p w14:paraId="4F2D563F" w14:textId="0F38FD4B" w:rsidR="0001159C" w:rsidRDefault="0001159C" w:rsidP="00885866">
      <w:pPr>
        <w:pStyle w:val="ListParagraph"/>
        <w:numPr>
          <w:ilvl w:val="0"/>
          <w:numId w:val="18"/>
        </w:numPr>
      </w:pPr>
      <w:r>
        <w:t>Multiple methods for sourcing qualitative evidence (e.g., online surveys, site-visit interviews) were combined within one research group (e.g., GPs) without clear explication of how the data from those sources were combined and weighted.</w:t>
      </w:r>
    </w:p>
    <w:p w14:paraId="195281FC" w14:textId="4972A658" w:rsidR="0001159C" w:rsidRDefault="0001159C" w:rsidP="00885866">
      <w:pPr>
        <w:pStyle w:val="ListParagraph"/>
        <w:numPr>
          <w:ilvl w:val="0"/>
          <w:numId w:val="18"/>
        </w:numPr>
      </w:pPr>
      <w:r>
        <w:t>There was an over-reliance on single quotes to justify recommendations arising from the research (rather than such instances being used as indicative of areas for further exploration).</w:t>
      </w:r>
    </w:p>
    <w:p w14:paraId="0697FEC2" w14:textId="02E1534A" w:rsidR="0001159C" w:rsidRDefault="0001159C" w:rsidP="0001159C">
      <w:r>
        <w:t>The IPAC qualitative evidence report’s recommendations arising from the qualitative evidence to enhance future implementation are enumerated</w:t>
      </w:r>
      <w:r w:rsidR="092C0AD4">
        <w:t>,</w:t>
      </w:r>
      <w:r>
        <w:t xml:space="preserve"> </w:t>
      </w:r>
      <w:r w:rsidR="004B132E">
        <w:fldChar w:fldCharType="begin"/>
      </w:r>
      <w:r w:rsidR="004B132E">
        <w:instrText xml:space="preserve"> REF _Ref127858606 \h </w:instrText>
      </w:r>
      <w:r w:rsidR="004B132E">
        <w:fldChar w:fldCharType="separate"/>
      </w:r>
      <w:r w:rsidR="00854063" w:rsidRPr="00836FDB">
        <w:t>Congruence of conclusions and recommendations with the evidence presented</w:t>
      </w:r>
      <w:r w:rsidR="004B132E">
        <w:fldChar w:fldCharType="end"/>
      </w:r>
      <w:r w:rsidR="004B132E">
        <w:t xml:space="preserve"> in </w:t>
      </w:r>
      <w:r w:rsidR="004B132E" w:rsidRPr="00E65EB8">
        <w:fldChar w:fldCharType="begin"/>
      </w:r>
      <w:r w:rsidR="004B132E" w:rsidRPr="00E65EB8">
        <w:instrText xml:space="preserve"> REF _Ref114497278 \h </w:instrText>
      </w:r>
      <w:r w:rsidR="00E65EB8">
        <w:instrText xml:space="preserve"> \* MERGEFORMAT </w:instrText>
      </w:r>
      <w:r w:rsidR="004B132E" w:rsidRPr="00E65EB8">
        <w:fldChar w:fldCharType="separate"/>
      </w:r>
      <w:r w:rsidR="00E65EB8" w:rsidRPr="000D1C42">
        <w:t xml:space="preserve">Table </w:t>
      </w:r>
      <w:r w:rsidR="00E65EB8" w:rsidRPr="000D1C42">
        <w:rPr>
          <w:noProof/>
        </w:rPr>
        <w:t>16</w:t>
      </w:r>
      <w:r w:rsidR="004B132E" w:rsidRPr="00E65EB8">
        <w:fldChar w:fldCharType="end"/>
      </w:r>
      <w:r w:rsidR="004B132E">
        <w:t xml:space="preserve">. </w:t>
      </w:r>
      <w:r>
        <w:t xml:space="preserve">The Commentary noted that </w:t>
      </w:r>
      <w:r w:rsidR="00BB7DB0">
        <w:t>12</w:t>
      </w:r>
      <w:r>
        <w:t xml:space="preserve"> of the </w:t>
      </w:r>
      <w:r w:rsidR="0053315C">
        <w:t>23</w:t>
      </w:r>
      <w:r w:rsidR="00624CB1">
        <w:t xml:space="preserve"> </w:t>
      </w:r>
      <w:r>
        <w:t xml:space="preserve">recommendations presented in the qualitative evidence report were well supported by evidence—drawn from respondents representing two (seven recommendations) or three (five recommendations) of the five identified stakeholder groups (i.e., IPAC pharmacists, clinical staff, health service managers, community pharmacists and patients). However, </w:t>
      </w:r>
      <w:r w:rsidR="0053315C">
        <w:t>11</w:t>
      </w:r>
      <w:r>
        <w:t xml:space="preserve"> of </w:t>
      </w:r>
      <w:r w:rsidR="0053315C">
        <w:t xml:space="preserve">the 23 </w:t>
      </w:r>
      <w:r>
        <w:t>recommendations were poorly supported (i.e., were drawn from responses of only one stakeholder group (8 recommendations) and/or were supported by a single quote or were not clearly substantiated (3 recommendations) by the evidence presented—either directly (in the form of quotes or excerpts) or indirectly (through a synthesis of qualitative findings). This was particularly the case for recommendations focusing on payments for IPAC services.</w:t>
      </w:r>
    </w:p>
    <w:p w14:paraId="116D0D58" w14:textId="1944EF57" w:rsidR="0001159C" w:rsidRDefault="0001159C" w:rsidP="0001159C">
      <w:r>
        <w:t xml:space="preserve">The applicant response to the Commentary on the IPAC qualitative evidence reiterated that </w:t>
      </w:r>
      <w:r w:rsidR="6B8EF1C6">
        <w:t xml:space="preserve">the </w:t>
      </w:r>
      <w:r>
        <w:t>IPAC</w:t>
      </w:r>
      <w:r w:rsidR="00D76801">
        <w:t xml:space="preserve"> study</w:t>
      </w:r>
      <w:r>
        <w:t xml:space="preserve"> adopted the CBPR criteria modelled on World Health Organisation (WHO) guiding principles for CBPR and that for pragmatic reasons, deductive analysis was first undertaken but for pragmatic reasons inductive thematic analysis using the constant comparison approach was then used.</w:t>
      </w:r>
    </w:p>
    <w:p w14:paraId="0EAD5115" w14:textId="7264FFD7" w:rsidR="00E4053A" w:rsidRPr="00836A43" w:rsidRDefault="00E4053A" w:rsidP="00E4053A">
      <w:pPr>
        <w:pStyle w:val="Caption"/>
        <w:rPr>
          <w:sz w:val="20"/>
        </w:rPr>
      </w:pPr>
      <w:bookmarkStart w:id="42" w:name="_Ref114497278"/>
      <w:r w:rsidRPr="00836A43">
        <w:rPr>
          <w:sz w:val="20"/>
        </w:rPr>
        <w:t xml:space="preserve">Table </w:t>
      </w:r>
      <w:r w:rsidR="00EF4077" w:rsidRPr="00836A43">
        <w:rPr>
          <w:sz w:val="20"/>
        </w:rPr>
        <w:fldChar w:fldCharType="begin"/>
      </w:r>
      <w:r w:rsidR="00EF4077" w:rsidRPr="00836A43">
        <w:rPr>
          <w:sz w:val="20"/>
        </w:rPr>
        <w:instrText xml:space="preserve"> SEQ Table \* ARABIC </w:instrText>
      </w:r>
      <w:r w:rsidR="00EF4077" w:rsidRPr="00836A43">
        <w:rPr>
          <w:sz w:val="20"/>
        </w:rPr>
        <w:fldChar w:fldCharType="separate"/>
      </w:r>
      <w:r w:rsidR="003373AC">
        <w:rPr>
          <w:noProof/>
          <w:sz w:val="20"/>
        </w:rPr>
        <w:t>16</w:t>
      </w:r>
      <w:r w:rsidR="00EF4077" w:rsidRPr="00836A43">
        <w:rPr>
          <w:noProof/>
          <w:sz w:val="20"/>
        </w:rPr>
        <w:fldChar w:fldCharType="end"/>
      </w:r>
      <w:bookmarkEnd w:id="42"/>
      <w:r w:rsidRPr="00836A43">
        <w:rPr>
          <w:sz w:val="20"/>
        </w:rPr>
        <w:t xml:space="preserve">  </w:t>
      </w:r>
      <w:bookmarkStart w:id="43" w:name="_Ref127858606"/>
      <w:r w:rsidRPr="00836A43">
        <w:rPr>
          <w:sz w:val="20"/>
        </w:rPr>
        <w:t>Congruence of conclusions and recommendations with the evidence presented</w:t>
      </w:r>
      <w:bookmarkEnd w:id="43"/>
    </w:p>
    <w:tbl>
      <w:tblPr>
        <w:tblStyle w:val="TableGrid"/>
        <w:tblW w:w="9654" w:type="dxa"/>
        <w:tblLayout w:type="fixed"/>
        <w:tblLook w:val="04A0" w:firstRow="1" w:lastRow="0" w:firstColumn="1" w:lastColumn="0" w:noHBand="0" w:noVBand="1"/>
      </w:tblPr>
      <w:tblGrid>
        <w:gridCol w:w="4390"/>
        <w:gridCol w:w="465"/>
        <w:gridCol w:w="446"/>
        <w:gridCol w:w="446"/>
        <w:gridCol w:w="446"/>
        <w:gridCol w:w="485"/>
        <w:gridCol w:w="2976"/>
      </w:tblGrid>
      <w:tr w:rsidR="00173003" w:rsidRPr="0028719F" w14:paraId="7141582A" w14:textId="77777777" w:rsidTr="00885393">
        <w:trPr>
          <w:tblHeader/>
        </w:trPr>
        <w:tc>
          <w:tcPr>
            <w:tcW w:w="4390" w:type="dxa"/>
            <w:tcBorders>
              <w:bottom w:val="nil"/>
            </w:tcBorders>
          </w:tcPr>
          <w:p w14:paraId="6607BBC1" w14:textId="77777777" w:rsidR="00173003" w:rsidRPr="0028719F" w:rsidRDefault="00173003" w:rsidP="00870D51">
            <w:pPr>
              <w:pStyle w:val="Tabletext0"/>
              <w:spacing w:before="0" w:after="0"/>
              <w:jc w:val="left"/>
            </w:pPr>
            <w:r w:rsidRPr="0028719F">
              <w:t>Recommended potential pathways to implementation</w:t>
            </w:r>
          </w:p>
        </w:tc>
        <w:tc>
          <w:tcPr>
            <w:tcW w:w="2288" w:type="dxa"/>
            <w:gridSpan w:val="5"/>
          </w:tcPr>
          <w:p w14:paraId="51BAC9B5" w14:textId="77777777" w:rsidR="00173003" w:rsidRPr="0028719F" w:rsidRDefault="00173003" w:rsidP="00870D51">
            <w:pPr>
              <w:pStyle w:val="Tabletext0"/>
              <w:spacing w:before="0" w:after="0"/>
              <w:jc w:val="center"/>
            </w:pPr>
            <w:r w:rsidRPr="0028719F">
              <w:t>Stakeholder</w:t>
            </w:r>
          </w:p>
        </w:tc>
        <w:tc>
          <w:tcPr>
            <w:tcW w:w="2976" w:type="dxa"/>
            <w:tcBorders>
              <w:bottom w:val="nil"/>
            </w:tcBorders>
          </w:tcPr>
          <w:p w14:paraId="05D9027E" w14:textId="77777777" w:rsidR="00173003" w:rsidRPr="0028719F" w:rsidRDefault="00173003" w:rsidP="00870D51">
            <w:pPr>
              <w:pStyle w:val="Tabletext0"/>
              <w:spacing w:before="0" w:after="0"/>
              <w:jc w:val="left"/>
            </w:pPr>
            <w:r w:rsidRPr="0028719F">
              <w:t>Evaluator’s Comment</w:t>
            </w:r>
          </w:p>
        </w:tc>
      </w:tr>
      <w:tr w:rsidR="00173003" w:rsidRPr="0028719F" w14:paraId="26E570AE" w14:textId="77777777" w:rsidTr="00885393">
        <w:trPr>
          <w:cantSplit/>
          <w:trHeight w:val="1284"/>
          <w:tblHeader/>
        </w:trPr>
        <w:tc>
          <w:tcPr>
            <w:tcW w:w="4390" w:type="dxa"/>
            <w:tcBorders>
              <w:top w:val="nil"/>
            </w:tcBorders>
          </w:tcPr>
          <w:p w14:paraId="72E02C87" w14:textId="77777777" w:rsidR="00173003" w:rsidRPr="0028719F" w:rsidRDefault="00173003" w:rsidP="00870D51">
            <w:pPr>
              <w:pStyle w:val="Tabletext0"/>
              <w:spacing w:before="0" w:after="0"/>
              <w:jc w:val="left"/>
            </w:pPr>
          </w:p>
        </w:tc>
        <w:tc>
          <w:tcPr>
            <w:tcW w:w="465" w:type="dxa"/>
            <w:textDirection w:val="btLr"/>
          </w:tcPr>
          <w:p w14:paraId="1D193F31" w14:textId="77777777" w:rsidR="00173003" w:rsidRPr="0028719F" w:rsidRDefault="00173003" w:rsidP="00870D51">
            <w:pPr>
              <w:pStyle w:val="Tabletext0"/>
              <w:spacing w:before="0" w:after="0"/>
              <w:jc w:val="left"/>
            </w:pPr>
            <w:r>
              <w:t xml:space="preserve">IPAC </w:t>
            </w:r>
            <w:r w:rsidRPr="0028719F">
              <w:t xml:space="preserve">Pharmacist </w:t>
            </w:r>
          </w:p>
        </w:tc>
        <w:tc>
          <w:tcPr>
            <w:tcW w:w="446" w:type="dxa"/>
            <w:textDirection w:val="btLr"/>
          </w:tcPr>
          <w:p w14:paraId="6C99EFEC" w14:textId="77777777" w:rsidR="00173003" w:rsidRPr="0028719F" w:rsidRDefault="00173003" w:rsidP="00870D51">
            <w:pPr>
              <w:pStyle w:val="Tabletext0"/>
              <w:spacing w:before="0" w:after="0"/>
              <w:jc w:val="left"/>
            </w:pPr>
            <w:r>
              <w:t>Clinical staff</w:t>
            </w:r>
          </w:p>
        </w:tc>
        <w:tc>
          <w:tcPr>
            <w:tcW w:w="446" w:type="dxa"/>
            <w:textDirection w:val="btLr"/>
          </w:tcPr>
          <w:p w14:paraId="6896289E" w14:textId="77777777" w:rsidR="00173003" w:rsidRPr="0028719F" w:rsidRDefault="00173003" w:rsidP="00870D51">
            <w:pPr>
              <w:pStyle w:val="Tabletext0"/>
              <w:spacing w:before="0" w:after="0"/>
              <w:jc w:val="left"/>
            </w:pPr>
            <w:r w:rsidRPr="0028719F">
              <w:t>HSM</w:t>
            </w:r>
          </w:p>
        </w:tc>
        <w:tc>
          <w:tcPr>
            <w:tcW w:w="446" w:type="dxa"/>
            <w:textDirection w:val="btLr"/>
          </w:tcPr>
          <w:p w14:paraId="63A12736" w14:textId="77777777" w:rsidR="00173003" w:rsidRPr="0028719F" w:rsidRDefault="00173003" w:rsidP="00870D51">
            <w:pPr>
              <w:pStyle w:val="Tabletext0"/>
              <w:spacing w:before="0" w:after="0"/>
              <w:jc w:val="left"/>
            </w:pPr>
            <w:r w:rsidRPr="0028719F">
              <w:t>C</w:t>
            </w:r>
            <w:r>
              <w:t>P</w:t>
            </w:r>
          </w:p>
        </w:tc>
        <w:tc>
          <w:tcPr>
            <w:tcW w:w="485" w:type="dxa"/>
            <w:textDirection w:val="btLr"/>
          </w:tcPr>
          <w:p w14:paraId="386A3F73" w14:textId="77777777" w:rsidR="00173003" w:rsidRPr="0028719F" w:rsidRDefault="00173003" w:rsidP="00870D51">
            <w:pPr>
              <w:pStyle w:val="Tabletext0"/>
              <w:spacing w:before="0" w:after="0"/>
              <w:jc w:val="left"/>
            </w:pPr>
            <w:r>
              <w:t>Patient</w:t>
            </w:r>
          </w:p>
        </w:tc>
        <w:tc>
          <w:tcPr>
            <w:tcW w:w="2976" w:type="dxa"/>
            <w:tcBorders>
              <w:top w:val="nil"/>
            </w:tcBorders>
          </w:tcPr>
          <w:p w14:paraId="5F10E9C7" w14:textId="77777777" w:rsidR="00173003" w:rsidRPr="0028719F" w:rsidRDefault="00173003" w:rsidP="00870D51">
            <w:pPr>
              <w:pStyle w:val="Tabletext0"/>
              <w:spacing w:before="0" w:after="0"/>
              <w:jc w:val="left"/>
            </w:pPr>
          </w:p>
        </w:tc>
      </w:tr>
      <w:tr w:rsidR="00173003" w:rsidRPr="0028719F" w14:paraId="38F17E8A" w14:textId="77777777" w:rsidTr="00885393">
        <w:tc>
          <w:tcPr>
            <w:tcW w:w="9654" w:type="dxa"/>
            <w:gridSpan w:val="7"/>
          </w:tcPr>
          <w:p w14:paraId="4B208094" w14:textId="77777777" w:rsidR="00173003" w:rsidRPr="0028719F" w:rsidRDefault="00173003" w:rsidP="00870D51">
            <w:pPr>
              <w:pStyle w:val="Tabletext0"/>
              <w:spacing w:before="0" w:after="0"/>
              <w:jc w:val="left"/>
            </w:pPr>
            <w:r w:rsidRPr="0028719F">
              <w:t>1. Support policy to integrate the role of non-dispensing pharmacist within ACCHSs</w:t>
            </w:r>
          </w:p>
        </w:tc>
      </w:tr>
      <w:tr w:rsidR="00173003" w:rsidRPr="0028719F" w14:paraId="5183E284" w14:textId="77777777" w:rsidTr="00885393">
        <w:tc>
          <w:tcPr>
            <w:tcW w:w="4390" w:type="dxa"/>
          </w:tcPr>
          <w:p w14:paraId="239046A2" w14:textId="77777777" w:rsidR="00173003" w:rsidRPr="0028719F" w:rsidRDefault="00173003" w:rsidP="00870D51">
            <w:pPr>
              <w:pStyle w:val="Tabletext0"/>
              <w:spacing w:before="0" w:after="0"/>
              <w:jc w:val="left"/>
            </w:pPr>
            <w:r w:rsidRPr="0028719F">
              <w:t xml:space="preserve">1.1 Participants in the </w:t>
            </w:r>
            <w:r>
              <w:t>qualitative evidence report</w:t>
            </w:r>
            <w:r w:rsidRPr="0028719F">
              <w:t xml:space="preserve"> suggested options to support ACCHSs implement an ongoing integrated pharmacist model of care:</w:t>
            </w:r>
          </w:p>
        </w:tc>
        <w:tc>
          <w:tcPr>
            <w:tcW w:w="465" w:type="dxa"/>
          </w:tcPr>
          <w:p w14:paraId="70F267CD" w14:textId="77777777" w:rsidR="00173003" w:rsidRPr="0028719F" w:rsidRDefault="00173003" w:rsidP="00870D51">
            <w:pPr>
              <w:pStyle w:val="Tabletext0"/>
              <w:spacing w:before="0" w:after="0"/>
              <w:jc w:val="left"/>
            </w:pPr>
            <w:r>
              <w:rPr>
                <w:rFonts w:ascii="Wingdings" w:hAnsi="Wingdings" w:cs="Arial"/>
              </w:rPr>
              <w:t></w:t>
            </w:r>
          </w:p>
        </w:tc>
        <w:tc>
          <w:tcPr>
            <w:tcW w:w="446" w:type="dxa"/>
          </w:tcPr>
          <w:p w14:paraId="1E851118" w14:textId="77777777" w:rsidR="00173003" w:rsidRPr="0028719F" w:rsidRDefault="00173003" w:rsidP="00870D51">
            <w:pPr>
              <w:pStyle w:val="Tabletext0"/>
              <w:spacing w:before="0" w:after="0"/>
              <w:jc w:val="left"/>
            </w:pPr>
          </w:p>
        </w:tc>
        <w:tc>
          <w:tcPr>
            <w:tcW w:w="446" w:type="dxa"/>
          </w:tcPr>
          <w:p w14:paraId="71ED95AA" w14:textId="77777777" w:rsidR="00173003" w:rsidRPr="0028719F" w:rsidRDefault="00173003" w:rsidP="00870D51">
            <w:pPr>
              <w:pStyle w:val="Tabletext0"/>
              <w:spacing w:before="0" w:after="0"/>
              <w:jc w:val="left"/>
            </w:pPr>
          </w:p>
        </w:tc>
        <w:tc>
          <w:tcPr>
            <w:tcW w:w="446" w:type="dxa"/>
          </w:tcPr>
          <w:p w14:paraId="429393B1" w14:textId="77777777" w:rsidR="00173003" w:rsidRPr="0028719F" w:rsidRDefault="00173003" w:rsidP="00870D51">
            <w:pPr>
              <w:pStyle w:val="Tabletext0"/>
              <w:spacing w:before="0" w:after="0"/>
              <w:jc w:val="left"/>
            </w:pPr>
          </w:p>
        </w:tc>
        <w:tc>
          <w:tcPr>
            <w:tcW w:w="485" w:type="dxa"/>
          </w:tcPr>
          <w:p w14:paraId="3295CDBC" w14:textId="77777777" w:rsidR="00173003" w:rsidRPr="0028719F" w:rsidRDefault="00173003" w:rsidP="00870D51">
            <w:pPr>
              <w:pStyle w:val="Tabletext0"/>
              <w:spacing w:before="0" w:after="0"/>
              <w:jc w:val="left"/>
            </w:pPr>
            <w:r>
              <w:rPr>
                <w:rFonts w:ascii="Wingdings" w:hAnsi="Wingdings" w:cs="Arial"/>
              </w:rPr>
              <w:t></w:t>
            </w:r>
          </w:p>
        </w:tc>
        <w:tc>
          <w:tcPr>
            <w:tcW w:w="2976" w:type="dxa"/>
          </w:tcPr>
          <w:p w14:paraId="3802765F" w14:textId="77777777" w:rsidR="00173003" w:rsidRPr="0028719F" w:rsidRDefault="00173003" w:rsidP="00870D51">
            <w:pPr>
              <w:pStyle w:val="Tabletext0"/>
              <w:spacing w:before="0" w:after="0"/>
              <w:jc w:val="left"/>
            </w:pPr>
          </w:p>
        </w:tc>
      </w:tr>
      <w:tr w:rsidR="00173003" w:rsidRPr="0028719F" w14:paraId="3B1FBD25" w14:textId="77777777" w:rsidTr="00885393">
        <w:tc>
          <w:tcPr>
            <w:tcW w:w="4390" w:type="dxa"/>
          </w:tcPr>
          <w:p w14:paraId="4B95D125" w14:textId="77777777" w:rsidR="00173003" w:rsidRPr="0028719F" w:rsidRDefault="00173003" w:rsidP="00870D51">
            <w:pPr>
              <w:pStyle w:val="Tabletext0"/>
              <w:spacing w:before="0" w:after="0"/>
              <w:jc w:val="left"/>
            </w:pPr>
            <w:r w:rsidRPr="0028719F">
              <w:t>1.1.1. Core services funding be increased to enable ACCHSs to implement the role.</w:t>
            </w:r>
          </w:p>
        </w:tc>
        <w:tc>
          <w:tcPr>
            <w:tcW w:w="465" w:type="dxa"/>
          </w:tcPr>
          <w:p w14:paraId="4D85678F" w14:textId="77777777" w:rsidR="00173003" w:rsidRPr="0028719F" w:rsidRDefault="00173003" w:rsidP="00870D51">
            <w:pPr>
              <w:pStyle w:val="Tabletext0"/>
              <w:spacing w:before="0" w:after="0"/>
              <w:jc w:val="left"/>
            </w:pPr>
          </w:p>
        </w:tc>
        <w:tc>
          <w:tcPr>
            <w:tcW w:w="446" w:type="dxa"/>
          </w:tcPr>
          <w:p w14:paraId="11E2C11A" w14:textId="77777777" w:rsidR="00173003" w:rsidRPr="0028719F" w:rsidRDefault="00173003" w:rsidP="00870D51">
            <w:pPr>
              <w:pStyle w:val="Tabletext0"/>
              <w:spacing w:before="0" w:after="0"/>
              <w:jc w:val="left"/>
            </w:pPr>
          </w:p>
        </w:tc>
        <w:tc>
          <w:tcPr>
            <w:tcW w:w="446" w:type="dxa"/>
          </w:tcPr>
          <w:p w14:paraId="4316C85B" w14:textId="77777777" w:rsidR="00173003" w:rsidRPr="0028719F" w:rsidRDefault="00173003" w:rsidP="00870D51">
            <w:pPr>
              <w:pStyle w:val="Tabletext0"/>
              <w:spacing w:before="0" w:after="0"/>
              <w:jc w:val="left"/>
            </w:pPr>
            <w:r>
              <w:rPr>
                <w:rFonts w:ascii="Wingdings" w:hAnsi="Wingdings" w:cs="Arial"/>
              </w:rPr>
              <w:t></w:t>
            </w:r>
          </w:p>
        </w:tc>
        <w:tc>
          <w:tcPr>
            <w:tcW w:w="446" w:type="dxa"/>
          </w:tcPr>
          <w:p w14:paraId="5C111097" w14:textId="77777777" w:rsidR="00173003" w:rsidRDefault="00173003" w:rsidP="00870D51">
            <w:pPr>
              <w:pStyle w:val="Tabletext0"/>
              <w:spacing w:before="0" w:after="0"/>
              <w:jc w:val="left"/>
              <w:rPr>
                <w:rFonts w:ascii="Wingdings" w:hAnsi="Wingdings" w:cs="Arial"/>
              </w:rPr>
            </w:pPr>
            <w:r>
              <w:rPr>
                <w:rFonts w:ascii="Wingdings" w:hAnsi="Wingdings" w:cs="Arial"/>
              </w:rPr>
              <w:t></w:t>
            </w:r>
          </w:p>
        </w:tc>
        <w:tc>
          <w:tcPr>
            <w:tcW w:w="485" w:type="dxa"/>
          </w:tcPr>
          <w:p w14:paraId="15B66047" w14:textId="77777777" w:rsidR="00173003" w:rsidRPr="00313BAF" w:rsidRDefault="00173003" w:rsidP="00870D51">
            <w:pPr>
              <w:pStyle w:val="Tabletext0"/>
              <w:spacing w:before="0" w:after="0"/>
              <w:jc w:val="left"/>
              <w:rPr>
                <w:rFonts w:ascii="Arial" w:hAnsi="Arial" w:cs="Arial"/>
              </w:rPr>
            </w:pPr>
          </w:p>
        </w:tc>
        <w:tc>
          <w:tcPr>
            <w:tcW w:w="2976" w:type="dxa"/>
          </w:tcPr>
          <w:p w14:paraId="10983B18" w14:textId="77777777" w:rsidR="00173003" w:rsidRPr="0028719F" w:rsidRDefault="00173003" w:rsidP="00870D51">
            <w:pPr>
              <w:pStyle w:val="Tabletext0"/>
              <w:spacing w:before="0" w:after="0"/>
              <w:jc w:val="left"/>
            </w:pPr>
            <w:r w:rsidRPr="0028719F">
              <w:t xml:space="preserve">In the community pharmacy surveys, one respondent supported large ACCHS to employ a pharmacist and implement the role. </w:t>
            </w:r>
          </w:p>
        </w:tc>
      </w:tr>
      <w:tr w:rsidR="00173003" w:rsidRPr="0028719F" w14:paraId="7EC3059C" w14:textId="77777777" w:rsidTr="00885393">
        <w:tc>
          <w:tcPr>
            <w:tcW w:w="4390" w:type="dxa"/>
          </w:tcPr>
          <w:p w14:paraId="4BA7FB79" w14:textId="77777777" w:rsidR="00173003" w:rsidRPr="0028719F" w:rsidRDefault="00173003" w:rsidP="00870D51">
            <w:pPr>
              <w:pStyle w:val="Tabletext0"/>
              <w:spacing w:before="0" w:after="0"/>
              <w:jc w:val="left"/>
            </w:pPr>
            <w:r w:rsidRPr="0028719F">
              <w:t>1.1.2. In remote settings explore increasing the section 100 pharmacy support allowance to fund integrated pharmacist time onsite within the clinic to deliver patient-related services.</w:t>
            </w:r>
          </w:p>
        </w:tc>
        <w:tc>
          <w:tcPr>
            <w:tcW w:w="465" w:type="dxa"/>
          </w:tcPr>
          <w:p w14:paraId="0667324B" w14:textId="77777777" w:rsidR="00173003" w:rsidRPr="0028719F" w:rsidRDefault="00173003" w:rsidP="00870D51">
            <w:pPr>
              <w:pStyle w:val="Tabletext0"/>
              <w:spacing w:before="0" w:after="0"/>
              <w:jc w:val="left"/>
            </w:pPr>
          </w:p>
        </w:tc>
        <w:tc>
          <w:tcPr>
            <w:tcW w:w="446" w:type="dxa"/>
          </w:tcPr>
          <w:p w14:paraId="400118D9" w14:textId="77777777" w:rsidR="00173003" w:rsidRPr="0028719F" w:rsidRDefault="00173003" w:rsidP="00870D51">
            <w:pPr>
              <w:pStyle w:val="Tabletext0"/>
              <w:spacing w:before="0" w:after="0"/>
              <w:jc w:val="left"/>
            </w:pPr>
          </w:p>
        </w:tc>
        <w:tc>
          <w:tcPr>
            <w:tcW w:w="446" w:type="dxa"/>
          </w:tcPr>
          <w:p w14:paraId="0523201E" w14:textId="77777777" w:rsidR="00173003" w:rsidRPr="0028719F" w:rsidRDefault="00173003" w:rsidP="00870D51">
            <w:pPr>
              <w:pStyle w:val="Tabletext0"/>
              <w:spacing w:before="0" w:after="0"/>
              <w:jc w:val="left"/>
            </w:pPr>
          </w:p>
        </w:tc>
        <w:tc>
          <w:tcPr>
            <w:tcW w:w="446" w:type="dxa"/>
          </w:tcPr>
          <w:p w14:paraId="2F93C5DD" w14:textId="77777777" w:rsidR="00173003" w:rsidRDefault="00173003" w:rsidP="00870D51">
            <w:pPr>
              <w:pStyle w:val="Tabletext0"/>
              <w:spacing w:before="0" w:after="0"/>
              <w:jc w:val="left"/>
              <w:rPr>
                <w:rFonts w:ascii="Wingdings" w:hAnsi="Wingdings" w:cs="Arial"/>
              </w:rPr>
            </w:pPr>
            <w:r>
              <w:rPr>
                <w:rFonts w:ascii="Wingdings" w:hAnsi="Wingdings" w:cs="Arial"/>
              </w:rPr>
              <w:t></w:t>
            </w:r>
          </w:p>
        </w:tc>
        <w:tc>
          <w:tcPr>
            <w:tcW w:w="485" w:type="dxa"/>
          </w:tcPr>
          <w:p w14:paraId="531A7425" w14:textId="77777777" w:rsidR="00173003" w:rsidRPr="0028719F" w:rsidRDefault="00173003" w:rsidP="00870D51">
            <w:pPr>
              <w:pStyle w:val="Tabletext0"/>
              <w:spacing w:before="0" w:after="0"/>
              <w:jc w:val="left"/>
            </w:pPr>
          </w:p>
        </w:tc>
        <w:tc>
          <w:tcPr>
            <w:tcW w:w="2976" w:type="dxa"/>
          </w:tcPr>
          <w:p w14:paraId="38E68682" w14:textId="77777777" w:rsidR="00173003" w:rsidRPr="0028719F" w:rsidRDefault="00173003" w:rsidP="00870D51">
            <w:pPr>
              <w:pStyle w:val="Tabletext0"/>
              <w:spacing w:before="0" w:after="0"/>
              <w:jc w:val="left"/>
            </w:pPr>
            <w:r w:rsidRPr="0028719F">
              <w:t xml:space="preserve">One respondent in the community pharmacy survey supported the increase in funding to the section 100 pharmacist allowance to allow the </w:t>
            </w:r>
            <w:r>
              <w:t>C</w:t>
            </w:r>
            <w:r w:rsidRPr="0028719F">
              <w:t xml:space="preserve">ommunity pharmacy providing services to the ACCHS, to employ a pharmacist </w:t>
            </w:r>
            <w:r>
              <w:t>in</w:t>
            </w:r>
            <w:r w:rsidRPr="0028719F">
              <w:t xml:space="preserve"> </w:t>
            </w:r>
            <w:r>
              <w:t>an</w:t>
            </w:r>
            <w:r w:rsidRPr="0028719F">
              <w:t xml:space="preserve"> ACCHS clinical role. </w:t>
            </w:r>
          </w:p>
        </w:tc>
      </w:tr>
      <w:tr w:rsidR="00173003" w:rsidRPr="0028719F" w14:paraId="7F1B2947" w14:textId="77777777" w:rsidTr="00885393">
        <w:tc>
          <w:tcPr>
            <w:tcW w:w="4390" w:type="dxa"/>
          </w:tcPr>
          <w:p w14:paraId="1ABB3074" w14:textId="77777777" w:rsidR="00173003" w:rsidRPr="0028719F" w:rsidRDefault="00173003" w:rsidP="00870D51">
            <w:pPr>
              <w:pStyle w:val="Tabletext0"/>
              <w:spacing w:before="0" w:after="0"/>
              <w:jc w:val="left"/>
            </w:pPr>
            <w:r w:rsidRPr="0028719F">
              <w:lastRenderedPageBreak/>
              <w:t>1.1.3. Consideration for other Federal Government sources of financial support for an integrated pharmacist within ACCHSs such as the creation of an MBS item for integrated pharmacist patient-related services (time based).</w:t>
            </w:r>
          </w:p>
        </w:tc>
        <w:tc>
          <w:tcPr>
            <w:tcW w:w="465" w:type="dxa"/>
          </w:tcPr>
          <w:p w14:paraId="1A3E9282" w14:textId="77777777" w:rsidR="00173003" w:rsidRPr="0028719F" w:rsidRDefault="00173003" w:rsidP="00870D51">
            <w:pPr>
              <w:pStyle w:val="Tabletext0"/>
              <w:spacing w:before="0" w:after="0"/>
              <w:jc w:val="left"/>
            </w:pPr>
          </w:p>
        </w:tc>
        <w:tc>
          <w:tcPr>
            <w:tcW w:w="446" w:type="dxa"/>
          </w:tcPr>
          <w:p w14:paraId="6D8739D3" w14:textId="77777777" w:rsidR="00173003" w:rsidRPr="0028719F" w:rsidRDefault="00173003" w:rsidP="00870D51">
            <w:pPr>
              <w:pStyle w:val="Tabletext0"/>
              <w:spacing w:before="0" w:after="0"/>
              <w:jc w:val="left"/>
            </w:pPr>
            <w:r>
              <w:rPr>
                <w:rFonts w:ascii="Wingdings" w:hAnsi="Wingdings" w:cs="Arial"/>
              </w:rPr>
              <w:t></w:t>
            </w:r>
          </w:p>
        </w:tc>
        <w:tc>
          <w:tcPr>
            <w:tcW w:w="446" w:type="dxa"/>
          </w:tcPr>
          <w:p w14:paraId="77C2411F" w14:textId="77777777" w:rsidR="00173003" w:rsidRPr="0028719F" w:rsidRDefault="00173003" w:rsidP="00870D51">
            <w:pPr>
              <w:pStyle w:val="Tabletext0"/>
              <w:spacing w:before="0" w:after="0"/>
              <w:jc w:val="left"/>
            </w:pPr>
          </w:p>
        </w:tc>
        <w:tc>
          <w:tcPr>
            <w:tcW w:w="446" w:type="dxa"/>
          </w:tcPr>
          <w:p w14:paraId="72492AA2" w14:textId="77777777" w:rsidR="00173003" w:rsidRPr="0028719F" w:rsidRDefault="00173003" w:rsidP="00870D51">
            <w:pPr>
              <w:pStyle w:val="Tabletext0"/>
              <w:spacing w:before="0" w:after="0"/>
              <w:jc w:val="left"/>
            </w:pPr>
          </w:p>
        </w:tc>
        <w:tc>
          <w:tcPr>
            <w:tcW w:w="485" w:type="dxa"/>
          </w:tcPr>
          <w:p w14:paraId="7BF58A19" w14:textId="77777777" w:rsidR="00173003" w:rsidRPr="0028719F" w:rsidRDefault="00173003" w:rsidP="00870D51">
            <w:pPr>
              <w:pStyle w:val="Tabletext0"/>
              <w:spacing w:before="0" w:after="0"/>
              <w:jc w:val="left"/>
            </w:pPr>
          </w:p>
        </w:tc>
        <w:tc>
          <w:tcPr>
            <w:tcW w:w="2976" w:type="dxa"/>
          </w:tcPr>
          <w:p w14:paraId="15BFEE06" w14:textId="77777777" w:rsidR="00173003" w:rsidRPr="0028719F" w:rsidRDefault="00173003" w:rsidP="00870D51">
            <w:pPr>
              <w:pStyle w:val="Tabletext0"/>
              <w:spacing w:before="0" w:after="0"/>
              <w:jc w:val="left"/>
            </w:pPr>
          </w:p>
        </w:tc>
      </w:tr>
      <w:tr w:rsidR="00173003" w:rsidRPr="0028719F" w14:paraId="08CB3BD1" w14:textId="77777777" w:rsidTr="00885393">
        <w:tc>
          <w:tcPr>
            <w:tcW w:w="4390" w:type="dxa"/>
          </w:tcPr>
          <w:p w14:paraId="500B8579" w14:textId="77777777" w:rsidR="00173003" w:rsidRPr="0028719F" w:rsidRDefault="00173003" w:rsidP="00870D51">
            <w:pPr>
              <w:pStyle w:val="Tabletext0"/>
              <w:spacing w:before="0" w:after="0"/>
              <w:jc w:val="left"/>
            </w:pPr>
            <w:r w:rsidRPr="0028719F">
              <w:t xml:space="preserve">1.2 Participants in the </w:t>
            </w:r>
            <w:r>
              <w:t>qualitative evidence report</w:t>
            </w:r>
            <w:r w:rsidRPr="0028719F">
              <w:t xml:space="preserve"> suggested that the cap on the number of funded HMRs should be removed to enable ACCHSs to facilitate as many HMRs as is needed by their patients. Current HMR Program Rules as defined by the Sixth Community Pharmacy Agreement limits HMRs which can be conducted by an accredited pharmacist to 20 per month</w:t>
            </w:r>
          </w:p>
        </w:tc>
        <w:tc>
          <w:tcPr>
            <w:tcW w:w="465" w:type="dxa"/>
          </w:tcPr>
          <w:p w14:paraId="650C5663" w14:textId="77777777" w:rsidR="00173003" w:rsidRPr="0028719F" w:rsidRDefault="00173003" w:rsidP="00870D51">
            <w:pPr>
              <w:pStyle w:val="Tabletext0"/>
              <w:spacing w:before="0" w:after="0"/>
              <w:jc w:val="left"/>
            </w:pPr>
          </w:p>
        </w:tc>
        <w:tc>
          <w:tcPr>
            <w:tcW w:w="446" w:type="dxa"/>
          </w:tcPr>
          <w:p w14:paraId="255AEF3B" w14:textId="77777777" w:rsidR="00173003" w:rsidRPr="0028719F" w:rsidRDefault="00173003" w:rsidP="00870D51">
            <w:pPr>
              <w:pStyle w:val="Tabletext0"/>
              <w:spacing w:before="0" w:after="0"/>
              <w:jc w:val="left"/>
            </w:pPr>
          </w:p>
        </w:tc>
        <w:tc>
          <w:tcPr>
            <w:tcW w:w="446" w:type="dxa"/>
          </w:tcPr>
          <w:p w14:paraId="2C98670D" w14:textId="77777777" w:rsidR="00173003" w:rsidRPr="0028719F" w:rsidRDefault="00173003" w:rsidP="00870D51">
            <w:pPr>
              <w:pStyle w:val="Tabletext0"/>
              <w:spacing w:before="0" w:after="0"/>
              <w:jc w:val="left"/>
            </w:pPr>
            <w:r>
              <w:rPr>
                <w:rFonts w:ascii="Wingdings" w:hAnsi="Wingdings" w:cs="Arial"/>
              </w:rPr>
              <w:t></w:t>
            </w:r>
          </w:p>
        </w:tc>
        <w:tc>
          <w:tcPr>
            <w:tcW w:w="446" w:type="dxa"/>
          </w:tcPr>
          <w:p w14:paraId="6DB63589" w14:textId="77777777" w:rsidR="00173003" w:rsidRPr="0028719F" w:rsidRDefault="00173003" w:rsidP="00870D51">
            <w:pPr>
              <w:pStyle w:val="Tabletext0"/>
              <w:spacing w:before="0" w:after="0"/>
              <w:jc w:val="left"/>
            </w:pPr>
          </w:p>
        </w:tc>
        <w:tc>
          <w:tcPr>
            <w:tcW w:w="485" w:type="dxa"/>
          </w:tcPr>
          <w:p w14:paraId="0230C47B" w14:textId="77777777" w:rsidR="00173003" w:rsidRPr="0028719F" w:rsidRDefault="00173003" w:rsidP="00870D51">
            <w:pPr>
              <w:pStyle w:val="Tabletext0"/>
              <w:spacing w:before="0" w:after="0"/>
              <w:jc w:val="left"/>
            </w:pPr>
          </w:p>
        </w:tc>
        <w:tc>
          <w:tcPr>
            <w:tcW w:w="2976" w:type="dxa"/>
          </w:tcPr>
          <w:p w14:paraId="23EE51F7" w14:textId="77777777" w:rsidR="00173003" w:rsidRPr="0028719F" w:rsidRDefault="00173003" w:rsidP="00870D51">
            <w:pPr>
              <w:pStyle w:val="Tabletext0"/>
              <w:spacing w:before="0" w:after="0"/>
              <w:jc w:val="left"/>
            </w:pPr>
            <w:r w:rsidRPr="00136077">
              <w:t>A comment from one manager</w:t>
            </w:r>
          </w:p>
        </w:tc>
      </w:tr>
      <w:tr w:rsidR="00173003" w:rsidRPr="0028719F" w14:paraId="77B0DF57" w14:textId="77777777" w:rsidTr="00885393">
        <w:tc>
          <w:tcPr>
            <w:tcW w:w="9654" w:type="dxa"/>
            <w:gridSpan w:val="7"/>
          </w:tcPr>
          <w:p w14:paraId="77C26530" w14:textId="77777777" w:rsidR="00173003" w:rsidRPr="0028719F" w:rsidRDefault="00173003" w:rsidP="00870D51">
            <w:pPr>
              <w:pStyle w:val="Tabletext0"/>
              <w:spacing w:before="0" w:after="0"/>
              <w:jc w:val="left"/>
            </w:pPr>
            <w:r w:rsidRPr="0028719F">
              <w:t>2. Advocacy and support to ACCHSs to facilitate processes for integrating pharmacists</w:t>
            </w:r>
          </w:p>
        </w:tc>
      </w:tr>
      <w:tr w:rsidR="00173003" w:rsidRPr="0028719F" w14:paraId="2817521B" w14:textId="77777777" w:rsidTr="00885393">
        <w:tc>
          <w:tcPr>
            <w:tcW w:w="4390" w:type="dxa"/>
          </w:tcPr>
          <w:p w14:paraId="57750504" w14:textId="77777777" w:rsidR="00173003" w:rsidRPr="0028719F" w:rsidRDefault="00173003" w:rsidP="00870D51">
            <w:pPr>
              <w:pStyle w:val="Tabletext0"/>
              <w:spacing w:before="0" w:after="0"/>
              <w:jc w:val="left"/>
            </w:pPr>
            <w:r w:rsidRPr="0028719F">
              <w:t>2.1 NACCHO and Affiliates support the development of processes and resources for pharmacists to be integrated in the primary health care teams of ACCHSs. Processes and resources should support ACCHS staff to be informed on the value of having a pharmacist in the team, to implement change management processes to introduce and embed the pharmacist and develop referral processes.</w:t>
            </w:r>
          </w:p>
        </w:tc>
        <w:tc>
          <w:tcPr>
            <w:tcW w:w="465" w:type="dxa"/>
          </w:tcPr>
          <w:p w14:paraId="3F4E4065" w14:textId="77777777" w:rsidR="00173003" w:rsidRPr="0028719F" w:rsidRDefault="00173003" w:rsidP="00870D51">
            <w:pPr>
              <w:pStyle w:val="Tabletext0"/>
              <w:spacing w:before="0" w:after="0"/>
              <w:jc w:val="left"/>
            </w:pPr>
            <w:r>
              <w:rPr>
                <w:rFonts w:ascii="Wingdings" w:hAnsi="Wingdings" w:cs="Arial"/>
              </w:rPr>
              <w:t></w:t>
            </w:r>
          </w:p>
        </w:tc>
        <w:tc>
          <w:tcPr>
            <w:tcW w:w="446" w:type="dxa"/>
          </w:tcPr>
          <w:p w14:paraId="380949A5" w14:textId="77777777" w:rsidR="00173003" w:rsidRPr="0028719F" w:rsidRDefault="00173003" w:rsidP="00870D51">
            <w:pPr>
              <w:pStyle w:val="Tabletext0"/>
              <w:spacing w:before="0" w:after="0"/>
              <w:jc w:val="left"/>
            </w:pPr>
            <w:r>
              <w:rPr>
                <w:rFonts w:ascii="Wingdings" w:hAnsi="Wingdings" w:cs="Arial"/>
              </w:rPr>
              <w:t></w:t>
            </w:r>
          </w:p>
        </w:tc>
        <w:tc>
          <w:tcPr>
            <w:tcW w:w="446" w:type="dxa"/>
          </w:tcPr>
          <w:p w14:paraId="575B0872" w14:textId="77777777" w:rsidR="00173003" w:rsidRPr="0028719F" w:rsidRDefault="00173003" w:rsidP="00870D51">
            <w:pPr>
              <w:pStyle w:val="Tabletext0"/>
              <w:spacing w:before="0" w:after="0"/>
              <w:jc w:val="left"/>
            </w:pPr>
            <w:r>
              <w:rPr>
                <w:rFonts w:ascii="Wingdings" w:hAnsi="Wingdings" w:cs="Arial"/>
              </w:rPr>
              <w:t></w:t>
            </w:r>
          </w:p>
        </w:tc>
        <w:tc>
          <w:tcPr>
            <w:tcW w:w="446" w:type="dxa"/>
          </w:tcPr>
          <w:p w14:paraId="5A5FDE85" w14:textId="77777777" w:rsidR="00173003" w:rsidRPr="0028719F" w:rsidRDefault="00173003" w:rsidP="00870D51">
            <w:pPr>
              <w:pStyle w:val="Tabletext0"/>
              <w:spacing w:before="0" w:after="0"/>
              <w:jc w:val="left"/>
            </w:pPr>
          </w:p>
        </w:tc>
        <w:tc>
          <w:tcPr>
            <w:tcW w:w="485" w:type="dxa"/>
          </w:tcPr>
          <w:p w14:paraId="2AE87DBE" w14:textId="77777777" w:rsidR="00173003" w:rsidRPr="0028719F" w:rsidRDefault="00173003" w:rsidP="00870D51">
            <w:pPr>
              <w:pStyle w:val="Tabletext0"/>
              <w:spacing w:before="0" w:after="0"/>
              <w:jc w:val="left"/>
            </w:pPr>
          </w:p>
        </w:tc>
        <w:tc>
          <w:tcPr>
            <w:tcW w:w="2976" w:type="dxa"/>
          </w:tcPr>
          <w:p w14:paraId="342CAB4E" w14:textId="77777777" w:rsidR="00173003" w:rsidRPr="0028719F" w:rsidRDefault="00173003" w:rsidP="00870D51">
            <w:pPr>
              <w:pStyle w:val="Tabletext0"/>
              <w:spacing w:before="0" w:after="0"/>
              <w:jc w:val="left"/>
            </w:pPr>
            <w:r w:rsidRPr="0028719F">
              <w:t>Pharmacists identified integration was facilitated by education of the pharmacist role.</w:t>
            </w:r>
          </w:p>
          <w:p w14:paraId="30B49B8A" w14:textId="77777777" w:rsidR="00173003" w:rsidRPr="0028719F" w:rsidRDefault="00173003" w:rsidP="00870D51">
            <w:pPr>
              <w:pStyle w:val="Tabletext0"/>
              <w:spacing w:before="0" w:after="0"/>
              <w:jc w:val="left"/>
            </w:pPr>
          </w:p>
          <w:p w14:paraId="1BBFCC8F" w14:textId="77777777" w:rsidR="00173003" w:rsidRPr="0028719F" w:rsidRDefault="00173003" w:rsidP="00870D51">
            <w:pPr>
              <w:pStyle w:val="Tabletext0"/>
              <w:spacing w:before="0" w:after="0"/>
              <w:jc w:val="left"/>
            </w:pPr>
            <w:r w:rsidRPr="0028719F">
              <w:t xml:space="preserve">Pharmacists identified several formal and informal referral processes, some of which were developed in collaboration with ACCHS staff for patient referral. </w:t>
            </w:r>
          </w:p>
        </w:tc>
      </w:tr>
      <w:tr w:rsidR="00173003" w:rsidRPr="0028719F" w14:paraId="6F15F21B" w14:textId="77777777" w:rsidTr="00885393">
        <w:tc>
          <w:tcPr>
            <w:tcW w:w="4390" w:type="dxa"/>
          </w:tcPr>
          <w:p w14:paraId="21B5AC94" w14:textId="77777777" w:rsidR="00173003" w:rsidRPr="0028719F" w:rsidRDefault="00173003" w:rsidP="00870D51">
            <w:pPr>
              <w:pStyle w:val="Tabletext0"/>
              <w:spacing w:before="0" w:after="0"/>
              <w:jc w:val="left"/>
            </w:pPr>
            <w:r w:rsidRPr="0028719F">
              <w:t>2.2 Resources to guide preparation should consider the IMPACT Framework and assist ACCHSs for the pharmacist role.</w:t>
            </w:r>
          </w:p>
        </w:tc>
        <w:tc>
          <w:tcPr>
            <w:tcW w:w="465" w:type="dxa"/>
          </w:tcPr>
          <w:p w14:paraId="51AA6A47" w14:textId="77777777" w:rsidR="00173003" w:rsidRPr="0028719F" w:rsidRDefault="00173003" w:rsidP="00870D51">
            <w:pPr>
              <w:pStyle w:val="Tabletext0"/>
              <w:spacing w:before="0" w:after="0"/>
              <w:jc w:val="left"/>
            </w:pPr>
          </w:p>
        </w:tc>
        <w:tc>
          <w:tcPr>
            <w:tcW w:w="446" w:type="dxa"/>
          </w:tcPr>
          <w:p w14:paraId="11BC0EB2" w14:textId="77777777" w:rsidR="00173003" w:rsidRPr="0028719F" w:rsidRDefault="00173003" w:rsidP="00870D51">
            <w:pPr>
              <w:pStyle w:val="Tabletext0"/>
              <w:spacing w:before="0" w:after="0"/>
              <w:jc w:val="left"/>
            </w:pPr>
          </w:p>
        </w:tc>
        <w:tc>
          <w:tcPr>
            <w:tcW w:w="446" w:type="dxa"/>
          </w:tcPr>
          <w:p w14:paraId="768C8187" w14:textId="77777777" w:rsidR="00173003" w:rsidRPr="0028719F" w:rsidRDefault="00173003" w:rsidP="00870D51">
            <w:pPr>
              <w:pStyle w:val="Tabletext0"/>
              <w:spacing w:before="0" w:after="0"/>
              <w:jc w:val="left"/>
            </w:pPr>
          </w:p>
        </w:tc>
        <w:tc>
          <w:tcPr>
            <w:tcW w:w="446" w:type="dxa"/>
          </w:tcPr>
          <w:p w14:paraId="07520119" w14:textId="77777777" w:rsidR="00173003" w:rsidRPr="0028719F" w:rsidRDefault="00173003" w:rsidP="00870D51">
            <w:pPr>
              <w:pStyle w:val="Tabletext0"/>
              <w:spacing w:before="0" w:after="0"/>
              <w:jc w:val="left"/>
            </w:pPr>
          </w:p>
        </w:tc>
        <w:tc>
          <w:tcPr>
            <w:tcW w:w="485" w:type="dxa"/>
          </w:tcPr>
          <w:p w14:paraId="7000C2AB" w14:textId="77777777" w:rsidR="00173003" w:rsidRPr="0028719F" w:rsidRDefault="00173003" w:rsidP="00870D51">
            <w:pPr>
              <w:pStyle w:val="Tabletext0"/>
              <w:spacing w:before="0" w:after="0"/>
              <w:jc w:val="left"/>
            </w:pPr>
          </w:p>
        </w:tc>
        <w:tc>
          <w:tcPr>
            <w:tcW w:w="2976" w:type="dxa"/>
          </w:tcPr>
          <w:p w14:paraId="683908DD" w14:textId="77777777" w:rsidR="00173003" w:rsidRPr="0028719F" w:rsidRDefault="00173003" w:rsidP="00870D51">
            <w:pPr>
              <w:pStyle w:val="Tabletext0"/>
              <w:spacing w:before="0" w:after="0"/>
              <w:jc w:val="left"/>
            </w:pPr>
          </w:p>
        </w:tc>
      </w:tr>
      <w:tr w:rsidR="00173003" w:rsidRPr="0028719F" w14:paraId="658A5713" w14:textId="77777777" w:rsidTr="00885393">
        <w:tc>
          <w:tcPr>
            <w:tcW w:w="4390" w:type="dxa"/>
          </w:tcPr>
          <w:p w14:paraId="37F5DE42" w14:textId="77777777" w:rsidR="00173003" w:rsidRPr="0028719F" w:rsidRDefault="00173003" w:rsidP="00870D51">
            <w:pPr>
              <w:pStyle w:val="Tabletext0"/>
              <w:spacing w:before="0" w:after="0"/>
              <w:jc w:val="left"/>
            </w:pPr>
            <w:r w:rsidRPr="0028719F">
              <w:t>2.3 ACCHSs that will be most ready to establish an integrated pharmacist role are those with systems established for quality improvement (</w:t>
            </w:r>
            <w:proofErr w:type="gramStart"/>
            <w:r w:rsidRPr="0028719F">
              <w:t>e.g.</w:t>
            </w:r>
            <w:proofErr w:type="gramEnd"/>
            <w:r w:rsidRPr="0028719F">
              <w:t xml:space="preserve"> Referral, CIS).</w:t>
            </w:r>
          </w:p>
        </w:tc>
        <w:tc>
          <w:tcPr>
            <w:tcW w:w="465" w:type="dxa"/>
          </w:tcPr>
          <w:p w14:paraId="6E5C6BE8" w14:textId="77777777" w:rsidR="00173003" w:rsidRPr="0028719F" w:rsidRDefault="00173003" w:rsidP="00870D51">
            <w:pPr>
              <w:pStyle w:val="Tabletext0"/>
              <w:spacing w:before="0" w:after="0"/>
              <w:jc w:val="left"/>
            </w:pPr>
            <w:r w:rsidRPr="00AD2C86">
              <w:rPr>
                <w:rFonts w:ascii="Wingdings" w:hAnsi="Wingdings" w:cs="Arial"/>
              </w:rPr>
              <w:t></w:t>
            </w:r>
          </w:p>
        </w:tc>
        <w:tc>
          <w:tcPr>
            <w:tcW w:w="446" w:type="dxa"/>
          </w:tcPr>
          <w:p w14:paraId="6AA48CA1" w14:textId="77777777" w:rsidR="00173003" w:rsidRPr="0028719F" w:rsidRDefault="00173003" w:rsidP="00870D51">
            <w:pPr>
              <w:pStyle w:val="Tabletext0"/>
              <w:spacing w:before="0" w:after="0"/>
              <w:jc w:val="left"/>
            </w:pPr>
            <w:r w:rsidRPr="00AD2C86">
              <w:rPr>
                <w:rFonts w:ascii="Wingdings" w:hAnsi="Wingdings" w:cs="Arial"/>
              </w:rPr>
              <w:t></w:t>
            </w:r>
          </w:p>
        </w:tc>
        <w:tc>
          <w:tcPr>
            <w:tcW w:w="446" w:type="dxa"/>
          </w:tcPr>
          <w:p w14:paraId="45B3E550" w14:textId="77777777" w:rsidR="00173003" w:rsidRPr="0028719F" w:rsidRDefault="00173003" w:rsidP="00870D51">
            <w:pPr>
              <w:pStyle w:val="Tabletext0"/>
              <w:spacing w:before="0" w:after="0"/>
              <w:jc w:val="left"/>
            </w:pPr>
            <w:r w:rsidRPr="00AD2C86">
              <w:rPr>
                <w:rFonts w:ascii="Wingdings" w:hAnsi="Wingdings" w:cs="Arial"/>
              </w:rPr>
              <w:t></w:t>
            </w:r>
          </w:p>
        </w:tc>
        <w:tc>
          <w:tcPr>
            <w:tcW w:w="446" w:type="dxa"/>
          </w:tcPr>
          <w:p w14:paraId="21710C53" w14:textId="77777777" w:rsidR="00173003" w:rsidRPr="0028719F" w:rsidRDefault="00173003" w:rsidP="00870D51">
            <w:pPr>
              <w:pStyle w:val="Tabletext0"/>
              <w:spacing w:before="0" w:after="0"/>
              <w:jc w:val="left"/>
            </w:pPr>
          </w:p>
        </w:tc>
        <w:tc>
          <w:tcPr>
            <w:tcW w:w="485" w:type="dxa"/>
          </w:tcPr>
          <w:p w14:paraId="08F292F7" w14:textId="77777777" w:rsidR="00173003" w:rsidRPr="0028719F" w:rsidRDefault="00173003" w:rsidP="00870D51">
            <w:pPr>
              <w:pStyle w:val="Tabletext0"/>
              <w:spacing w:before="0" w:after="0"/>
              <w:jc w:val="left"/>
            </w:pPr>
          </w:p>
        </w:tc>
        <w:tc>
          <w:tcPr>
            <w:tcW w:w="2976" w:type="dxa"/>
          </w:tcPr>
          <w:p w14:paraId="5CFCB3CB" w14:textId="77777777" w:rsidR="00173003" w:rsidRPr="0028719F" w:rsidRDefault="00173003" w:rsidP="00870D51">
            <w:pPr>
              <w:pStyle w:val="Tabletext0"/>
              <w:spacing w:before="0" w:after="0"/>
              <w:jc w:val="left"/>
            </w:pPr>
          </w:p>
        </w:tc>
      </w:tr>
      <w:tr w:rsidR="00173003" w:rsidRPr="0028719F" w14:paraId="17972A76" w14:textId="77777777" w:rsidTr="00885393">
        <w:tc>
          <w:tcPr>
            <w:tcW w:w="4390" w:type="dxa"/>
          </w:tcPr>
          <w:p w14:paraId="073B5610" w14:textId="77777777" w:rsidR="00173003" w:rsidRPr="0028719F" w:rsidRDefault="00173003" w:rsidP="00870D51">
            <w:pPr>
              <w:pStyle w:val="Tabletext0"/>
              <w:spacing w:before="0" w:after="0"/>
              <w:jc w:val="left"/>
            </w:pPr>
            <w:r w:rsidRPr="0028719F">
              <w:t>2.4 Develop the capacity of Aboriginal Health Workers/ Practitioners and Outreach Workers to facilitate referral for patients needing support from the integrated pharmacist.</w:t>
            </w:r>
          </w:p>
        </w:tc>
        <w:tc>
          <w:tcPr>
            <w:tcW w:w="465" w:type="dxa"/>
          </w:tcPr>
          <w:p w14:paraId="0A615558" w14:textId="77777777" w:rsidR="00173003" w:rsidRPr="0028719F" w:rsidRDefault="00173003" w:rsidP="00870D51">
            <w:pPr>
              <w:pStyle w:val="Tabletext0"/>
              <w:spacing w:before="0" w:after="0"/>
              <w:jc w:val="left"/>
            </w:pPr>
            <w:r>
              <w:rPr>
                <w:rFonts w:ascii="Wingdings" w:hAnsi="Wingdings" w:cs="Arial"/>
              </w:rPr>
              <w:t></w:t>
            </w:r>
          </w:p>
        </w:tc>
        <w:tc>
          <w:tcPr>
            <w:tcW w:w="446" w:type="dxa"/>
          </w:tcPr>
          <w:p w14:paraId="5313C6EB" w14:textId="77777777" w:rsidR="00173003" w:rsidRPr="0028719F" w:rsidRDefault="00173003" w:rsidP="00870D51">
            <w:pPr>
              <w:pStyle w:val="Tabletext0"/>
              <w:spacing w:before="0" w:after="0"/>
              <w:jc w:val="left"/>
            </w:pPr>
            <w:r>
              <w:rPr>
                <w:rFonts w:ascii="Wingdings" w:hAnsi="Wingdings" w:cs="Arial"/>
              </w:rPr>
              <w:t></w:t>
            </w:r>
          </w:p>
        </w:tc>
        <w:tc>
          <w:tcPr>
            <w:tcW w:w="446" w:type="dxa"/>
          </w:tcPr>
          <w:p w14:paraId="38C2F6D2" w14:textId="77777777" w:rsidR="00173003" w:rsidRPr="009408E5" w:rsidRDefault="00173003" w:rsidP="00870D51">
            <w:pPr>
              <w:pStyle w:val="Tabletext0"/>
              <w:spacing w:before="0" w:after="0"/>
              <w:jc w:val="left"/>
              <w:rPr>
                <w:b/>
                <w:bCs/>
              </w:rPr>
            </w:pPr>
            <w:r>
              <w:rPr>
                <w:rFonts w:ascii="Wingdings" w:hAnsi="Wingdings" w:cs="Arial"/>
              </w:rPr>
              <w:t></w:t>
            </w:r>
          </w:p>
        </w:tc>
        <w:tc>
          <w:tcPr>
            <w:tcW w:w="446" w:type="dxa"/>
          </w:tcPr>
          <w:p w14:paraId="2A839AC6" w14:textId="77777777" w:rsidR="00173003" w:rsidRPr="0028719F" w:rsidRDefault="00173003" w:rsidP="00870D51">
            <w:pPr>
              <w:pStyle w:val="Tabletext0"/>
              <w:spacing w:before="0" w:after="0"/>
              <w:jc w:val="left"/>
            </w:pPr>
          </w:p>
        </w:tc>
        <w:tc>
          <w:tcPr>
            <w:tcW w:w="485" w:type="dxa"/>
          </w:tcPr>
          <w:p w14:paraId="15D57885" w14:textId="77777777" w:rsidR="00173003" w:rsidRPr="0028719F" w:rsidRDefault="00173003" w:rsidP="00870D51">
            <w:pPr>
              <w:pStyle w:val="Tabletext0"/>
              <w:spacing w:before="0" w:after="0"/>
              <w:jc w:val="left"/>
            </w:pPr>
          </w:p>
        </w:tc>
        <w:tc>
          <w:tcPr>
            <w:tcW w:w="2976" w:type="dxa"/>
          </w:tcPr>
          <w:p w14:paraId="397D50F2" w14:textId="77777777" w:rsidR="00173003" w:rsidRPr="0028719F" w:rsidRDefault="00173003" w:rsidP="00870D51">
            <w:pPr>
              <w:pStyle w:val="Tabletext0"/>
              <w:spacing w:before="0" w:after="0"/>
              <w:jc w:val="left"/>
            </w:pPr>
            <w:r w:rsidRPr="0028719F">
              <w:t>The pharmacists identified that AHW were a source of referrals for patients (particularly when the GPs were not referring patients). However, the pharmacists did not comment on how to develop the capacity of AHW to facilitate these referrals.</w:t>
            </w:r>
          </w:p>
        </w:tc>
      </w:tr>
      <w:tr w:rsidR="00173003" w:rsidRPr="0028719F" w14:paraId="6C33C338" w14:textId="77777777" w:rsidTr="00885393">
        <w:tc>
          <w:tcPr>
            <w:tcW w:w="9654" w:type="dxa"/>
            <w:gridSpan w:val="7"/>
          </w:tcPr>
          <w:p w14:paraId="1D449C7A" w14:textId="77777777" w:rsidR="00173003" w:rsidRPr="0028719F" w:rsidRDefault="00173003" w:rsidP="00870D51">
            <w:pPr>
              <w:pStyle w:val="Tabletext0"/>
              <w:spacing w:before="0" w:after="0"/>
              <w:jc w:val="left"/>
            </w:pPr>
            <w:r w:rsidRPr="0028719F">
              <w:t>3. Co-design of the pharmacist role with the ACCHS to ensure it meets their needs</w:t>
            </w:r>
          </w:p>
        </w:tc>
      </w:tr>
      <w:tr w:rsidR="00173003" w:rsidRPr="0028719F" w14:paraId="6ED7F5B9" w14:textId="77777777" w:rsidTr="00885393">
        <w:tc>
          <w:tcPr>
            <w:tcW w:w="4390" w:type="dxa"/>
          </w:tcPr>
          <w:p w14:paraId="18D51F73" w14:textId="77777777" w:rsidR="00173003" w:rsidRPr="0028719F" w:rsidRDefault="00173003" w:rsidP="00870D51">
            <w:pPr>
              <w:pStyle w:val="Tabletext0"/>
              <w:spacing w:before="0" w:after="0"/>
              <w:jc w:val="left"/>
            </w:pPr>
            <w:r w:rsidRPr="0028719F">
              <w:t>3.1 Policy guiding the implementation of the pharmacist role should allow flexibility for ACCHSs to use the role to best meet the needs of the health service and promote self-determination.</w:t>
            </w:r>
          </w:p>
        </w:tc>
        <w:tc>
          <w:tcPr>
            <w:tcW w:w="465" w:type="dxa"/>
          </w:tcPr>
          <w:p w14:paraId="43244C07" w14:textId="77777777" w:rsidR="00173003" w:rsidRPr="0028719F" w:rsidRDefault="00173003" w:rsidP="00870D51">
            <w:pPr>
              <w:pStyle w:val="Tabletext0"/>
              <w:spacing w:before="0" w:after="0"/>
              <w:jc w:val="left"/>
            </w:pPr>
            <w:r>
              <w:rPr>
                <w:rFonts w:ascii="Wingdings" w:hAnsi="Wingdings" w:cs="Arial"/>
              </w:rPr>
              <w:t></w:t>
            </w:r>
          </w:p>
        </w:tc>
        <w:tc>
          <w:tcPr>
            <w:tcW w:w="446" w:type="dxa"/>
          </w:tcPr>
          <w:p w14:paraId="62858CCC" w14:textId="77777777" w:rsidR="00173003" w:rsidRPr="0028719F" w:rsidRDefault="00173003" w:rsidP="00870D51">
            <w:pPr>
              <w:pStyle w:val="Tabletext0"/>
              <w:spacing w:before="0" w:after="0"/>
              <w:jc w:val="left"/>
            </w:pPr>
          </w:p>
        </w:tc>
        <w:tc>
          <w:tcPr>
            <w:tcW w:w="446" w:type="dxa"/>
          </w:tcPr>
          <w:p w14:paraId="3877494C" w14:textId="77777777" w:rsidR="00173003" w:rsidRPr="0028719F" w:rsidRDefault="00173003" w:rsidP="00870D51">
            <w:pPr>
              <w:pStyle w:val="Tabletext0"/>
              <w:spacing w:before="0" w:after="0"/>
              <w:jc w:val="left"/>
            </w:pPr>
            <w:r>
              <w:rPr>
                <w:rFonts w:ascii="Wingdings" w:hAnsi="Wingdings" w:cs="Arial"/>
              </w:rPr>
              <w:t></w:t>
            </w:r>
          </w:p>
        </w:tc>
        <w:tc>
          <w:tcPr>
            <w:tcW w:w="446" w:type="dxa"/>
          </w:tcPr>
          <w:p w14:paraId="5343C49F" w14:textId="77777777" w:rsidR="00173003" w:rsidRPr="0028719F" w:rsidRDefault="00173003" w:rsidP="00870D51">
            <w:pPr>
              <w:pStyle w:val="Tabletext0"/>
              <w:spacing w:before="0" w:after="0"/>
              <w:jc w:val="left"/>
            </w:pPr>
          </w:p>
        </w:tc>
        <w:tc>
          <w:tcPr>
            <w:tcW w:w="485" w:type="dxa"/>
          </w:tcPr>
          <w:p w14:paraId="69DAE3B2" w14:textId="77777777" w:rsidR="00173003" w:rsidRPr="0028719F" w:rsidRDefault="00173003" w:rsidP="00870D51">
            <w:pPr>
              <w:pStyle w:val="Tabletext0"/>
              <w:spacing w:before="0" w:after="0"/>
              <w:jc w:val="left"/>
            </w:pPr>
          </w:p>
        </w:tc>
        <w:tc>
          <w:tcPr>
            <w:tcW w:w="2976" w:type="dxa"/>
          </w:tcPr>
          <w:p w14:paraId="0D5E1F00" w14:textId="77777777" w:rsidR="00173003" w:rsidRPr="0028719F" w:rsidRDefault="00173003" w:rsidP="00870D51">
            <w:pPr>
              <w:pStyle w:val="Tabletext0"/>
              <w:spacing w:before="0" w:after="0"/>
              <w:jc w:val="left"/>
            </w:pPr>
            <w:r w:rsidRPr="0028719F">
              <w:t>Two quotes directly supported the ACCHS to utilise the skillset of the pharmacist to align with the ACCHS’s needs.</w:t>
            </w:r>
          </w:p>
        </w:tc>
      </w:tr>
      <w:tr w:rsidR="00173003" w:rsidRPr="0028719F" w14:paraId="2D9BA090" w14:textId="77777777" w:rsidTr="00885393">
        <w:tc>
          <w:tcPr>
            <w:tcW w:w="4390" w:type="dxa"/>
          </w:tcPr>
          <w:p w14:paraId="6DFAB948" w14:textId="77777777" w:rsidR="00173003" w:rsidRPr="0028719F" w:rsidRDefault="00173003" w:rsidP="00870D51">
            <w:pPr>
              <w:pStyle w:val="Tabletext0"/>
              <w:spacing w:before="0" w:after="0"/>
              <w:jc w:val="left"/>
            </w:pPr>
            <w:r w:rsidRPr="0028719F">
              <w:t>3.2 ACCHSs should be actively involved in the co-design of the integrated pharmacist role to ensure it suits their needs and seek support from NACCHO and their Affiliate where necessary.</w:t>
            </w:r>
          </w:p>
        </w:tc>
        <w:tc>
          <w:tcPr>
            <w:tcW w:w="465" w:type="dxa"/>
          </w:tcPr>
          <w:p w14:paraId="46A301C2" w14:textId="77777777" w:rsidR="00173003" w:rsidRPr="0028719F" w:rsidRDefault="00173003" w:rsidP="00870D51">
            <w:pPr>
              <w:pStyle w:val="Tabletext0"/>
              <w:spacing w:before="0" w:after="0"/>
              <w:jc w:val="left"/>
            </w:pPr>
            <w:r>
              <w:rPr>
                <w:rFonts w:ascii="Wingdings" w:hAnsi="Wingdings" w:cs="Arial"/>
              </w:rPr>
              <w:t></w:t>
            </w:r>
          </w:p>
        </w:tc>
        <w:tc>
          <w:tcPr>
            <w:tcW w:w="446" w:type="dxa"/>
          </w:tcPr>
          <w:p w14:paraId="76873A07" w14:textId="77777777" w:rsidR="00173003" w:rsidRPr="0028719F" w:rsidRDefault="00173003" w:rsidP="00870D51">
            <w:pPr>
              <w:pStyle w:val="Tabletext0"/>
              <w:spacing w:before="0" w:after="0"/>
              <w:jc w:val="left"/>
            </w:pPr>
          </w:p>
        </w:tc>
        <w:tc>
          <w:tcPr>
            <w:tcW w:w="446" w:type="dxa"/>
          </w:tcPr>
          <w:p w14:paraId="3CCA147B" w14:textId="77777777" w:rsidR="00173003" w:rsidRPr="0028719F" w:rsidRDefault="00173003" w:rsidP="00870D51">
            <w:pPr>
              <w:pStyle w:val="Tabletext0"/>
              <w:spacing w:before="0" w:after="0"/>
              <w:jc w:val="left"/>
            </w:pPr>
            <w:r>
              <w:rPr>
                <w:rFonts w:ascii="Wingdings" w:hAnsi="Wingdings" w:cs="Arial"/>
              </w:rPr>
              <w:t></w:t>
            </w:r>
          </w:p>
        </w:tc>
        <w:tc>
          <w:tcPr>
            <w:tcW w:w="446" w:type="dxa"/>
          </w:tcPr>
          <w:p w14:paraId="2F8088ED" w14:textId="77777777" w:rsidR="00173003" w:rsidRPr="0028719F" w:rsidRDefault="00173003" w:rsidP="00870D51">
            <w:pPr>
              <w:pStyle w:val="Tabletext0"/>
              <w:spacing w:before="0" w:after="0"/>
              <w:jc w:val="left"/>
            </w:pPr>
          </w:p>
        </w:tc>
        <w:tc>
          <w:tcPr>
            <w:tcW w:w="485" w:type="dxa"/>
          </w:tcPr>
          <w:p w14:paraId="7111C88E" w14:textId="77777777" w:rsidR="00173003" w:rsidRPr="0028719F" w:rsidRDefault="00173003" w:rsidP="00870D51">
            <w:pPr>
              <w:pStyle w:val="Tabletext0"/>
              <w:spacing w:before="0" w:after="0"/>
              <w:jc w:val="left"/>
            </w:pPr>
          </w:p>
        </w:tc>
        <w:tc>
          <w:tcPr>
            <w:tcW w:w="2976" w:type="dxa"/>
          </w:tcPr>
          <w:p w14:paraId="5247F555" w14:textId="77777777" w:rsidR="00173003" w:rsidRPr="0028719F" w:rsidRDefault="00173003" w:rsidP="00870D51">
            <w:pPr>
              <w:pStyle w:val="Tabletext0"/>
              <w:spacing w:before="0" w:after="0"/>
              <w:jc w:val="left"/>
            </w:pPr>
          </w:p>
        </w:tc>
      </w:tr>
      <w:tr w:rsidR="00173003" w:rsidRPr="0028719F" w14:paraId="29FEAB7E" w14:textId="77777777" w:rsidTr="00885393">
        <w:tc>
          <w:tcPr>
            <w:tcW w:w="4390" w:type="dxa"/>
          </w:tcPr>
          <w:p w14:paraId="466B7041" w14:textId="77777777" w:rsidR="00173003" w:rsidRPr="0028719F" w:rsidRDefault="00173003" w:rsidP="00870D51">
            <w:pPr>
              <w:pStyle w:val="Tabletext0"/>
              <w:spacing w:before="0" w:after="0"/>
              <w:jc w:val="left"/>
            </w:pPr>
            <w:r w:rsidRPr="0028719F">
              <w:t>3.3 The recruitment of pharmacists to be integrated within ACCHSs should be flexible and be led by ACCHSs</w:t>
            </w:r>
            <w:r>
              <w:t>,</w:t>
            </w:r>
            <w:r w:rsidRPr="0028719F">
              <w:t xml:space="preserve"> so that pharmacists have the ‘right organisational fit’ and are skilled in key areas (character, clinical skills, communicator,</w:t>
            </w:r>
            <w:r>
              <w:t xml:space="preserve"> </w:t>
            </w:r>
            <w:r w:rsidRPr="0028719F">
              <w:t>collaborator and culturally responsive).</w:t>
            </w:r>
          </w:p>
        </w:tc>
        <w:tc>
          <w:tcPr>
            <w:tcW w:w="465" w:type="dxa"/>
          </w:tcPr>
          <w:p w14:paraId="22BE5371" w14:textId="77777777" w:rsidR="00173003" w:rsidRPr="0028719F" w:rsidRDefault="00173003" w:rsidP="00870D51">
            <w:pPr>
              <w:pStyle w:val="Tabletext0"/>
              <w:spacing w:before="0" w:after="0"/>
              <w:jc w:val="left"/>
            </w:pPr>
          </w:p>
        </w:tc>
        <w:tc>
          <w:tcPr>
            <w:tcW w:w="446" w:type="dxa"/>
          </w:tcPr>
          <w:p w14:paraId="7A93EA1E" w14:textId="77777777" w:rsidR="00173003" w:rsidRPr="0028719F" w:rsidRDefault="00173003" w:rsidP="00870D51">
            <w:pPr>
              <w:pStyle w:val="Tabletext0"/>
              <w:spacing w:before="0" w:after="0"/>
              <w:jc w:val="left"/>
            </w:pPr>
            <w:r>
              <w:rPr>
                <w:rFonts w:ascii="Wingdings" w:hAnsi="Wingdings" w:cs="Arial"/>
              </w:rPr>
              <w:t></w:t>
            </w:r>
          </w:p>
        </w:tc>
        <w:tc>
          <w:tcPr>
            <w:tcW w:w="446" w:type="dxa"/>
          </w:tcPr>
          <w:p w14:paraId="17897976" w14:textId="77777777" w:rsidR="00173003" w:rsidRPr="0028719F" w:rsidRDefault="00173003" w:rsidP="00870D51">
            <w:pPr>
              <w:pStyle w:val="Tabletext0"/>
              <w:spacing w:before="0" w:after="0"/>
              <w:jc w:val="left"/>
            </w:pPr>
            <w:r>
              <w:rPr>
                <w:rFonts w:ascii="Wingdings" w:hAnsi="Wingdings" w:cs="Arial"/>
              </w:rPr>
              <w:t></w:t>
            </w:r>
          </w:p>
        </w:tc>
        <w:tc>
          <w:tcPr>
            <w:tcW w:w="446" w:type="dxa"/>
          </w:tcPr>
          <w:p w14:paraId="10056163" w14:textId="77777777" w:rsidR="00173003" w:rsidRPr="0028719F" w:rsidRDefault="00173003" w:rsidP="00870D51">
            <w:pPr>
              <w:pStyle w:val="Tabletext0"/>
              <w:spacing w:before="0" w:after="0"/>
              <w:jc w:val="left"/>
            </w:pPr>
          </w:p>
        </w:tc>
        <w:tc>
          <w:tcPr>
            <w:tcW w:w="485" w:type="dxa"/>
          </w:tcPr>
          <w:p w14:paraId="3975CB50" w14:textId="77777777" w:rsidR="00173003" w:rsidRPr="0028719F" w:rsidRDefault="00173003" w:rsidP="00870D51">
            <w:pPr>
              <w:pStyle w:val="Tabletext0"/>
              <w:spacing w:before="0" w:after="0"/>
              <w:jc w:val="left"/>
            </w:pPr>
          </w:p>
        </w:tc>
        <w:tc>
          <w:tcPr>
            <w:tcW w:w="2976" w:type="dxa"/>
          </w:tcPr>
          <w:p w14:paraId="77058650" w14:textId="77777777" w:rsidR="00173003" w:rsidRPr="0028719F" w:rsidRDefault="00173003" w:rsidP="00870D51">
            <w:pPr>
              <w:pStyle w:val="Tabletext0"/>
              <w:spacing w:before="0" w:after="0"/>
              <w:jc w:val="left"/>
            </w:pPr>
          </w:p>
        </w:tc>
      </w:tr>
      <w:tr w:rsidR="00173003" w:rsidRPr="0028719F" w14:paraId="5D8FE56E" w14:textId="77777777" w:rsidTr="00885393">
        <w:tc>
          <w:tcPr>
            <w:tcW w:w="4390" w:type="dxa"/>
          </w:tcPr>
          <w:p w14:paraId="2A05C123" w14:textId="77777777" w:rsidR="00173003" w:rsidRPr="0028719F" w:rsidRDefault="00173003" w:rsidP="00870D51">
            <w:pPr>
              <w:pStyle w:val="Tabletext0"/>
              <w:spacing w:before="0" w:after="0"/>
              <w:jc w:val="left"/>
            </w:pPr>
            <w:r w:rsidRPr="0028719F">
              <w:t>3.4 Future projects to assess outcomes from integrated</w:t>
            </w:r>
            <w:r w:rsidRPr="0028719F">
              <w:br/>
              <w:t xml:space="preserve">pharmacists within ACCHSs or alternate new models, need to allow a lead-in time to allow pharmacists to </w:t>
            </w:r>
            <w:r w:rsidRPr="0028719F">
              <w:lastRenderedPageBreak/>
              <w:t>develop relationships with staff and patients and develop a deeper understanding of the local community and health service culture.</w:t>
            </w:r>
          </w:p>
        </w:tc>
        <w:tc>
          <w:tcPr>
            <w:tcW w:w="465" w:type="dxa"/>
          </w:tcPr>
          <w:p w14:paraId="39CF36AE" w14:textId="77777777" w:rsidR="00173003" w:rsidRPr="0028719F" w:rsidRDefault="00173003" w:rsidP="00870D51">
            <w:pPr>
              <w:pStyle w:val="Tabletext0"/>
              <w:spacing w:before="0" w:after="0"/>
              <w:jc w:val="left"/>
            </w:pPr>
            <w:r>
              <w:rPr>
                <w:rFonts w:ascii="Wingdings" w:hAnsi="Wingdings" w:cs="Arial"/>
              </w:rPr>
              <w:lastRenderedPageBreak/>
              <w:t></w:t>
            </w:r>
          </w:p>
        </w:tc>
        <w:tc>
          <w:tcPr>
            <w:tcW w:w="446" w:type="dxa"/>
          </w:tcPr>
          <w:p w14:paraId="5D717851" w14:textId="77777777" w:rsidR="00173003" w:rsidRPr="0028719F" w:rsidRDefault="00173003" w:rsidP="00870D51">
            <w:pPr>
              <w:pStyle w:val="Tabletext0"/>
              <w:spacing w:before="0" w:after="0"/>
              <w:jc w:val="left"/>
            </w:pPr>
            <w:r>
              <w:rPr>
                <w:rFonts w:ascii="Wingdings" w:hAnsi="Wingdings" w:cs="Arial"/>
              </w:rPr>
              <w:t></w:t>
            </w:r>
          </w:p>
        </w:tc>
        <w:tc>
          <w:tcPr>
            <w:tcW w:w="446" w:type="dxa"/>
          </w:tcPr>
          <w:p w14:paraId="6521A3B9" w14:textId="77777777" w:rsidR="00173003" w:rsidRPr="0028719F" w:rsidRDefault="00173003" w:rsidP="00870D51">
            <w:pPr>
              <w:pStyle w:val="Tabletext0"/>
              <w:spacing w:before="0" w:after="0"/>
              <w:jc w:val="left"/>
            </w:pPr>
          </w:p>
        </w:tc>
        <w:tc>
          <w:tcPr>
            <w:tcW w:w="446" w:type="dxa"/>
          </w:tcPr>
          <w:p w14:paraId="5692EA6A" w14:textId="77777777" w:rsidR="00173003" w:rsidRPr="0028719F" w:rsidRDefault="00173003" w:rsidP="00870D51">
            <w:pPr>
              <w:pStyle w:val="Tabletext0"/>
              <w:spacing w:before="0" w:after="0"/>
              <w:jc w:val="left"/>
            </w:pPr>
          </w:p>
        </w:tc>
        <w:tc>
          <w:tcPr>
            <w:tcW w:w="485" w:type="dxa"/>
          </w:tcPr>
          <w:p w14:paraId="5D37C829" w14:textId="77777777" w:rsidR="00173003" w:rsidRPr="0028719F" w:rsidRDefault="00173003" w:rsidP="00870D51">
            <w:pPr>
              <w:pStyle w:val="Tabletext0"/>
              <w:spacing w:before="0" w:after="0"/>
              <w:jc w:val="left"/>
            </w:pPr>
          </w:p>
        </w:tc>
        <w:tc>
          <w:tcPr>
            <w:tcW w:w="2976" w:type="dxa"/>
          </w:tcPr>
          <w:p w14:paraId="4006BD10" w14:textId="77777777" w:rsidR="00173003" w:rsidRPr="0028719F" w:rsidRDefault="00173003" w:rsidP="00870D51">
            <w:pPr>
              <w:pStyle w:val="Tabletext0"/>
              <w:spacing w:before="0" w:after="0"/>
              <w:jc w:val="left"/>
            </w:pPr>
            <w:r w:rsidRPr="0028719F">
              <w:t xml:space="preserve">One quote directly supported lead-in time, as patient recruitment couldn’t </w:t>
            </w:r>
            <w:r w:rsidRPr="0028719F">
              <w:lastRenderedPageBreak/>
              <w:t>happen until the pharmacist was well embedded in the service.</w:t>
            </w:r>
          </w:p>
        </w:tc>
      </w:tr>
      <w:tr w:rsidR="00173003" w:rsidRPr="0028719F" w14:paraId="5C5AB9B2" w14:textId="77777777" w:rsidTr="00885393">
        <w:tc>
          <w:tcPr>
            <w:tcW w:w="9654" w:type="dxa"/>
            <w:gridSpan w:val="7"/>
          </w:tcPr>
          <w:p w14:paraId="746185E6" w14:textId="77777777" w:rsidR="00173003" w:rsidRPr="0028719F" w:rsidRDefault="00173003" w:rsidP="00870D51">
            <w:pPr>
              <w:pStyle w:val="Tabletext0"/>
              <w:spacing w:before="0" w:after="0"/>
              <w:jc w:val="left"/>
            </w:pPr>
            <w:r w:rsidRPr="0028719F">
              <w:lastRenderedPageBreak/>
              <w:t>4. Training and support to prepare pharmacists for a non-dispensing, integrated role within ACCHSs</w:t>
            </w:r>
          </w:p>
        </w:tc>
      </w:tr>
      <w:tr w:rsidR="00173003" w:rsidRPr="0028719F" w14:paraId="5B2D62A8" w14:textId="77777777" w:rsidTr="00885393">
        <w:tc>
          <w:tcPr>
            <w:tcW w:w="4390" w:type="dxa"/>
          </w:tcPr>
          <w:p w14:paraId="1F92C64C" w14:textId="77777777" w:rsidR="00173003" w:rsidRPr="0028719F" w:rsidRDefault="00173003" w:rsidP="00870D51">
            <w:pPr>
              <w:pStyle w:val="Tabletext0"/>
              <w:spacing w:before="0" w:after="0"/>
              <w:jc w:val="left"/>
            </w:pPr>
            <w:r w:rsidRPr="0028719F">
              <w:t xml:space="preserve">4.1 Support pharmacists to develop career pathways for integrated pharmacist roles. </w:t>
            </w:r>
          </w:p>
        </w:tc>
        <w:tc>
          <w:tcPr>
            <w:tcW w:w="465" w:type="dxa"/>
          </w:tcPr>
          <w:p w14:paraId="5CCE02E9" w14:textId="77777777" w:rsidR="00173003" w:rsidRPr="0028719F" w:rsidRDefault="00173003" w:rsidP="00870D51">
            <w:pPr>
              <w:pStyle w:val="Tabletext0"/>
              <w:spacing w:before="0" w:after="0"/>
              <w:jc w:val="left"/>
            </w:pPr>
          </w:p>
        </w:tc>
        <w:tc>
          <w:tcPr>
            <w:tcW w:w="446" w:type="dxa"/>
          </w:tcPr>
          <w:p w14:paraId="6652926A" w14:textId="77777777" w:rsidR="00173003" w:rsidRPr="0028719F" w:rsidRDefault="00173003" w:rsidP="00870D51">
            <w:pPr>
              <w:pStyle w:val="Tabletext0"/>
              <w:spacing w:before="0" w:after="0"/>
              <w:jc w:val="left"/>
            </w:pPr>
          </w:p>
        </w:tc>
        <w:tc>
          <w:tcPr>
            <w:tcW w:w="446" w:type="dxa"/>
          </w:tcPr>
          <w:p w14:paraId="08C7CA52" w14:textId="77777777" w:rsidR="00173003" w:rsidRPr="0028719F" w:rsidRDefault="00173003" w:rsidP="00870D51">
            <w:pPr>
              <w:pStyle w:val="Tabletext0"/>
              <w:spacing w:before="0" w:after="0"/>
              <w:jc w:val="left"/>
            </w:pPr>
          </w:p>
        </w:tc>
        <w:tc>
          <w:tcPr>
            <w:tcW w:w="446" w:type="dxa"/>
          </w:tcPr>
          <w:p w14:paraId="73A96F26" w14:textId="77777777" w:rsidR="00173003" w:rsidRPr="0028719F" w:rsidRDefault="00173003" w:rsidP="00870D51">
            <w:pPr>
              <w:pStyle w:val="Tabletext0"/>
              <w:spacing w:before="0" w:after="0"/>
              <w:jc w:val="left"/>
            </w:pPr>
          </w:p>
        </w:tc>
        <w:tc>
          <w:tcPr>
            <w:tcW w:w="485" w:type="dxa"/>
          </w:tcPr>
          <w:p w14:paraId="4619E9F5" w14:textId="77777777" w:rsidR="00173003" w:rsidRPr="0028719F" w:rsidRDefault="00173003" w:rsidP="00870D51">
            <w:pPr>
              <w:pStyle w:val="Tabletext0"/>
              <w:spacing w:before="0" w:after="0"/>
              <w:jc w:val="left"/>
            </w:pPr>
          </w:p>
        </w:tc>
        <w:tc>
          <w:tcPr>
            <w:tcW w:w="2976" w:type="dxa"/>
          </w:tcPr>
          <w:p w14:paraId="6B313E3C" w14:textId="77777777" w:rsidR="00173003" w:rsidRPr="0028719F" w:rsidRDefault="00173003" w:rsidP="00870D51">
            <w:pPr>
              <w:pStyle w:val="Tabletext0"/>
              <w:spacing w:before="0" w:after="0"/>
              <w:jc w:val="left"/>
            </w:pPr>
          </w:p>
        </w:tc>
      </w:tr>
      <w:tr w:rsidR="00173003" w:rsidRPr="0028719F" w14:paraId="0F95CAC7" w14:textId="77777777" w:rsidTr="00885393">
        <w:tc>
          <w:tcPr>
            <w:tcW w:w="4390" w:type="dxa"/>
          </w:tcPr>
          <w:p w14:paraId="772E9F5E" w14:textId="77777777" w:rsidR="00173003" w:rsidRPr="0028719F" w:rsidRDefault="00173003" w:rsidP="00870D51">
            <w:pPr>
              <w:pStyle w:val="Tabletext0"/>
              <w:spacing w:before="0" w:after="0"/>
              <w:jc w:val="left"/>
            </w:pPr>
            <w:r w:rsidRPr="0028719F">
              <w:t>4.2 Prepare pharmacists for integrative roles within ACCHSs through the development of a training program that includes the conduct of medication reviews, working with internal and external stakeholders, team-based collaboration, patient counselling, preventive health care, transitional care arrangements, medication adherence</w:t>
            </w:r>
            <w:r w:rsidRPr="0028719F">
              <w:br/>
              <w:t>assessment of Aboriginal and Torres Strait Islander patients, the provision of education and training and medicines information to staff and patients, and undertaking drug utilisation reviews. The program should also include comprehensive training on clinical information systems including all basic functionality, how to generate quality</w:t>
            </w:r>
            <w:r>
              <w:t xml:space="preserve"> </w:t>
            </w:r>
            <w:r w:rsidRPr="0028719F">
              <w:t>improvement reports and how to set up patient recalls.</w:t>
            </w:r>
          </w:p>
        </w:tc>
        <w:tc>
          <w:tcPr>
            <w:tcW w:w="465" w:type="dxa"/>
          </w:tcPr>
          <w:p w14:paraId="52A4DF45" w14:textId="77777777" w:rsidR="00173003" w:rsidRPr="0028719F" w:rsidRDefault="00173003" w:rsidP="00870D51">
            <w:pPr>
              <w:pStyle w:val="Tabletext0"/>
              <w:spacing w:before="0" w:after="0"/>
              <w:jc w:val="left"/>
            </w:pPr>
            <w:r>
              <w:rPr>
                <w:rFonts w:ascii="Wingdings" w:hAnsi="Wingdings" w:cs="Arial"/>
              </w:rPr>
              <w:t></w:t>
            </w:r>
          </w:p>
        </w:tc>
        <w:tc>
          <w:tcPr>
            <w:tcW w:w="446" w:type="dxa"/>
          </w:tcPr>
          <w:p w14:paraId="1A16394E" w14:textId="77777777" w:rsidR="00173003" w:rsidRPr="0028719F" w:rsidRDefault="00173003" w:rsidP="00870D51">
            <w:pPr>
              <w:pStyle w:val="Tabletext0"/>
              <w:spacing w:before="0" w:after="0"/>
              <w:jc w:val="left"/>
            </w:pPr>
            <w:r>
              <w:rPr>
                <w:rFonts w:ascii="Wingdings" w:hAnsi="Wingdings" w:cs="Arial"/>
              </w:rPr>
              <w:t></w:t>
            </w:r>
          </w:p>
        </w:tc>
        <w:tc>
          <w:tcPr>
            <w:tcW w:w="446" w:type="dxa"/>
          </w:tcPr>
          <w:p w14:paraId="61A113A4" w14:textId="77777777" w:rsidR="00173003" w:rsidRPr="0028719F" w:rsidRDefault="00173003" w:rsidP="00870D51">
            <w:pPr>
              <w:pStyle w:val="Tabletext0"/>
              <w:spacing w:before="0" w:after="0"/>
              <w:jc w:val="left"/>
            </w:pPr>
            <w:r>
              <w:rPr>
                <w:rFonts w:ascii="Wingdings" w:hAnsi="Wingdings" w:cs="Arial"/>
              </w:rPr>
              <w:t></w:t>
            </w:r>
          </w:p>
        </w:tc>
        <w:tc>
          <w:tcPr>
            <w:tcW w:w="446" w:type="dxa"/>
          </w:tcPr>
          <w:p w14:paraId="7B7B5E28" w14:textId="77777777" w:rsidR="00173003" w:rsidRPr="0028719F" w:rsidRDefault="00173003" w:rsidP="00870D51">
            <w:pPr>
              <w:pStyle w:val="Tabletext0"/>
              <w:spacing w:before="0" w:after="0"/>
              <w:jc w:val="left"/>
            </w:pPr>
          </w:p>
        </w:tc>
        <w:tc>
          <w:tcPr>
            <w:tcW w:w="485" w:type="dxa"/>
          </w:tcPr>
          <w:p w14:paraId="46D80DBB" w14:textId="77777777" w:rsidR="00173003" w:rsidRPr="0028719F" w:rsidRDefault="00173003" w:rsidP="00870D51">
            <w:pPr>
              <w:pStyle w:val="Tabletext0"/>
              <w:spacing w:before="0" w:after="0"/>
              <w:jc w:val="left"/>
            </w:pPr>
          </w:p>
        </w:tc>
        <w:tc>
          <w:tcPr>
            <w:tcW w:w="2976" w:type="dxa"/>
          </w:tcPr>
          <w:p w14:paraId="699399AB" w14:textId="77777777" w:rsidR="00173003" w:rsidRPr="0028719F" w:rsidRDefault="00173003" w:rsidP="00870D51">
            <w:pPr>
              <w:pStyle w:val="Tabletext0"/>
              <w:spacing w:before="0" w:after="0"/>
              <w:jc w:val="left"/>
            </w:pPr>
            <w:r w:rsidRPr="0028719F">
              <w:t>Pharmacists commented on the usefulness of the PSA training, though still identifying that its limited.</w:t>
            </w:r>
          </w:p>
          <w:p w14:paraId="5E7B340C" w14:textId="77777777" w:rsidR="00173003" w:rsidRPr="0028719F" w:rsidRDefault="00173003" w:rsidP="00870D51">
            <w:pPr>
              <w:pStyle w:val="Tabletext0"/>
              <w:spacing w:before="0" w:after="0"/>
              <w:jc w:val="left"/>
            </w:pPr>
          </w:p>
          <w:p w14:paraId="3788A506" w14:textId="77777777" w:rsidR="00173003" w:rsidRPr="0028719F" w:rsidRDefault="00173003" w:rsidP="00870D51">
            <w:pPr>
              <w:pStyle w:val="Tabletext0"/>
              <w:spacing w:before="0" w:after="0"/>
              <w:jc w:val="left"/>
            </w:pPr>
            <w:r w:rsidRPr="0028719F">
              <w:t xml:space="preserve">Pharmacists identified additional areas where training would be useful e.g., use of clinical information system and guidance around communicating findings. </w:t>
            </w:r>
          </w:p>
          <w:p w14:paraId="102FA9E7" w14:textId="77777777" w:rsidR="00173003" w:rsidRPr="0028719F" w:rsidRDefault="00173003" w:rsidP="00870D51">
            <w:pPr>
              <w:pStyle w:val="Tabletext0"/>
              <w:spacing w:before="0" w:after="0"/>
              <w:jc w:val="left"/>
              <w:rPr>
                <w:i/>
              </w:rPr>
            </w:pPr>
          </w:p>
        </w:tc>
      </w:tr>
      <w:tr w:rsidR="00173003" w:rsidRPr="0028719F" w14:paraId="0A09926A" w14:textId="77777777" w:rsidTr="00885393">
        <w:tc>
          <w:tcPr>
            <w:tcW w:w="4390" w:type="dxa"/>
          </w:tcPr>
          <w:p w14:paraId="0090EF31" w14:textId="77777777" w:rsidR="00173003" w:rsidRPr="0028719F" w:rsidRDefault="00173003" w:rsidP="00870D51">
            <w:pPr>
              <w:pStyle w:val="Tabletext0"/>
              <w:spacing w:before="0" w:after="0"/>
              <w:jc w:val="left"/>
            </w:pPr>
            <w:r w:rsidRPr="0028719F">
              <w:t>4.3 Ensure opportunities for pharmacists to undertake cultural safety training responsive to their place of practice prior to commencing activity within ACCHSs.</w:t>
            </w:r>
          </w:p>
        </w:tc>
        <w:tc>
          <w:tcPr>
            <w:tcW w:w="465" w:type="dxa"/>
          </w:tcPr>
          <w:p w14:paraId="5334D56F" w14:textId="77777777" w:rsidR="00173003" w:rsidRPr="0028719F" w:rsidRDefault="00173003" w:rsidP="00870D51">
            <w:pPr>
              <w:pStyle w:val="Tabletext0"/>
              <w:spacing w:before="0" w:after="0"/>
              <w:jc w:val="left"/>
            </w:pPr>
            <w:r>
              <w:rPr>
                <w:rFonts w:ascii="Wingdings" w:hAnsi="Wingdings" w:cs="Arial"/>
              </w:rPr>
              <w:t></w:t>
            </w:r>
          </w:p>
        </w:tc>
        <w:tc>
          <w:tcPr>
            <w:tcW w:w="446" w:type="dxa"/>
          </w:tcPr>
          <w:p w14:paraId="2CECEABA" w14:textId="77777777" w:rsidR="00173003" w:rsidRPr="0028719F" w:rsidRDefault="00173003" w:rsidP="00870D51">
            <w:pPr>
              <w:pStyle w:val="Tabletext0"/>
              <w:spacing w:before="0" w:after="0"/>
              <w:jc w:val="left"/>
            </w:pPr>
            <w:r>
              <w:rPr>
                <w:rFonts w:ascii="Wingdings" w:hAnsi="Wingdings" w:cs="Arial"/>
              </w:rPr>
              <w:t></w:t>
            </w:r>
          </w:p>
        </w:tc>
        <w:tc>
          <w:tcPr>
            <w:tcW w:w="446" w:type="dxa"/>
          </w:tcPr>
          <w:p w14:paraId="17F5B9FD" w14:textId="77777777" w:rsidR="00173003" w:rsidRPr="0028719F" w:rsidRDefault="00173003" w:rsidP="00870D51">
            <w:pPr>
              <w:pStyle w:val="Tabletext0"/>
              <w:spacing w:before="0" w:after="0"/>
              <w:jc w:val="left"/>
            </w:pPr>
          </w:p>
        </w:tc>
        <w:tc>
          <w:tcPr>
            <w:tcW w:w="446" w:type="dxa"/>
          </w:tcPr>
          <w:p w14:paraId="48ECDF46" w14:textId="77777777" w:rsidR="00173003" w:rsidRPr="0028719F" w:rsidRDefault="00173003" w:rsidP="00870D51">
            <w:pPr>
              <w:pStyle w:val="Tabletext0"/>
              <w:spacing w:before="0" w:after="0"/>
              <w:jc w:val="left"/>
            </w:pPr>
          </w:p>
        </w:tc>
        <w:tc>
          <w:tcPr>
            <w:tcW w:w="485" w:type="dxa"/>
          </w:tcPr>
          <w:p w14:paraId="423E5B65" w14:textId="77777777" w:rsidR="00173003" w:rsidRPr="0028719F" w:rsidRDefault="00173003" w:rsidP="00870D51">
            <w:pPr>
              <w:pStyle w:val="Tabletext0"/>
              <w:spacing w:before="0" w:after="0"/>
              <w:jc w:val="left"/>
            </w:pPr>
          </w:p>
        </w:tc>
        <w:tc>
          <w:tcPr>
            <w:tcW w:w="2976" w:type="dxa"/>
          </w:tcPr>
          <w:p w14:paraId="6D44F8CC" w14:textId="77777777" w:rsidR="00173003" w:rsidRPr="0028719F" w:rsidRDefault="00173003" w:rsidP="00870D51">
            <w:pPr>
              <w:pStyle w:val="Tabletext0"/>
              <w:spacing w:before="0" w:after="0"/>
              <w:jc w:val="left"/>
            </w:pPr>
            <w:r w:rsidRPr="0028719F">
              <w:t>Several pharmacists undertook general cultural awareness training before commencing the role. Some pharmacists received local cultural induction. Local cultural induction generally happened after the pharmacist started the role and feedback was generally positive.</w:t>
            </w:r>
          </w:p>
        </w:tc>
      </w:tr>
      <w:tr w:rsidR="00173003" w:rsidRPr="0028719F" w14:paraId="00823216" w14:textId="77777777" w:rsidTr="00885393">
        <w:tc>
          <w:tcPr>
            <w:tcW w:w="4390" w:type="dxa"/>
          </w:tcPr>
          <w:p w14:paraId="2C4299FE" w14:textId="77777777" w:rsidR="00173003" w:rsidRPr="0028719F" w:rsidRDefault="00173003" w:rsidP="00870D51">
            <w:pPr>
              <w:pStyle w:val="Tabletext0"/>
              <w:spacing w:before="0" w:after="0"/>
              <w:jc w:val="left"/>
            </w:pPr>
            <w:r w:rsidRPr="0028719F">
              <w:t>4.4 ACCHSs to provide pharmacists with induction to the service and the local community including introduction to staff members in key roles and cultural orientation to the local population.</w:t>
            </w:r>
          </w:p>
        </w:tc>
        <w:tc>
          <w:tcPr>
            <w:tcW w:w="465" w:type="dxa"/>
          </w:tcPr>
          <w:p w14:paraId="121A6291" w14:textId="77777777" w:rsidR="00173003" w:rsidRPr="0028719F" w:rsidRDefault="00173003" w:rsidP="00870D51">
            <w:pPr>
              <w:pStyle w:val="Tabletext0"/>
              <w:spacing w:before="0" w:after="0"/>
              <w:jc w:val="left"/>
            </w:pPr>
            <w:r>
              <w:rPr>
                <w:rFonts w:ascii="Wingdings" w:hAnsi="Wingdings" w:cs="Arial"/>
              </w:rPr>
              <w:t></w:t>
            </w:r>
          </w:p>
        </w:tc>
        <w:tc>
          <w:tcPr>
            <w:tcW w:w="446" w:type="dxa"/>
          </w:tcPr>
          <w:p w14:paraId="19441E7C" w14:textId="77777777" w:rsidR="00173003" w:rsidRPr="0028719F" w:rsidRDefault="00173003" w:rsidP="00870D51">
            <w:pPr>
              <w:pStyle w:val="Tabletext0"/>
              <w:spacing w:before="0" w:after="0"/>
              <w:jc w:val="left"/>
            </w:pPr>
          </w:p>
        </w:tc>
        <w:tc>
          <w:tcPr>
            <w:tcW w:w="446" w:type="dxa"/>
          </w:tcPr>
          <w:p w14:paraId="65522B4C" w14:textId="77777777" w:rsidR="00173003" w:rsidRPr="0028719F" w:rsidRDefault="00173003" w:rsidP="00870D51">
            <w:pPr>
              <w:pStyle w:val="Tabletext0"/>
              <w:spacing w:before="0" w:after="0"/>
              <w:jc w:val="left"/>
            </w:pPr>
          </w:p>
        </w:tc>
        <w:tc>
          <w:tcPr>
            <w:tcW w:w="446" w:type="dxa"/>
          </w:tcPr>
          <w:p w14:paraId="1C5401EA" w14:textId="77777777" w:rsidR="00173003" w:rsidRPr="0028719F" w:rsidRDefault="00173003" w:rsidP="00870D51">
            <w:pPr>
              <w:pStyle w:val="Tabletext0"/>
              <w:spacing w:before="0" w:after="0"/>
              <w:jc w:val="left"/>
            </w:pPr>
          </w:p>
        </w:tc>
        <w:tc>
          <w:tcPr>
            <w:tcW w:w="485" w:type="dxa"/>
          </w:tcPr>
          <w:p w14:paraId="5DDA38C9" w14:textId="77777777" w:rsidR="00173003" w:rsidRPr="0028719F" w:rsidRDefault="00173003" w:rsidP="00870D51">
            <w:pPr>
              <w:pStyle w:val="Tabletext0"/>
              <w:spacing w:before="0" w:after="0"/>
              <w:jc w:val="left"/>
            </w:pPr>
          </w:p>
        </w:tc>
        <w:tc>
          <w:tcPr>
            <w:tcW w:w="2976" w:type="dxa"/>
          </w:tcPr>
          <w:p w14:paraId="17C15B80" w14:textId="7E238F00" w:rsidR="00173003" w:rsidRPr="0028719F" w:rsidRDefault="00173003" w:rsidP="00870D51">
            <w:pPr>
              <w:pStyle w:val="Tabletext0"/>
              <w:spacing w:before="0" w:after="0"/>
              <w:jc w:val="left"/>
            </w:pPr>
            <w:r w:rsidRPr="0028719F">
              <w:t>One pharmacist commented on the value of ACCHS induction.</w:t>
            </w:r>
          </w:p>
          <w:p w14:paraId="6FE0073A" w14:textId="77777777" w:rsidR="00173003" w:rsidRPr="0028719F" w:rsidRDefault="00173003" w:rsidP="00870D51">
            <w:pPr>
              <w:pStyle w:val="Tabletext0"/>
              <w:spacing w:before="0" w:after="0"/>
              <w:jc w:val="left"/>
            </w:pPr>
          </w:p>
        </w:tc>
      </w:tr>
      <w:tr w:rsidR="00173003" w:rsidRPr="0028719F" w14:paraId="12844AE8" w14:textId="77777777" w:rsidTr="00885393">
        <w:tc>
          <w:tcPr>
            <w:tcW w:w="4390" w:type="dxa"/>
          </w:tcPr>
          <w:p w14:paraId="1DC82CC4" w14:textId="77777777" w:rsidR="00173003" w:rsidRPr="0028719F" w:rsidRDefault="00173003" w:rsidP="00870D51">
            <w:pPr>
              <w:pStyle w:val="Tabletext0"/>
              <w:spacing w:before="0" w:after="0"/>
              <w:jc w:val="left"/>
            </w:pPr>
            <w:r w:rsidRPr="0028719F">
              <w:t>4.5 Facilitate a community of practice network to enable knowledge sharing and peer support. Mentors can assist with clinical and/or cultural aspects of integrated practice and development of career pathways</w:t>
            </w:r>
          </w:p>
        </w:tc>
        <w:tc>
          <w:tcPr>
            <w:tcW w:w="465" w:type="dxa"/>
          </w:tcPr>
          <w:p w14:paraId="236A2C94" w14:textId="77777777" w:rsidR="00173003" w:rsidRPr="0028719F" w:rsidRDefault="00173003" w:rsidP="00870D51">
            <w:pPr>
              <w:pStyle w:val="Tabletext0"/>
              <w:spacing w:before="0" w:after="0"/>
              <w:jc w:val="left"/>
            </w:pPr>
            <w:r>
              <w:rPr>
                <w:rFonts w:ascii="Wingdings" w:hAnsi="Wingdings" w:cs="Arial"/>
              </w:rPr>
              <w:t></w:t>
            </w:r>
          </w:p>
        </w:tc>
        <w:tc>
          <w:tcPr>
            <w:tcW w:w="446" w:type="dxa"/>
          </w:tcPr>
          <w:p w14:paraId="3B3CF2C9" w14:textId="77777777" w:rsidR="00173003" w:rsidRPr="0028719F" w:rsidRDefault="00173003" w:rsidP="00870D51">
            <w:pPr>
              <w:pStyle w:val="Tabletext0"/>
              <w:spacing w:before="0" w:after="0"/>
              <w:jc w:val="left"/>
            </w:pPr>
          </w:p>
        </w:tc>
        <w:tc>
          <w:tcPr>
            <w:tcW w:w="446" w:type="dxa"/>
          </w:tcPr>
          <w:p w14:paraId="2C3AD004" w14:textId="77777777" w:rsidR="00173003" w:rsidRPr="0028719F" w:rsidRDefault="00173003" w:rsidP="00870D51">
            <w:pPr>
              <w:pStyle w:val="Tabletext0"/>
              <w:spacing w:before="0" w:after="0"/>
              <w:jc w:val="left"/>
            </w:pPr>
          </w:p>
        </w:tc>
        <w:tc>
          <w:tcPr>
            <w:tcW w:w="446" w:type="dxa"/>
          </w:tcPr>
          <w:p w14:paraId="674AF414" w14:textId="77777777" w:rsidR="00173003" w:rsidRPr="0028719F" w:rsidRDefault="00173003" w:rsidP="00870D51">
            <w:pPr>
              <w:pStyle w:val="Tabletext0"/>
              <w:spacing w:before="0" w:after="0"/>
              <w:jc w:val="left"/>
            </w:pPr>
          </w:p>
        </w:tc>
        <w:tc>
          <w:tcPr>
            <w:tcW w:w="485" w:type="dxa"/>
          </w:tcPr>
          <w:p w14:paraId="4182A02C" w14:textId="77777777" w:rsidR="00173003" w:rsidRPr="0028719F" w:rsidRDefault="00173003" w:rsidP="00870D51">
            <w:pPr>
              <w:pStyle w:val="Tabletext0"/>
              <w:spacing w:before="0" w:after="0"/>
              <w:jc w:val="left"/>
            </w:pPr>
          </w:p>
        </w:tc>
        <w:tc>
          <w:tcPr>
            <w:tcW w:w="2976" w:type="dxa"/>
          </w:tcPr>
          <w:p w14:paraId="4B4789F5" w14:textId="77777777" w:rsidR="00173003" w:rsidRPr="0028719F" w:rsidRDefault="00173003" w:rsidP="00870D51">
            <w:pPr>
              <w:pStyle w:val="Tabletext0"/>
              <w:spacing w:before="0" w:after="0"/>
              <w:jc w:val="left"/>
            </w:pPr>
            <w:r w:rsidRPr="0028719F">
              <w:t xml:space="preserve">Pharmacists commented on the usefulness of having a peer network for clinical support, mentors for clinical/cultural support. The pharmacists did not identify the peer network for the development of career pathways. </w:t>
            </w:r>
          </w:p>
        </w:tc>
      </w:tr>
      <w:tr w:rsidR="00173003" w:rsidRPr="007A21C3" w14:paraId="731C076E" w14:textId="77777777" w:rsidTr="00885393">
        <w:tc>
          <w:tcPr>
            <w:tcW w:w="9654" w:type="dxa"/>
            <w:gridSpan w:val="7"/>
          </w:tcPr>
          <w:p w14:paraId="783A6405" w14:textId="77777777" w:rsidR="00173003" w:rsidRPr="007A21C3" w:rsidRDefault="00173003" w:rsidP="00870D51">
            <w:pPr>
              <w:pStyle w:val="Tabletext0"/>
              <w:spacing w:before="0" w:after="0"/>
              <w:jc w:val="left"/>
            </w:pPr>
            <w:r w:rsidRPr="007A21C3">
              <w:t>5. Facilitate continuous improvement through further research and evaluation</w:t>
            </w:r>
          </w:p>
        </w:tc>
      </w:tr>
      <w:tr w:rsidR="00173003" w:rsidRPr="0028719F" w14:paraId="5D85127B" w14:textId="77777777" w:rsidTr="00885393">
        <w:tc>
          <w:tcPr>
            <w:tcW w:w="4390" w:type="dxa"/>
          </w:tcPr>
          <w:p w14:paraId="1555EB4B" w14:textId="77777777" w:rsidR="00173003" w:rsidRPr="0028719F" w:rsidRDefault="00173003" w:rsidP="00870D51">
            <w:pPr>
              <w:pStyle w:val="Tabletext0"/>
              <w:spacing w:before="0" w:after="0"/>
              <w:jc w:val="left"/>
            </w:pPr>
            <w:r w:rsidRPr="0028719F">
              <w:t>5.1 Funding should be made available for further research and evaluation of integrative pharmacist programs to facilitate continuous quality improvement.</w:t>
            </w:r>
          </w:p>
        </w:tc>
        <w:tc>
          <w:tcPr>
            <w:tcW w:w="465" w:type="dxa"/>
          </w:tcPr>
          <w:p w14:paraId="1C30581E" w14:textId="77777777" w:rsidR="00173003" w:rsidRPr="0028719F" w:rsidRDefault="00173003" w:rsidP="00870D51">
            <w:pPr>
              <w:pStyle w:val="Tabletext0"/>
              <w:spacing w:before="0" w:after="0"/>
              <w:jc w:val="left"/>
            </w:pPr>
          </w:p>
        </w:tc>
        <w:tc>
          <w:tcPr>
            <w:tcW w:w="446" w:type="dxa"/>
          </w:tcPr>
          <w:p w14:paraId="05B12F66" w14:textId="77777777" w:rsidR="00173003" w:rsidRPr="0028719F" w:rsidRDefault="00173003" w:rsidP="00870D51">
            <w:pPr>
              <w:pStyle w:val="Tabletext0"/>
              <w:spacing w:before="0" w:after="0"/>
              <w:jc w:val="left"/>
            </w:pPr>
          </w:p>
        </w:tc>
        <w:tc>
          <w:tcPr>
            <w:tcW w:w="446" w:type="dxa"/>
          </w:tcPr>
          <w:p w14:paraId="79740DE1" w14:textId="77777777" w:rsidR="00173003" w:rsidRPr="0028719F" w:rsidRDefault="00173003" w:rsidP="00870D51">
            <w:pPr>
              <w:pStyle w:val="Tabletext0"/>
              <w:spacing w:before="0" w:after="0"/>
              <w:jc w:val="left"/>
            </w:pPr>
          </w:p>
        </w:tc>
        <w:tc>
          <w:tcPr>
            <w:tcW w:w="446" w:type="dxa"/>
          </w:tcPr>
          <w:p w14:paraId="744568EC" w14:textId="77777777" w:rsidR="00173003" w:rsidRPr="0028719F" w:rsidRDefault="00173003" w:rsidP="00870D51">
            <w:pPr>
              <w:pStyle w:val="Tabletext0"/>
              <w:spacing w:before="0" w:after="0"/>
              <w:jc w:val="left"/>
            </w:pPr>
          </w:p>
        </w:tc>
        <w:tc>
          <w:tcPr>
            <w:tcW w:w="485" w:type="dxa"/>
          </w:tcPr>
          <w:p w14:paraId="25D70D10" w14:textId="77777777" w:rsidR="00173003" w:rsidRPr="0028719F" w:rsidRDefault="00173003" w:rsidP="00870D51">
            <w:pPr>
              <w:pStyle w:val="Tabletext0"/>
              <w:spacing w:before="0" w:after="0"/>
              <w:jc w:val="left"/>
            </w:pPr>
          </w:p>
        </w:tc>
        <w:tc>
          <w:tcPr>
            <w:tcW w:w="2976" w:type="dxa"/>
          </w:tcPr>
          <w:p w14:paraId="461CE4DF" w14:textId="77777777" w:rsidR="00173003" w:rsidRPr="0028719F" w:rsidRDefault="00173003" w:rsidP="00870D51">
            <w:pPr>
              <w:pStyle w:val="Tabletext0"/>
              <w:spacing w:before="0" w:after="0"/>
              <w:jc w:val="left"/>
            </w:pPr>
          </w:p>
        </w:tc>
      </w:tr>
      <w:tr w:rsidR="00173003" w:rsidRPr="0028719F" w14:paraId="7EA908B5" w14:textId="77777777" w:rsidTr="00885393">
        <w:tc>
          <w:tcPr>
            <w:tcW w:w="4390" w:type="dxa"/>
          </w:tcPr>
          <w:p w14:paraId="5522DFDC" w14:textId="77777777" w:rsidR="00173003" w:rsidRPr="0028719F" w:rsidRDefault="00173003" w:rsidP="00870D51">
            <w:pPr>
              <w:pStyle w:val="Tabletext0"/>
              <w:spacing w:before="0" w:after="0"/>
              <w:jc w:val="left"/>
            </w:pPr>
            <w:r w:rsidRPr="0028719F">
              <w:t>5.2 Research involving patients receiving services from</w:t>
            </w:r>
            <w:r w:rsidRPr="0028719F">
              <w:br/>
              <w:t>pharmacists should use simplified information sheets and consent forms for patients and consider formal translation into local languages.</w:t>
            </w:r>
          </w:p>
        </w:tc>
        <w:tc>
          <w:tcPr>
            <w:tcW w:w="465" w:type="dxa"/>
          </w:tcPr>
          <w:p w14:paraId="35F2D955" w14:textId="77777777" w:rsidR="00173003" w:rsidRPr="0028719F" w:rsidRDefault="00173003" w:rsidP="00870D51">
            <w:pPr>
              <w:pStyle w:val="Tabletext0"/>
              <w:spacing w:before="0" w:after="0"/>
              <w:jc w:val="left"/>
            </w:pPr>
            <w:r>
              <w:rPr>
                <w:rFonts w:ascii="Wingdings" w:hAnsi="Wingdings" w:cs="Arial"/>
              </w:rPr>
              <w:t></w:t>
            </w:r>
          </w:p>
        </w:tc>
        <w:tc>
          <w:tcPr>
            <w:tcW w:w="446" w:type="dxa"/>
          </w:tcPr>
          <w:p w14:paraId="408866A0" w14:textId="77777777" w:rsidR="00173003" w:rsidRPr="0028719F" w:rsidRDefault="00173003" w:rsidP="00870D51">
            <w:pPr>
              <w:pStyle w:val="Tabletext0"/>
              <w:spacing w:before="0" w:after="0"/>
              <w:jc w:val="left"/>
            </w:pPr>
          </w:p>
        </w:tc>
        <w:tc>
          <w:tcPr>
            <w:tcW w:w="446" w:type="dxa"/>
          </w:tcPr>
          <w:p w14:paraId="4BD5CC4F" w14:textId="77777777" w:rsidR="00173003" w:rsidRPr="0028719F" w:rsidRDefault="00173003" w:rsidP="00870D51">
            <w:pPr>
              <w:pStyle w:val="Tabletext0"/>
              <w:spacing w:before="0" w:after="0"/>
              <w:jc w:val="left"/>
            </w:pPr>
          </w:p>
        </w:tc>
        <w:tc>
          <w:tcPr>
            <w:tcW w:w="446" w:type="dxa"/>
          </w:tcPr>
          <w:p w14:paraId="640BD7C7" w14:textId="77777777" w:rsidR="00173003" w:rsidRPr="0028719F" w:rsidRDefault="00173003" w:rsidP="00870D51">
            <w:pPr>
              <w:pStyle w:val="Tabletext0"/>
              <w:spacing w:before="0" w:after="0"/>
              <w:jc w:val="left"/>
            </w:pPr>
          </w:p>
        </w:tc>
        <w:tc>
          <w:tcPr>
            <w:tcW w:w="485" w:type="dxa"/>
          </w:tcPr>
          <w:p w14:paraId="3561C868" w14:textId="77777777" w:rsidR="00173003" w:rsidRPr="0028719F" w:rsidRDefault="00173003" w:rsidP="00870D51">
            <w:pPr>
              <w:pStyle w:val="Tabletext0"/>
              <w:spacing w:before="0" w:after="0"/>
              <w:jc w:val="left"/>
            </w:pPr>
          </w:p>
        </w:tc>
        <w:tc>
          <w:tcPr>
            <w:tcW w:w="2976" w:type="dxa"/>
          </w:tcPr>
          <w:p w14:paraId="035212D4" w14:textId="3CDBD9DD" w:rsidR="00173003" w:rsidRPr="0028719F" w:rsidRDefault="00173003" w:rsidP="00870D51">
            <w:pPr>
              <w:pStyle w:val="Tabletext0"/>
              <w:spacing w:before="0" w:after="0"/>
              <w:jc w:val="left"/>
            </w:pPr>
            <w:r w:rsidRPr="0028719F">
              <w:t xml:space="preserve">Two pharmacists reported the difficult consent process. </w:t>
            </w:r>
          </w:p>
        </w:tc>
      </w:tr>
      <w:tr w:rsidR="00173003" w:rsidRPr="0028719F" w14:paraId="503E964E" w14:textId="77777777" w:rsidTr="00885393">
        <w:tc>
          <w:tcPr>
            <w:tcW w:w="4390" w:type="dxa"/>
          </w:tcPr>
          <w:p w14:paraId="35C002B7" w14:textId="77777777" w:rsidR="00173003" w:rsidRPr="0028719F" w:rsidRDefault="00173003" w:rsidP="00870D51">
            <w:pPr>
              <w:pStyle w:val="Tabletext0"/>
              <w:spacing w:before="0" w:after="0"/>
              <w:jc w:val="left"/>
            </w:pPr>
            <w:r w:rsidRPr="0028719F">
              <w:t xml:space="preserve">5.3 Future research projects may consider the use of the pharmacist logbook </w:t>
            </w:r>
            <w:proofErr w:type="gramStart"/>
            <w:r w:rsidRPr="0028719F">
              <w:t>in order to</w:t>
            </w:r>
            <w:proofErr w:type="gramEnd"/>
            <w:r w:rsidRPr="0028719F">
              <w:t xml:space="preserve"> facilitate data collection about the activity of integrated pharmacists. Some design improvements to simplify data entry, and comprehensive training, are suggested.</w:t>
            </w:r>
          </w:p>
        </w:tc>
        <w:tc>
          <w:tcPr>
            <w:tcW w:w="465" w:type="dxa"/>
          </w:tcPr>
          <w:p w14:paraId="2234F3BC" w14:textId="77777777" w:rsidR="00173003" w:rsidRPr="0028719F" w:rsidRDefault="00173003" w:rsidP="00870D51">
            <w:pPr>
              <w:pStyle w:val="Tabletext0"/>
              <w:spacing w:before="0" w:after="0"/>
              <w:jc w:val="left"/>
            </w:pPr>
            <w:r>
              <w:rPr>
                <w:rFonts w:ascii="Wingdings" w:hAnsi="Wingdings" w:cs="Arial"/>
              </w:rPr>
              <w:t></w:t>
            </w:r>
          </w:p>
        </w:tc>
        <w:tc>
          <w:tcPr>
            <w:tcW w:w="446" w:type="dxa"/>
          </w:tcPr>
          <w:p w14:paraId="64773130" w14:textId="77777777" w:rsidR="00173003" w:rsidRPr="0028719F" w:rsidRDefault="00173003" w:rsidP="00870D51">
            <w:pPr>
              <w:pStyle w:val="Tabletext0"/>
              <w:spacing w:before="0" w:after="0"/>
              <w:jc w:val="left"/>
            </w:pPr>
          </w:p>
        </w:tc>
        <w:tc>
          <w:tcPr>
            <w:tcW w:w="446" w:type="dxa"/>
          </w:tcPr>
          <w:p w14:paraId="4BA6D9A0" w14:textId="77777777" w:rsidR="00173003" w:rsidRPr="0028719F" w:rsidRDefault="00173003" w:rsidP="00870D51">
            <w:pPr>
              <w:pStyle w:val="Tabletext0"/>
              <w:spacing w:before="0" w:after="0"/>
              <w:jc w:val="left"/>
            </w:pPr>
          </w:p>
        </w:tc>
        <w:tc>
          <w:tcPr>
            <w:tcW w:w="446" w:type="dxa"/>
          </w:tcPr>
          <w:p w14:paraId="5AF7AB23" w14:textId="77777777" w:rsidR="00173003" w:rsidRPr="0028719F" w:rsidRDefault="00173003" w:rsidP="00870D51">
            <w:pPr>
              <w:pStyle w:val="Tabletext0"/>
              <w:spacing w:before="0" w:after="0"/>
              <w:jc w:val="left"/>
            </w:pPr>
          </w:p>
        </w:tc>
        <w:tc>
          <w:tcPr>
            <w:tcW w:w="485" w:type="dxa"/>
          </w:tcPr>
          <w:p w14:paraId="6A6D39A6" w14:textId="77777777" w:rsidR="00173003" w:rsidRPr="0028719F" w:rsidRDefault="00173003" w:rsidP="00870D51">
            <w:pPr>
              <w:pStyle w:val="Tabletext0"/>
              <w:spacing w:before="0" w:after="0"/>
              <w:jc w:val="left"/>
            </w:pPr>
          </w:p>
        </w:tc>
        <w:tc>
          <w:tcPr>
            <w:tcW w:w="2976" w:type="dxa"/>
          </w:tcPr>
          <w:p w14:paraId="7B4990A2" w14:textId="77777777" w:rsidR="00173003" w:rsidRPr="0028719F" w:rsidRDefault="00173003" w:rsidP="00870D51">
            <w:pPr>
              <w:pStyle w:val="Tabletext0"/>
              <w:spacing w:before="0" w:after="0"/>
              <w:jc w:val="left"/>
            </w:pPr>
            <w:r w:rsidRPr="0028719F">
              <w:t>The pharmacists recommended further training for the logbook and reported it was a time-consuming task.</w:t>
            </w:r>
          </w:p>
        </w:tc>
      </w:tr>
      <w:tr w:rsidR="00173003" w:rsidRPr="0028719F" w14:paraId="42284740" w14:textId="77777777" w:rsidTr="00885393">
        <w:tc>
          <w:tcPr>
            <w:tcW w:w="4390" w:type="dxa"/>
          </w:tcPr>
          <w:p w14:paraId="0C190721" w14:textId="77777777" w:rsidR="00173003" w:rsidRPr="0028719F" w:rsidRDefault="00173003" w:rsidP="00870D51">
            <w:pPr>
              <w:pStyle w:val="Tabletext0"/>
              <w:spacing w:before="0" w:after="0"/>
              <w:jc w:val="left"/>
            </w:pPr>
            <w:r w:rsidRPr="0028719F">
              <w:lastRenderedPageBreak/>
              <w:t>5.4 In the design of future research projects consider</w:t>
            </w:r>
            <w:r w:rsidRPr="0028719F">
              <w:br/>
              <w:t>the time required for data entry and ensure this element is adequately factored into the allocation of working hours.</w:t>
            </w:r>
          </w:p>
        </w:tc>
        <w:tc>
          <w:tcPr>
            <w:tcW w:w="465" w:type="dxa"/>
          </w:tcPr>
          <w:p w14:paraId="373339D5" w14:textId="77777777" w:rsidR="00173003" w:rsidRPr="0028719F" w:rsidRDefault="00173003" w:rsidP="00870D51">
            <w:pPr>
              <w:pStyle w:val="Tabletext0"/>
              <w:spacing w:before="0" w:after="0"/>
              <w:jc w:val="left"/>
            </w:pPr>
            <w:r>
              <w:rPr>
                <w:rFonts w:ascii="Wingdings" w:hAnsi="Wingdings" w:cs="Arial"/>
              </w:rPr>
              <w:t></w:t>
            </w:r>
          </w:p>
        </w:tc>
        <w:tc>
          <w:tcPr>
            <w:tcW w:w="446" w:type="dxa"/>
          </w:tcPr>
          <w:p w14:paraId="433E66BD" w14:textId="77777777" w:rsidR="00173003" w:rsidRPr="0028719F" w:rsidRDefault="00173003" w:rsidP="00870D51">
            <w:pPr>
              <w:pStyle w:val="Tabletext0"/>
              <w:spacing w:before="0" w:after="0"/>
              <w:jc w:val="left"/>
            </w:pPr>
          </w:p>
        </w:tc>
        <w:tc>
          <w:tcPr>
            <w:tcW w:w="446" w:type="dxa"/>
          </w:tcPr>
          <w:p w14:paraId="4BF829A4" w14:textId="77777777" w:rsidR="00173003" w:rsidRPr="0028719F" w:rsidRDefault="00173003" w:rsidP="00870D51">
            <w:pPr>
              <w:pStyle w:val="Tabletext0"/>
              <w:spacing w:before="0" w:after="0"/>
              <w:jc w:val="left"/>
            </w:pPr>
          </w:p>
        </w:tc>
        <w:tc>
          <w:tcPr>
            <w:tcW w:w="446" w:type="dxa"/>
          </w:tcPr>
          <w:p w14:paraId="0A624F46" w14:textId="77777777" w:rsidR="00173003" w:rsidRPr="0028719F" w:rsidRDefault="00173003" w:rsidP="00870D51">
            <w:pPr>
              <w:pStyle w:val="Tabletext0"/>
              <w:spacing w:before="0" w:after="0"/>
              <w:jc w:val="left"/>
            </w:pPr>
          </w:p>
        </w:tc>
        <w:tc>
          <w:tcPr>
            <w:tcW w:w="485" w:type="dxa"/>
          </w:tcPr>
          <w:p w14:paraId="7887E9F9" w14:textId="77777777" w:rsidR="00173003" w:rsidRPr="0028719F" w:rsidRDefault="00173003" w:rsidP="00870D51">
            <w:pPr>
              <w:pStyle w:val="Tabletext0"/>
              <w:spacing w:before="0" w:after="0"/>
              <w:jc w:val="left"/>
            </w:pPr>
          </w:p>
        </w:tc>
        <w:tc>
          <w:tcPr>
            <w:tcW w:w="2976" w:type="dxa"/>
          </w:tcPr>
          <w:p w14:paraId="1127E27B" w14:textId="77777777" w:rsidR="00173003" w:rsidRPr="0028719F" w:rsidRDefault="00173003" w:rsidP="00870D51">
            <w:pPr>
              <w:pStyle w:val="Tabletext0"/>
              <w:spacing w:before="0" w:after="0"/>
              <w:jc w:val="left"/>
            </w:pPr>
            <w:r w:rsidRPr="0028719F">
              <w:t>Some pharmacists completed data entry outside of allocated hours.</w:t>
            </w:r>
          </w:p>
        </w:tc>
      </w:tr>
      <w:tr w:rsidR="00173003" w:rsidRPr="0028719F" w14:paraId="765D5C7D" w14:textId="77777777" w:rsidTr="00885393">
        <w:tc>
          <w:tcPr>
            <w:tcW w:w="4390" w:type="dxa"/>
          </w:tcPr>
          <w:p w14:paraId="1E422F6E" w14:textId="77777777" w:rsidR="00173003" w:rsidRPr="0028719F" w:rsidRDefault="00173003" w:rsidP="00870D51">
            <w:pPr>
              <w:pStyle w:val="Tabletext0"/>
              <w:spacing w:before="0" w:after="0"/>
              <w:jc w:val="left"/>
            </w:pPr>
            <w:r w:rsidRPr="0028719F">
              <w:t>5.5 Mechanisms need to be established to support the</w:t>
            </w:r>
            <w:r w:rsidRPr="0028719F">
              <w:br/>
              <w:t>continuation of trials, beyond the trial period, if they have been found to be successful. Short term projects have detrimental impact on Australian Aboriginal peoples and Torres Strait Islanders who have historically been over researched, and on ACCHSs work processes.</w:t>
            </w:r>
          </w:p>
        </w:tc>
        <w:tc>
          <w:tcPr>
            <w:tcW w:w="465" w:type="dxa"/>
          </w:tcPr>
          <w:p w14:paraId="6C2245E2" w14:textId="77777777" w:rsidR="00173003" w:rsidRPr="0028719F" w:rsidRDefault="00173003" w:rsidP="00870D51">
            <w:pPr>
              <w:pStyle w:val="Tabletext0"/>
              <w:spacing w:before="0" w:after="0"/>
              <w:jc w:val="left"/>
            </w:pPr>
            <w:r>
              <w:rPr>
                <w:rFonts w:ascii="Wingdings" w:hAnsi="Wingdings" w:cs="Arial"/>
              </w:rPr>
              <w:t></w:t>
            </w:r>
          </w:p>
        </w:tc>
        <w:tc>
          <w:tcPr>
            <w:tcW w:w="446" w:type="dxa"/>
          </w:tcPr>
          <w:p w14:paraId="79DFCE68" w14:textId="77777777" w:rsidR="00173003" w:rsidRPr="0028719F" w:rsidRDefault="00173003" w:rsidP="00870D51">
            <w:pPr>
              <w:pStyle w:val="Tabletext0"/>
              <w:spacing w:before="0" w:after="0"/>
              <w:jc w:val="left"/>
            </w:pPr>
            <w:r>
              <w:rPr>
                <w:rFonts w:ascii="Wingdings" w:hAnsi="Wingdings" w:cs="Arial"/>
              </w:rPr>
              <w:t></w:t>
            </w:r>
          </w:p>
        </w:tc>
        <w:tc>
          <w:tcPr>
            <w:tcW w:w="446" w:type="dxa"/>
          </w:tcPr>
          <w:p w14:paraId="19FE6DC9" w14:textId="77777777" w:rsidR="00173003" w:rsidRPr="0028719F" w:rsidRDefault="00173003" w:rsidP="00870D51">
            <w:pPr>
              <w:pStyle w:val="Tabletext0"/>
              <w:spacing w:before="0" w:after="0"/>
              <w:jc w:val="left"/>
            </w:pPr>
          </w:p>
        </w:tc>
        <w:tc>
          <w:tcPr>
            <w:tcW w:w="446" w:type="dxa"/>
          </w:tcPr>
          <w:p w14:paraId="50C67130" w14:textId="77777777" w:rsidR="00173003" w:rsidRPr="0028719F" w:rsidRDefault="00173003" w:rsidP="00870D51">
            <w:pPr>
              <w:pStyle w:val="Tabletext0"/>
              <w:spacing w:before="0" w:after="0"/>
              <w:jc w:val="left"/>
            </w:pPr>
          </w:p>
        </w:tc>
        <w:tc>
          <w:tcPr>
            <w:tcW w:w="485" w:type="dxa"/>
          </w:tcPr>
          <w:p w14:paraId="67F12EFA" w14:textId="77777777" w:rsidR="00173003" w:rsidRPr="0028719F" w:rsidRDefault="00173003" w:rsidP="00870D51">
            <w:pPr>
              <w:pStyle w:val="Tabletext0"/>
              <w:spacing w:before="0" w:after="0"/>
              <w:jc w:val="left"/>
            </w:pPr>
            <w:r>
              <w:rPr>
                <w:rFonts w:ascii="Wingdings" w:hAnsi="Wingdings" w:cs="Arial"/>
              </w:rPr>
              <w:t></w:t>
            </w:r>
          </w:p>
        </w:tc>
        <w:tc>
          <w:tcPr>
            <w:tcW w:w="2976" w:type="dxa"/>
          </w:tcPr>
          <w:p w14:paraId="2AA42648" w14:textId="77777777" w:rsidR="00173003" w:rsidRPr="0028719F" w:rsidRDefault="00173003" w:rsidP="00870D51">
            <w:pPr>
              <w:pStyle w:val="Tabletext0"/>
              <w:spacing w:before="0" w:after="0"/>
              <w:jc w:val="left"/>
            </w:pPr>
          </w:p>
        </w:tc>
      </w:tr>
    </w:tbl>
    <w:p w14:paraId="77A6E07B" w14:textId="028213A7" w:rsidR="00233030" w:rsidRDefault="00233030" w:rsidP="00173003">
      <w:pPr>
        <w:pStyle w:val="TableFooter"/>
      </w:pPr>
      <w:r>
        <w:t xml:space="preserve">Source: </w:t>
      </w:r>
      <w:r w:rsidR="00216310">
        <w:t xml:space="preserve">Adapted from </w:t>
      </w:r>
      <w:r>
        <w:t xml:space="preserve">Table 6, </w:t>
      </w:r>
      <w:proofErr w:type="spellStart"/>
      <w:r>
        <w:t>pg</w:t>
      </w:r>
      <w:proofErr w:type="spellEnd"/>
      <w:r>
        <w:t xml:space="preserve"> 34 of </w:t>
      </w:r>
      <w:r w:rsidR="001E0129">
        <w:t xml:space="preserve">MSAC 1678 – Commentary on </w:t>
      </w:r>
      <w:r w:rsidR="002B6B1F">
        <w:t>the IPAC Qualitative Evidence</w:t>
      </w:r>
    </w:p>
    <w:p w14:paraId="01E6640D" w14:textId="23DC55C6" w:rsidR="00E4053A" w:rsidRPr="007562D5" w:rsidRDefault="00E4053A" w:rsidP="00173003">
      <w:pPr>
        <w:pStyle w:val="TableFooter"/>
      </w:pPr>
      <w:r w:rsidRPr="007562D5">
        <w:t>Abbreviations:</w:t>
      </w:r>
      <w:r w:rsidR="00233030">
        <w:t xml:space="preserve"> </w:t>
      </w:r>
      <w:r w:rsidRPr="007562D5">
        <w:t xml:space="preserve">ACCHS = Aboriginal </w:t>
      </w:r>
      <w:proofErr w:type="gramStart"/>
      <w:r w:rsidRPr="007562D5">
        <w:t>community controlled</w:t>
      </w:r>
      <w:proofErr w:type="gramEnd"/>
      <w:r w:rsidRPr="007562D5">
        <w:t xml:space="preserve"> health service, AHW = Aboriginal healt</w:t>
      </w:r>
      <w:r>
        <w:t>h</w:t>
      </w:r>
      <w:r w:rsidRPr="007562D5">
        <w:t xml:space="preserve"> worker, CIS = clinical information system, </w:t>
      </w:r>
      <w:r w:rsidR="00DC1016">
        <w:t>CP = community pharmacist, HSM</w:t>
      </w:r>
      <w:r w:rsidR="00BA4CC8">
        <w:t xml:space="preserve"> = </w:t>
      </w:r>
      <w:r w:rsidR="0041625F">
        <w:t xml:space="preserve">health service manager, </w:t>
      </w:r>
      <w:r w:rsidRPr="007562D5">
        <w:t>NACCHO = National Aboriginal Community Controlled Health Organisation PSA = pharmaceutical society of Australia</w:t>
      </w:r>
      <w:r>
        <w:t>.</w:t>
      </w:r>
    </w:p>
    <w:p w14:paraId="2F4FF483" w14:textId="77777777" w:rsidR="0001159C" w:rsidRDefault="0001159C" w:rsidP="00E178B4">
      <w:pPr>
        <w:pStyle w:val="Heading4"/>
      </w:pPr>
      <w:r>
        <w:t>Results of the Commentary appraisal of the cultural appropriateness of the qualitative evidence</w:t>
      </w:r>
    </w:p>
    <w:p w14:paraId="2963FF96" w14:textId="33E93DD7" w:rsidR="0001159C" w:rsidRDefault="0001159C" w:rsidP="0001159C">
      <w:r>
        <w:t>The Commentary considered the conduct of the qualitative research was generally consistent with best practices for culturally safe Indigenous health research. However, in some instances, the qualitative evidence report did not reflect best practice in the design and conduct of holistic, participatory health research with Aboriginal and Torres Strait Islander people, including:</w:t>
      </w:r>
    </w:p>
    <w:p w14:paraId="7C50E798" w14:textId="049E8B98" w:rsidR="0001159C" w:rsidRDefault="0001159C" w:rsidP="00E178B4">
      <w:pPr>
        <w:pStyle w:val="ListParagraph"/>
        <w:numPr>
          <w:ilvl w:val="0"/>
          <w:numId w:val="19"/>
        </w:numPr>
      </w:pPr>
      <w:r>
        <w:t xml:space="preserve">While the broader IPAC </w:t>
      </w:r>
      <w:r w:rsidR="00D76801">
        <w:t xml:space="preserve">study </w:t>
      </w:r>
      <w:r>
        <w:t>was clearly co-designed with a broad group of stakeholders to address priorities determined by community, it is not clear that the specific aims of the qualitative evidence report itself reflect local community priorities (i.e., to evaluate the perceptions of health service staff, patients and local community pharmacists on having an IPAC pharmacist integrated within ACCHSs and explore perceptions regarding the effectiveness of the intervention through an in-depth assessment of implementation in an urban, regional and remote setting).</w:t>
      </w:r>
    </w:p>
    <w:p w14:paraId="46D1A4B6" w14:textId="515DE610" w:rsidR="0001159C" w:rsidRDefault="0001159C" w:rsidP="00E178B4">
      <w:pPr>
        <w:pStyle w:val="ListParagraph"/>
        <w:numPr>
          <w:ilvl w:val="0"/>
          <w:numId w:val="19"/>
        </w:numPr>
      </w:pPr>
      <w:r>
        <w:t xml:space="preserve">The IPAC qualitative evidence report stated that the qualitative research was co-designed with input from the project operational team, steering </w:t>
      </w:r>
      <w:proofErr w:type="gramStart"/>
      <w:r>
        <w:t>committee</w:t>
      </w:r>
      <w:proofErr w:type="gramEnd"/>
      <w:r>
        <w:t xml:space="preserve"> and evaluation team</w:t>
      </w:r>
      <w:r w:rsidR="00EF3724">
        <w:t xml:space="preserve">. </w:t>
      </w:r>
      <w:r>
        <w:t>However, the report did not indicate which key cultural and other community bodies may have been consulted in the development and carriage of the qualitative evaluation.</w:t>
      </w:r>
    </w:p>
    <w:p w14:paraId="73A8A292" w14:textId="59907E1E" w:rsidR="0001159C" w:rsidRDefault="0001159C" w:rsidP="00E178B4">
      <w:pPr>
        <w:pStyle w:val="ListParagraph"/>
        <w:numPr>
          <w:ilvl w:val="0"/>
          <w:numId w:val="19"/>
        </w:numPr>
      </w:pPr>
      <w:r>
        <w:t xml:space="preserve">While the IPAC qualitative evidence report indicated the involvement of two Indigenous researchers, it did not sufficiently explicate the community background, role and credentials of Indigenous and non-Indigenous researchers engaged </w:t>
      </w:r>
      <w:proofErr w:type="gramStart"/>
      <w:r>
        <w:t>in particular research</w:t>
      </w:r>
      <w:proofErr w:type="gramEnd"/>
      <w:r>
        <w:t xml:space="preserve"> activities (i.e., research design; data collection; synthesis and interpretation of findings; write-up; and dissemination of findings to community-based stakeholders and external audiences).</w:t>
      </w:r>
    </w:p>
    <w:p w14:paraId="2771ADAE" w14:textId="3B321E38" w:rsidR="0001159C" w:rsidRDefault="0001159C" w:rsidP="00E178B4">
      <w:pPr>
        <w:pStyle w:val="ListParagraph"/>
        <w:numPr>
          <w:ilvl w:val="0"/>
          <w:numId w:val="19"/>
        </w:numPr>
      </w:pPr>
      <w:r>
        <w:t>The qualitative evaluation was not clearly guided by an identified Indigenous research paradigm.</w:t>
      </w:r>
    </w:p>
    <w:p w14:paraId="36DC3816" w14:textId="403590FE" w:rsidR="0001159C" w:rsidRDefault="0001159C" w:rsidP="0001159C">
      <w:r>
        <w:t xml:space="preserve">The Commentary noted </w:t>
      </w:r>
      <w:r w:rsidR="00D80C1A">
        <w:t>that more</w:t>
      </w:r>
      <w:r>
        <w:t xml:space="preserve"> Indigenous research frameworks </w:t>
      </w:r>
      <w:r w:rsidR="00D80C1A">
        <w:t xml:space="preserve">have now been </w:t>
      </w:r>
      <w:r w:rsidR="00F014B1">
        <w:t xml:space="preserve">published </w:t>
      </w:r>
      <w:r>
        <w:t xml:space="preserve">that could be </w:t>
      </w:r>
      <w:r w:rsidR="00F014B1">
        <w:t>used</w:t>
      </w:r>
      <w:r>
        <w:t xml:space="preserve"> </w:t>
      </w:r>
      <w:r w:rsidR="008B2695">
        <w:t xml:space="preserve">by </w:t>
      </w:r>
      <w:r>
        <w:t>future applicants when developing qualitative research with First Nations people and</w:t>
      </w:r>
      <w:r w:rsidR="00031EA7">
        <w:t xml:space="preserve"> to aid</w:t>
      </w:r>
      <w:r>
        <w:t xml:space="preserve"> the subsequent assessment of that </w:t>
      </w:r>
      <w:r w:rsidR="0020445C">
        <w:t xml:space="preserve">qualitative </w:t>
      </w:r>
      <w:r>
        <w:t>evidence.</w:t>
      </w:r>
    </w:p>
    <w:p w14:paraId="5BD0B678" w14:textId="03B3A448" w:rsidR="003D1B9E" w:rsidRDefault="0001159C" w:rsidP="00173003">
      <w:r>
        <w:t xml:space="preserve">The applicant response to the Commentary on the IPAC qualitative evidence highlighted that the QAT was published after completion of the IPAC </w:t>
      </w:r>
      <w:r w:rsidR="00D76801">
        <w:t>study</w:t>
      </w:r>
      <w:r>
        <w:t>. The response also reiterated that the IPAC</w:t>
      </w:r>
      <w:r w:rsidR="00D76801">
        <w:t xml:space="preserve"> </w:t>
      </w:r>
      <w:r w:rsidR="00D76801">
        <w:lastRenderedPageBreak/>
        <w:t>study</w:t>
      </w:r>
      <w:r>
        <w:t xml:space="preserve"> was undertaken as a direct result of the workforce reform priorities identified by the ACCHSs sector and</w:t>
      </w:r>
      <w:r w:rsidR="004E26A0">
        <w:t xml:space="preserve"> highlighted</w:t>
      </w:r>
      <w:r>
        <w:t xml:space="preserve"> the informed consent and research agreements that aimed to secure cultural safety for all participants.</w:t>
      </w:r>
      <w:r w:rsidDel="0001159C">
        <w:t xml:space="preserve"> </w:t>
      </w:r>
      <w:r w:rsidR="003E5C78">
        <w:t xml:space="preserve">Equity and </w:t>
      </w:r>
      <w:r w:rsidR="00C86CA7">
        <w:t>Societal Considerations</w:t>
      </w:r>
    </w:p>
    <w:p w14:paraId="522C7B5B" w14:textId="54275C57" w:rsidR="003D1B9E" w:rsidRPr="000D515B" w:rsidRDefault="000048FD" w:rsidP="003D1B9E">
      <w:r>
        <w:t xml:space="preserve">The existing programs for </w:t>
      </w:r>
      <w:r w:rsidR="004B43B8">
        <w:t xml:space="preserve">medication review services </w:t>
      </w:r>
      <w:r w:rsidR="006C761C">
        <w:t xml:space="preserve">limit the number of services </w:t>
      </w:r>
      <w:r w:rsidR="007001D3">
        <w:t>that are funded by the Government on a per provider per month basis</w:t>
      </w:r>
      <w:r w:rsidR="00EF3724">
        <w:t xml:space="preserve">. </w:t>
      </w:r>
      <w:r w:rsidR="007001D3">
        <w:t xml:space="preserve">This approach </w:t>
      </w:r>
      <w:r w:rsidR="00A0692F">
        <w:t xml:space="preserve">may </w:t>
      </w:r>
      <w:r w:rsidR="006236DF">
        <w:t xml:space="preserve">create barriers </w:t>
      </w:r>
      <w:r w:rsidR="006D7E25">
        <w:t xml:space="preserve">timely </w:t>
      </w:r>
      <w:r w:rsidR="006236DF">
        <w:t xml:space="preserve">to access </w:t>
      </w:r>
      <w:r w:rsidR="00C86028">
        <w:t xml:space="preserve">where </w:t>
      </w:r>
      <w:r w:rsidR="00E5474E">
        <w:t xml:space="preserve">demand for </w:t>
      </w:r>
      <w:r w:rsidR="00866E90">
        <w:t xml:space="preserve">medication review services </w:t>
      </w:r>
      <w:r w:rsidR="00880599">
        <w:t xml:space="preserve">exceed </w:t>
      </w:r>
      <w:r w:rsidR="007909AB">
        <w:t>the per</w:t>
      </w:r>
      <w:r w:rsidR="001341B2">
        <w:t xml:space="preserve">-provider limits to reimbursement. </w:t>
      </w:r>
      <w:r w:rsidR="00F01F5B">
        <w:t>The</w:t>
      </w:r>
      <w:r w:rsidR="00354BC5">
        <w:t xml:space="preserve"> Department does not collect data on </w:t>
      </w:r>
      <w:r w:rsidR="00CA5956">
        <w:t xml:space="preserve">Indigenous identification </w:t>
      </w:r>
      <w:r w:rsidR="0026025C">
        <w:t xml:space="preserve">of people receiving </w:t>
      </w:r>
      <w:r w:rsidR="008837AC">
        <w:t xml:space="preserve">existing </w:t>
      </w:r>
      <w:r w:rsidR="000556D7">
        <w:t xml:space="preserve">MMR services. </w:t>
      </w:r>
    </w:p>
    <w:p w14:paraId="5292F375" w14:textId="7D7F0FF0" w:rsidR="0039393C" w:rsidRDefault="0039393C" w:rsidP="0039393C">
      <w:pPr>
        <w:pStyle w:val="Heading2"/>
        <w:numPr>
          <w:ilvl w:val="0"/>
          <w:numId w:val="0"/>
        </w:numPr>
      </w:pPr>
      <w:r>
        <w:t>1</w:t>
      </w:r>
      <w:r w:rsidR="000D1C42">
        <w:t>6</w:t>
      </w:r>
      <w:r>
        <w:t>.</w:t>
      </w:r>
      <w:r>
        <w:tab/>
        <w:t>Applicant comments on MSAC’s Public Summary Document</w:t>
      </w:r>
    </w:p>
    <w:p w14:paraId="27BF30E3" w14:textId="77777777" w:rsidR="009A63BB" w:rsidRDefault="009A63BB" w:rsidP="009A63BB">
      <w:pPr>
        <w:autoSpaceDE w:val="0"/>
        <w:autoSpaceDN w:val="0"/>
        <w:rPr>
          <w:rFonts w:cs="Arial"/>
          <w:color w:val="262626" w:themeColor="text1" w:themeTint="D9"/>
          <w:szCs w:val="21"/>
          <w:lang w:val="en-US"/>
        </w:rPr>
      </w:pPr>
      <w:r>
        <w:rPr>
          <w:rFonts w:cs="Arial"/>
          <w:color w:val="262626" w:themeColor="text1" w:themeTint="D9"/>
        </w:rPr>
        <w:t xml:space="preserve">Aboriginal and Torres Strait Islander peoples continue to experience a higher burden of chronic disease due to cardiovascular, diabetes and other health problems than other Australians. To compound this, AIHW data show significant ongoing disparity in medicines access between Aboriginal and Torres Strait Islander peoples and other Australians.  Through the IPAC Trial and broader consultation, the Pharmaceutical Society of Australia (PSA) and the National Aboriginal Community Controlled Health Organisation (NACCHO) have observed how adverse health outcomes can be minimised when prescribing quality is improved, and patients and the healthcare team are supported with medicines use and management. Integrating pharmacists within Aboriginal and Torres Strait Islander primary health care services, </w:t>
      </w:r>
      <w:r>
        <w:rPr>
          <w:rFonts w:cs="Arial"/>
          <w:color w:val="262626" w:themeColor="text1" w:themeTint="D9"/>
          <w:lang w:val="en-US"/>
        </w:rPr>
        <w:t xml:space="preserve">where their medicines expertise can be applied in a culturally safe environment, is critical to building equitable access to quality use of medicines support and to </w:t>
      </w:r>
      <w:proofErr w:type="spellStart"/>
      <w:r>
        <w:rPr>
          <w:rFonts w:cs="Arial"/>
          <w:color w:val="262626" w:themeColor="text1" w:themeTint="D9"/>
          <w:lang w:val="en-US"/>
        </w:rPr>
        <w:t>optimising</w:t>
      </w:r>
      <w:proofErr w:type="spellEnd"/>
      <w:r>
        <w:rPr>
          <w:rFonts w:cs="Arial"/>
          <w:color w:val="262626" w:themeColor="text1" w:themeTint="D9"/>
          <w:lang w:val="en-US"/>
        </w:rPr>
        <w:t xml:space="preserve"> health outcomes for Aboriginal and Torres Strait Islander Australians. </w:t>
      </w:r>
      <w:r>
        <w:rPr>
          <w:rFonts w:cs="Arial"/>
          <w:color w:val="262626" w:themeColor="text1" w:themeTint="D9"/>
        </w:rPr>
        <w:t xml:space="preserve">PSA and NACCHO </w:t>
      </w:r>
      <w:proofErr w:type="spellStart"/>
      <w:r>
        <w:rPr>
          <w:rFonts w:cs="Arial"/>
          <w:color w:val="262626" w:themeColor="text1" w:themeTint="D9"/>
          <w:lang w:val="en-US"/>
        </w:rPr>
        <w:t>recognise</w:t>
      </w:r>
      <w:proofErr w:type="spellEnd"/>
      <w:r>
        <w:rPr>
          <w:rFonts w:cs="Arial"/>
          <w:color w:val="262626" w:themeColor="text1" w:themeTint="D9"/>
          <w:lang w:val="en-US"/>
        </w:rPr>
        <w:t xml:space="preserve"> the valuable role undertaken by MSAC in its appraisal of the IPAC Trial and welcome its </w:t>
      </w:r>
      <w:r>
        <w:rPr>
          <w:rFonts w:cs="Arial"/>
          <w:color w:val="262626" w:themeColor="text1" w:themeTint="D9"/>
        </w:rPr>
        <w:t xml:space="preserve">support for public funding for integrating non-dispensing pharmacists within the primary health care team of Aboriginal Health Services to improve chronic disease management. We </w:t>
      </w:r>
      <w:r>
        <w:rPr>
          <w:rFonts w:cs="Arial"/>
          <w:color w:val="262626" w:themeColor="text1" w:themeTint="D9"/>
          <w:lang w:val="en-US"/>
        </w:rPr>
        <w:t xml:space="preserve">look forward to working with the Department to further consider and develop an implementation model which meets the needs of the Aboriginal and Torres Strait Islander health and pharmacy sectors and is consistent with the Australian governments’ commitment to the Priority Reforms of the National Closing the Gap Agreement. </w:t>
      </w:r>
    </w:p>
    <w:p w14:paraId="6A92AB97" w14:textId="0E9359C2" w:rsidR="0039393C" w:rsidRDefault="0039393C" w:rsidP="0039393C">
      <w:pPr>
        <w:pStyle w:val="Heading2"/>
        <w:numPr>
          <w:ilvl w:val="0"/>
          <w:numId w:val="0"/>
        </w:numPr>
      </w:pPr>
      <w:r>
        <w:t>1</w:t>
      </w:r>
      <w:r w:rsidR="000D1C42">
        <w:t>7</w:t>
      </w:r>
      <w:r>
        <w:t>.</w:t>
      </w:r>
      <w:r>
        <w:tab/>
        <w:t>Further information on MSAC</w:t>
      </w:r>
    </w:p>
    <w:p w14:paraId="01B2A9FA" w14:textId="09BFE22E" w:rsidR="00772829" w:rsidRPr="00384D08" w:rsidRDefault="0039393C" w:rsidP="00384D08">
      <w:pPr>
        <w:pStyle w:val="BodyText"/>
        <w:rPr>
          <w:rFonts w:ascii="Franklin Gothic Book" w:hAnsi="Franklin Gothic Book" w:cstheme="minorBidi"/>
          <w:b w:val="0"/>
          <w:bCs/>
          <w:i w:val="0"/>
          <w:iCs/>
          <w:sz w:val="22"/>
        </w:rPr>
      </w:pPr>
      <w:r w:rsidRPr="00F309FA">
        <w:rPr>
          <w:rFonts w:ascii="Franklin Gothic Book" w:hAnsi="Franklin Gothic Book"/>
          <w:b w:val="0"/>
          <w:bCs/>
          <w:i w:val="0"/>
          <w:iCs/>
          <w:sz w:val="22"/>
        </w:rPr>
        <w:t xml:space="preserve">MSAC Terms of Reference and other information are available on the MSAC Website: </w:t>
      </w:r>
      <w:hyperlink r:id="rId35" w:tooltip="Link to the MSAC website" w:history="1">
        <w:r w:rsidRPr="00F309FA">
          <w:rPr>
            <w:rStyle w:val="Hyperlink"/>
            <w:rFonts w:ascii="Franklin Gothic Book" w:hAnsi="Franklin Gothic Book"/>
            <w:b w:val="0"/>
            <w:bCs/>
            <w:i w:val="0"/>
            <w:iCs/>
            <w:sz w:val="22"/>
          </w:rPr>
          <w:t>visit the MSAC website</w:t>
        </w:r>
      </w:hyperlink>
    </w:p>
    <w:sectPr w:rsidR="00772829" w:rsidRPr="00384D08" w:rsidSect="00E70B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6DFCB" w14:textId="77777777" w:rsidR="00FC178B" w:rsidRDefault="00FC178B" w:rsidP="00B62DF2">
      <w:pPr>
        <w:spacing w:after="0" w:line="240" w:lineRule="auto"/>
      </w:pPr>
      <w:r>
        <w:separator/>
      </w:r>
    </w:p>
  </w:endnote>
  <w:endnote w:type="continuationSeparator" w:id="0">
    <w:p w14:paraId="314EE52A" w14:textId="77777777" w:rsidR="00FC178B" w:rsidRDefault="00FC178B" w:rsidP="00B62DF2">
      <w:pPr>
        <w:spacing w:after="0" w:line="240" w:lineRule="auto"/>
      </w:pPr>
      <w:r>
        <w:continuationSeparator/>
      </w:r>
    </w:p>
  </w:endnote>
  <w:endnote w:type="continuationNotice" w:id="1">
    <w:p w14:paraId="16CE2E0E" w14:textId="77777777" w:rsidR="00FC178B" w:rsidRDefault="00FC178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Light">
    <w:charset w:val="80"/>
    <w:family w:val="roman"/>
    <w:pitch w:val="variable"/>
    <w:sig w:usb0="800002E7" w:usb1="2AC7FCFF" w:usb2="00000012" w:usb3="00000000" w:csb0="0002009F" w:csb1="00000000"/>
  </w:font>
  <w:font w:name="Berlin Sans FB">
    <w:panose1 w:val="020E0602020502020306"/>
    <w:charset w:val="00"/>
    <w:family w:val="swiss"/>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D499" w14:textId="4A45695C" w:rsidR="00965D3F" w:rsidRDefault="00965D3F" w:rsidP="003F36F2">
    <w:pPr>
      <w:pStyle w:val="Footer"/>
      <w:tabs>
        <w:tab w:val="clear" w:pos="4513"/>
        <w:tab w:val="center" w:pos="4253"/>
      </w:tabs>
      <w:jc w:val="right"/>
    </w:pPr>
    <w:r>
      <w:fldChar w:fldCharType="begin"/>
    </w:r>
    <w:r>
      <w:instrText xml:space="preserve"> PAGE   \* MERGEFORMAT </w:instrText>
    </w:r>
    <w:r>
      <w:fldChar w:fldCharType="separate"/>
    </w:r>
    <w:r>
      <w:rPr>
        <w:noProof/>
      </w:rPr>
      <w:t>22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30009"/>
      <w:docPartObj>
        <w:docPartGallery w:val="Page Numbers (Bottom of Page)"/>
        <w:docPartUnique/>
      </w:docPartObj>
    </w:sdtPr>
    <w:sdtEndPr>
      <w:rPr>
        <w:noProof/>
      </w:rPr>
    </w:sdtEndPr>
    <w:sdtContent>
      <w:p w14:paraId="6BE9385A" w14:textId="72184AB3" w:rsidR="00965D3F" w:rsidRDefault="00965D3F" w:rsidP="00052DD3">
        <w:pPr>
          <w:pStyle w:val="Footer"/>
          <w:jc w:val="right"/>
        </w:pPr>
        <w:r>
          <w:fldChar w:fldCharType="begin"/>
        </w:r>
        <w:r>
          <w:instrText xml:space="preserve"> PAGE   \* MERGEFORMAT </w:instrText>
        </w:r>
        <w:r>
          <w:fldChar w:fldCharType="separate"/>
        </w:r>
        <w:r>
          <w:rPr>
            <w:noProof/>
          </w:rPr>
          <w:t>21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87A0" w14:textId="77777777" w:rsidR="003365A4" w:rsidRDefault="00336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54E9C" w14:textId="77777777" w:rsidR="00FC178B" w:rsidRDefault="00FC178B" w:rsidP="00B62DF2">
      <w:pPr>
        <w:spacing w:after="0" w:line="240" w:lineRule="auto"/>
      </w:pPr>
      <w:r>
        <w:separator/>
      </w:r>
    </w:p>
  </w:footnote>
  <w:footnote w:type="continuationSeparator" w:id="0">
    <w:p w14:paraId="2356D0D4" w14:textId="77777777" w:rsidR="00FC178B" w:rsidRDefault="00FC178B" w:rsidP="00B62DF2">
      <w:pPr>
        <w:spacing w:after="0" w:line="240" w:lineRule="auto"/>
      </w:pPr>
      <w:r>
        <w:continuationSeparator/>
      </w:r>
    </w:p>
  </w:footnote>
  <w:footnote w:type="continuationNotice" w:id="1">
    <w:p w14:paraId="1B5A953D" w14:textId="77777777" w:rsidR="00FC178B" w:rsidRDefault="00FC178B">
      <w:pPr>
        <w:spacing w:before="0" w:after="0" w:line="240" w:lineRule="auto"/>
      </w:pPr>
    </w:p>
  </w:footnote>
  <w:footnote w:id="2">
    <w:p w14:paraId="141BDEEA" w14:textId="5E568606" w:rsidR="00965D3F" w:rsidRPr="002C15CC" w:rsidRDefault="00965D3F" w:rsidP="00996149">
      <w:pPr>
        <w:pStyle w:val="FootnoteText"/>
        <w:rPr>
          <w:sz w:val="16"/>
          <w:szCs w:val="16"/>
        </w:rPr>
      </w:pPr>
      <w:r w:rsidRPr="002C15CC">
        <w:rPr>
          <w:rStyle w:val="FootnoteReference"/>
          <w:sz w:val="16"/>
          <w:szCs w:val="16"/>
        </w:rPr>
        <w:footnoteRef/>
      </w:r>
      <w:r w:rsidRPr="002C15CC">
        <w:rPr>
          <w:sz w:val="16"/>
          <w:szCs w:val="16"/>
        </w:rPr>
        <w:t xml:space="preserve"> </w:t>
      </w:r>
      <w:r w:rsidRPr="00FE7668">
        <w:rPr>
          <w:sz w:val="16"/>
          <w:szCs w:val="16"/>
        </w:rPr>
        <w:t xml:space="preserve">Strengthening Medicare Taskforce Report: </w:t>
      </w:r>
      <w:hyperlink r:id="rId1" w:history="1">
        <w:r w:rsidRPr="00AF2E6C">
          <w:rPr>
            <w:rStyle w:val="Hyperlink"/>
            <w:sz w:val="16"/>
            <w:szCs w:val="16"/>
          </w:rPr>
          <w:t>https://www.health.gov.au/committees-and-groups/strengthening-medicare-taskforce</w:t>
        </w:r>
      </w:hyperlink>
      <w:r>
        <w:rPr>
          <w:sz w:val="16"/>
          <w:szCs w:val="16"/>
        </w:rPr>
        <w:t xml:space="preserve"> </w:t>
      </w:r>
    </w:p>
  </w:footnote>
  <w:footnote w:id="3">
    <w:p w14:paraId="7852B3A6" w14:textId="7A7F8B3D" w:rsidR="00965D3F" w:rsidRPr="00870D51" w:rsidRDefault="00965D3F" w:rsidP="00463B6A">
      <w:pPr>
        <w:pStyle w:val="CommentText"/>
        <w:spacing w:before="0" w:after="0"/>
        <w:rPr>
          <w:rFonts w:ascii="Franklin Gothic Book" w:hAnsi="Franklin Gothic Book"/>
          <w:sz w:val="18"/>
          <w:szCs w:val="18"/>
        </w:rPr>
      </w:pPr>
      <w:r w:rsidRPr="00870D51">
        <w:rPr>
          <w:rStyle w:val="FootnoteReference"/>
          <w:rFonts w:ascii="Franklin Gothic Book" w:hAnsi="Franklin Gothic Book"/>
          <w:sz w:val="18"/>
          <w:szCs w:val="18"/>
        </w:rPr>
        <w:footnoteRef/>
      </w:r>
      <w:r w:rsidRPr="00870D51">
        <w:rPr>
          <w:rFonts w:ascii="Franklin Gothic Book" w:hAnsi="Franklin Gothic Book"/>
          <w:sz w:val="18"/>
          <w:szCs w:val="18"/>
        </w:rPr>
        <w:t xml:space="preserve"> </w:t>
      </w:r>
      <w:hyperlink r:id="rId2" w:history="1">
        <w:r w:rsidRPr="00870D51">
          <w:rPr>
            <w:rStyle w:val="Hyperlink"/>
            <w:rFonts w:ascii="Franklin Gothic Book" w:hAnsi="Franklin Gothic Book"/>
            <w:sz w:val="18"/>
            <w:szCs w:val="18"/>
          </w:rPr>
          <w:t>https://www.pbs.gov.au/general/sixth-cpa-pages/cpp-files/QUM-Evaluation-Final-Report.PDF</w:t>
        </w:r>
      </w:hyperlink>
      <w:r w:rsidRPr="00870D51">
        <w:rPr>
          <w:rFonts w:ascii="Franklin Gothic Book" w:hAnsi="Franklin Gothic Book"/>
          <w:sz w:val="18"/>
          <w:szCs w:val="18"/>
        </w:rPr>
        <w:t xml:space="preserve"> </w:t>
      </w:r>
    </w:p>
  </w:footnote>
  <w:footnote w:id="4">
    <w:p w14:paraId="31D3642B" w14:textId="3C11D323" w:rsidR="00965D3F" w:rsidRDefault="00965D3F" w:rsidP="00463B6A">
      <w:pPr>
        <w:pStyle w:val="FootnoteText"/>
        <w:spacing w:before="0"/>
      </w:pPr>
      <w:r>
        <w:rPr>
          <w:rStyle w:val="FootnoteReference"/>
        </w:rPr>
        <w:footnoteRef/>
      </w:r>
      <w:r>
        <w:t xml:space="preserve"> </w:t>
      </w:r>
      <w:r w:rsidRPr="0045278F">
        <w:t>https://www.ppaonline.com.au/hmr-rmmr-program-changes</w:t>
      </w:r>
    </w:p>
  </w:footnote>
  <w:footnote w:id="5">
    <w:p w14:paraId="154477F7" w14:textId="6CAA2149" w:rsidR="00965D3F" w:rsidRDefault="00965D3F">
      <w:pPr>
        <w:pStyle w:val="FootnoteText"/>
      </w:pPr>
      <w:r>
        <w:rPr>
          <w:rStyle w:val="FootnoteReference"/>
        </w:rPr>
        <w:footnoteRef/>
      </w:r>
      <w:r>
        <w:t xml:space="preserve"> </w:t>
      </w:r>
      <w:hyperlink r:id="rId3" w:history="1">
        <w:r w:rsidRPr="00AF56AC">
          <w:rPr>
            <w:rStyle w:val="Hyperlink"/>
          </w:rPr>
          <w:t>https://www.health.gov.au/ministers/the-hon-greg-hunt-mp/media/on-site-pharmacists-to-improve-medication-management-in-racfs</w:t>
        </w:r>
      </w:hyperlink>
    </w:p>
  </w:footnote>
  <w:footnote w:id="6">
    <w:p w14:paraId="4B535AF6" w14:textId="6ADC0361" w:rsidR="00965D3F" w:rsidRDefault="00965D3F">
      <w:pPr>
        <w:pStyle w:val="FootnoteText"/>
      </w:pPr>
      <w:r>
        <w:rPr>
          <w:rStyle w:val="FootnoteReference"/>
        </w:rPr>
        <w:footnoteRef/>
      </w:r>
      <w:r>
        <w:t xml:space="preserve"> </w:t>
      </w:r>
      <w:hyperlink r:id="rId4" w:history="1">
        <w:r w:rsidRPr="008B7991">
          <w:rPr>
            <w:rStyle w:val="Hyperlink"/>
          </w:rPr>
          <w:t>https://consultations.health.gov.au/aged-care-division/aged-care-on-site-pharmacists/supporting_documents/Aged%20care%20onsite%20pharmacists%20consultation%20paper%20%20July%202022.pdf</w:t>
        </w:r>
      </w:hyperlink>
      <w:r>
        <w:t xml:space="preserve"> </w:t>
      </w:r>
    </w:p>
  </w:footnote>
  <w:footnote w:id="7">
    <w:p w14:paraId="34C4654F" w14:textId="77777777" w:rsidR="00965D3F" w:rsidRPr="00286D74" w:rsidRDefault="00965D3F" w:rsidP="00381164">
      <w:pPr>
        <w:pStyle w:val="FootnoteText"/>
      </w:pPr>
      <w:r>
        <w:rPr>
          <w:rStyle w:val="FootnoteReference"/>
        </w:rPr>
        <w:footnoteRef/>
      </w:r>
      <w:r>
        <w:t xml:space="preserve"> Program Rules: Indigenous Health Service Pharmacy Support </w:t>
      </w:r>
      <w:hyperlink r:id="rId5" w:history="1">
        <w:r w:rsidRPr="00025149">
          <w:rPr>
            <w:rStyle w:val="Hyperlink"/>
          </w:rPr>
          <w:t>www.ppaonline.com.au/wp-content/uploads/2022/04/IHSPS-Program-Rules-22-23.pdf</w:t>
        </w:r>
      </w:hyperlink>
      <w:r>
        <w:t xml:space="preserve"> </w:t>
      </w:r>
    </w:p>
  </w:footnote>
  <w:footnote w:id="8">
    <w:p w14:paraId="75ED4C76" w14:textId="77777777" w:rsidR="00965D3F" w:rsidRDefault="00965D3F" w:rsidP="003A3E62">
      <w:pPr>
        <w:pStyle w:val="FootnoteText"/>
        <w:rPr>
          <w:highlight w:val="yellow"/>
        </w:rPr>
      </w:pPr>
      <w:r w:rsidRPr="00217B23">
        <w:rPr>
          <w:rStyle w:val="FootnoteReference"/>
        </w:rPr>
        <w:footnoteRef/>
      </w:r>
      <w:r w:rsidRPr="00217B23">
        <w:t xml:space="preserve"> MMM1 Metropolitan areas; MMM2 Regional Centres; MMM3 Large rural towns; MMM4 Medium rural towns; MMM5 Small rural towns; MMM6 Remote communities; MMM7 Very remote communities</w:t>
      </w:r>
    </w:p>
  </w:footnote>
  <w:footnote w:id="9">
    <w:p w14:paraId="6FCD1D84" w14:textId="7EB94348" w:rsidR="00965D3F" w:rsidRDefault="00965D3F">
      <w:pPr>
        <w:pStyle w:val="FootnoteText"/>
      </w:pPr>
      <w:r>
        <w:rPr>
          <w:rStyle w:val="FootnoteReference"/>
        </w:rPr>
        <w:footnoteRef/>
      </w:r>
      <w:r>
        <w:t xml:space="preserve"> </w:t>
      </w:r>
      <w:r w:rsidRPr="00850441">
        <w:t>https://www.indigenoushpf.gov.au/getattachment/65fbaaf3-100c-4df5-941c-a8455922693c/2020-summary-ihpf-2.pdf</w:t>
      </w:r>
    </w:p>
  </w:footnote>
  <w:footnote w:id="10">
    <w:p w14:paraId="278EAF74" w14:textId="77777777" w:rsidR="00965D3F" w:rsidRDefault="00965D3F" w:rsidP="000F0616">
      <w:pPr>
        <w:pStyle w:val="FootnoteText"/>
      </w:pPr>
      <w:r>
        <w:rPr>
          <w:rStyle w:val="FootnoteReference"/>
        </w:rPr>
        <w:footnoteRef/>
      </w:r>
      <w:r>
        <w:t xml:space="preserve"> Accessible at: </w:t>
      </w:r>
      <w:hyperlink r:id="rId6" w:anchor="_Final-Report-Stage-3" w:history="1">
        <w:r w:rsidRPr="0029000C">
          <w:rPr>
            <w:rStyle w:val="Hyperlink"/>
          </w:rPr>
          <w:t>https://www.pbs.gov.au/info/reviews/diabetes#_Final-Report-Stage-3</w:t>
        </w:r>
      </w:hyperlink>
      <w:r>
        <w:t xml:space="preserve"> </w:t>
      </w:r>
    </w:p>
  </w:footnote>
  <w:footnote w:id="11">
    <w:p w14:paraId="251DFBDC" w14:textId="5E228EEE" w:rsidR="00965D3F" w:rsidRDefault="00965D3F" w:rsidP="004F6033">
      <w:pPr>
        <w:autoSpaceDE w:val="0"/>
        <w:autoSpaceDN w:val="0"/>
        <w:adjustRightInd w:val="0"/>
        <w:spacing w:after="0" w:line="240" w:lineRule="auto"/>
      </w:pPr>
      <w:r>
        <w:rPr>
          <w:rStyle w:val="FootnoteReference"/>
        </w:rPr>
        <w:footnoteRef/>
      </w:r>
      <w:r>
        <w:t xml:space="preserve"> </w:t>
      </w:r>
      <w:r w:rsidRPr="004F6033">
        <w:rPr>
          <w:rStyle w:val="TableFooterChar"/>
          <w:rFonts w:eastAsiaTheme="minorHAnsi"/>
        </w:rPr>
        <w:t xml:space="preserve">Clifford et al. “Effect of a pharmaceutical care program on vascular risk factors in type 2 diabetes: the Fremantle Diabetes Study.” Diabetes care vol. 28,4 (2005): 771-6 </w:t>
      </w:r>
    </w:p>
  </w:footnote>
  <w:footnote w:id="12">
    <w:p w14:paraId="23B1B6FE" w14:textId="4E6EC590" w:rsidR="00965D3F" w:rsidRDefault="00965D3F" w:rsidP="008C1C27">
      <w:pPr>
        <w:pStyle w:val="FootnoteText"/>
      </w:pPr>
      <w:r>
        <w:rPr>
          <w:rStyle w:val="FootnoteReference"/>
        </w:rPr>
        <w:footnoteRef/>
      </w:r>
      <w:r>
        <w:t xml:space="preserve"> Dalton et al (2018). Economic Evaluation of the Indigenous Australians’ Health Programme Phase I. Available from </w:t>
      </w:r>
      <w:hyperlink r:id="rId7" w:history="1">
        <w:r w:rsidRPr="00B24843">
          <w:rPr>
            <w:rStyle w:val="Hyperlink"/>
          </w:rPr>
          <w:t>https://www.health.gov.au/sites/default/files/documents/2020/12/economic-evaluation-of-the-indigenous-australians-health-programme-phase-i.pdf</w:t>
        </w:r>
      </w:hyperlink>
      <w:r>
        <w:t xml:space="preserve"> [Accessed 8 February 2023]. </w:t>
      </w:r>
    </w:p>
  </w:footnote>
  <w:footnote w:id="13">
    <w:p w14:paraId="4E75C5EF" w14:textId="2BB914A9" w:rsidR="00965D3F" w:rsidRDefault="00965D3F" w:rsidP="00314362">
      <w:pPr>
        <w:pStyle w:val="FootnoteText"/>
      </w:pPr>
      <w:r>
        <w:rPr>
          <w:rStyle w:val="FootnoteReference"/>
        </w:rPr>
        <w:footnoteRef/>
      </w:r>
      <w:r>
        <w:t xml:space="preserve"> </w:t>
      </w:r>
      <w:r w:rsidRPr="00541BD5">
        <w:t xml:space="preserve">Lal A, Mohebi M, Sweeney R, Moodie M, Peeters A, Carter R. Equity Weights for Socioeconomic Position: Two Methods-Survey of Stated Preferences and Epidemiological Data. </w:t>
      </w:r>
      <w:r w:rsidRPr="00541BD5">
        <w:rPr>
          <w:i/>
          <w:iCs/>
        </w:rPr>
        <w:t>Value Health.</w:t>
      </w:r>
      <w:r w:rsidRPr="00541BD5">
        <w:t xml:space="preserve"> 2019;22(2):247-253.</w:t>
      </w:r>
    </w:p>
  </w:footnote>
  <w:footnote w:id="14">
    <w:p w14:paraId="36A77265" w14:textId="6B10303B" w:rsidR="00965D3F" w:rsidRDefault="00965D3F">
      <w:pPr>
        <w:pStyle w:val="FootnoteText"/>
      </w:pPr>
      <w:r>
        <w:rPr>
          <w:rStyle w:val="FootnoteReference"/>
        </w:rPr>
        <w:footnoteRef/>
      </w:r>
      <w:r>
        <w:t xml:space="preserve"> </w:t>
      </w:r>
      <w:r w:rsidRPr="00971E2D">
        <w:t>JBI. (2017). Checklist for qualitative research. Adelaide: The Joanna Briggs Institute.</w:t>
      </w:r>
    </w:p>
  </w:footnote>
  <w:footnote w:id="15">
    <w:p w14:paraId="244D98D4" w14:textId="0847C5F3" w:rsidR="00965D3F" w:rsidRDefault="00965D3F">
      <w:pPr>
        <w:pStyle w:val="FootnoteText"/>
      </w:pPr>
      <w:r>
        <w:rPr>
          <w:rStyle w:val="FootnoteReference"/>
        </w:rPr>
        <w:footnoteRef/>
      </w:r>
      <w:r>
        <w:t xml:space="preserve"> </w:t>
      </w:r>
      <w:r w:rsidRPr="00EB5404">
        <w:t>Tong, A., Sainsbury, P. &amp; Craig, J. (2007). Consolidated criteria for reporting qualitative research (COREQ): a 32-item checklist for interviews and focus groups. International Journal for Quality in Health Care, 19(6), 349-357</w:t>
      </w:r>
    </w:p>
  </w:footnote>
  <w:footnote w:id="16">
    <w:p w14:paraId="3D67BBCE" w14:textId="1A1CA76A" w:rsidR="00965D3F" w:rsidRDefault="00965D3F">
      <w:pPr>
        <w:pStyle w:val="FootnoteText"/>
      </w:pPr>
      <w:r>
        <w:rPr>
          <w:rStyle w:val="FootnoteReference"/>
        </w:rPr>
        <w:footnoteRef/>
      </w:r>
      <w:r>
        <w:t xml:space="preserve"> </w:t>
      </w:r>
      <w:r w:rsidRPr="009C722E">
        <w:t>Harfield, S., Pearson, O., Morey, K., et al. (2020). Assessing the quality of health research from an Indigenous perspective: the Aboriginal and Torres Strait Islander quality appraisal tool. BMC Medical Research Methodology, 20(79)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780A1" w14:textId="77777777" w:rsidR="003365A4" w:rsidRDefault="003365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1AC2" w14:textId="77777777" w:rsidR="003365A4" w:rsidRDefault="003365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0CD2" w14:textId="77777777" w:rsidR="003365A4" w:rsidRDefault="003365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E66"/>
    <w:multiLevelType w:val="hybridMultilevel"/>
    <w:tmpl w:val="C0DA11CA"/>
    <w:lvl w:ilvl="0" w:tplc="0C090001">
      <w:start w:val="1"/>
      <w:numFmt w:val="bullet"/>
      <w:lvlText w:val=""/>
      <w:lvlJc w:val="left"/>
      <w:pPr>
        <w:ind w:left="764" w:hanging="360"/>
      </w:pPr>
      <w:rPr>
        <w:rFonts w:ascii="Calibri" w:hAnsi="Calibri" w:cs="Calibri" w:hint="default"/>
      </w:rPr>
    </w:lvl>
    <w:lvl w:ilvl="1" w:tplc="0C090003" w:tentative="1">
      <w:start w:val="1"/>
      <w:numFmt w:val="bullet"/>
      <w:lvlText w:val="o"/>
      <w:lvlJc w:val="left"/>
      <w:pPr>
        <w:ind w:left="1484" w:hanging="360"/>
      </w:pPr>
      <w:rPr>
        <w:rFonts w:ascii="Arial Narrow" w:hAnsi="Arial Narrow" w:cs="Arial Narrow" w:hint="default"/>
      </w:rPr>
    </w:lvl>
    <w:lvl w:ilvl="2" w:tplc="0C090005" w:tentative="1">
      <w:start w:val="1"/>
      <w:numFmt w:val="bullet"/>
      <w:lvlText w:val=""/>
      <w:lvlJc w:val="left"/>
      <w:pPr>
        <w:ind w:left="2204" w:hanging="360"/>
      </w:pPr>
      <w:rPr>
        <w:rFonts w:ascii="Courier New" w:hAnsi="Courier New" w:cs="Courier New" w:hint="default"/>
      </w:rPr>
    </w:lvl>
    <w:lvl w:ilvl="3" w:tplc="0C090001" w:tentative="1">
      <w:start w:val="1"/>
      <w:numFmt w:val="bullet"/>
      <w:lvlText w:val=""/>
      <w:lvlJc w:val="left"/>
      <w:pPr>
        <w:ind w:left="2924" w:hanging="360"/>
      </w:pPr>
      <w:rPr>
        <w:rFonts w:ascii="Calibri" w:hAnsi="Calibri" w:cs="Calibri" w:hint="default"/>
      </w:rPr>
    </w:lvl>
    <w:lvl w:ilvl="4" w:tplc="0C090003" w:tentative="1">
      <w:start w:val="1"/>
      <w:numFmt w:val="bullet"/>
      <w:lvlText w:val="o"/>
      <w:lvlJc w:val="left"/>
      <w:pPr>
        <w:ind w:left="3644" w:hanging="360"/>
      </w:pPr>
      <w:rPr>
        <w:rFonts w:ascii="Arial Narrow" w:hAnsi="Arial Narrow" w:cs="Arial Narrow" w:hint="default"/>
      </w:rPr>
    </w:lvl>
    <w:lvl w:ilvl="5" w:tplc="0C090005" w:tentative="1">
      <w:start w:val="1"/>
      <w:numFmt w:val="bullet"/>
      <w:lvlText w:val=""/>
      <w:lvlJc w:val="left"/>
      <w:pPr>
        <w:ind w:left="4364" w:hanging="360"/>
      </w:pPr>
      <w:rPr>
        <w:rFonts w:ascii="Courier New" w:hAnsi="Courier New" w:cs="Courier New" w:hint="default"/>
      </w:rPr>
    </w:lvl>
    <w:lvl w:ilvl="6" w:tplc="0C090001" w:tentative="1">
      <w:start w:val="1"/>
      <w:numFmt w:val="bullet"/>
      <w:lvlText w:val=""/>
      <w:lvlJc w:val="left"/>
      <w:pPr>
        <w:ind w:left="5084" w:hanging="360"/>
      </w:pPr>
      <w:rPr>
        <w:rFonts w:ascii="Calibri" w:hAnsi="Calibri" w:cs="Calibri" w:hint="default"/>
      </w:rPr>
    </w:lvl>
    <w:lvl w:ilvl="7" w:tplc="0C090003" w:tentative="1">
      <w:start w:val="1"/>
      <w:numFmt w:val="bullet"/>
      <w:lvlText w:val="o"/>
      <w:lvlJc w:val="left"/>
      <w:pPr>
        <w:ind w:left="5804" w:hanging="360"/>
      </w:pPr>
      <w:rPr>
        <w:rFonts w:ascii="Arial Narrow" w:hAnsi="Arial Narrow" w:cs="Arial Narrow" w:hint="default"/>
      </w:rPr>
    </w:lvl>
    <w:lvl w:ilvl="8" w:tplc="0C090005" w:tentative="1">
      <w:start w:val="1"/>
      <w:numFmt w:val="bullet"/>
      <w:lvlText w:val=""/>
      <w:lvlJc w:val="left"/>
      <w:pPr>
        <w:ind w:left="6524" w:hanging="360"/>
      </w:pPr>
      <w:rPr>
        <w:rFonts w:ascii="Courier New" w:hAnsi="Courier New" w:cs="Courier New" w:hint="default"/>
      </w:rPr>
    </w:lvl>
  </w:abstractNum>
  <w:abstractNum w:abstractNumId="1" w15:restartNumberingAfterBreak="0">
    <w:nsid w:val="04AB516A"/>
    <w:multiLevelType w:val="hybridMultilevel"/>
    <w:tmpl w:val="03C87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Arial Narrow" w:hAnsi="Arial Narrow" w:cs="Arial Narrow" w:hint="default"/>
      </w:rPr>
    </w:lvl>
    <w:lvl w:ilvl="2" w:tplc="0C090005" w:tentative="1">
      <w:start w:val="1"/>
      <w:numFmt w:val="bullet"/>
      <w:lvlText w:val=""/>
      <w:lvlJc w:val="left"/>
      <w:pPr>
        <w:ind w:left="2160" w:hanging="360"/>
      </w:pPr>
      <w:rPr>
        <w:rFonts w:ascii="Courier New" w:hAnsi="Courier New" w:hint="default"/>
      </w:rPr>
    </w:lvl>
    <w:lvl w:ilvl="3" w:tplc="0C090001" w:tentative="1">
      <w:start w:val="1"/>
      <w:numFmt w:val="bullet"/>
      <w:lvlText w:val=""/>
      <w:lvlJc w:val="left"/>
      <w:pPr>
        <w:ind w:left="2880" w:hanging="360"/>
      </w:pPr>
      <w:rPr>
        <w:rFonts w:ascii="Calibri" w:hAnsi="Calibri" w:hint="default"/>
      </w:rPr>
    </w:lvl>
    <w:lvl w:ilvl="4" w:tplc="0C090003" w:tentative="1">
      <w:start w:val="1"/>
      <w:numFmt w:val="bullet"/>
      <w:lvlText w:val="o"/>
      <w:lvlJc w:val="left"/>
      <w:pPr>
        <w:ind w:left="3600" w:hanging="360"/>
      </w:pPr>
      <w:rPr>
        <w:rFonts w:ascii="Arial Narrow" w:hAnsi="Arial Narrow" w:cs="Arial Narrow" w:hint="default"/>
      </w:rPr>
    </w:lvl>
    <w:lvl w:ilvl="5" w:tplc="0C090005" w:tentative="1">
      <w:start w:val="1"/>
      <w:numFmt w:val="bullet"/>
      <w:lvlText w:val=""/>
      <w:lvlJc w:val="left"/>
      <w:pPr>
        <w:ind w:left="4320" w:hanging="360"/>
      </w:pPr>
      <w:rPr>
        <w:rFonts w:ascii="Courier New" w:hAnsi="Courier New" w:hint="default"/>
      </w:rPr>
    </w:lvl>
    <w:lvl w:ilvl="6" w:tplc="0C090001" w:tentative="1">
      <w:start w:val="1"/>
      <w:numFmt w:val="bullet"/>
      <w:lvlText w:val=""/>
      <w:lvlJc w:val="left"/>
      <w:pPr>
        <w:ind w:left="5040" w:hanging="360"/>
      </w:pPr>
      <w:rPr>
        <w:rFonts w:ascii="Calibri" w:hAnsi="Calibri" w:hint="default"/>
      </w:rPr>
    </w:lvl>
    <w:lvl w:ilvl="7" w:tplc="0C090003" w:tentative="1">
      <w:start w:val="1"/>
      <w:numFmt w:val="bullet"/>
      <w:lvlText w:val="o"/>
      <w:lvlJc w:val="left"/>
      <w:pPr>
        <w:ind w:left="5760" w:hanging="360"/>
      </w:pPr>
      <w:rPr>
        <w:rFonts w:ascii="Arial Narrow" w:hAnsi="Arial Narrow" w:cs="Arial Narrow" w:hint="default"/>
      </w:rPr>
    </w:lvl>
    <w:lvl w:ilvl="8" w:tplc="0C090005" w:tentative="1">
      <w:start w:val="1"/>
      <w:numFmt w:val="bullet"/>
      <w:lvlText w:val=""/>
      <w:lvlJc w:val="left"/>
      <w:pPr>
        <w:ind w:left="6480" w:hanging="360"/>
      </w:pPr>
      <w:rPr>
        <w:rFonts w:ascii="Courier New" w:hAnsi="Courier New" w:hint="default"/>
      </w:rPr>
    </w:lvl>
  </w:abstractNum>
  <w:abstractNum w:abstractNumId="2" w15:restartNumberingAfterBreak="0">
    <w:nsid w:val="0FFF556F"/>
    <w:multiLevelType w:val="hybridMultilevel"/>
    <w:tmpl w:val="6BC035C4"/>
    <w:lvl w:ilvl="0" w:tplc="FB942214">
      <w:start w:val="1"/>
      <w:numFmt w:val="bullet"/>
      <w:pStyle w:val="Bullet"/>
      <w:lvlText w:val=""/>
      <w:lvlJc w:val="left"/>
      <w:pPr>
        <w:ind w:left="720" w:hanging="360"/>
      </w:pPr>
      <w:rPr>
        <w:rFonts w:ascii="Calibri" w:hAnsi="Calibri" w:hint="default"/>
      </w:rPr>
    </w:lvl>
    <w:lvl w:ilvl="1" w:tplc="0C090003">
      <w:start w:val="1"/>
      <w:numFmt w:val="bullet"/>
      <w:lvlText w:val="o"/>
      <w:lvlJc w:val="left"/>
      <w:pPr>
        <w:ind w:left="1440" w:hanging="360"/>
      </w:pPr>
      <w:rPr>
        <w:rFonts w:ascii="Arial Narrow" w:hAnsi="Arial Narrow" w:cs="Arial Narrow" w:hint="default"/>
      </w:rPr>
    </w:lvl>
    <w:lvl w:ilvl="2" w:tplc="0C090005" w:tentative="1">
      <w:start w:val="1"/>
      <w:numFmt w:val="bullet"/>
      <w:lvlText w:val=""/>
      <w:lvlJc w:val="left"/>
      <w:pPr>
        <w:ind w:left="2160" w:hanging="360"/>
      </w:pPr>
      <w:rPr>
        <w:rFonts w:ascii="Courier New" w:hAnsi="Courier New" w:hint="default"/>
      </w:rPr>
    </w:lvl>
    <w:lvl w:ilvl="3" w:tplc="0C090001" w:tentative="1">
      <w:start w:val="1"/>
      <w:numFmt w:val="bullet"/>
      <w:lvlText w:val=""/>
      <w:lvlJc w:val="left"/>
      <w:pPr>
        <w:ind w:left="2880" w:hanging="360"/>
      </w:pPr>
      <w:rPr>
        <w:rFonts w:ascii="Calibri" w:hAnsi="Calibri" w:hint="default"/>
      </w:rPr>
    </w:lvl>
    <w:lvl w:ilvl="4" w:tplc="0C090003" w:tentative="1">
      <w:start w:val="1"/>
      <w:numFmt w:val="bullet"/>
      <w:lvlText w:val="o"/>
      <w:lvlJc w:val="left"/>
      <w:pPr>
        <w:ind w:left="3600" w:hanging="360"/>
      </w:pPr>
      <w:rPr>
        <w:rFonts w:ascii="Arial Narrow" w:hAnsi="Arial Narrow" w:cs="Arial Narrow" w:hint="default"/>
      </w:rPr>
    </w:lvl>
    <w:lvl w:ilvl="5" w:tplc="0C090005" w:tentative="1">
      <w:start w:val="1"/>
      <w:numFmt w:val="bullet"/>
      <w:lvlText w:val=""/>
      <w:lvlJc w:val="left"/>
      <w:pPr>
        <w:ind w:left="4320" w:hanging="360"/>
      </w:pPr>
      <w:rPr>
        <w:rFonts w:ascii="Courier New" w:hAnsi="Courier New" w:hint="default"/>
      </w:rPr>
    </w:lvl>
    <w:lvl w:ilvl="6" w:tplc="0C090001" w:tentative="1">
      <w:start w:val="1"/>
      <w:numFmt w:val="bullet"/>
      <w:lvlText w:val=""/>
      <w:lvlJc w:val="left"/>
      <w:pPr>
        <w:ind w:left="5040" w:hanging="360"/>
      </w:pPr>
      <w:rPr>
        <w:rFonts w:ascii="Calibri" w:hAnsi="Calibri" w:hint="default"/>
      </w:rPr>
    </w:lvl>
    <w:lvl w:ilvl="7" w:tplc="0C090003" w:tentative="1">
      <w:start w:val="1"/>
      <w:numFmt w:val="bullet"/>
      <w:lvlText w:val="o"/>
      <w:lvlJc w:val="left"/>
      <w:pPr>
        <w:ind w:left="5760" w:hanging="360"/>
      </w:pPr>
      <w:rPr>
        <w:rFonts w:ascii="Arial Narrow" w:hAnsi="Arial Narrow" w:cs="Arial Narrow" w:hint="default"/>
      </w:rPr>
    </w:lvl>
    <w:lvl w:ilvl="8" w:tplc="0C090005" w:tentative="1">
      <w:start w:val="1"/>
      <w:numFmt w:val="bullet"/>
      <w:lvlText w:val=""/>
      <w:lvlJc w:val="left"/>
      <w:pPr>
        <w:ind w:left="6480" w:hanging="360"/>
      </w:pPr>
      <w:rPr>
        <w:rFonts w:ascii="Courier New" w:hAnsi="Courier New" w:hint="default"/>
      </w:rPr>
    </w:lvl>
  </w:abstractNum>
  <w:abstractNum w:abstractNumId="3" w15:restartNumberingAfterBreak="0">
    <w:nsid w:val="10F94844"/>
    <w:multiLevelType w:val="hybridMultilevel"/>
    <w:tmpl w:val="6FFCA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Arial Narrow" w:hAnsi="Arial Narrow" w:cs="Arial Narrow" w:hint="default"/>
      </w:rPr>
    </w:lvl>
    <w:lvl w:ilvl="2" w:tplc="0C090005" w:tentative="1">
      <w:start w:val="1"/>
      <w:numFmt w:val="bullet"/>
      <w:lvlText w:val=""/>
      <w:lvlJc w:val="left"/>
      <w:pPr>
        <w:ind w:left="2160" w:hanging="360"/>
      </w:pPr>
      <w:rPr>
        <w:rFonts w:ascii="Courier New" w:hAnsi="Courier New" w:hint="default"/>
      </w:rPr>
    </w:lvl>
    <w:lvl w:ilvl="3" w:tplc="0C090001" w:tentative="1">
      <w:start w:val="1"/>
      <w:numFmt w:val="bullet"/>
      <w:lvlText w:val=""/>
      <w:lvlJc w:val="left"/>
      <w:pPr>
        <w:ind w:left="2880" w:hanging="360"/>
      </w:pPr>
      <w:rPr>
        <w:rFonts w:ascii="Calibri" w:hAnsi="Calibri" w:hint="default"/>
      </w:rPr>
    </w:lvl>
    <w:lvl w:ilvl="4" w:tplc="0C090003" w:tentative="1">
      <w:start w:val="1"/>
      <w:numFmt w:val="bullet"/>
      <w:lvlText w:val="o"/>
      <w:lvlJc w:val="left"/>
      <w:pPr>
        <w:ind w:left="3600" w:hanging="360"/>
      </w:pPr>
      <w:rPr>
        <w:rFonts w:ascii="Arial Narrow" w:hAnsi="Arial Narrow" w:cs="Arial Narrow" w:hint="default"/>
      </w:rPr>
    </w:lvl>
    <w:lvl w:ilvl="5" w:tplc="0C090005" w:tentative="1">
      <w:start w:val="1"/>
      <w:numFmt w:val="bullet"/>
      <w:lvlText w:val=""/>
      <w:lvlJc w:val="left"/>
      <w:pPr>
        <w:ind w:left="4320" w:hanging="360"/>
      </w:pPr>
      <w:rPr>
        <w:rFonts w:ascii="Courier New" w:hAnsi="Courier New" w:hint="default"/>
      </w:rPr>
    </w:lvl>
    <w:lvl w:ilvl="6" w:tplc="0C090001" w:tentative="1">
      <w:start w:val="1"/>
      <w:numFmt w:val="bullet"/>
      <w:lvlText w:val=""/>
      <w:lvlJc w:val="left"/>
      <w:pPr>
        <w:ind w:left="5040" w:hanging="360"/>
      </w:pPr>
      <w:rPr>
        <w:rFonts w:ascii="Calibri" w:hAnsi="Calibri" w:hint="default"/>
      </w:rPr>
    </w:lvl>
    <w:lvl w:ilvl="7" w:tplc="0C090003" w:tentative="1">
      <w:start w:val="1"/>
      <w:numFmt w:val="bullet"/>
      <w:lvlText w:val="o"/>
      <w:lvlJc w:val="left"/>
      <w:pPr>
        <w:ind w:left="5760" w:hanging="360"/>
      </w:pPr>
      <w:rPr>
        <w:rFonts w:ascii="Arial Narrow" w:hAnsi="Arial Narrow" w:cs="Arial Narrow" w:hint="default"/>
      </w:rPr>
    </w:lvl>
    <w:lvl w:ilvl="8" w:tplc="0C090005" w:tentative="1">
      <w:start w:val="1"/>
      <w:numFmt w:val="bullet"/>
      <w:lvlText w:val=""/>
      <w:lvlJc w:val="left"/>
      <w:pPr>
        <w:ind w:left="6480" w:hanging="360"/>
      </w:pPr>
      <w:rPr>
        <w:rFonts w:ascii="Courier New" w:hAnsi="Courier New" w:hint="default"/>
      </w:rPr>
    </w:lvl>
  </w:abstractNum>
  <w:abstractNum w:abstractNumId="4" w15:restartNumberingAfterBreak="0">
    <w:nsid w:val="15D82D8C"/>
    <w:multiLevelType w:val="hybridMultilevel"/>
    <w:tmpl w:val="F6E077B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Arial Narrow" w:hAnsi="Arial Narrow" w:cs="Arial Narrow" w:hint="default"/>
      </w:rPr>
    </w:lvl>
    <w:lvl w:ilvl="2" w:tplc="0C090005" w:tentative="1">
      <w:start w:val="1"/>
      <w:numFmt w:val="bullet"/>
      <w:lvlText w:val=""/>
      <w:lvlJc w:val="left"/>
      <w:pPr>
        <w:ind w:left="2220" w:hanging="360"/>
      </w:pPr>
      <w:rPr>
        <w:rFonts w:ascii="Courier New" w:hAnsi="Courier New" w:hint="default"/>
      </w:rPr>
    </w:lvl>
    <w:lvl w:ilvl="3" w:tplc="0C090001" w:tentative="1">
      <w:start w:val="1"/>
      <w:numFmt w:val="bullet"/>
      <w:lvlText w:val=""/>
      <w:lvlJc w:val="left"/>
      <w:pPr>
        <w:ind w:left="2940" w:hanging="360"/>
      </w:pPr>
      <w:rPr>
        <w:rFonts w:ascii="Calibri" w:hAnsi="Calibri" w:hint="default"/>
      </w:rPr>
    </w:lvl>
    <w:lvl w:ilvl="4" w:tplc="0C090003" w:tentative="1">
      <w:start w:val="1"/>
      <w:numFmt w:val="bullet"/>
      <w:lvlText w:val="o"/>
      <w:lvlJc w:val="left"/>
      <w:pPr>
        <w:ind w:left="3660" w:hanging="360"/>
      </w:pPr>
      <w:rPr>
        <w:rFonts w:ascii="Arial Narrow" w:hAnsi="Arial Narrow" w:cs="Arial Narrow" w:hint="default"/>
      </w:rPr>
    </w:lvl>
    <w:lvl w:ilvl="5" w:tplc="0C090005" w:tentative="1">
      <w:start w:val="1"/>
      <w:numFmt w:val="bullet"/>
      <w:lvlText w:val=""/>
      <w:lvlJc w:val="left"/>
      <w:pPr>
        <w:ind w:left="4380" w:hanging="360"/>
      </w:pPr>
      <w:rPr>
        <w:rFonts w:ascii="Courier New" w:hAnsi="Courier New" w:hint="default"/>
      </w:rPr>
    </w:lvl>
    <w:lvl w:ilvl="6" w:tplc="0C090001" w:tentative="1">
      <w:start w:val="1"/>
      <w:numFmt w:val="bullet"/>
      <w:lvlText w:val=""/>
      <w:lvlJc w:val="left"/>
      <w:pPr>
        <w:ind w:left="5100" w:hanging="360"/>
      </w:pPr>
      <w:rPr>
        <w:rFonts w:ascii="Calibri" w:hAnsi="Calibri" w:hint="default"/>
      </w:rPr>
    </w:lvl>
    <w:lvl w:ilvl="7" w:tplc="0C090003" w:tentative="1">
      <w:start w:val="1"/>
      <w:numFmt w:val="bullet"/>
      <w:lvlText w:val="o"/>
      <w:lvlJc w:val="left"/>
      <w:pPr>
        <w:ind w:left="5820" w:hanging="360"/>
      </w:pPr>
      <w:rPr>
        <w:rFonts w:ascii="Arial Narrow" w:hAnsi="Arial Narrow" w:cs="Arial Narrow" w:hint="default"/>
      </w:rPr>
    </w:lvl>
    <w:lvl w:ilvl="8" w:tplc="0C090005" w:tentative="1">
      <w:start w:val="1"/>
      <w:numFmt w:val="bullet"/>
      <w:lvlText w:val=""/>
      <w:lvlJc w:val="left"/>
      <w:pPr>
        <w:ind w:left="6540" w:hanging="360"/>
      </w:pPr>
      <w:rPr>
        <w:rFonts w:ascii="Courier New" w:hAnsi="Courier New" w:hint="default"/>
      </w:rPr>
    </w:lvl>
  </w:abstractNum>
  <w:abstractNum w:abstractNumId="5" w15:restartNumberingAfterBreak="0">
    <w:nsid w:val="15F622B8"/>
    <w:multiLevelType w:val="hybridMultilevel"/>
    <w:tmpl w:val="53903408"/>
    <w:lvl w:ilvl="0" w:tplc="0C090001">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Arial Narrow" w:hAnsi="Arial Narrow" w:cs="Arial Narrow" w:hint="default"/>
      </w:rPr>
    </w:lvl>
    <w:lvl w:ilvl="2" w:tplc="0C090005" w:tentative="1">
      <w:start w:val="1"/>
      <w:numFmt w:val="bullet"/>
      <w:lvlText w:val=""/>
      <w:lvlJc w:val="left"/>
      <w:pPr>
        <w:ind w:left="2160" w:hanging="360"/>
      </w:pPr>
      <w:rPr>
        <w:rFonts w:ascii="Courier New" w:hAnsi="Courier New" w:hint="default"/>
      </w:rPr>
    </w:lvl>
    <w:lvl w:ilvl="3" w:tplc="0C090001" w:tentative="1">
      <w:start w:val="1"/>
      <w:numFmt w:val="bullet"/>
      <w:lvlText w:val=""/>
      <w:lvlJc w:val="left"/>
      <w:pPr>
        <w:ind w:left="2880" w:hanging="360"/>
      </w:pPr>
      <w:rPr>
        <w:rFonts w:ascii="Calibri" w:hAnsi="Calibri" w:hint="default"/>
      </w:rPr>
    </w:lvl>
    <w:lvl w:ilvl="4" w:tplc="0C090003" w:tentative="1">
      <w:start w:val="1"/>
      <w:numFmt w:val="bullet"/>
      <w:lvlText w:val="o"/>
      <w:lvlJc w:val="left"/>
      <w:pPr>
        <w:ind w:left="3600" w:hanging="360"/>
      </w:pPr>
      <w:rPr>
        <w:rFonts w:ascii="Arial Narrow" w:hAnsi="Arial Narrow" w:cs="Arial Narrow" w:hint="default"/>
      </w:rPr>
    </w:lvl>
    <w:lvl w:ilvl="5" w:tplc="0C090005" w:tentative="1">
      <w:start w:val="1"/>
      <w:numFmt w:val="bullet"/>
      <w:lvlText w:val=""/>
      <w:lvlJc w:val="left"/>
      <w:pPr>
        <w:ind w:left="4320" w:hanging="360"/>
      </w:pPr>
      <w:rPr>
        <w:rFonts w:ascii="Courier New" w:hAnsi="Courier New" w:hint="default"/>
      </w:rPr>
    </w:lvl>
    <w:lvl w:ilvl="6" w:tplc="0C090001" w:tentative="1">
      <w:start w:val="1"/>
      <w:numFmt w:val="bullet"/>
      <w:lvlText w:val=""/>
      <w:lvlJc w:val="left"/>
      <w:pPr>
        <w:ind w:left="5040" w:hanging="360"/>
      </w:pPr>
      <w:rPr>
        <w:rFonts w:ascii="Calibri" w:hAnsi="Calibri" w:hint="default"/>
      </w:rPr>
    </w:lvl>
    <w:lvl w:ilvl="7" w:tplc="0C090003" w:tentative="1">
      <w:start w:val="1"/>
      <w:numFmt w:val="bullet"/>
      <w:lvlText w:val="o"/>
      <w:lvlJc w:val="left"/>
      <w:pPr>
        <w:ind w:left="5760" w:hanging="360"/>
      </w:pPr>
      <w:rPr>
        <w:rFonts w:ascii="Arial Narrow" w:hAnsi="Arial Narrow" w:cs="Arial Narrow" w:hint="default"/>
      </w:rPr>
    </w:lvl>
    <w:lvl w:ilvl="8" w:tplc="0C090005" w:tentative="1">
      <w:start w:val="1"/>
      <w:numFmt w:val="bullet"/>
      <w:lvlText w:val=""/>
      <w:lvlJc w:val="left"/>
      <w:pPr>
        <w:ind w:left="6480" w:hanging="360"/>
      </w:pPr>
      <w:rPr>
        <w:rFonts w:ascii="Courier New" w:hAnsi="Courier New" w:hint="default"/>
      </w:rPr>
    </w:lvl>
  </w:abstractNum>
  <w:abstractNum w:abstractNumId="6" w15:restartNumberingAfterBreak="0">
    <w:nsid w:val="17677E3C"/>
    <w:multiLevelType w:val="hybridMultilevel"/>
    <w:tmpl w:val="60D667D4"/>
    <w:lvl w:ilvl="0" w:tplc="0C090001">
      <w:start w:val="1"/>
      <w:numFmt w:val="bullet"/>
      <w:lvlText w:val=""/>
      <w:lvlJc w:val="left"/>
      <w:pPr>
        <w:ind w:left="360" w:hanging="360"/>
      </w:pPr>
      <w:rPr>
        <w:rFonts w:ascii="Symbol" w:hAnsi="Symbol" w:hint="default"/>
      </w:rPr>
    </w:lvl>
    <w:lvl w:ilvl="1" w:tplc="00EA8E9A">
      <w:start w:val="3"/>
      <w:numFmt w:val="bullet"/>
      <w:lvlText w:val="•"/>
      <w:lvlJc w:val="left"/>
      <w:pPr>
        <w:ind w:left="1080" w:hanging="360"/>
      </w:pPr>
      <w:rPr>
        <w:rFonts w:ascii="Segoe UI" w:eastAsiaTheme="minorHAnsi" w:hAnsi="Segoe UI" w:cstheme="minorBidi" w:hint="default"/>
      </w:rPr>
    </w:lvl>
    <w:lvl w:ilvl="2" w:tplc="0C090005" w:tentative="1">
      <w:start w:val="1"/>
      <w:numFmt w:val="bullet"/>
      <w:lvlText w:val=""/>
      <w:lvlJc w:val="left"/>
      <w:pPr>
        <w:ind w:left="1800" w:hanging="360"/>
      </w:pPr>
      <w:rPr>
        <w:rFonts w:ascii="Courier New" w:hAnsi="Courier New" w:hint="default"/>
      </w:rPr>
    </w:lvl>
    <w:lvl w:ilvl="3" w:tplc="0C090001" w:tentative="1">
      <w:start w:val="1"/>
      <w:numFmt w:val="bullet"/>
      <w:lvlText w:val=""/>
      <w:lvlJc w:val="left"/>
      <w:pPr>
        <w:ind w:left="2520" w:hanging="360"/>
      </w:pPr>
      <w:rPr>
        <w:rFonts w:ascii="Calibri" w:hAnsi="Calibri" w:hint="default"/>
      </w:rPr>
    </w:lvl>
    <w:lvl w:ilvl="4" w:tplc="0C090003" w:tentative="1">
      <w:start w:val="1"/>
      <w:numFmt w:val="bullet"/>
      <w:lvlText w:val="o"/>
      <w:lvlJc w:val="left"/>
      <w:pPr>
        <w:ind w:left="3240" w:hanging="360"/>
      </w:pPr>
      <w:rPr>
        <w:rFonts w:ascii="Arial Narrow" w:hAnsi="Arial Narrow" w:cs="Arial Narrow" w:hint="default"/>
      </w:rPr>
    </w:lvl>
    <w:lvl w:ilvl="5" w:tplc="0C090005" w:tentative="1">
      <w:start w:val="1"/>
      <w:numFmt w:val="bullet"/>
      <w:lvlText w:val=""/>
      <w:lvlJc w:val="left"/>
      <w:pPr>
        <w:ind w:left="3960" w:hanging="360"/>
      </w:pPr>
      <w:rPr>
        <w:rFonts w:ascii="Courier New" w:hAnsi="Courier New" w:hint="default"/>
      </w:rPr>
    </w:lvl>
    <w:lvl w:ilvl="6" w:tplc="0C090001" w:tentative="1">
      <w:start w:val="1"/>
      <w:numFmt w:val="bullet"/>
      <w:lvlText w:val=""/>
      <w:lvlJc w:val="left"/>
      <w:pPr>
        <w:ind w:left="4680" w:hanging="360"/>
      </w:pPr>
      <w:rPr>
        <w:rFonts w:ascii="Calibri" w:hAnsi="Calibri" w:hint="default"/>
      </w:rPr>
    </w:lvl>
    <w:lvl w:ilvl="7" w:tplc="0C090003" w:tentative="1">
      <w:start w:val="1"/>
      <w:numFmt w:val="bullet"/>
      <w:lvlText w:val="o"/>
      <w:lvlJc w:val="left"/>
      <w:pPr>
        <w:ind w:left="5400" w:hanging="360"/>
      </w:pPr>
      <w:rPr>
        <w:rFonts w:ascii="Arial Narrow" w:hAnsi="Arial Narrow" w:cs="Arial Narrow" w:hint="default"/>
      </w:rPr>
    </w:lvl>
    <w:lvl w:ilvl="8" w:tplc="0C090005" w:tentative="1">
      <w:start w:val="1"/>
      <w:numFmt w:val="bullet"/>
      <w:lvlText w:val=""/>
      <w:lvlJc w:val="left"/>
      <w:pPr>
        <w:ind w:left="6120" w:hanging="360"/>
      </w:pPr>
      <w:rPr>
        <w:rFonts w:ascii="Courier New" w:hAnsi="Courier New" w:hint="default"/>
      </w:rPr>
    </w:lvl>
  </w:abstractNum>
  <w:abstractNum w:abstractNumId="7" w15:restartNumberingAfterBreak="0">
    <w:nsid w:val="18064556"/>
    <w:multiLevelType w:val="hybridMultilevel"/>
    <w:tmpl w:val="B94AF160"/>
    <w:lvl w:ilvl="0" w:tplc="F08849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C20036"/>
    <w:multiLevelType w:val="hybridMultilevel"/>
    <w:tmpl w:val="E0024536"/>
    <w:lvl w:ilvl="0" w:tplc="0C090001">
      <w:start w:val="1"/>
      <w:numFmt w:val="bullet"/>
      <w:lvlText w:val=""/>
      <w:lvlJc w:val="left"/>
      <w:pPr>
        <w:ind w:left="720" w:hanging="360"/>
      </w:pPr>
      <w:rPr>
        <w:rFonts w:ascii="Symbol" w:hAnsi="Symbol" w:hint="default"/>
      </w:rPr>
    </w:lvl>
    <w:lvl w:ilvl="1" w:tplc="09707304">
      <w:start w:val="1"/>
      <w:numFmt w:val="bullet"/>
      <w:lvlText w:val="o"/>
      <w:lvlJc w:val="left"/>
      <w:pPr>
        <w:ind w:left="1440" w:hanging="360"/>
      </w:pPr>
      <w:rPr>
        <w:rFonts w:ascii="Arial Narrow" w:hAnsi="Arial Narrow" w:hint="default"/>
      </w:rPr>
    </w:lvl>
    <w:lvl w:ilvl="2" w:tplc="C3CE6E98">
      <w:start w:val="1"/>
      <w:numFmt w:val="bullet"/>
      <w:lvlText w:val=""/>
      <w:lvlJc w:val="left"/>
      <w:pPr>
        <w:ind w:left="2160" w:hanging="360"/>
      </w:pPr>
      <w:rPr>
        <w:rFonts w:ascii="Courier New" w:hAnsi="Courier New" w:hint="default"/>
      </w:rPr>
    </w:lvl>
    <w:lvl w:ilvl="3" w:tplc="4676886C">
      <w:start w:val="1"/>
      <w:numFmt w:val="bullet"/>
      <w:lvlText w:val=""/>
      <w:lvlJc w:val="left"/>
      <w:pPr>
        <w:ind w:left="2880" w:hanging="360"/>
      </w:pPr>
      <w:rPr>
        <w:rFonts w:ascii="Calibri" w:hAnsi="Calibri" w:hint="default"/>
      </w:rPr>
    </w:lvl>
    <w:lvl w:ilvl="4" w:tplc="3FE245EA">
      <w:start w:val="1"/>
      <w:numFmt w:val="bullet"/>
      <w:lvlText w:val="o"/>
      <w:lvlJc w:val="left"/>
      <w:pPr>
        <w:ind w:left="3600" w:hanging="360"/>
      </w:pPr>
      <w:rPr>
        <w:rFonts w:ascii="Arial Narrow" w:hAnsi="Arial Narrow" w:hint="default"/>
      </w:rPr>
    </w:lvl>
    <w:lvl w:ilvl="5" w:tplc="B228397E">
      <w:start w:val="1"/>
      <w:numFmt w:val="bullet"/>
      <w:lvlText w:val=""/>
      <w:lvlJc w:val="left"/>
      <w:pPr>
        <w:ind w:left="4320" w:hanging="360"/>
      </w:pPr>
      <w:rPr>
        <w:rFonts w:ascii="Courier New" w:hAnsi="Courier New" w:hint="default"/>
      </w:rPr>
    </w:lvl>
    <w:lvl w:ilvl="6" w:tplc="E9668F38">
      <w:start w:val="1"/>
      <w:numFmt w:val="bullet"/>
      <w:lvlText w:val=""/>
      <w:lvlJc w:val="left"/>
      <w:pPr>
        <w:ind w:left="5040" w:hanging="360"/>
      </w:pPr>
      <w:rPr>
        <w:rFonts w:ascii="Calibri" w:hAnsi="Calibri" w:hint="default"/>
      </w:rPr>
    </w:lvl>
    <w:lvl w:ilvl="7" w:tplc="D7E4E738">
      <w:start w:val="1"/>
      <w:numFmt w:val="bullet"/>
      <w:lvlText w:val="o"/>
      <w:lvlJc w:val="left"/>
      <w:pPr>
        <w:ind w:left="5760" w:hanging="360"/>
      </w:pPr>
      <w:rPr>
        <w:rFonts w:ascii="Arial Narrow" w:hAnsi="Arial Narrow" w:hint="default"/>
      </w:rPr>
    </w:lvl>
    <w:lvl w:ilvl="8" w:tplc="E0BAC962">
      <w:start w:val="1"/>
      <w:numFmt w:val="bullet"/>
      <w:lvlText w:val=""/>
      <w:lvlJc w:val="left"/>
      <w:pPr>
        <w:ind w:left="6480" w:hanging="360"/>
      </w:pPr>
      <w:rPr>
        <w:rFonts w:ascii="Courier New" w:hAnsi="Courier New" w:hint="default"/>
      </w:rPr>
    </w:lvl>
  </w:abstractNum>
  <w:abstractNum w:abstractNumId="9" w15:restartNumberingAfterBreak="0">
    <w:nsid w:val="18DB3F87"/>
    <w:multiLevelType w:val="hybridMultilevel"/>
    <w:tmpl w:val="B4A007D4"/>
    <w:lvl w:ilvl="0" w:tplc="0C090001">
      <w:start w:val="1"/>
      <w:numFmt w:val="bullet"/>
      <w:lvlText w:val=""/>
      <w:lvlJc w:val="left"/>
      <w:pPr>
        <w:ind w:left="360" w:hanging="360"/>
      </w:pPr>
      <w:rPr>
        <w:rFonts w:ascii="Symbol" w:hAnsi="Symbol" w:hint="default"/>
      </w:rPr>
    </w:lvl>
    <w:lvl w:ilvl="1" w:tplc="9602389C">
      <w:start w:val="3"/>
      <w:numFmt w:val="bullet"/>
      <w:lvlText w:val="•"/>
      <w:lvlJc w:val="left"/>
      <w:pPr>
        <w:ind w:left="1080" w:hanging="360"/>
      </w:pPr>
      <w:rPr>
        <w:rFonts w:ascii="Segoe UI" w:eastAsiaTheme="minorHAnsi" w:hAnsi="Segoe UI" w:cstheme="minorBidi" w:hint="default"/>
      </w:rPr>
    </w:lvl>
    <w:lvl w:ilvl="2" w:tplc="0C090005" w:tentative="1">
      <w:start w:val="1"/>
      <w:numFmt w:val="bullet"/>
      <w:lvlText w:val=""/>
      <w:lvlJc w:val="left"/>
      <w:pPr>
        <w:ind w:left="1800" w:hanging="360"/>
      </w:pPr>
      <w:rPr>
        <w:rFonts w:ascii="Courier New" w:hAnsi="Courier New" w:hint="default"/>
      </w:rPr>
    </w:lvl>
    <w:lvl w:ilvl="3" w:tplc="0C090001" w:tentative="1">
      <w:start w:val="1"/>
      <w:numFmt w:val="bullet"/>
      <w:lvlText w:val=""/>
      <w:lvlJc w:val="left"/>
      <w:pPr>
        <w:ind w:left="2520" w:hanging="360"/>
      </w:pPr>
      <w:rPr>
        <w:rFonts w:ascii="Calibri" w:hAnsi="Calibri" w:hint="default"/>
      </w:rPr>
    </w:lvl>
    <w:lvl w:ilvl="4" w:tplc="0C090003" w:tentative="1">
      <w:start w:val="1"/>
      <w:numFmt w:val="bullet"/>
      <w:lvlText w:val="o"/>
      <w:lvlJc w:val="left"/>
      <w:pPr>
        <w:ind w:left="3240" w:hanging="360"/>
      </w:pPr>
      <w:rPr>
        <w:rFonts w:ascii="Arial Narrow" w:hAnsi="Arial Narrow" w:cs="Arial Narrow" w:hint="default"/>
      </w:rPr>
    </w:lvl>
    <w:lvl w:ilvl="5" w:tplc="0C090005" w:tentative="1">
      <w:start w:val="1"/>
      <w:numFmt w:val="bullet"/>
      <w:lvlText w:val=""/>
      <w:lvlJc w:val="left"/>
      <w:pPr>
        <w:ind w:left="3960" w:hanging="360"/>
      </w:pPr>
      <w:rPr>
        <w:rFonts w:ascii="Courier New" w:hAnsi="Courier New" w:hint="default"/>
      </w:rPr>
    </w:lvl>
    <w:lvl w:ilvl="6" w:tplc="0C090001" w:tentative="1">
      <w:start w:val="1"/>
      <w:numFmt w:val="bullet"/>
      <w:lvlText w:val=""/>
      <w:lvlJc w:val="left"/>
      <w:pPr>
        <w:ind w:left="4680" w:hanging="360"/>
      </w:pPr>
      <w:rPr>
        <w:rFonts w:ascii="Calibri" w:hAnsi="Calibri" w:hint="default"/>
      </w:rPr>
    </w:lvl>
    <w:lvl w:ilvl="7" w:tplc="0C090003" w:tentative="1">
      <w:start w:val="1"/>
      <w:numFmt w:val="bullet"/>
      <w:lvlText w:val="o"/>
      <w:lvlJc w:val="left"/>
      <w:pPr>
        <w:ind w:left="5400" w:hanging="360"/>
      </w:pPr>
      <w:rPr>
        <w:rFonts w:ascii="Arial Narrow" w:hAnsi="Arial Narrow" w:cs="Arial Narrow" w:hint="default"/>
      </w:rPr>
    </w:lvl>
    <w:lvl w:ilvl="8" w:tplc="0C090005" w:tentative="1">
      <w:start w:val="1"/>
      <w:numFmt w:val="bullet"/>
      <w:lvlText w:val=""/>
      <w:lvlJc w:val="left"/>
      <w:pPr>
        <w:ind w:left="6120" w:hanging="360"/>
      </w:pPr>
      <w:rPr>
        <w:rFonts w:ascii="Courier New" w:hAnsi="Courier New" w:hint="default"/>
      </w:rPr>
    </w:lvl>
  </w:abstractNum>
  <w:abstractNum w:abstractNumId="10" w15:restartNumberingAfterBreak="0">
    <w:nsid w:val="1B693C07"/>
    <w:multiLevelType w:val="hybridMultilevel"/>
    <w:tmpl w:val="311E9888"/>
    <w:lvl w:ilvl="0" w:tplc="0C090001">
      <w:start w:val="1"/>
      <w:numFmt w:val="bullet"/>
      <w:lvlText w:val=""/>
      <w:lvlJc w:val="left"/>
      <w:pPr>
        <w:ind w:left="360" w:hanging="360"/>
      </w:pPr>
      <w:rPr>
        <w:rFonts w:ascii="Calibri" w:hAnsi="Calibri" w:hint="default"/>
      </w:rPr>
    </w:lvl>
    <w:lvl w:ilvl="1" w:tplc="0C090003" w:tentative="1">
      <w:start w:val="1"/>
      <w:numFmt w:val="bullet"/>
      <w:lvlText w:val="o"/>
      <w:lvlJc w:val="left"/>
      <w:pPr>
        <w:ind w:left="1080" w:hanging="360"/>
      </w:pPr>
      <w:rPr>
        <w:rFonts w:ascii="Arial Narrow" w:hAnsi="Arial Narrow" w:cs="Arial Narrow" w:hint="default"/>
      </w:rPr>
    </w:lvl>
    <w:lvl w:ilvl="2" w:tplc="0C090005" w:tentative="1">
      <w:start w:val="1"/>
      <w:numFmt w:val="bullet"/>
      <w:lvlText w:val=""/>
      <w:lvlJc w:val="left"/>
      <w:pPr>
        <w:ind w:left="1800" w:hanging="360"/>
      </w:pPr>
      <w:rPr>
        <w:rFonts w:ascii="Courier New" w:hAnsi="Courier New" w:hint="default"/>
      </w:rPr>
    </w:lvl>
    <w:lvl w:ilvl="3" w:tplc="0C090001" w:tentative="1">
      <w:start w:val="1"/>
      <w:numFmt w:val="bullet"/>
      <w:lvlText w:val=""/>
      <w:lvlJc w:val="left"/>
      <w:pPr>
        <w:ind w:left="2520" w:hanging="360"/>
      </w:pPr>
      <w:rPr>
        <w:rFonts w:ascii="Calibri" w:hAnsi="Calibri" w:hint="default"/>
      </w:rPr>
    </w:lvl>
    <w:lvl w:ilvl="4" w:tplc="0C090003" w:tentative="1">
      <w:start w:val="1"/>
      <w:numFmt w:val="bullet"/>
      <w:lvlText w:val="o"/>
      <w:lvlJc w:val="left"/>
      <w:pPr>
        <w:ind w:left="3240" w:hanging="360"/>
      </w:pPr>
      <w:rPr>
        <w:rFonts w:ascii="Arial Narrow" w:hAnsi="Arial Narrow" w:cs="Arial Narrow" w:hint="default"/>
      </w:rPr>
    </w:lvl>
    <w:lvl w:ilvl="5" w:tplc="0C090005" w:tentative="1">
      <w:start w:val="1"/>
      <w:numFmt w:val="bullet"/>
      <w:lvlText w:val=""/>
      <w:lvlJc w:val="left"/>
      <w:pPr>
        <w:ind w:left="3960" w:hanging="360"/>
      </w:pPr>
      <w:rPr>
        <w:rFonts w:ascii="Courier New" w:hAnsi="Courier New" w:hint="default"/>
      </w:rPr>
    </w:lvl>
    <w:lvl w:ilvl="6" w:tplc="0C090001" w:tentative="1">
      <w:start w:val="1"/>
      <w:numFmt w:val="bullet"/>
      <w:lvlText w:val=""/>
      <w:lvlJc w:val="left"/>
      <w:pPr>
        <w:ind w:left="4680" w:hanging="360"/>
      </w:pPr>
      <w:rPr>
        <w:rFonts w:ascii="Calibri" w:hAnsi="Calibri" w:hint="default"/>
      </w:rPr>
    </w:lvl>
    <w:lvl w:ilvl="7" w:tplc="0C090003" w:tentative="1">
      <w:start w:val="1"/>
      <w:numFmt w:val="bullet"/>
      <w:lvlText w:val="o"/>
      <w:lvlJc w:val="left"/>
      <w:pPr>
        <w:ind w:left="5400" w:hanging="360"/>
      </w:pPr>
      <w:rPr>
        <w:rFonts w:ascii="Arial Narrow" w:hAnsi="Arial Narrow" w:cs="Arial Narrow" w:hint="default"/>
      </w:rPr>
    </w:lvl>
    <w:lvl w:ilvl="8" w:tplc="0C090005" w:tentative="1">
      <w:start w:val="1"/>
      <w:numFmt w:val="bullet"/>
      <w:lvlText w:val=""/>
      <w:lvlJc w:val="left"/>
      <w:pPr>
        <w:ind w:left="6120" w:hanging="360"/>
      </w:pPr>
      <w:rPr>
        <w:rFonts w:ascii="Courier New" w:hAnsi="Courier New" w:hint="default"/>
      </w:rPr>
    </w:lvl>
  </w:abstractNum>
  <w:abstractNum w:abstractNumId="11" w15:restartNumberingAfterBreak="0">
    <w:nsid w:val="21E630C9"/>
    <w:multiLevelType w:val="hybridMultilevel"/>
    <w:tmpl w:val="663A38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Arial Narrow" w:hAnsi="Arial Narrow" w:cs="Arial Narrow" w:hint="default"/>
      </w:rPr>
    </w:lvl>
    <w:lvl w:ilvl="2" w:tplc="0C090005" w:tentative="1">
      <w:start w:val="1"/>
      <w:numFmt w:val="bullet"/>
      <w:lvlText w:val=""/>
      <w:lvlJc w:val="left"/>
      <w:pPr>
        <w:ind w:left="1800" w:hanging="360"/>
      </w:pPr>
      <w:rPr>
        <w:rFonts w:ascii="Courier New" w:hAnsi="Courier New" w:hint="default"/>
      </w:rPr>
    </w:lvl>
    <w:lvl w:ilvl="3" w:tplc="0C090001" w:tentative="1">
      <w:start w:val="1"/>
      <w:numFmt w:val="bullet"/>
      <w:lvlText w:val=""/>
      <w:lvlJc w:val="left"/>
      <w:pPr>
        <w:ind w:left="2520" w:hanging="360"/>
      </w:pPr>
      <w:rPr>
        <w:rFonts w:ascii="Calibri" w:hAnsi="Calibri" w:hint="default"/>
      </w:rPr>
    </w:lvl>
    <w:lvl w:ilvl="4" w:tplc="0C090003" w:tentative="1">
      <w:start w:val="1"/>
      <w:numFmt w:val="bullet"/>
      <w:lvlText w:val="o"/>
      <w:lvlJc w:val="left"/>
      <w:pPr>
        <w:ind w:left="3240" w:hanging="360"/>
      </w:pPr>
      <w:rPr>
        <w:rFonts w:ascii="Arial Narrow" w:hAnsi="Arial Narrow" w:cs="Arial Narrow" w:hint="default"/>
      </w:rPr>
    </w:lvl>
    <w:lvl w:ilvl="5" w:tplc="0C090005" w:tentative="1">
      <w:start w:val="1"/>
      <w:numFmt w:val="bullet"/>
      <w:lvlText w:val=""/>
      <w:lvlJc w:val="left"/>
      <w:pPr>
        <w:ind w:left="3960" w:hanging="360"/>
      </w:pPr>
      <w:rPr>
        <w:rFonts w:ascii="Courier New" w:hAnsi="Courier New" w:hint="default"/>
      </w:rPr>
    </w:lvl>
    <w:lvl w:ilvl="6" w:tplc="0C090001" w:tentative="1">
      <w:start w:val="1"/>
      <w:numFmt w:val="bullet"/>
      <w:lvlText w:val=""/>
      <w:lvlJc w:val="left"/>
      <w:pPr>
        <w:ind w:left="4680" w:hanging="360"/>
      </w:pPr>
      <w:rPr>
        <w:rFonts w:ascii="Calibri" w:hAnsi="Calibri" w:hint="default"/>
      </w:rPr>
    </w:lvl>
    <w:lvl w:ilvl="7" w:tplc="0C090003" w:tentative="1">
      <w:start w:val="1"/>
      <w:numFmt w:val="bullet"/>
      <w:lvlText w:val="o"/>
      <w:lvlJc w:val="left"/>
      <w:pPr>
        <w:ind w:left="5400" w:hanging="360"/>
      </w:pPr>
      <w:rPr>
        <w:rFonts w:ascii="Arial Narrow" w:hAnsi="Arial Narrow" w:cs="Arial Narrow" w:hint="default"/>
      </w:rPr>
    </w:lvl>
    <w:lvl w:ilvl="8" w:tplc="0C090005" w:tentative="1">
      <w:start w:val="1"/>
      <w:numFmt w:val="bullet"/>
      <w:lvlText w:val=""/>
      <w:lvlJc w:val="left"/>
      <w:pPr>
        <w:ind w:left="6120" w:hanging="360"/>
      </w:pPr>
      <w:rPr>
        <w:rFonts w:ascii="Courier New" w:hAnsi="Courier New" w:hint="default"/>
      </w:rPr>
    </w:lvl>
  </w:abstractNum>
  <w:abstractNum w:abstractNumId="12" w15:restartNumberingAfterBreak="0">
    <w:nsid w:val="21E74190"/>
    <w:multiLevelType w:val="hybridMultilevel"/>
    <w:tmpl w:val="E118D7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7C0EE4"/>
    <w:multiLevelType w:val="multilevel"/>
    <w:tmpl w:val="FEE071C8"/>
    <w:styleLink w:val="ESSectionheading-numbered"/>
    <w:lvl w:ilvl="0">
      <w:start w:val="1"/>
      <w:numFmt w:val="none"/>
      <w:lvlText w:val="A.1"/>
      <w:lvlJc w:val="left"/>
      <w:pPr>
        <w:ind w:left="1134" w:hanging="1134"/>
      </w:pPr>
      <w:rPr>
        <w:rFonts w:ascii="SimSun" w:hAnsi="SimSun" w:hint="default"/>
        <w:b/>
        <w:i w:val="0"/>
        <w:color w:val="auto"/>
        <w:sz w:val="24"/>
      </w:rPr>
    </w:lvl>
    <w:lvl w:ilvl="1">
      <w:start w:val="1"/>
      <w:numFmt w:val="decimal"/>
      <w:lvlText w:val="B.%2."/>
      <w:lvlJc w:val="left"/>
      <w:pPr>
        <w:ind w:left="1134" w:hanging="1134"/>
      </w:pPr>
      <w:rPr>
        <w:rFonts w:ascii="SimSun" w:hAnsi="SimSun" w:hint="default"/>
        <w:b/>
        <w:i w:val="0"/>
        <w:sz w:val="24"/>
      </w:rPr>
    </w:lvl>
    <w:lvl w:ilvl="2">
      <w:start w:val="1"/>
      <w:numFmt w:val="decimal"/>
      <w:lvlText w:val="C.%3."/>
      <w:lvlJc w:val="left"/>
      <w:pPr>
        <w:ind w:left="1134" w:hanging="1134"/>
      </w:pPr>
      <w:rPr>
        <w:rFonts w:ascii="SimSun" w:hAnsi="SimSun" w:hint="default"/>
        <w:b/>
        <w:i w:val="0"/>
        <w:sz w:val="24"/>
      </w:rPr>
    </w:lvl>
    <w:lvl w:ilvl="3">
      <w:start w:val="1"/>
      <w:numFmt w:val="decimal"/>
      <w:lvlText w:val="D.%4."/>
      <w:lvlJc w:val="left"/>
      <w:pPr>
        <w:ind w:left="1134" w:hanging="1134"/>
      </w:pPr>
      <w:rPr>
        <w:rFonts w:ascii="SimSun" w:hAnsi="SimSun" w:hint="default"/>
        <w:b/>
        <w:i w:val="0"/>
        <w:sz w:val="24"/>
      </w:rPr>
    </w:lvl>
    <w:lvl w:ilvl="4">
      <w:start w:val="1"/>
      <w:numFmt w:val="decimal"/>
      <w:lvlText w:val="E.%5."/>
      <w:lvlJc w:val="left"/>
      <w:pPr>
        <w:ind w:left="1134" w:hanging="1134"/>
      </w:pPr>
      <w:rPr>
        <w:rFonts w:ascii="SimSun" w:hAnsi="SimSun" w:hint="default"/>
        <w:b/>
        <w:i w:val="0"/>
        <w:sz w:val="24"/>
      </w:rPr>
    </w:lvl>
    <w:lvl w:ilvl="5">
      <w:start w:val="1"/>
      <w:numFmt w:val="decimal"/>
      <w:lvlText w:val="A.%6"/>
      <w:lvlJc w:val="left"/>
      <w:pPr>
        <w:ind w:left="1134" w:hanging="1134"/>
      </w:pPr>
      <w:rPr>
        <w:rFonts w:ascii="SimSun" w:hAnsi="SimSun" w:hint="default"/>
        <w:b/>
        <w:i w:val="0"/>
        <w:color w:val="auto"/>
        <w:sz w:val="24"/>
      </w:rPr>
    </w:lvl>
    <w:lvl w:ilvl="6">
      <w:start w:val="1"/>
      <w:numFmt w:val="none"/>
      <w:lvlText w:val=""/>
      <w:lvlJc w:val="left"/>
      <w:pPr>
        <w:ind w:left="1134" w:hanging="1134"/>
      </w:pPr>
      <w:rPr>
        <w:rFonts w:ascii="SimSun" w:hAnsi="SimSun"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4" w15:restartNumberingAfterBreak="0">
    <w:nsid w:val="26B80269"/>
    <w:multiLevelType w:val="hybridMultilevel"/>
    <w:tmpl w:val="C8329F24"/>
    <w:lvl w:ilvl="0" w:tplc="C5201178">
      <w:start w:val="1"/>
      <w:numFmt w:val="bullet"/>
      <w:lvlText w:val="·"/>
      <w:lvlJc w:val="left"/>
      <w:pPr>
        <w:ind w:left="720" w:hanging="360"/>
      </w:pPr>
      <w:rPr>
        <w:rFonts w:ascii="Calibri" w:hAnsi="Calibri" w:hint="default"/>
      </w:rPr>
    </w:lvl>
    <w:lvl w:ilvl="1" w:tplc="775A2FDC">
      <w:start w:val="1"/>
      <w:numFmt w:val="bullet"/>
      <w:lvlText w:val="o"/>
      <w:lvlJc w:val="left"/>
      <w:pPr>
        <w:ind w:left="1440" w:hanging="360"/>
      </w:pPr>
      <w:rPr>
        <w:rFonts w:ascii="Arial Narrow" w:hAnsi="Arial Narrow" w:hint="default"/>
      </w:rPr>
    </w:lvl>
    <w:lvl w:ilvl="2" w:tplc="71C63224">
      <w:start w:val="1"/>
      <w:numFmt w:val="bullet"/>
      <w:lvlText w:val=""/>
      <w:lvlJc w:val="left"/>
      <w:pPr>
        <w:ind w:left="2160" w:hanging="360"/>
      </w:pPr>
      <w:rPr>
        <w:rFonts w:ascii="Courier New" w:hAnsi="Courier New" w:hint="default"/>
      </w:rPr>
    </w:lvl>
    <w:lvl w:ilvl="3" w:tplc="E346B1A0">
      <w:start w:val="1"/>
      <w:numFmt w:val="bullet"/>
      <w:lvlText w:val=""/>
      <w:lvlJc w:val="left"/>
      <w:pPr>
        <w:ind w:left="2880" w:hanging="360"/>
      </w:pPr>
      <w:rPr>
        <w:rFonts w:ascii="Calibri" w:hAnsi="Calibri" w:hint="default"/>
      </w:rPr>
    </w:lvl>
    <w:lvl w:ilvl="4" w:tplc="E02C95B8">
      <w:start w:val="1"/>
      <w:numFmt w:val="bullet"/>
      <w:lvlText w:val="o"/>
      <w:lvlJc w:val="left"/>
      <w:pPr>
        <w:ind w:left="3600" w:hanging="360"/>
      </w:pPr>
      <w:rPr>
        <w:rFonts w:ascii="Arial Narrow" w:hAnsi="Arial Narrow" w:hint="default"/>
      </w:rPr>
    </w:lvl>
    <w:lvl w:ilvl="5" w:tplc="60EA85CC">
      <w:start w:val="1"/>
      <w:numFmt w:val="bullet"/>
      <w:lvlText w:val=""/>
      <w:lvlJc w:val="left"/>
      <w:pPr>
        <w:ind w:left="4320" w:hanging="360"/>
      </w:pPr>
      <w:rPr>
        <w:rFonts w:ascii="Courier New" w:hAnsi="Courier New" w:hint="default"/>
      </w:rPr>
    </w:lvl>
    <w:lvl w:ilvl="6" w:tplc="4192EEF4">
      <w:start w:val="1"/>
      <w:numFmt w:val="bullet"/>
      <w:lvlText w:val=""/>
      <w:lvlJc w:val="left"/>
      <w:pPr>
        <w:ind w:left="5040" w:hanging="360"/>
      </w:pPr>
      <w:rPr>
        <w:rFonts w:ascii="Calibri" w:hAnsi="Calibri" w:hint="default"/>
      </w:rPr>
    </w:lvl>
    <w:lvl w:ilvl="7" w:tplc="8D22F1D2">
      <w:start w:val="1"/>
      <w:numFmt w:val="bullet"/>
      <w:lvlText w:val="o"/>
      <w:lvlJc w:val="left"/>
      <w:pPr>
        <w:ind w:left="5760" w:hanging="360"/>
      </w:pPr>
      <w:rPr>
        <w:rFonts w:ascii="Arial Narrow" w:hAnsi="Arial Narrow" w:hint="default"/>
      </w:rPr>
    </w:lvl>
    <w:lvl w:ilvl="8" w:tplc="BFFCDF5A">
      <w:start w:val="1"/>
      <w:numFmt w:val="bullet"/>
      <w:lvlText w:val=""/>
      <w:lvlJc w:val="left"/>
      <w:pPr>
        <w:ind w:left="6480" w:hanging="360"/>
      </w:pPr>
      <w:rPr>
        <w:rFonts w:ascii="Courier New" w:hAnsi="Courier New" w:hint="default"/>
      </w:rPr>
    </w:lvl>
  </w:abstractNum>
  <w:abstractNum w:abstractNumId="15" w15:restartNumberingAfterBreak="0">
    <w:nsid w:val="27575C58"/>
    <w:multiLevelType w:val="multilevel"/>
    <w:tmpl w:val="BE44A646"/>
    <w:lvl w:ilvl="0">
      <w:start w:val="1"/>
      <w:numFmt w:val="bullet"/>
      <w:pStyle w:val="InstructionBulletpoint"/>
      <w:lvlText w:val=""/>
      <w:lvlJc w:val="left"/>
      <w:pPr>
        <w:ind w:left="720" w:hanging="360"/>
      </w:pPr>
      <w:rPr>
        <w:rFonts w:ascii="Calibri" w:hAnsi="Calibri" w:hint="default"/>
      </w:rPr>
    </w:lvl>
    <w:lvl w:ilvl="1">
      <w:start w:val="1"/>
      <w:numFmt w:val="bullet"/>
      <w:lvlText w:val=""/>
      <w:lvlJc w:val="left"/>
      <w:pPr>
        <w:ind w:left="1440" w:hanging="476"/>
      </w:pPr>
      <w:rPr>
        <w:rFonts w:ascii="Calibri" w:hAnsi="Calibri" w:hint="default"/>
      </w:rPr>
    </w:lvl>
    <w:lvl w:ilvl="2">
      <w:start w:val="1"/>
      <w:numFmt w:val="bullet"/>
      <w:lvlText w:val=""/>
      <w:lvlJc w:val="left"/>
      <w:pPr>
        <w:ind w:left="2160" w:hanging="360"/>
      </w:pPr>
      <w:rPr>
        <w:rFonts w:ascii="Courier New" w:hAnsi="Courier New" w:hint="default"/>
      </w:rPr>
    </w:lvl>
    <w:lvl w:ilvl="3">
      <w:start w:val="1"/>
      <w:numFmt w:val="bullet"/>
      <w:lvlText w:val=""/>
      <w:lvlJc w:val="left"/>
      <w:pPr>
        <w:ind w:left="2880" w:hanging="360"/>
      </w:pPr>
      <w:rPr>
        <w:rFonts w:ascii="Calibri" w:hAnsi="Calibri" w:hint="default"/>
      </w:rPr>
    </w:lvl>
    <w:lvl w:ilvl="4">
      <w:start w:val="1"/>
      <w:numFmt w:val="bullet"/>
      <w:lvlText w:val="o"/>
      <w:lvlJc w:val="left"/>
      <w:pPr>
        <w:ind w:left="3600" w:hanging="360"/>
      </w:pPr>
      <w:rPr>
        <w:rFonts w:ascii="Arial Narrow" w:hAnsi="Arial Narrow" w:cs="Arial Narrow" w:hint="default"/>
      </w:rPr>
    </w:lvl>
    <w:lvl w:ilvl="5">
      <w:start w:val="1"/>
      <w:numFmt w:val="bullet"/>
      <w:lvlText w:val=""/>
      <w:lvlJc w:val="left"/>
      <w:pPr>
        <w:ind w:left="4320" w:hanging="360"/>
      </w:pPr>
      <w:rPr>
        <w:rFonts w:ascii="Courier New" w:hAnsi="Courier New" w:hint="default"/>
      </w:rPr>
    </w:lvl>
    <w:lvl w:ilvl="6">
      <w:start w:val="1"/>
      <w:numFmt w:val="bullet"/>
      <w:lvlText w:val=""/>
      <w:lvlJc w:val="left"/>
      <w:pPr>
        <w:ind w:left="5040" w:hanging="360"/>
      </w:pPr>
      <w:rPr>
        <w:rFonts w:ascii="Calibri" w:hAnsi="Calibri" w:hint="default"/>
      </w:rPr>
    </w:lvl>
    <w:lvl w:ilvl="7">
      <w:start w:val="1"/>
      <w:numFmt w:val="bullet"/>
      <w:lvlText w:val="o"/>
      <w:lvlJc w:val="left"/>
      <w:pPr>
        <w:ind w:left="5760" w:hanging="360"/>
      </w:pPr>
      <w:rPr>
        <w:rFonts w:ascii="Arial Narrow" w:hAnsi="Arial Narrow" w:cs="Arial Narrow" w:hint="default"/>
      </w:rPr>
    </w:lvl>
    <w:lvl w:ilvl="8">
      <w:start w:val="1"/>
      <w:numFmt w:val="bullet"/>
      <w:lvlText w:val=""/>
      <w:lvlJc w:val="left"/>
      <w:pPr>
        <w:ind w:left="6480" w:hanging="360"/>
      </w:pPr>
      <w:rPr>
        <w:rFonts w:ascii="Courier New" w:hAnsi="Courier New" w:hint="default"/>
      </w:rPr>
    </w:lvl>
  </w:abstractNum>
  <w:abstractNum w:abstractNumId="16"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2E2556BC"/>
    <w:multiLevelType w:val="hybridMultilevel"/>
    <w:tmpl w:val="2DB00068"/>
    <w:lvl w:ilvl="0" w:tplc="E42C0FB2">
      <w:start w:val="1"/>
      <w:numFmt w:val="bullet"/>
      <w:lvlText w:val="·"/>
      <w:lvlJc w:val="left"/>
      <w:pPr>
        <w:ind w:left="720" w:hanging="360"/>
      </w:pPr>
      <w:rPr>
        <w:rFonts w:ascii="Calibri" w:hAnsi="Calibri" w:hint="default"/>
      </w:rPr>
    </w:lvl>
    <w:lvl w:ilvl="1" w:tplc="9B023D06">
      <w:start w:val="1"/>
      <w:numFmt w:val="bullet"/>
      <w:lvlText w:val="o"/>
      <w:lvlJc w:val="left"/>
      <w:pPr>
        <w:ind w:left="1440" w:hanging="360"/>
      </w:pPr>
      <w:rPr>
        <w:rFonts w:ascii="Arial Narrow" w:hAnsi="Arial Narrow" w:hint="default"/>
      </w:rPr>
    </w:lvl>
    <w:lvl w:ilvl="2" w:tplc="A1B65B2C">
      <w:start w:val="1"/>
      <w:numFmt w:val="bullet"/>
      <w:lvlText w:val=""/>
      <w:lvlJc w:val="left"/>
      <w:pPr>
        <w:ind w:left="2160" w:hanging="360"/>
      </w:pPr>
      <w:rPr>
        <w:rFonts w:ascii="Courier New" w:hAnsi="Courier New" w:hint="default"/>
      </w:rPr>
    </w:lvl>
    <w:lvl w:ilvl="3" w:tplc="FC70EAEE">
      <w:start w:val="1"/>
      <w:numFmt w:val="bullet"/>
      <w:lvlText w:val=""/>
      <w:lvlJc w:val="left"/>
      <w:pPr>
        <w:ind w:left="2880" w:hanging="360"/>
      </w:pPr>
      <w:rPr>
        <w:rFonts w:ascii="Calibri" w:hAnsi="Calibri" w:hint="default"/>
      </w:rPr>
    </w:lvl>
    <w:lvl w:ilvl="4" w:tplc="31A6FF18">
      <w:start w:val="1"/>
      <w:numFmt w:val="bullet"/>
      <w:lvlText w:val="o"/>
      <w:lvlJc w:val="left"/>
      <w:pPr>
        <w:ind w:left="3600" w:hanging="360"/>
      </w:pPr>
      <w:rPr>
        <w:rFonts w:ascii="Arial Narrow" w:hAnsi="Arial Narrow" w:hint="default"/>
      </w:rPr>
    </w:lvl>
    <w:lvl w:ilvl="5" w:tplc="D0EA4DBA">
      <w:start w:val="1"/>
      <w:numFmt w:val="bullet"/>
      <w:lvlText w:val=""/>
      <w:lvlJc w:val="left"/>
      <w:pPr>
        <w:ind w:left="4320" w:hanging="360"/>
      </w:pPr>
      <w:rPr>
        <w:rFonts w:ascii="Courier New" w:hAnsi="Courier New" w:hint="default"/>
      </w:rPr>
    </w:lvl>
    <w:lvl w:ilvl="6" w:tplc="489873CA">
      <w:start w:val="1"/>
      <w:numFmt w:val="bullet"/>
      <w:lvlText w:val=""/>
      <w:lvlJc w:val="left"/>
      <w:pPr>
        <w:ind w:left="5040" w:hanging="360"/>
      </w:pPr>
      <w:rPr>
        <w:rFonts w:ascii="Calibri" w:hAnsi="Calibri" w:hint="default"/>
      </w:rPr>
    </w:lvl>
    <w:lvl w:ilvl="7" w:tplc="B134BF28">
      <w:start w:val="1"/>
      <w:numFmt w:val="bullet"/>
      <w:lvlText w:val="o"/>
      <w:lvlJc w:val="left"/>
      <w:pPr>
        <w:ind w:left="5760" w:hanging="360"/>
      </w:pPr>
      <w:rPr>
        <w:rFonts w:ascii="Arial Narrow" w:hAnsi="Arial Narrow" w:hint="default"/>
      </w:rPr>
    </w:lvl>
    <w:lvl w:ilvl="8" w:tplc="EED05322">
      <w:start w:val="1"/>
      <w:numFmt w:val="bullet"/>
      <w:lvlText w:val=""/>
      <w:lvlJc w:val="left"/>
      <w:pPr>
        <w:ind w:left="6480" w:hanging="360"/>
      </w:pPr>
      <w:rPr>
        <w:rFonts w:ascii="Courier New" w:hAnsi="Courier New" w:hint="default"/>
      </w:rPr>
    </w:lvl>
  </w:abstractNum>
  <w:abstractNum w:abstractNumId="18" w15:restartNumberingAfterBreak="0">
    <w:nsid w:val="303C1CC8"/>
    <w:multiLevelType w:val="hybridMultilevel"/>
    <w:tmpl w:val="D1B48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Arial Narrow" w:hAnsi="Arial Narrow" w:cs="Arial Narrow" w:hint="default"/>
      </w:rPr>
    </w:lvl>
    <w:lvl w:ilvl="2" w:tplc="0C090005" w:tentative="1">
      <w:start w:val="1"/>
      <w:numFmt w:val="bullet"/>
      <w:lvlText w:val=""/>
      <w:lvlJc w:val="left"/>
      <w:pPr>
        <w:ind w:left="2160" w:hanging="360"/>
      </w:pPr>
      <w:rPr>
        <w:rFonts w:ascii="Courier New" w:hAnsi="Courier New" w:hint="default"/>
      </w:rPr>
    </w:lvl>
    <w:lvl w:ilvl="3" w:tplc="0C090001" w:tentative="1">
      <w:start w:val="1"/>
      <w:numFmt w:val="bullet"/>
      <w:lvlText w:val=""/>
      <w:lvlJc w:val="left"/>
      <w:pPr>
        <w:ind w:left="2880" w:hanging="360"/>
      </w:pPr>
      <w:rPr>
        <w:rFonts w:ascii="Calibri" w:hAnsi="Calibri" w:hint="default"/>
      </w:rPr>
    </w:lvl>
    <w:lvl w:ilvl="4" w:tplc="0C090003" w:tentative="1">
      <w:start w:val="1"/>
      <w:numFmt w:val="bullet"/>
      <w:lvlText w:val="o"/>
      <w:lvlJc w:val="left"/>
      <w:pPr>
        <w:ind w:left="3600" w:hanging="360"/>
      </w:pPr>
      <w:rPr>
        <w:rFonts w:ascii="Arial Narrow" w:hAnsi="Arial Narrow" w:cs="Arial Narrow" w:hint="default"/>
      </w:rPr>
    </w:lvl>
    <w:lvl w:ilvl="5" w:tplc="0C090005" w:tentative="1">
      <w:start w:val="1"/>
      <w:numFmt w:val="bullet"/>
      <w:lvlText w:val=""/>
      <w:lvlJc w:val="left"/>
      <w:pPr>
        <w:ind w:left="4320" w:hanging="360"/>
      </w:pPr>
      <w:rPr>
        <w:rFonts w:ascii="Courier New" w:hAnsi="Courier New" w:hint="default"/>
      </w:rPr>
    </w:lvl>
    <w:lvl w:ilvl="6" w:tplc="0C090001" w:tentative="1">
      <w:start w:val="1"/>
      <w:numFmt w:val="bullet"/>
      <w:lvlText w:val=""/>
      <w:lvlJc w:val="left"/>
      <w:pPr>
        <w:ind w:left="5040" w:hanging="360"/>
      </w:pPr>
      <w:rPr>
        <w:rFonts w:ascii="Calibri" w:hAnsi="Calibri" w:hint="default"/>
      </w:rPr>
    </w:lvl>
    <w:lvl w:ilvl="7" w:tplc="0C090003" w:tentative="1">
      <w:start w:val="1"/>
      <w:numFmt w:val="bullet"/>
      <w:lvlText w:val="o"/>
      <w:lvlJc w:val="left"/>
      <w:pPr>
        <w:ind w:left="5760" w:hanging="360"/>
      </w:pPr>
      <w:rPr>
        <w:rFonts w:ascii="Arial Narrow" w:hAnsi="Arial Narrow" w:cs="Arial Narrow" w:hint="default"/>
      </w:rPr>
    </w:lvl>
    <w:lvl w:ilvl="8" w:tplc="0C090005" w:tentative="1">
      <w:start w:val="1"/>
      <w:numFmt w:val="bullet"/>
      <w:lvlText w:val=""/>
      <w:lvlJc w:val="left"/>
      <w:pPr>
        <w:ind w:left="6480" w:hanging="360"/>
      </w:pPr>
      <w:rPr>
        <w:rFonts w:ascii="Courier New" w:hAnsi="Courier New" w:hint="default"/>
      </w:rPr>
    </w:lvl>
  </w:abstractNum>
  <w:abstractNum w:abstractNumId="19" w15:restartNumberingAfterBreak="0">
    <w:nsid w:val="312D5244"/>
    <w:multiLevelType w:val="hybridMultilevel"/>
    <w:tmpl w:val="00E250B2"/>
    <w:lvl w:ilvl="0" w:tplc="32AE89D0">
      <w:start w:val="1"/>
      <w:numFmt w:val="bullet"/>
      <w:pStyle w:val="Dash"/>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Arial Narrow" w:hAnsi="Arial Narrow" w:cs="Arial Narrow" w:hint="default"/>
      </w:rPr>
    </w:lvl>
    <w:lvl w:ilvl="2" w:tplc="0C090005" w:tentative="1">
      <w:start w:val="1"/>
      <w:numFmt w:val="bullet"/>
      <w:lvlText w:val=""/>
      <w:lvlJc w:val="left"/>
      <w:pPr>
        <w:ind w:left="2160" w:hanging="360"/>
      </w:pPr>
      <w:rPr>
        <w:rFonts w:ascii="Courier New" w:hAnsi="Courier New" w:hint="default"/>
      </w:rPr>
    </w:lvl>
    <w:lvl w:ilvl="3" w:tplc="0C090001" w:tentative="1">
      <w:start w:val="1"/>
      <w:numFmt w:val="bullet"/>
      <w:lvlText w:val=""/>
      <w:lvlJc w:val="left"/>
      <w:pPr>
        <w:ind w:left="2880" w:hanging="360"/>
      </w:pPr>
      <w:rPr>
        <w:rFonts w:ascii="Calibri" w:hAnsi="Calibri" w:hint="default"/>
      </w:rPr>
    </w:lvl>
    <w:lvl w:ilvl="4" w:tplc="0C090003" w:tentative="1">
      <w:start w:val="1"/>
      <w:numFmt w:val="bullet"/>
      <w:lvlText w:val="o"/>
      <w:lvlJc w:val="left"/>
      <w:pPr>
        <w:ind w:left="3600" w:hanging="360"/>
      </w:pPr>
      <w:rPr>
        <w:rFonts w:ascii="Arial Narrow" w:hAnsi="Arial Narrow" w:cs="Arial Narrow" w:hint="default"/>
      </w:rPr>
    </w:lvl>
    <w:lvl w:ilvl="5" w:tplc="0C090005" w:tentative="1">
      <w:start w:val="1"/>
      <w:numFmt w:val="bullet"/>
      <w:lvlText w:val=""/>
      <w:lvlJc w:val="left"/>
      <w:pPr>
        <w:ind w:left="4320" w:hanging="360"/>
      </w:pPr>
      <w:rPr>
        <w:rFonts w:ascii="Courier New" w:hAnsi="Courier New" w:hint="default"/>
      </w:rPr>
    </w:lvl>
    <w:lvl w:ilvl="6" w:tplc="0C090001" w:tentative="1">
      <w:start w:val="1"/>
      <w:numFmt w:val="bullet"/>
      <w:lvlText w:val=""/>
      <w:lvlJc w:val="left"/>
      <w:pPr>
        <w:ind w:left="5040" w:hanging="360"/>
      </w:pPr>
      <w:rPr>
        <w:rFonts w:ascii="Calibri" w:hAnsi="Calibri" w:hint="default"/>
      </w:rPr>
    </w:lvl>
    <w:lvl w:ilvl="7" w:tplc="0C090003" w:tentative="1">
      <w:start w:val="1"/>
      <w:numFmt w:val="bullet"/>
      <w:lvlText w:val="o"/>
      <w:lvlJc w:val="left"/>
      <w:pPr>
        <w:ind w:left="5760" w:hanging="360"/>
      </w:pPr>
      <w:rPr>
        <w:rFonts w:ascii="Arial Narrow" w:hAnsi="Arial Narrow" w:cs="Arial Narrow" w:hint="default"/>
      </w:rPr>
    </w:lvl>
    <w:lvl w:ilvl="8" w:tplc="0C090005" w:tentative="1">
      <w:start w:val="1"/>
      <w:numFmt w:val="bullet"/>
      <w:lvlText w:val=""/>
      <w:lvlJc w:val="left"/>
      <w:pPr>
        <w:ind w:left="6480" w:hanging="360"/>
      </w:pPr>
      <w:rPr>
        <w:rFonts w:ascii="Courier New" w:hAnsi="Courier New" w:hint="default"/>
      </w:rPr>
    </w:lvl>
  </w:abstractNum>
  <w:abstractNum w:abstractNumId="20" w15:restartNumberingAfterBreak="0">
    <w:nsid w:val="314D020A"/>
    <w:multiLevelType w:val="hybridMultilevel"/>
    <w:tmpl w:val="AB3A6550"/>
    <w:lvl w:ilvl="0" w:tplc="0C090001">
      <w:start w:val="1"/>
      <w:numFmt w:val="bullet"/>
      <w:lvlText w:val=""/>
      <w:lvlJc w:val="left"/>
      <w:pPr>
        <w:ind w:left="720" w:hanging="360"/>
      </w:pPr>
      <w:rPr>
        <w:rFonts w:ascii="Calibri" w:hAnsi="Calibri" w:cs="Calibri" w:hint="default"/>
      </w:rPr>
    </w:lvl>
    <w:lvl w:ilvl="1" w:tplc="0C090003" w:tentative="1">
      <w:start w:val="1"/>
      <w:numFmt w:val="bullet"/>
      <w:lvlText w:val="o"/>
      <w:lvlJc w:val="left"/>
      <w:pPr>
        <w:ind w:left="1440" w:hanging="360"/>
      </w:pPr>
      <w:rPr>
        <w:rFonts w:ascii="Arial Narrow" w:hAnsi="Arial Narrow" w:cs="Arial Narrow" w:hint="default"/>
      </w:rPr>
    </w:lvl>
    <w:lvl w:ilvl="2" w:tplc="0C090005" w:tentative="1">
      <w:start w:val="1"/>
      <w:numFmt w:val="bullet"/>
      <w:lvlText w:val=""/>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Calibri" w:hAnsi="Calibri" w:cs="Calibri" w:hint="default"/>
      </w:rPr>
    </w:lvl>
    <w:lvl w:ilvl="4" w:tplc="0C090003" w:tentative="1">
      <w:start w:val="1"/>
      <w:numFmt w:val="bullet"/>
      <w:lvlText w:val="o"/>
      <w:lvlJc w:val="left"/>
      <w:pPr>
        <w:ind w:left="3600" w:hanging="360"/>
      </w:pPr>
      <w:rPr>
        <w:rFonts w:ascii="Arial Narrow" w:hAnsi="Arial Narrow" w:cs="Arial Narrow" w:hint="default"/>
      </w:rPr>
    </w:lvl>
    <w:lvl w:ilvl="5" w:tplc="0C090005" w:tentative="1">
      <w:start w:val="1"/>
      <w:numFmt w:val="bullet"/>
      <w:lvlText w:val=""/>
      <w:lvlJc w:val="left"/>
      <w:pPr>
        <w:ind w:left="4320" w:hanging="360"/>
      </w:pPr>
      <w:rPr>
        <w:rFonts w:ascii="Courier New" w:hAnsi="Courier New" w:cs="Courier New" w:hint="default"/>
      </w:rPr>
    </w:lvl>
    <w:lvl w:ilvl="6" w:tplc="0C090001" w:tentative="1">
      <w:start w:val="1"/>
      <w:numFmt w:val="bullet"/>
      <w:lvlText w:val=""/>
      <w:lvlJc w:val="left"/>
      <w:pPr>
        <w:ind w:left="5040" w:hanging="360"/>
      </w:pPr>
      <w:rPr>
        <w:rFonts w:ascii="Calibri" w:hAnsi="Calibri" w:cs="Calibri" w:hint="default"/>
      </w:rPr>
    </w:lvl>
    <w:lvl w:ilvl="7" w:tplc="0C090003" w:tentative="1">
      <w:start w:val="1"/>
      <w:numFmt w:val="bullet"/>
      <w:lvlText w:val="o"/>
      <w:lvlJc w:val="left"/>
      <w:pPr>
        <w:ind w:left="5760" w:hanging="360"/>
      </w:pPr>
      <w:rPr>
        <w:rFonts w:ascii="Arial Narrow" w:hAnsi="Arial Narrow" w:cs="Arial Narrow" w:hint="default"/>
      </w:rPr>
    </w:lvl>
    <w:lvl w:ilvl="8" w:tplc="0C090005" w:tentative="1">
      <w:start w:val="1"/>
      <w:numFmt w:val="bullet"/>
      <w:lvlText w:val=""/>
      <w:lvlJc w:val="left"/>
      <w:pPr>
        <w:ind w:left="6480" w:hanging="360"/>
      </w:pPr>
      <w:rPr>
        <w:rFonts w:ascii="Courier New" w:hAnsi="Courier New" w:cs="Courier New" w:hint="default"/>
      </w:rPr>
    </w:lvl>
  </w:abstractNum>
  <w:abstractNum w:abstractNumId="21" w15:restartNumberingAfterBreak="0">
    <w:nsid w:val="3239C3E4"/>
    <w:multiLevelType w:val="hybridMultilevel"/>
    <w:tmpl w:val="1D886B88"/>
    <w:lvl w:ilvl="0" w:tplc="3A04F628">
      <w:start w:val="1"/>
      <w:numFmt w:val="bullet"/>
      <w:lvlText w:val="-"/>
      <w:lvlJc w:val="left"/>
      <w:pPr>
        <w:ind w:left="360" w:hanging="360"/>
      </w:pPr>
      <w:rPr>
        <w:rFonts w:ascii="SimSun" w:hAnsi="SimSun" w:hint="default"/>
      </w:rPr>
    </w:lvl>
    <w:lvl w:ilvl="1" w:tplc="09707304">
      <w:start w:val="1"/>
      <w:numFmt w:val="bullet"/>
      <w:lvlText w:val="o"/>
      <w:lvlJc w:val="left"/>
      <w:pPr>
        <w:ind w:left="1080" w:hanging="360"/>
      </w:pPr>
      <w:rPr>
        <w:rFonts w:ascii="Arial Narrow" w:hAnsi="Arial Narrow" w:hint="default"/>
      </w:rPr>
    </w:lvl>
    <w:lvl w:ilvl="2" w:tplc="C3CE6E98">
      <w:start w:val="1"/>
      <w:numFmt w:val="bullet"/>
      <w:lvlText w:val=""/>
      <w:lvlJc w:val="left"/>
      <w:pPr>
        <w:ind w:left="1800" w:hanging="360"/>
      </w:pPr>
      <w:rPr>
        <w:rFonts w:ascii="Courier New" w:hAnsi="Courier New" w:hint="default"/>
      </w:rPr>
    </w:lvl>
    <w:lvl w:ilvl="3" w:tplc="4676886C">
      <w:start w:val="1"/>
      <w:numFmt w:val="bullet"/>
      <w:lvlText w:val=""/>
      <w:lvlJc w:val="left"/>
      <w:pPr>
        <w:ind w:left="2520" w:hanging="360"/>
      </w:pPr>
      <w:rPr>
        <w:rFonts w:ascii="Calibri" w:hAnsi="Calibri" w:hint="default"/>
      </w:rPr>
    </w:lvl>
    <w:lvl w:ilvl="4" w:tplc="3FE245EA">
      <w:start w:val="1"/>
      <w:numFmt w:val="bullet"/>
      <w:lvlText w:val="o"/>
      <w:lvlJc w:val="left"/>
      <w:pPr>
        <w:ind w:left="3240" w:hanging="360"/>
      </w:pPr>
      <w:rPr>
        <w:rFonts w:ascii="Arial Narrow" w:hAnsi="Arial Narrow" w:hint="default"/>
      </w:rPr>
    </w:lvl>
    <w:lvl w:ilvl="5" w:tplc="B228397E">
      <w:start w:val="1"/>
      <w:numFmt w:val="bullet"/>
      <w:lvlText w:val=""/>
      <w:lvlJc w:val="left"/>
      <w:pPr>
        <w:ind w:left="3960" w:hanging="360"/>
      </w:pPr>
      <w:rPr>
        <w:rFonts w:ascii="Courier New" w:hAnsi="Courier New" w:hint="default"/>
      </w:rPr>
    </w:lvl>
    <w:lvl w:ilvl="6" w:tplc="E9668F38">
      <w:start w:val="1"/>
      <w:numFmt w:val="bullet"/>
      <w:lvlText w:val=""/>
      <w:lvlJc w:val="left"/>
      <w:pPr>
        <w:ind w:left="4680" w:hanging="360"/>
      </w:pPr>
      <w:rPr>
        <w:rFonts w:ascii="Calibri" w:hAnsi="Calibri" w:hint="default"/>
      </w:rPr>
    </w:lvl>
    <w:lvl w:ilvl="7" w:tplc="D7E4E738">
      <w:start w:val="1"/>
      <w:numFmt w:val="bullet"/>
      <w:lvlText w:val="o"/>
      <w:lvlJc w:val="left"/>
      <w:pPr>
        <w:ind w:left="5400" w:hanging="360"/>
      </w:pPr>
      <w:rPr>
        <w:rFonts w:ascii="Arial Narrow" w:hAnsi="Arial Narrow" w:hint="default"/>
      </w:rPr>
    </w:lvl>
    <w:lvl w:ilvl="8" w:tplc="E0BAC962">
      <w:start w:val="1"/>
      <w:numFmt w:val="bullet"/>
      <w:lvlText w:val=""/>
      <w:lvlJc w:val="left"/>
      <w:pPr>
        <w:ind w:left="6120" w:hanging="360"/>
      </w:pPr>
      <w:rPr>
        <w:rFonts w:ascii="Courier New" w:hAnsi="Courier New" w:hint="default"/>
      </w:rPr>
    </w:lvl>
  </w:abstractNum>
  <w:abstractNum w:abstractNumId="22"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9D14811"/>
    <w:multiLevelType w:val="hybridMultilevel"/>
    <w:tmpl w:val="F11AFAE0"/>
    <w:lvl w:ilvl="0" w:tplc="0C090001">
      <w:start w:val="1"/>
      <w:numFmt w:val="bullet"/>
      <w:lvlText w:val=""/>
      <w:lvlJc w:val="left"/>
      <w:pPr>
        <w:ind w:left="720" w:hanging="360"/>
      </w:pPr>
      <w:rPr>
        <w:rFonts w:ascii="Calibri" w:hAnsi="Calibri" w:cs="Calibri" w:hint="default"/>
      </w:rPr>
    </w:lvl>
    <w:lvl w:ilvl="1" w:tplc="0C090003" w:tentative="1">
      <w:start w:val="1"/>
      <w:numFmt w:val="bullet"/>
      <w:lvlText w:val="o"/>
      <w:lvlJc w:val="left"/>
      <w:pPr>
        <w:ind w:left="1440" w:hanging="360"/>
      </w:pPr>
      <w:rPr>
        <w:rFonts w:ascii="Arial Narrow" w:hAnsi="Arial Narrow" w:cs="Arial Narrow" w:hint="default"/>
      </w:rPr>
    </w:lvl>
    <w:lvl w:ilvl="2" w:tplc="0C090005" w:tentative="1">
      <w:start w:val="1"/>
      <w:numFmt w:val="bullet"/>
      <w:lvlText w:val=""/>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Calibri" w:hAnsi="Calibri" w:cs="Calibri" w:hint="default"/>
      </w:rPr>
    </w:lvl>
    <w:lvl w:ilvl="4" w:tplc="0C090003" w:tentative="1">
      <w:start w:val="1"/>
      <w:numFmt w:val="bullet"/>
      <w:lvlText w:val="o"/>
      <w:lvlJc w:val="left"/>
      <w:pPr>
        <w:ind w:left="3600" w:hanging="360"/>
      </w:pPr>
      <w:rPr>
        <w:rFonts w:ascii="Arial Narrow" w:hAnsi="Arial Narrow" w:cs="Arial Narrow" w:hint="default"/>
      </w:rPr>
    </w:lvl>
    <w:lvl w:ilvl="5" w:tplc="0C090005" w:tentative="1">
      <w:start w:val="1"/>
      <w:numFmt w:val="bullet"/>
      <w:lvlText w:val=""/>
      <w:lvlJc w:val="left"/>
      <w:pPr>
        <w:ind w:left="4320" w:hanging="360"/>
      </w:pPr>
      <w:rPr>
        <w:rFonts w:ascii="Courier New" w:hAnsi="Courier New" w:cs="Courier New" w:hint="default"/>
      </w:rPr>
    </w:lvl>
    <w:lvl w:ilvl="6" w:tplc="0C090001" w:tentative="1">
      <w:start w:val="1"/>
      <w:numFmt w:val="bullet"/>
      <w:lvlText w:val=""/>
      <w:lvlJc w:val="left"/>
      <w:pPr>
        <w:ind w:left="5040" w:hanging="360"/>
      </w:pPr>
      <w:rPr>
        <w:rFonts w:ascii="Calibri" w:hAnsi="Calibri" w:cs="Calibri" w:hint="default"/>
      </w:rPr>
    </w:lvl>
    <w:lvl w:ilvl="7" w:tplc="0C090003" w:tentative="1">
      <w:start w:val="1"/>
      <w:numFmt w:val="bullet"/>
      <w:lvlText w:val="o"/>
      <w:lvlJc w:val="left"/>
      <w:pPr>
        <w:ind w:left="5760" w:hanging="360"/>
      </w:pPr>
      <w:rPr>
        <w:rFonts w:ascii="Arial Narrow" w:hAnsi="Arial Narrow" w:cs="Arial Narrow" w:hint="default"/>
      </w:rPr>
    </w:lvl>
    <w:lvl w:ilvl="8" w:tplc="0C090005" w:tentative="1">
      <w:start w:val="1"/>
      <w:numFmt w:val="bullet"/>
      <w:lvlText w:val=""/>
      <w:lvlJc w:val="left"/>
      <w:pPr>
        <w:ind w:left="6480" w:hanging="360"/>
      </w:pPr>
      <w:rPr>
        <w:rFonts w:ascii="Courier New" w:hAnsi="Courier New" w:cs="Courier New" w:hint="default"/>
      </w:rPr>
    </w:lvl>
  </w:abstractNum>
  <w:abstractNum w:abstractNumId="24" w15:restartNumberingAfterBreak="0">
    <w:nsid w:val="3D4956C3"/>
    <w:multiLevelType w:val="hybridMultilevel"/>
    <w:tmpl w:val="4B6255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Arial Narrow" w:hAnsi="Arial Narrow" w:cs="Arial Narrow" w:hint="default"/>
      </w:rPr>
    </w:lvl>
    <w:lvl w:ilvl="2" w:tplc="0C090005" w:tentative="1">
      <w:start w:val="1"/>
      <w:numFmt w:val="bullet"/>
      <w:lvlText w:val=""/>
      <w:lvlJc w:val="left"/>
      <w:pPr>
        <w:ind w:left="1800" w:hanging="360"/>
      </w:pPr>
      <w:rPr>
        <w:rFonts w:ascii="Courier New" w:hAnsi="Courier New" w:hint="default"/>
      </w:rPr>
    </w:lvl>
    <w:lvl w:ilvl="3" w:tplc="0C090001" w:tentative="1">
      <w:start w:val="1"/>
      <w:numFmt w:val="bullet"/>
      <w:lvlText w:val=""/>
      <w:lvlJc w:val="left"/>
      <w:pPr>
        <w:ind w:left="2520" w:hanging="360"/>
      </w:pPr>
      <w:rPr>
        <w:rFonts w:ascii="Calibri" w:hAnsi="Calibri" w:hint="default"/>
      </w:rPr>
    </w:lvl>
    <w:lvl w:ilvl="4" w:tplc="0C090003" w:tentative="1">
      <w:start w:val="1"/>
      <w:numFmt w:val="bullet"/>
      <w:lvlText w:val="o"/>
      <w:lvlJc w:val="left"/>
      <w:pPr>
        <w:ind w:left="3240" w:hanging="360"/>
      </w:pPr>
      <w:rPr>
        <w:rFonts w:ascii="Arial Narrow" w:hAnsi="Arial Narrow" w:cs="Arial Narrow" w:hint="default"/>
      </w:rPr>
    </w:lvl>
    <w:lvl w:ilvl="5" w:tplc="0C090005" w:tentative="1">
      <w:start w:val="1"/>
      <w:numFmt w:val="bullet"/>
      <w:lvlText w:val=""/>
      <w:lvlJc w:val="left"/>
      <w:pPr>
        <w:ind w:left="3960" w:hanging="360"/>
      </w:pPr>
      <w:rPr>
        <w:rFonts w:ascii="Courier New" w:hAnsi="Courier New" w:hint="default"/>
      </w:rPr>
    </w:lvl>
    <w:lvl w:ilvl="6" w:tplc="0C090001" w:tentative="1">
      <w:start w:val="1"/>
      <w:numFmt w:val="bullet"/>
      <w:lvlText w:val=""/>
      <w:lvlJc w:val="left"/>
      <w:pPr>
        <w:ind w:left="4680" w:hanging="360"/>
      </w:pPr>
      <w:rPr>
        <w:rFonts w:ascii="Calibri" w:hAnsi="Calibri" w:hint="default"/>
      </w:rPr>
    </w:lvl>
    <w:lvl w:ilvl="7" w:tplc="0C090003" w:tentative="1">
      <w:start w:val="1"/>
      <w:numFmt w:val="bullet"/>
      <w:lvlText w:val="o"/>
      <w:lvlJc w:val="left"/>
      <w:pPr>
        <w:ind w:left="5400" w:hanging="360"/>
      </w:pPr>
      <w:rPr>
        <w:rFonts w:ascii="Arial Narrow" w:hAnsi="Arial Narrow" w:cs="Arial Narrow" w:hint="default"/>
      </w:rPr>
    </w:lvl>
    <w:lvl w:ilvl="8" w:tplc="0C090005" w:tentative="1">
      <w:start w:val="1"/>
      <w:numFmt w:val="bullet"/>
      <w:lvlText w:val=""/>
      <w:lvlJc w:val="left"/>
      <w:pPr>
        <w:ind w:left="6120" w:hanging="360"/>
      </w:pPr>
      <w:rPr>
        <w:rFonts w:ascii="Courier New" w:hAnsi="Courier New" w:hint="default"/>
      </w:rPr>
    </w:lvl>
  </w:abstractNum>
  <w:abstractNum w:abstractNumId="25" w15:restartNumberingAfterBreak="0">
    <w:nsid w:val="456744BA"/>
    <w:multiLevelType w:val="hybridMultilevel"/>
    <w:tmpl w:val="BB08B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7095746"/>
    <w:multiLevelType w:val="hybridMultilevel"/>
    <w:tmpl w:val="6908D07E"/>
    <w:lvl w:ilvl="0" w:tplc="3BAEDD6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Calibri" w:hAnsi="Calibri" w:cs="Calibri" w:hint="default"/>
      </w:rPr>
    </w:lvl>
    <w:lvl w:ilvl="4" w:tplc="0C090003" w:tentative="1">
      <w:start w:val="1"/>
      <w:numFmt w:val="bullet"/>
      <w:lvlText w:val="o"/>
      <w:lvlJc w:val="left"/>
      <w:pPr>
        <w:ind w:left="3600" w:hanging="360"/>
      </w:pPr>
      <w:rPr>
        <w:rFonts w:ascii="Arial Narrow" w:hAnsi="Arial Narrow" w:cs="Arial Narrow" w:hint="default"/>
      </w:rPr>
    </w:lvl>
    <w:lvl w:ilvl="5" w:tplc="0C090005" w:tentative="1">
      <w:start w:val="1"/>
      <w:numFmt w:val="bullet"/>
      <w:lvlText w:val=""/>
      <w:lvlJc w:val="left"/>
      <w:pPr>
        <w:ind w:left="4320" w:hanging="360"/>
      </w:pPr>
      <w:rPr>
        <w:rFonts w:ascii="Courier New" w:hAnsi="Courier New" w:cs="Courier New" w:hint="default"/>
      </w:rPr>
    </w:lvl>
    <w:lvl w:ilvl="6" w:tplc="0C090001" w:tentative="1">
      <w:start w:val="1"/>
      <w:numFmt w:val="bullet"/>
      <w:lvlText w:val=""/>
      <w:lvlJc w:val="left"/>
      <w:pPr>
        <w:ind w:left="5040" w:hanging="360"/>
      </w:pPr>
      <w:rPr>
        <w:rFonts w:ascii="Calibri" w:hAnsi="Calibri" w:cs="Calibri" w:hint="default"/>
      </w:rPr>
    </w:lvl>
    <w:lvl w:ilvl="7" w:tplc="0C090003" w:tentative="1">
      <w:start w:val="1"/>
      <w:numFmt w:val="bullet"/>
      <w:lvlText w:val="o"/>
      <w:lvlJc w:val="left"/>
      <w:pPr>
        <w:ind w:left="5760" w:hanging="360"/>
      </w:pPr>
      <w:rPr>
        <w:rFonts w:ascii="Arial Narrow" w:hAnsi="Arial Narrow" w:cs="Arial Narrow" w:hint="default"/>
      </w:rPr>
    </w:lvl>
    <w:lvl w:ilvl="8" w:tplc="0C090005" w:tentative="1">
      <w:start w:val="1"/>
      <w:numFmt w:val="bullet"/>
      <w:lvlText w:val=""/>
      <w:lvlJc w:val="left"/>
      <w:pPr>
        <w:ind w:left="6480" w:hanging="360"/>
      </w:pPr>
      <w:rPr>
        <w:rFonts w:ascii="Courier New" w:hAnsi="Courier New" w:cs="Courier New" w:hint="default"/>
      </w:rPr>
    </w:lvl>
  </w:abstractNum>
  <w:abstractNum w:abstractNumId="27" w15:restartNumberingAfterBreak="0">
    <w:nsid w:val="4F302678"/>
    <w:multiLevelType w:val="hybridMultilevel"/>
    <w:tmpl w:val="198A3A76"/>
    <w:lvl w:ilvl="0" w:tplc="3BAEDD66">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Calibri" w:hAnsi="Calibri" w:cs="Calibri" w:hint="default"/>
      </w:rPr>
    </w:lvl>
    <w:lvl w:ilvl="4" w:tplc="0C090003" w:tentative="1">
      <w:start w:val="1"/>
      <w:numFmt w:val="bullet"/>
      <w:lvlText w:val="o"/>
      <w:lvlJc w:val="left"/>
      <w:pPr>
        <w:ind w:left="3600" w:hanging="360"/>
      </w:pPr>
      <w:rPr>
        <w:rFonts w:ascii="Arial Narrow" w:hAnsi="Arial Narrow" w:cs="Arial Narrow" w:hint="default"/>
      </w:rPr>
    </w:lvl>
    <w:lvl w:ilvl="5" w:tplc="0C090005" w:tentative="1">
      <w:start w:val="1"/>
      <w:numFmt w:val="bullet"/>
      <w:lvlText w:val=""/>
      <w:lvlJc w:val="left"/>
      <w:pPr>
        <w:ind w:left="4320" w:hanging="360"/>
      </w:pPr>
      <w:rPr>
        <w:rFonts w:ascii="Courier New" w:hAnsi="Courier New" w:cs="Courier New" w:hint="default"/>
      </w:rPr>
    </w:lvl>
    <w:lvl w:ilvl="6" w:tplc="0C090001" w:tentative="1">
      <w:start w:val="1"/>
      <w:numFmt w:val="bullet"/>
      <w:lvlText w:val=""/>
      <w:lvlJc w:val="left"/>
      <w:pPr>
        <w:ind w:left="5040" w:hanging="360"/>
      </w:pPr>
      <w:rPr>
        <w:rFonts w:ascii="Calibri" w:hAnsi="Calibri" w:cs="Calibri" w:hint="default"/>
      </w:rPr>
    </w:lvl>
    <w:lvl w:ilvl="7" w:tplc="0C090003" w:tentative="1">
      <w:start w:val="1"/>
      <w:numFmt w:val="bullet"/>
      <w:lvlText w:val="o"/>
      <w:lvlJc w:val="left"/>
      <w:pPr>
        <w:ind w:left="5760" w:hanging="360"/>
      </w:pPr>
      <w:rPr>
        <w:rFonts w:ascii="Arial Narrow" w:hAnsi="Arial Narrow" w:cs="Arial Narrow" w:hint="default"/>
      </w:rPr>
    </w:lvl>
    <w:lvl w:ilvl="8" w:tplc="0C090005" w:tentative="1">
      <w:start w:val="1"/>
      <w:numFmt w:val="bullet"/>
      <w:lvlText w:val=""/>
      <w:lvlJc w:val="left"/>
      <w:pPr>
        <w:ind w:left="6480" w:hanging="360"/>
      </w:pPr>
      <w:rPr>
        <w:rFonts w:ascii="Courier New" w:hAnsi="Courier New" w:cs="Courier New" w:hint="default"/>
      </w:rPr>
    </w:lvl>
  </w:abstractNum>
  <w:abstractNum w:abstractNumId="28" w15:restartNumberingAfterBreak="0">
    <w:nsid w:val="50C43FC1"/>
    <w:multiLevelType w:val="hybridMultilevel"/>
    <w:tmpl w:val="283E1F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Arial Narrow" w:hAnsi="Arial Narrow" w:cs="Arial Narrow" w:hint="default"/>
      </w:rPr>
    </w:lvl>
    <w:lvl w:ilvl="2" w:tplc="0C090005" w:tentative="1">
      <w:start w:val="1"/>
      <w:numFmt w:val="bullet"/>
      <w:lvlText w:val=""/>
      <w:lvlJc w:val="left"/>
      <w:pPr>
        <w:ind w:left="1800" w:hanging="360"/>
      </w:pPr>
      <w:rPr>
        <w:rFonts w:ascii="Courier New" w:hAnsi="Courier New" w:hint="default"/>
      </w:rPr>
    </w:lvl>
    <w:lvl w:ilvl="3" w:tplc="0C090001" w:tentative="1">
      <w:start w:val="1"/>
      <w:numFmt w:val="bullet"/>
      <w:lvlText w:val=""/>
      <w:lvlJc w:val="left"/>
      <w:pPr>
        <w:ind w:left="2520" w:hanging="360"/>
      </w:pPr>
      <w:rPr>
        <w:rFonts w:ascii="Calibri" w:hAnsi="Calibri" w:hint="default"/>
      </w:rPr>
    </w:lvl>
    <w:lvl w:ilvl="4" w:tplc="0C090003" w:tentative="1">
      <w:start w:val="1"/>
      <w:numFmt w:val="bullet"/>
      <w:lvlText w:val="o"/>
      <w:lvlJc w:val="left"/>
      <w:pPr>
        <w:ind w:left="3240" w:hanging="360"/>
      </w:pPr>
      <w:rPr>
        <w:rFonts w:ascii="Arial Narrow" w:hAnsi="Arial Narrow" w:cs="Arial Narrow" w:hint="default"/>
      </w:rPr>
    </w:lvl>
    <w:lvl w:ilvl="5" w:tplc="0C090005" w:tentative="1">
      <w:start w:val="1"/>
      <w:numFmt w:val="bullet"/>
      <w:lvlText w:val=""/>
      <w:lvlJc w:val="left"/>
      <w:pPr>
        <w:ind w:left="3960" w:hanging="360"/>
      </w:pPr>
      <w:rPr>
        <w:rFonts w:ascii="Courier New" w:hAnsi="Courier New" w:hint="default"/>
      </w:rPr>
    </w:lvl>
    <w:lvl w:ilvl="6" w:tplc="0C090001" w:tentative="1">
      <w:start w:val="1"/>
      <w:numFmt w:val="bullet"/>
      <w:lvlText w:val=""/>
      <w:lvlJc w:val="left"/>
      <w:pPr>
        <w:ind w:left="4680" w:hanging="360"/>
      </w:pPr>
      <w:rPr>
        <w:rFonts w:ascii="Calibri" w:hAnsi="Calibri" w:hint="default"/>
      </w:rPr>
    </w:lvl>
    <w:lvl w:ilvl="7" w:tplc="0C090003" w:tentative="1">
      <w:start w:val="1"/>
      <w:numFmt w:val="bullet"/>
      <w:lvlText w:val="o"/>
      <w:lvlJc w:val="left"/>
      <w:pPr>
        <w:ind w:left="5400" w:hanging="360"/>
      </w:pPr>
      <w:rPr>
        <w:rFonts w:ascii="Arial Narrow" w:hAnsi="Arial Narrow" w:cs="Arial Narrow" w:hint="default"/>
      </w:rPr>
    </w:lvl>
    <w:lvl w:ilvl="8" w:tplc="0C090005" w:tentative="1">
      <w:start w:val="1"/>
      <w:numFmt w:val="bullet"/>
      <w:lvlText w:val=""/>
      <w:lvlJc w:val="left"/>
      <w:pPr>
        <w:ind w:left="6120" w:hanging="360"/>
      </w:pPr>
      <w:rPr>
        <w:rFonts w:ascii="Courier New" w:hAnsi="Courier New" w:hint="default"/>
      </w:rPr>
    </w:lvl>
  </w:abstractNum>
  <w:abstractNum w:abstractNumId="29" w15:restartNumberingAfterBreak="0">
    <w:nsid w:val="521C3F0F"/>
    <w:multiLevelType w:val="hybridMultilevel"/>
    <w:tmpl w:val="79228EA4"/>
    <w:lvl w:ilvl="0" w:tplc="9370B01A">
      <w:start w:val="1"/>
      <w:numFmt w:val="bullet"/>
      <w:lvlText w:val="-"/>
      <w:lvlJc w:val="left"/>
      <w:pPr>
        <w:ind w:left="470" w:hanging="360"/>
      </w:pPr>
      <w:rPr>
        <w:rFonts w:ascii="SimSun" w:eastAsia="SimSun" w:hAnsi="SimSun" w:cs="Wingdings" w:hint="eastAsia"/>
      </w:rPr>
    </w:lvl>
    <w:lvl w:ilvl="1" w:tplc="0C090003" w:tentative="1">
      <w:start w:val="1"/>
      <w:numFmt w:val="bullet"/>
      <w:lvlText w:val="o"/>
      <w:lvlJc w:val="left"/>
      <w:pPr>
        <w:ind w:left="1190" w:hanging="360"/>
      </w:pPr>
      <w:rPr>
        <w:rFonts w:ascii="Courier New" w:hAnsi="Courier New" w:cs="Courier New" w:hint="default"/>
      </w:rPr>
    </w:lvl>
    <w:lvl w:ilvl="2" w:tplc="0C090005" w:tentative="1">
      <w:start w:val="1"/>
      <w:numFmt w:val="bullet"/>
      <w:lvlText w:val=""/>
      <w:lvlJc w:val="left"/>
      <w:pPr>
        <w:ind w:left="1910" w:hanging="360"/>
      </w:pPr>
      <w:rPr>
        <w:rFonts w:ascii="Wingdings" w:hAnsi="Wingdings" w:hint="default"/>
      </w:rPr>
    </w:lvl>
    <w:lvl w:ilvl="3" w:tplc="0C090001" w:tentative="1">
      <w:start w:val="1"/>
      <w:numFmt w:val="bullet"/>
      <w:lvlText w:val=""/>
      <w:lvlJc w:val="left"/>
      <w:pPr>
        <w:ind w:left="2630" w:hanging="360"/>
      </w:pPr>
      <w:rPr>
        <w:rFonts w:ascii="Symbol" w:hAnsi="Symbol" w:hint="default"/>
      </w:rPr>
    </w:lvl>
    <w:lvl w:ilvl="4" w:tplc="0C090003" w:tentative="1">
      <w:start w:val="1"/>
      <w:numFmt w:val="bullet"/>
      <w:lvlText w:val="o"/>
      <w:lvlJc w:val="left"/>
      <w:pPr>
        <w:ind w:left="3350" w:hanging="360"/>
      </w:pPr>
      <w:rPr>
        <w:rFonts w:ascii="Courier New" w:hAnsi="Courier New" w:cs="Courier New" w:hint="default"/>
      </w:rPr>
    </w:lvl>
    <w:lvl w:ilvl="5" w:tplc="0C090005" w:tentative="1">
      <w:start w:val="1"/>
      <w:numFmt w:val="bullet"/>
      <w:lvlText w:val=""/>
      <w:lvlJc w:val="left"/>
      <w:pPr>
        <w:ind w:left="4070" w:hanging="360"/>
      </w:pPr>
      <w:rPr>
        <w:rFonts w:ascii="Wingdings" w:hAnsi="Wingdings" w:hint="default"/>
      </w:rPr>
    </w:lvl>
    <w:lvl w:ilvl="6" w:tplc="0C090001" w:tentative="1">
      <w:start w:val="1"/>
      <w:numFmt w:val="bullet"/>
      <w:lvlText w:val=""/>
      <w:lvlJc w:val="left"/>
      <w:pPr>
        <w:ind w:left="4790" w:hanging="360"/>
      </w:pPr>
      <w:rPr>
        <w:rFonts w:ascii="Symbol" w:hAnsi="Symbol" w:hint="default"/>
      </w:rPr>
    </w:lvl>
    <w:lvl w:ilvl="7" w:tplc="0C090003" w:tentative="1">
      <w:start w:val="1"/>
      <w:numFmt w:val="bullet"/>
      <w:lvlText w:val="o"/>
      <w:lvlJc w:val="left"/>
      <w:pPr>
        <w:ind w:left="5510" w:hanging="360"/>
      </w:pPr>
      <w:rPr>
        <w:rFonts w:ascii="Courier New" w:hAnsi="Courier New" w:cs="Courier New" w:hint="default"/>
      </w:rPr>
    </w:lvl>
    <w:lvl w:ilvl="8" w:tplc="0C090005" w:tentative="1">
      <w:start w:val="1"/>
      <w:numFmt w:val="bullet"/>
      <w:lvlText w:val=""/>
      <w:lvlJc w:val="left"/>
      <w:pPr>
        <w:ind w:left="6230" w:hanging="360"/>
      </w:pPr>
      <w:rPr>
        <w:rFonts w:ascii="Wingdings" w:hAnsi="Wingdings" w:hint="default"/>
      </w:rPr>
    </w:lvl>
  </w:abstractNum>
  <w:abstractNum w:abstractNumId="30" w15:restartNumberingAfterBreak="0">
    <w:nsid w:val="53F34F1F"/>
    <w:multiLevelType w:val="hybridMultilevel"/>
    <w:tmpl w:val="7C2880DE"/>
    <w:lvl w:ilvl="0" w:tplc="0C090001">
      <w:start w:val="1"/>
      <w:numFmt w:val="bullet"/>
      <w:lvlText w:val=""/>
      <w:lvlJc w:val="left"/>
      <w:pPr>
        <w:ind w:left="360" w:hanging="360"/>
      </w:pPr>
      <w:rPr>
        <w:rFonts w:ascii="Calibri" w:hAnsi="Calibri" w:hint="default"/>
      </w:rPr>
    </w:lvl>
    <w:lvl w:ilvl="1" w:tplc="0C090001">
      <w:start w:val="1"/>
      <w:numFmt w:val="bullet"/>
      <w:lvlText w:val=""/>
      <w:lvlJc w:val="left"/>
      <w:pPr>
        <w:ind w:left="1440" w:hanging="720"/>
      </w:pPr>
      <w:rPr>
        <w:rFonts w:ascii="Symbol" w:hAnsi="Symbol" w:hint="default"/>
      </w:rPr>
    </w:lvl>
    <w:lvl w:ilvl="2" w:tplc="0C090005" w:tentative="1">
      <w:start w:val="1"/>
      <w:numFmt w:val="bullet"/>
      <w:lvlText w:val=""/>
      <w:lvlJc w:val="left"/>
      <w:pPr>
        <w:ind w:left="1800" w:hanging="360"/>
      </w:pPr>
      <w:rPr>
        <w:rFonts w:ascii="Courier New" w:hAnsi="Courier New" w:hint="default"/>
      </w:rPr>
    </w:lvl>
    <w:lvl w:ilvl="3" w:tplc="0C090001" w:tentative="1">
      <w:start w:val="1"/>
      <w:numFmt w:val="bullet"/>
      <w:lvlText w:val=""/>
      <w:lvlJc w:val="left"/>
      <w:pPr>
        <w:ind w:left="2520" w:hanging="360"/>
      </w:pPr>
      <w:rPr>
        <w:rFonts w:ascii="Calibri" w:hAnsi="Calibri" w:hint="default"/>
      </w:rPr>
    </w:lvl>
    <w:lvl w:ilvl="4" w:tplc="0C090003" w:tentative="1">
      <w:start w:val="1"/>
      <w:numFmt w:val="bullet"/>
      <w:lvlText w:val="o"/>
      <w:lvlJc w:val="left"/>
      <w:pPr>
        <w:ind w:left="3240" w:hanging="360"/>
      </w:pPr>
      <w:rPr>
        <w:rFonts w:ascii="Arial Narrow" w:hAnsi="Arial Narrow" w:cs="Arial Narrow" w:hint="default"/>
      </w:rPr>
    </w:lvl>
    <w:lvl w:ilvl="5" w:tplc="0C090005" w:tentative="1">
      <w:start w:val="1"/>
      <w:numFmt w:val="bullet"/>
      <w:lvlText w:val=""/>
      <w:lvlJc w:val="left"/>
      <w:pPr>
        <w:ind w:left="3960" w:hanging="360"/>
      </w:pPr>
      <w:rPr>
        <w:rFonts w:ascii="Courier New" w:hAnsi="Courier New" w:hint="default"/>
      </w:rPr>
    </w:lvl>
    <w:lvl w:ilvl="6" w:tplc="0C090001" w:tentative="1">
      <w:start w:val="1"/>
      <w:numFmt w:val="bullet"/>
      <w:lvlText w:val=""/>
      <w:lvlJc w:val="left"/>
      <w:pPr>
        <w:ind w:left="4680" w:hanging="360"/>
      </w:pPr>
      <w:rPr>
        <w:rFonts w:ascii="Calibri" w:hAnsi="Calibri" w:hint="default"/>
      </w:rPr>
    </w:lvl>
    <w:lvl w:ilvl="7" w:tplc="0C090003" w:tentative="1">
      <w:start w:val="1"/>
      <w:numFmt w:val="bullet"/>
      <w:lvlText w:val="o"/>
      <w:lvlJc w:val="left"/>
      <w:pPr>
        <w:ind w:left="5400" w:hanging="360"/>
      </w:pPr>
      <w:rPr>
        <w:rFonts w:ascii="Arial Narrow" w:hAnsi="Arial Narrow" w:cs="Arial Narrow" w:hint="default"/>
      </w:rPr>
    </w:lvl>
    <w:lvl w:ilvl="8" w:tplc="0C090005" w:tentative="1">
      <w:start w:val="1"/>
      <w:numFmt w:val="bullet"/>
      <w:lvlText w:val=""/>
      <w:lvlJc w:val="left"/>
      <w:pPr>
        <w:ind w:left="6120" w:hanging="360"/>
      </w:pPr>
      <w:rPr>
        <w:rFonts w:ascii="Courier New" w:hAnsi="Courier New" w:hint="default"/>
      </w:rPr>
    </w:lvl>
  </w:abstractNum>
  <w:abstractNum w:abstractNumId="31" w15:restartNumberingAfterBreak="0">
    <w:nsid w:val="580D2CE2"/>
    <w:multiLevelType w:val="hybridMultilevel"/>
    <w:tmpl w:val="313E7236"/>
    <w:lvl w:ilvl="0" w:tplc="0C090001">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Arial Narrow" w:hAnsi="Arial Narrow" w:cs="Arial Narrow" w:hint="default"/>
      </w:rPr>
    </w:lvl>
    <w:lvl w:ilvl="2" w:tplc="0C090005" w:tentative="1">
      <w:start w:val="1"/>
      <w:numFmt w:val="bullet"/>
      <w:lvlText w:val=""/>
      <w:lvlJc w:val="left"/>
      <w:pPr>
        <w:ind w:left="2160" w:hanging="360"/>
      </w:pPr>
      <w:rPr>
        <w:rFonts w:ascii="Courier New" w:hAnsi="Courier New" w:hint="default"/>
      </w:rPr>
    </w:lvl>
    <w:lvl w:ilvl="3" w:tplc="0C090001" w:tentative="1">
      <w:start w:val="1"/>
      <w:numFmt w:val="bullet"/>
      <w:lvlText w:val=""/>
      <w:lvlJc w:val="left"/>
      <w:pPr>
        <w:ind w:left="2880" w:hanging="360"/>
      </w:pPr>
      <w:rPr>
        <w:rFonts w:ascii="Calibri" w:hAnsi="Calibri" w:hint="default"/>
      </w:rPr>
    </w:lvl>
    <w:lvl w:ilvl="4" w:tplc="0C090003" w:tentative="1">
      <w:start w:val="1"/>
      <w:numFmt w:val="bullet"/>
      <w:lvlText w:val="o"/>
      <w:lvlJc w:val="left"/>
      <w:pPr>
        <w:ind w:left="3600" w:hanging="360"/>
      </w:pPr>
      <w:rPr>
        <w:rFonts w:ascii="Arial Narrow" w:hAnsi="Arial Narrow" w:cs="Arial Narrow" w:hint="default"/>
      </w:rPr>
    </w:lvl>
    <w:lvl w:ilvl="5" w:tplc="0C090005" w:tentative="1">
      <w:start w:val="1"/>
      <w:numFmt w:val="bullet"/>
      <w:lvlText w:val=""/>
      <w:lvlJc w:val="left"/>
      <w:pPr>
        <w:ind w:left="4320" w:hanging="360"/>
      </w:pPr>
      <w:rPr>
        <w:rFonts w:ascii="Courier New" w:hAnsi="Courier New" w:hint="default"/>
      </w:rPr>
    </w:lvl>
    <w:lvl w:ilvl="6" w:tplc="0C090001" w:tentative="1">
      <w:start w:val="1"/>
      <w:numFmt w:val="bullet"/>
      <w:lvlText w:val=""/>
      <w:lvlJc w:val="left"/>
      <w:pPr>
        <w:ind w:left="5040" w:hanging="360"/>
      </w:pPr>
      <w:rPr>
        <w:rFonts w:ascii="Calibri" w:hAnsi="Calibri" w:hint="default"/>
      </w:rPr>
    </w:lvl>
    <w:lvl w:ilvl="7" w:tplc="0C090003" w:tentative="1">
      <w:start w:val="1"/>
      <w:numFmt w:val="bullet"/>
      <w:lvlText w:val="o"/>
      <w:lvlJc w:val="left"/>
      <w:pPr>
        <w:ind w:left="5760" w:hanging="360"/>
      </w:pPr>
      <w:rPr>
        <w:rFonts w:ascii="Arial Narrow" w:hAnsi="Arial Narrow" w:cs="Arial Narrow" w:hint="default"/>
      </w:rPr>
    </w:lvl>
    <w:lvl w:ilvl="8" w:tplc="0C090005" w:tentative="1">
      <w:start w:val="1"/>
      <w:numFmt w:val="bullet"/>
      <w:lvlText w:val=""/>
      <w:lvlJc w:val="left"/>
      <w:pPr>
        <w:ind w:left="6480" w:hanging="360"/>
      </w:pPr>
      <w:rPr>
        <w:rFonts w:ascii="Courier New" w:hAnsi="Courier New" w:hint="default"/>
      </w:rPr>
    </w:lvl>
  </w:abstractNum>
  <w:abstractNum w:abstractNumId="32" w15:restartNumberingAfterBreak="0">
    <w:nsid w:val="5B213AA9"/>
    <w:multiLevelType w:val="hybridMultilevel"/>
    <w:tmpl w:val="295E4E04"/>
    <w:lvl w:ilvl="0" w:tplc="0C090001">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Arial Narrow" w:hAnsi="Arial Narrow" w:cs="Arial Narrow" w:hint="default"/>
      </w:rPr>
    </w:lvl>
    <w:lvl w:ilvl="2" w:tplc="0C090005" w:tentative="1">
      <w:start w:val="1"/>
      <w:numFmt w:val="bullet"/>
      <w:lvlText w:val=""/>
      <w:lvlJc w:val="left"/>
      <w:pPr>
        <w:ind w:left="2160" w:hanging="360"/>
      </w:pPr>
      <w:rPr>
        <w:rFonts w:ascii="Courier New" w:hAnsi="Courier New" w:hint="default"/>
      </w:rPr>
    </w:lvl>
    <w:lvl w:ilvl="3" w:tplc="0C090001" w:tentative="1">
      <w:start w:val="1"/>
      <w:numFmt w:val="bullet"/>
      <w:lvlText w:val=""/>
      <w:lvlJc w:val="left"/>
      <w:pPr>
        <w:ind w:left="2880" w:hanging="360"/>
      </w:pPr>
      <w:rPr>
        <w:rFonts w:ascii="Calibri" w:hAnsi="Calibri" w:hint="default"/>
      </w:rPr>
    </w:lvl>
    <w:lvl w:ilvl="4" w:tplc="0C090003" w:tentative="1">
      <w:start w:val="1"/>
      <w:numFmt w:val="bullet"/>
      <w:lvlText w:val="o"/>
      <w:lvlJc w:val="left"/>
      <w:pPr>
        <w:ind w:left="3600" w:hanging="360"/>
      </w:pPr>
      <w:rPr>
        <w:rFonts w:ascii="Arial Narrow" w:hAnsi="Arial Narrow" w:cs="Arial Narrow" w:hint="default"/>
      </w:rPr>
    </w:lvl>
    <w:lvl w:ilvl="5" w:tplc="0C090005" w:tentative="1">
      <w:start w:val="1"/>
      <w:numFmt w:val="bullet"/>
      <w:lvlText w:val=""/>
      <w:lvlJc w:val="left"/>
      <w:pPr>
        <w:ind w:left="4320" w:hanging="360"/>
      </w:pPr>
      <w:rPr>
        <w:rFonts w:ascii="Courier New" w:hAnsi="Courier New" w:hint="default"/>
      </w:rPr>
    </w:lvl>
    <w:lvl w:ilvl="6" w:tplc="0C090001" w:tentative="1">
      <w:start w:val="1"/>
      <w:numFmt w:val="bullet"/>
      <w:lvlText w:val=""/>
      <w:lvlJc w:val="left"/>
      <w:pPr>
        <w:ind w:left="5040" w:hanging="360"/>
      </w:pPr>
      <w:rPr>
        <w:rFonts w:ascii="Calibri" w:hAnsi="Calibri" w:hint="default"/>
      </w:rPr>
    </w:lvl>
    <w:lvl w:ilvl="7" w:tplc="0C090003" w:tentative="1">
      <w:start w:val="1"/>
      <w:numFmt w:val="bullet"/>
      <w:lvlText w:val="o"/>
      <w:lvlJc w:val="left"/>
      <w:pPr>
        <w:ind w:left="5760" w:hanging="360"/>
      </w:pPr>
      <w:rPr>
        <w:rFonts w:ascii="Arial Narrow" w:hAnsi="Arial Narrow" w:cs="Arial Narrow" w:hint="default"/>
      </w:rPr>
    </w:lvl>
    <w:lvl w:ilvl="8" w:tplc="0C090005" w:tentative="1">
      <w:start w:val="1"/>
      <w:numFmt w:val="bullet"/>
      <w:lvlText w:val=""/>
      <w:lvlJc w:val="left"/>
      <w:pPr>
        <w:ind w:left="6480" w:hanging="360"/>
      </w:pPr>
      <w:rPr>
        <w:rFonts w:ascii="Courier New" w:hAnsi="Courier New" w:hint="default"/>
      </w:rPr>
    </w:lvl>
  </w:abstractNum>
  <w:abstractNum w:abstractNumId="33" w15:restartNumberingAfterBreak="0">
    <w:nsid w:val="62826F64"/>
    <w:multiLevelType w:val="hybridMultilevel"/>
    <w:tmpl w:val="4348B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Arial Narrow" w:hAnsi="Arial Narrow" w:cs="Arial Narrow" w:hint="default"/>
      </w:rPr>
    </w:lvl>
    <w:lvl w:ilvl="2" w:tplc="0C090005" w:tentative="1">
      <w:start w:val="1"/>
      <w:numFmt w:val="bullet"/>
      <w:lvlText w:val=""/>
      <w:lvlJc w:val="left"/>
      <w:pPr>
        <w:ind w:left="2160" w:hanging="360"/>
      </w:pPr>
      <w:rPr>
        <w:rFonts w:ascii="Courier New" w:hAnsi="Courier New" w:hint="default"/>
      </w:rPr>
    </w:lvl>
    <w:lvl w:ilvl="3" w:tplc="0C090001" w:tentative="1">
      <w:start w:val="1"/>
      <w:numFmt w:val="bullet"/>
      <w:lvlText w:val=""/>
      <w:lvlJc w:val="left"/>
      <w:pPr>
        <w:ind w:left="2880" w:hanging="360"/>
      </w:pPr>
      <w:rPr>
        <w:rFonts w:ascii="Calibri" w:hAnsi="Calibri" w:hint="default"/>
      </w:rPr>
    </w:lvl>
    <w:lvl w:ilvl="4" w:tplc="0C090003" w:tentative="1">
      <w:start w:val="1"/>
      <w:numFmt w:val="bullet"/>
      <w:lvlText w:val="o"/>
      <w:lvlJc w:val="left"/>
      <w:pPr>
        <w:ind w:left="3600" w:hanging="360"/>
      </w:pPr>
      <w:rPr>
        <w:rFonts w:ascii="Arial Narrow" w:hAnsi="Arial Narrow" w:cs="Arial Narrow" w:hint="default"/>
      </w:rPr>
    </w:lvl>
    <w:lvl w:ilvl="5" w:tplc="0C090005" w:tentative="1">
      <w:start w:val="1"/>
      <w:numFmt w:val="bullet"/>
      <w:lvlText w:val=""/>
      <w:lvlJc w:val="left"/>
      <w:pPr>
        <w:ind w:left="4320" w:hanging="360"/>
      </w:pPr>
      <w:rPr>
        <w:rFonts w:ascii="Courier New" w:hAnsi="Courier New" w:hint="default"/>
      </w:rPr>
    </w:lvl>
    <w:lvl w:ilvl="6" w:tplc="0C090001" w:tentative="1">
      <w:start w:val="1"/>
      <w:numFmt w:val="bullet"/>
      <w:lvlText w:val=""/>
      <w:lvlJc w:val="left"/>
      <w:pPr>
        <w:ind w:left="5040" w:hanging="360"/>
      </w:pPr>
      <w:rPr>
        <w:rFonts w:ascii="Calibri" w:hAnsi="Calibri" w:hint="default"/>
      </w:rPr>
    </w:lvl>
    <w:lvl w:ilvl="7" w:tplc="0C090003" w:tentative="1">
      <w:start w:val="1"/>
      <w:numFmt w:val="bullet"/>
      <w:lvlText w:val="o"/>
      <w:lvlJc w:val="left"/>
      <w:pPr>
        <w:ind w:left="5760" w:hanging="360"/>
      </w:pPr>
      <w:rPr>
        <w:rFonts w:ascii="Arial Narrow" w:hAnsi="Arial Narrow" w:cs="Arial Narrow" w:hint="default"/>
      </w:rPr>
    </w:lvl>
    <w:lvl w:ilvl="8" w:tplc="0C090005" w:tentative="1">
      <w:start w:val="1"/>
      <w:numFmt w:val="bullet"/>
      <w:lvlText w:val=""/>
      <w:lvlJc w:val="left"/>
      <w:pPr>
        <w:ind w:left="6480" w:hanging="360"/>
      </w:pPr>
      <w:rPr>
        <w:rFonts w:ascii="Courier New" w:hAnsi="Courier New" w:hint="default"/>
      </w:rPr>
    </w:lvl>
  </w:abstractNum>
  <w:abstractNum w:abstractNumId="34" w15:restartNumberingAfterBreak="0">
    <w:nsid w:val="642077E9"/>
    <w:multiLevelType w:val="hybridMultilevel"/>
    <w:tmpl w:val="953EF660"/>
    <w:lvl w:ilvl="0" w:tplc="A1B65B2C">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Arial Narrow" w:hAnsi="Arial Narrow" w:cs="Arial Narrow" w:hint="default"/>
      </w:rPr>
    </w:lvl>
    <w:lvl w:ilvl="2" w:tplc="0C090005" w:tentative="1">
      <w:start w:val="1"/>
      <w:numFmt w:val="bullet"/>
      <w:lvlText w:val=""/>
      <w:lvlJc w:val="left"/>
      <w:pPr>
        <w:ind w:left="1800" w:hanging="360"/>
      </w:pPr>
      <w:rPr>
        <w:rFonts w:ascii="Courier New" w:hAnsi="Courier New" w:hint="default"/>
      </w:rPr>
    </w:lvl>
    <w:lvl w:ilvl="3" w:tplc="0C090001" w:tentative="1">
      <w:start w:val="1"/>
      <w:numFmt w:val="bullet"/>
      <w:lvlText w:val=""/>
      <w:lvlJc w:val="left"/>
      <w:pPr>
        <w:ind w:left="2520" w:hanging="360"/>
      </w:pPr>
      <w:rPr>
        <w:rFonts w:ascii="Calibri" w:hAnsi="Calibri" w:hint="default"/>
      </w:rPr>
    </w:lvl>
    <w:lvl w:ilvl="4" w:tplc="0C090003" w:tentative="1">
      <w:start w:val="1"/>
      <w:numFmt w:val="bullet"/>
      <w:lvlText w:val="o"/>
      <w:lvlJc w:val="left"/>
      <w:pPr>
        <w:ind w:left="3240" w:hanging="360"/>
      </w:pPr>
      <w:rPr>
        <w:rFonts w:ascii="Arial Narrow" w:hAnsi="Arial Narrow" w:cs="Arial Narrow" w:hint="default"/>
      </w:rPr>
    </w:lvl>
    <w:lvl w:ilvl="5" w:tplc="0C090005" w:tentative="1">
      <w:start w:val="1"/>
      <w:numFmt w:val="bullet"/>
      <w:lvlText w:val=""/>
      <w:lvlJc w:val="left"/>
      <w:pPr>
        <w:ind w:left="3960" w:hanging="360"/>
      </w:pPr>
      <w:rPr>
        <w:rFonts w:ascii="Courier New" w:hAnsi="Courier New" w:hint="default"/>
      </w:rPr>
    </w:lvl>
    <w:lvl w:ilvl="6" w:tplc="0C090001" w:tentative="1">
      <w:start w:val="1"/>
      <w:numFmt w:val="bullet"/>
      <w:lvlText w:val=""/>
      <w:lvlJc w:val="left"/>
      <w:pPr>
        <w:ind w:left="4680" w:hanging="360"/>
      </w:pPr>
      <w:rPr>
        <w:rFonts w:ascii="Calibri" w:hAnsi="Calibri" w:hint="default"/>
      </w:rPr>
    </w:lvl>
    <w:lvl w:ilvl="7" w:tplc="0C090003" w:tentative="1">
      <w:start w:val="1"/>
      <w:numFmt w:val="bullet"/>
      <w:lvlText w:val="o"/>
      <w:lvlJc w:val="left"/>
      <w:pPr>
        <w:ind w:left="5400" w:hanging="360"/>
      </w:pPr>
      <w:rPr>
        <w:rFonts w:ascii="Arial Narrow" w:hAnsi="Arial Narrow" w:cs="Arial Narrow" w:hint="default"/>
      </w:rPr>
    </w:lvl>
    <w:lvl w:ilvl="8" w:tplc="0C090005" w:tentative="1">
      <w:start w:val="1"/>
      <w:numFmt w:val="bullet"/>
      <w:lvlText w:val=""/>
      <w:lvlJc w:val="left"/>
      <w:pPr>
        <w:ind w:left="6120" w:hanging="360"/>
      </w:pPr>
      <w:rPr>
        <w:rFonts w:ascii="Courier New" w:hAnsi="Courier New" w:hint="default"/>
      </w:rPr>
    </w:lvl>
  </w:abstractNum>
  <w:abstractNum w:abstractNumId="35" w15:restartNumberingAfterBreak="0">
    <w:nsid w:val="68DF74E0"/>
    <w:multiLevelType w:val="hybridMultilevel"/>
    <w:tmpl w:val="FC528400"/>
    <w:lvl w:ilvl="0" w:tplc="0C090001">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Arial Narrow" w:hAnsi="Arial Narrow" w:cs="Arial Narrow" w:hint="default"/>
      </w:rPr>
    </w:lvl>
    <w:lvl w:ilvl="2" w:tplc="0C090005" w:tentative="1">
      <w:start w:val="1"/>
      <w:numFmt w:val="bullet"/>
      <w:lvlText w:val=""/>
      <w:lvlJc w:val="left"/>
      <w:pPr>
        <w:ind w:left="2160" w:hanging="360"/>
      </w:pPr>
      <w:rPr>
        <w:rFonts w:ascii="Courier New" w:hAnsi="Courier New" w:hint="default"/>
      </w:rPr>
    </w:lvl>
    <w:lvl w:ilvl="3" w:tplc="0C090001" w:tentative="1">
      <w:start w:val="1"/>
      <w:numFmt w:val="bullet"/>
      <w:lvlText w:val=""/>
      <w:lvlJc w:val="left"/>
      <w:pPr>
        <w:ind w:left="2880" w:hanging="360"/>
      </w:pPr>
      <w:rPr>
        <w:rFonts w:ascii="Calibri" w:hAnsi="Calibri" w:hint="default"/>
      </w:rPr>
    </w:lvl>
    <w:lvl w:ilvl="4" w:tplc="0C090003" w:tentative="1">
      <w:start w:val="1"/>
      <w:numFmt w:val="bullet"/>
      <w:lvlText w:val="o"/>
      <w:lvlJc w:val="left"/>
      <w:pPr>
        <w:ind w:left="3600" w:hanging="360"/>
      </w:pPr>
      <w:rPr>
        <w:rFonts w:ascii="Arial Narrow" w:hAnsi="Arial Narrow" w:cs="Arial Narrow" w:hint="default"/>
      </w:rPr>
    </w:lvl>
    <w:lvl w:ilvl="5" w:tplc="0C090005" w:tentative="1">
      <w:start w:val="1"/>
      <w:numFmt w:val="bullet"/>
      <w:lvlText w:val=""/>
      <w:lvlJc w:val="left"/>
      <w:pPr>
        <w:ind w:left="4320" w:hanging="360"/>
      </w:pPr>
      <w:rPr>
        <w:rFonts w:ascii="Courier New" w:hAnsi="Courier New" w:hint="default"/>
      </w:rPr>
    </w:lvl>
    <w:lvl w:ilvl="6" w:tplc="0C090001" w:tentative="1">
      <w:start w:val="1"/>
      <w:numFmt w:val="bullet"/>
      <w:lvlText w:val=""/>
      <w:lvlJc w:val="left"/>
      <w:pPr>
        <w:ind w:left="5040" w:hanging="360"/>
      </w:pPr>
      <w:rPr>
        <w:rFonts w:ascii="Calibri" w:hAnsi="Calibri" w:hint="default"/>
      </w:rPr>
    </w:lvl>
    <w:lvl w:ilvl="7" w:tplc="0C090003" w:tentative="1">
      <w:start w:val="1"/>
      <w:numFmt w:val="bullet"/>
      <w:lvlText w:val="o"/>
      <w:lvlJc w:val="left"/>
      <w:pPr>
        <w:ind w:left="5760" w:hanging="360"/>
      </w:pPr>
      <w:rPr>
        <w:rFonts w:ascii="Arial Narrow" w:hAnsi="Arial Narrow" w:cs="Arial Narrow" w:hint="default"/>
      </w:rPr>
    </w:lvl>
    <w:lvl w:ilvl="8" w:tplc="0C090005" w:tentative="1">
      <w:start w:val="1"/>
      <w:numFmt w:val="bullet"/>
      <w:lvlText w:val=""/>
      <w:lvlJc w:val="left"/>
      <w:pPr>
        <w:ind w:left="6480" w:hanging="360"/>
      </w:pPr>
      <w:rPr>
        <w:rFonts w:ascii="Courier New" w:hAnsi="Courier New" w:hint="default"/>
      </w:rPr>
    </w:lvl>
  </w:abstractNum>
  <w:abstractNum w:abstractNumId="36" w15:restartNumberingAfterBreak="0">
    <w:nsid w:val="6A3D7CFE"/>
    <w:multiLevelType w:val="hybridMultilevel"/>
    <w:tmpl w:val="3A4CF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Arial Narrow" w:hAnsi="Arial Narrow" w:cs="Arial Narrow" w:hint="default"/>
      </w:rPr>
    </w:lvl>
    <w:lvl w:ilvl="2" w:tplc="0C090005" w:tentative="1">
      <w:start w:val="1"/>
      <w:numFmt w:val="bullet"/>
      <w:lvlText w:val=""/>
      <w:lvlJc w:val="left"/>
      <w:pPr>
        <w:ind w:left="2160" w:hanging="360"/>
      </w:pPr>
      <w:rPr>
        <w:rFonts w:ascii="Courier New" w:hAnsi="Courier New" w:hint="default"/>
      </w:rPr>
    </w:lvl>
    <w:lvl w:ilvl="3" w:tplc="0C090001" w:tentative="1">
      <w:start w:val="1"/>
      <w:numFmt w:val="bullet"/>
      <w:lvlText w:val=""/>
      <w:lvlJc w:val="left"/>
      <w:pPr>
        <w:ind w:left="2880" w:hanging="360"/>
      </w:pPr>
      <w:rPr>
        <w:rFonts w:ascii="Calibri" w:hAnsi="Calibri" w:hint="default"/>
      </w:rPr>
    </w:lvl>
    <w:lvl w:ilvl="4" w:tplc="0C090003" w:tentative="1">
      <w:start w:val="1"/>
      <w:numFmt w:val="bullet"/>
      <w:lvlText w:val="o"/>
      <w:lvlJc w:val="left"/>
      <w:pPr>
        <w:ind w:left="3600" w:hanging="360"/>
      </w:pPr>
      <w:rPr>
        <w:rFonts w:ascii="Arial Narrow" w:hAnsi="Arial Narrow" w:cs="Arial Narrow" w:hint="default"/>
      </w:rPr>
    </w:lvl>
    <w:lvl w:ilvl="5" w:tplc="0C090005" w:tentative="1">
      <w:start w:val="1"/>
      <w:numFmt w:val="bullet"/>
      <w:lvlText w:val=""/>
      <w:lvlJc w:val="left"/>
      <w:pPr>
        <w:ind w:left="4320" w:hanging="360"/>
      </w:pPr>
      <w:rPr>
        <w:rFonts w:ascii="Courier New" w:hAnsi="Courier New" w:hint="default"/>
      </w:rPr>
    </w:lvl>
    <w:lvl w:ilvl="6" w:tplc="0C090001" w:tentative="1">
      <w:start w:val="1"/>
      <w:numFmt w:val="bullet"/>
      <w:lvlText w:val=""/>
      <w:lvlJc w:val="left"/>
      <w:pPr>
        <w:ind w:left="5040" w:hanging="360"/>
      </w:pPr>
      <w:rPr>
        <w:rFonts w:ascii="Calibri" w:hAnsi="Calibri" w:hint="default"/>
      </w:rPr>
    </w:lvl>
    <w:lvl w:ilvl="7" w:tplc="0C090003" w:tentative="1">
      <w:start w:val="1"/>
      <w:numFmt w:val="bullet"/>
      <w:lvlText w:val="o"/>
      <w:lvlJc w:val="left"/>
      <w:pPr>
        <w:ind w:left="5760" w:hanging="360"/>
      </w:pPr>
      <w:rPr>
        <w:rFonts w:ascii="Arial Narrow" w:hAnsi="Arial Narrow" w:cs="Arial Narrow" w:hint="default"/>
      </w:rPr>
    </w:lvl>
    <w:lvl w:ilvl="8" w:tplc="0C090005" w:tentative="1">
      <w:start w:val="1"/>
      <w:numFmt w:val="bullet"/>
      <w:lvlText w:val=""/>
      <w:lvlJc w:val="left"/>
      <w:pPr>
        <w:ind w:left="6480" w:hanging="360"/>
      </w:pPr>
      <w:rPr>
        <w:rFonts w:ascii="Courier New" w:hAnsi="Courier New" w:hint="default"/>
      </w:rPr>
    </w:lvl>
  </w:abstractNum>
  <w:abstractNum w:abstractNumId="37" w15:restartNumberingAfterBreak="0">
    <w:nsid w:val="6ADA75AE"/>
    <w:multiLevelType w:val="hybridMultilevel"/>
    <w:tmpl w:val="EB060380"/>
    <w:lvl w:ilvl="0" w:tplc="EE329A46">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6C346342"/>
    <w:multiLevelType w:val="hybridMultilevel"/>
    <w:tmpl w:val="3A1EEC8A"/>
    <w:lvl w:ilvl="0" w:tplc="0C090001">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Arial Narrow" w:hAnsi="Arial Narrow" w:cs="Arial Narrow" w:hint="default"/>
      </w:rPr>
    </w:lvl>
    <w:lvl w:ilvl="2" w:tplc="0C090005" w:tentative="1">
      <w:start w:val="1"/>
      <w:numFmt w:val="bullet"/>
      <w:lvlText w:val=""/>
      <w:lvlJc w:val="left"/>
      <w:pPr>
        <w:ind w:left="2160" w:hanging="360"/>
      </w:pPr>
      <w:rPr>
        <w:rFonts w:ascii="Courier New" w:hAnsi="Courier New" w:hint="default"/>
      </w:rPr>
    </w:lvl>
    <w:lvl w:ilvl="3" w:tplc="0C090001" w:tentative="1">
      <w:start w:val="1"/>
      <w:numFmt w:val="bullet"/>
      <w:lvlText w:val=""/>
      <w:lvlJc w:val="left"/>
      <w:pPr>
        <w:ind w:left="2880" w:hanging="360"/>
      </w:pPr>
      <w:rPr>
        <w:rFonts w:ascii="Calibri" w:hAnsi="Calibri" w:hint="default"/>
      </w:rPr>
    </w:lvl>
    <w:lvl w:ilvl="4" w:tplc="0C090003" w:tentative="1">
      <w:start w:val="1"/>
      <w:numFmt w:val="bullet"/>
      <w:lvlText w:val="o"/>
      <w:lvlJc w:val="left"/>
      <w:pPr>
        <w:ind w:left="3600" w:hanging="360"/>
      </w:pPr>
      <w:rPr>
        <w:rFonts w:ascii="Arial Narrow" w:hAnsi="Arial Narrow" w:cs="Arial Narrow" w:hint="default"/>
      </w:rPr>
    </w:lvl>
    <w:lvl w:ilvl="5" w:tplc="0C090005" w:tentative="1">
      <w:start w:val="1"/>
      <w:numFmt w:val="bullet"/>
      <w:lvlText w:val=""/>
      <w:lvlJc w:val="left"/>
      <w:pPr>
        <w:ind w:left="4320" w:hanging="360"/>
      </w:pPr>
      <w:rPr>
        <w:rFonts w:ascii="Courier New" w:hAnsi="Courier New" w:hint="default"/>
      </w:rPr>
    </w:lvl>
    <w:lvl w:ilvl="6" w:tplc="0C090001" w:tentative="1">
      <w:start w:val="1"/>
      <w:numFmt w:val="bullet"/>
      <w:lvlText w:val=""/>
      <w:lvlJc w:val="left"/>
      <w:pPr>
        <w:ind w:left="5040" w:hanging="360"/>
      </w:pPr>
      <w:rPr>
        <w:rFonts w:ascii="Calibri" w:hAnsi="Calibri" w:hint="default"/>
      </w:rPr>
    </w:lvl>
    <w:lvl w:ilvl="7" w:tplc="0C090003" w:tentative="1">
      <w:start w:val="1"/>
      <w:numFmt w:val="bullet"/>
      <w:lvlText w:val="o"/>
      <w:lvlJc w:val="left"/>
      <w:pPr>
        <w:ind w:left="5760" w:hanging="360"/>
      </w:pPr>
      <w:rPr>
        <w:rFonts w:ascii="Arial Narrow" w:hAnsi="Arial Narrow" w:cs="Arial Narrow" w:hint="default"/>
      </w:rPr>
    </w:lvl>
    <w:lvl w:ilvl="8" w:tplc="0C090005" w:tentative="1">
      <w:start w:val="1"/>
      <w:numFmt w:val="bullet"/>
      <w:lvlText w:val=""/>
      <w:lvlJc w:val="left"/>
      <w:pPr>
        <w:ind w:left="6480" w:hanging="360"/>
      </w:pPr>
      <w:rPr>
        <w:rFonts w:ascii="Courier New" w:hAnsi="Courier New" w:hint="default"/>
      </w:rPr>
    </w:lvl>
  </w:abstractNum>
  <w:abstractNum w:abstractNumId="39" w15:restartNumberingAfterBreak="0">
    <w:nsid w:val="706527A9"/>
    <w:multiLevelType w:val="hybridMultilevel"/>
    <w:tmpl w:val="91804E6C"/>
    <w:lvl w:ilvl="0" w:tplc="3BAEDD6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Calibri" w:hAnsi="Calibri" w:cs="Calibri" w:hint="default"/>
      </w:rPr>
    </w:lvl>
    <w:lvl w:ilvl="4" w:tplc="0C090003" w:tentative="1">
      <w:start w:val="1"/>
      <w:numFmt w:val="bullet"/>
      <w:lvlText w:val="o"/>
      <w:lvlJc w:val="left"/>
      <w:pPr>
        <w:ind w:left="3600" w:hanging="360"/>
      </w:pPr>
      <w:rPr>
        <w:rFonts w:ascii="Arial Narrow" w:hAnsi="Arial Narrow" w:cs="Arial Narrow" w:hint="default"/>
      </w:rPr>
    </w:lvl>
    <w:lvl w:ilvl="5" w:tplc="0C090005" w:tentative="1">
      <w:start w:val="1"/>
      <w:numFmt w:val="bullet"/>
      <w:lvlText w:val=""/>
      <w:lvlJc w:val="left"/>
      <w:pPr>
        <w:ind w:left="4320" w:hanging="360"/>
      </w:pPr>
      <w:rPr>
        <w:rFonts w:ascii="Courier New" w:hAnsi="Courier New" w:cs="Courier New" w:hint="default"/>
      </w:rPr>
    </w:lvl>
    <w:lvl w:ilvl="6" w:tplc="0C090001" w:tentative="1">
      <w:start w:val="1"/>
      <w:numFmt w:val="bullet"/>
      <w:lvlText w:val=""/>
      <w:lvlJc w:val="left"/>
      <w:pPr>
        <w:ind w:left="5040" w:hanging="360"/>
      </w:pPr>
      <w:rPr>
        <w:rFonts w:ascii="Calibri" w:hAnsi="Calibri" w:cs="Calibri" w:hint="default"/>
      </w:rPr>
    </w:lvl>
    <w:lvl w:ilvl="7" w:tplc="0C090003" w:tentative="1">
      <w:start w:val="1"/>
      <w:numFmt w:val="bullet"/>
      <w:lvlText w:val="o"/>
      <w:lvlJc w:val="left"/>
      <w:pPr>
        <w:ind w:left="5760" w:hanging="360"/>
      </w:pPr>
      <w:rPr>
        <w:rFonts w:ascii="Arial Narrow" w:hAnsi="Arial Narrow" w:cs="Arial Narrow" w:hint="default"/>
      </w:rPr>
    </w:lvl>
    <w:lvl w:ilvl="8" w:tplc="0C090005" w:tentative="1">
      <w:start w:val="1"/>
      <w:numFmt w:val="bullet"/>
      <w:lvlText w:val=""/>
      <w:lvlJc w:val="left"/>
      <w:pPr>
        <w:ind w:left="6480" w:hanging="360"/>
      </w:pPr>
      <w:rPr>
        <w:rFonts w:ascii="Courier New" w:hAnsi="Courier New" w:cs="Courier New" w:hint="default"/>
      </w:rPr>
    </w:lvl>
  </w:abstractNum>
  <w:abstractNum w:abstractNumId="40" w15:restartNumberingAfterBreak="0">
    <w:nsid w:val="751038E4"/>
    <w:multiLevelType w:val="hybridMultilevel"/>
    <w:tmpl w:val="84368B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Arial Narrow" w:hAnsi="Arial Narrow" w:cs="Arial Narrow" w:hint="default"/>
      </w:rPr>
    </w:lvl>
    <w:lvl w:ilvl="2" w:tplc="0C090005" w:tentative="1">
      <w:start w:val="1"/>
      <w:numFmt w:val="bullet"/>
      <w:lvlText w:val=""/>
      <w:lvlJc w:val="left"/>
      <w:pPr>
        <w:ind w:left="1800" w:hanging="360"/>
      </w:pPr>
      <w:rPr>
        <w:rFonts w:ascii="Courier New" w:hAnsi="Courier New" w:hint="default"/>
      </w:rPr>
    </w:lvl>
    <w:lvl w:ilvl="3" w:tplc="0C090001" w:tentative="1">
      <w:start w:val="1"/>
      <w:numFmt w:val="bullet"/>
      <w:lvlText w:val=""/>
      <w:lvlJc w:val="left"/>
      <w:pPr>
        <w:ind w:left="2520" w:hanging="360"/>
      </w:pPr>
      <w:rPr>
        <w:rFonts w:ascii="Calibri" w:hAnsi="Calibri" w:hint="default"/>
      </w:rPr>
    </w:lvl>
    <w:lvl w:ilvl="4" w:tplc="0C090003" w:tentative="1">
      <w:start w:val="1"/>
      <w:numFmt w:val="bullet"/>
      <w:lvlText w:val="o"/>
      <w:lvlJc w:val="left"/>
      <w:pPr>
        <w:ind w:left="3240" w:hanging="360"/>
      </w:pPr>
      <w:rPr>
        <w:rFonts w:ascii="Arial Narrow" w:hAnsi="Arial Narrow" w:cs="Arial Narrow" w:hint="default"/>
      </w:rPr>
    </w:lvl>
    <w:lvl w:ilvl="5" w:tplc="0C090005" w:tentative="1">
      <w:start w:val="1"/>
      <w:numFmt w:val="bullet"/>
      <w:lvlText w:val=""/>
      <w:lvlJc w:val="left"/>
      <w:pPr>
        <w:ind w:left="3960" w:hanging="360"/>
      </w:pPr>
      <w:rPr>
        <w:rFonts w:ascii="Courier New" w:hAnsi="Courier New" w:hint="default"/>
      </w:rPr>
    </w:lvl>
    <w:lvl w:ilvl="6" w:tplc="0C090001" w:tentative="1">
      <w:start w:val="1"/>
      <w:numFmt w:val="bullet"/>
      <w:lvlText w:val=""/>
      <w:lvlJc w:val="left"/>
      <w:pPr>
        <w:ind w:left="4680" w:hanging="360"/>
      </w:pPr>
      <w:rPr>
        <w:rFonts w:ascii="Calibri" w:hAnsi="Calibri" w:hint="default"/>
      </w:rPr>
    </w:lvl>
    <w:lvl w:ilvl="7" w:tplc="0C090003" w:tentative="1">
      <w:start w:val="1"/>
      <w:numFmt w:val="bullet"/>
      <w:lvlText w:val="o"/>
      <w:lvlJc w:val="left"/>
      <w:pPr>
        <w:ind w:left="5400" w:hanging="360"/>
      </w:pPr>
      <w:rPr>
        <w:rFonts w:ascii="Arial Narrow" w:hAnsi="Arial Narrow" w:cs="Arial Narrow" w:hint="default"/>
      </w:rPr>
    </w:lvl>
    <w:lvl w:ilvl="8" w:tplc="0C090005" w:tentative="1">
      <w:start w:val="1"/>
      <w:numFmt w:val="bullet"/>
      <w:lvlText w:val=""/>
      <w:lvlJc w:val="left"/>
      <w:pPr>
        <w:ind w:left="6120" w:hanging="360"/>
      </w:pPr>
      <w:rPr>
        <w:rFonts w:ascii="Courier New" w:hAnsi="Courier New" w:hint="default"/>
      </w:rPr>
    </w:lvl>
  </w:abstractNum>
  <w:abstractNum w:abstractNumId="41"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8B15E6A"/>
    <w:multiLevelType w:val="hybridMultilevel"/>
    <w:tmpl w:val="8EDAB148"/>
    <w:lvl w:ilvl="0" w:tplc="8472986E">
      <w:start w:val="1"/>
      <w:numFmt w:val="bullet"/>
      <w:lvlText w:val=""/>
      <w:lvlJc w:val="left"/>
      <w:pPr>
        <w:tabs>
          <w:tab w:val="num" w:pos="720"/>
        </w:tabs>
        <w:ind w:left="720" w:hanging="360"/>
      </w:pPr>
      <w:rPr>
        <w:rFonts w:ascii="Wingdings" w:hAnsi="Wingdings" w:hint="default"/>
      </w:rPr>
    </w:lvl>
    <w:lvl w:ilvl="1" w:tplc="57E66C46">
      <w:numFmt w:val="bullet"/>
      <w:lvlText w:val=""/>
      <w:lvlJc w:val="left"/>
      <w:pPr>
        <w:tabs>
          <w:tab w:val="num" w:pos="1440"/>
        </w:tabs>
        <w:ind w:left="1440" w:hanging="360"/>
      </w:pPr>
      <w:rPr>
        <w:rFonts w:ascii="Wingdings" w:hAnsi="Wingdings" w:hint="default"/>
      </w:rPr>
    </w:lvl>
    <w:lvl w:ilvl="2" w:tplc="3F9476C6" w:tentative="1">
      <w:start w:val="1"/>
      <w:numFmt w:val="bullet"/>
      <w:lvlText w:val=""/>
      <w:lvlJc w:val="left"/>
      <w:pPr>
        <w:tabs>
          <w:tab w:val="num" w:pos="2160"/>
        </w:tabs>
        <w:ind w:left="2160" w:hanging="360"/>
      </w:pPr>
      <w:rPr>
        <w:rFonts w:ascii="Wingdings" w:hAnsi="Wingdings" w:hint="default"/>
      </w:rPr>
    </w:lvl>
    <w:lvl w:ilvl="3" w:tplc="F892C1DE" w:tentative="1">
      <w:start w:val="1"/>
      <w:numFmt w:val="bullet"/>
      <w:lvlText w:val=""/>
      <w:lvlJc w:val="left"/>
      <w:pPr>
        <w:tabs>
          <w:tab w:val="num" w:pos="2880"/>
        </w:tabs>
        <w:ind w:left="2880" w:hanging="360"/>
      </w:pPr>
      <w:rPr>
        <w:rFonts w:ascii="Wingdings" w:hAnsi="Wingdings" w:hint="default"/>
      </w:rPr>
    </w:lvl>
    <w:lvl w:ilvl="4" w:tplc="D3E47880" w:tentative="1">
      <w:start w:val="1"/>
      <w:numFmt w:val="bullet"/>
      <w:lvlText w:val=""/>
      <w:lvlJc w:val="left"/>
      <w:pPr>
        <w:tabs>
          <w:tab w:val="num" w:pos="3600"/>
        </w:tabs>
        <w:ind w:left="3600" w:hanging="360"/>
      </w:pPr>
      <w:rPr>
        <w:rFonts w:ascii="Wingdings" w:hAnsi="Wingdings" w:hint="default"/>
      </w:rPr>
    </w:lvl>
    <w:lvl w:ilvl="5" w:tplc="6596AF0C" w:tentative="1">
      <w:start w:val="1"/>
      <w:numFmt w:val="bullet"/>
      <w:lvlText w:val=""/>
      <w:lvlJc w:val="left"/>
      <w:pPr>
        <w:tabs>
          <w:tab w:val="num" w:pos="4320"/>
        </w:tabs>
        <w:ind w:left="4320" w:hanging="360"/>
      </w:pPr>
      <w:rPr>
        <w:rFonts w:ascii="Wingdings" w:hAnsi="Wingdings" w:hint="default"/>
      </w:rPr>
    </w:lvl>
    <w:lvl w:ilvl="6" w:tplc="CACED860" w:tentative="1">
      <w:start w:val="1"/>
      <w:numFmt w:val="bullet"/>
      <w:lvlText w:val=""/>
      <w:lvlJc w:val="left"/>
      <w:pPr>
        <w:tabs>
          <w:tab w:val="num" w:pos="5040"/>
        </w:tabs>
        <w:ind w:left="5040" w:hanging="360"/>
      </w:pPr>
      <w:rPr>
        <w:rFonts w:ascii="Wingdings" w:hAnsi="Wingdings" w:hint="default"/>
      </w:rPr>
    </w:lvl>
    <w:lvl w:ilvl="7" w:tplc="9CF856FE" w:tentative="1">
      <w:start w:val="1"/>
      <w:numFmt w:val="bullet"/>
      <w:lvlText w:val=""/>
      <w:lvlJc w:val="left"/>
      <w:pPr>
        <w:tabs>
          <w:tab w:val="num" w:pos="5760"/>
        </w:tabs>
        <w:ind w:left="5760" w:hanging="360"/>
      </w:pPr>
      <w:rPr>
        <w:rFonts w:ascii="Wingdings" w:hAnsi="Wingdings" w:hint="default"/>
      </w:rPr>
    </w:lvl>
    <w:lvl w:ilvl="8" w:tplc="D67C160A"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2C6774"/>
    <w:multiLevelType w:val="hybridMultilevel"/>
    <w:tmpl w:val="4A68DD6E"/>
    <w:lvl w:ilvl="0" w:tplc="9370B01A">
      <w:start w:val="1"/>
      <w:numFmt w:val="bullet"/>
      <w:lvlText w:val="-"/>
      <w:lvlJc w:val="left"/>
      <w:pPr>
        <w:ind w:left="470" w:hanging="360"/>
      </w:pPr>
      <w:rPr>
        <w:rFonts w:ascii="SimSun" w:eastAsia="SimSun" w:hAnsi="SimSun" w:cs="Wingdings" w:hint="eastAsi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abstractNumId w:val="17"/>
  </w:num>
  <w:num w:numId="2">
    <w:abstractNumId w:val="14"/>
  </w:num>
  <w:num w:numId="3">
    <w:abstractNumId w:val="22"/>
  </w:num>
  <w:num w:numId="4">
    <w:abstractNumId w:val="44"/>
  </w:num>
  <w:num w:numId="5">
    <w:abstractNumId w:val="2"/>
  </w:num>
  <w:num w:numId="6">
    <w:abstractNumId w:val="13"/>
  </w:num>
  <w:num w:numId="7">
    <w:abstractNumId w:val="41"/>
  </w:num>
  <w:num w:numId="8">
    <w:abstractNumId w:val="15"/>
  </w:num>
  <w:num w:numId="9">
    <w:abstractNumId w:val="16"/>
  </w:num>
  <w:num w:numId="10">
    <w:abstractNumId w:val="19"/>
  </w:num>
  <w:num w:numId="11">
    <w:abstractNumId w:val="31"/>
  </w:num>
  <w:num w:numId="12">
    <w:abstractNumId w:val="23"/>
  </w:num>
  <w:num w:numId="13">
    <w:abstractNumId w:val="0"/>
  </w:num>
  <w:num w:numId="14">
    <w:abstractNumId w:val="20"/>
  </w:num>
  <w:num w:numId="15">
    <w:abstractNumId w:val="26"/>
  </w:num>
  <w:num w:numId="16">
    <w:abstractNumId w:val="33"/>
  </w:num>
  <w:num w:numId="17">
    <w:abstractNumId w:val="35"/>
  </w:num>
  <w:num w:numId="18">
    <w:abstractNumId w:val="6"/>
  </w:num>
  <w:num w:numId="19">
    <w:abstractNumId w:val="9"/>
  </w:num>
  <w:num w:numId="20">
    <w:abstractNumId w:val="24"/>
  </w:num>
  <w:num w:numId="21">
    <w:abstractNumId w:val="30"/>
  </w:num>
  <w:num w:numId="22">
    <w:abstractNumId w:val="40"/>
  </w:num>
  <w:num w:numId="23">
    <w:abstractNumId w:val="21"/>
  </w:num>
  <w:num w:numId="24">
    <w:abstractNumId w:val="10"/>
  </w:num>
  <w:num w:numId="25">
    <w:abstractNumId w:val="3"/>
  </w:num>
  <w:num w:numId="26">
    <w:abstractNumId w:val="34"/>
  </w:num>
  <w:num w:numId="27">
    <w:abstractNumId w:val="38"/>
  </w:num>
  <w:num w:numId="28">
    <w:abstractNumId w:val="36"/>
  </w:num>
  <w:num w:numId="29">
    <w:abstractNumId w:val="18"/>
  </w:num>
  <w:num w:numId="30">
    <w:abstractNumId w:val="11"/>
  </w:num>
  <w:num w:numId="31">
    <w:abstractNumId w:val="28"/>
  </w:num>
  <w:num w:numId="32">
    <w:abstractNumId w:val="8"/>
  </w:num>
  <w:num w:numId="33">
    <w:abstractNumId w:val="12"/>
  </w:num>
  <w:num w:numId="34">
    <w:abstractNumId w:val="7"/>
  </w:num>
  <w:num w:numId="35">
    <w:abstractNumId w:val="32"/>
  </w:num>
  <w:num w:numId="36">
    <w:abstractNumId w:val="5"/>
  </w:num>
  <w:num w:numId="37">
    <w:abstractNumId w:val="4"/>
  </w:num>
  <w:num w:numId="38">
    <w:abstractNumId w:val="1"/>
  </w:num>
  <w:num w:numId="39">
    <w:abstractNumId w:val="37"/>
  </w:num>
  <w:num w:numId="40">
    <w:abstractNumId w:val="27"/>
  </w:num>
  <w:num w:numId="41">
    <w:abstractNumId w:val="39"/>
  </w:num>
  <w:num w:numId="42">
    <w:abstractNumId w:val="25"/>
  </w:num>
  <w:num w:numId="43">
    <w:abstractNumId w:val="29"/>
  </w:num>
  <w:num w:numId="44">
    <w:abstractNumId w:val="43"/>
  </w:num>
  <w:num w:numId="45">
    <w:abstractNumId w:val="4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F1"/>
    <w:rsid w:val="0000109A"/>
    <w:rsid w:val="00001135"/>
    <w:rsid w:val="00001AE6"/>
    <w:rsid w:val="00001D55"/>
    <w:rsid w:val="000026D7"/>
    <w:rsid w:val="00002A04"/>
    <w:rsid w:val="00002C56"/>
    <w:rsid w:val="00003E87"/>
    <w:rsid w:val="0000435A"/>
    <w:rsid w:val="000048FD"/>
    <w:rsid w:val="00004D69"/>
    <w:rsid w:val="00004DBD"/>
    <w:rsid w:val="00004F7F"/>
    <w:rsid w:val="00004F89"/>
    <w:rsid w:val="000054C9"/>
    <w:rsid w:val="000058AA"/>
    <w:rsid w:val="00005A1A"/>
    <w:rsid w:val="00006302"/>
    <w:rsid w:val="000066D7"/>
    <w:rsid w:val="00006903"/>
    <w:rsid w:val="00006A71"/>
    <w:rsid w:val="00007EB7"/>
    <w:rsid w:val="000100AB"/>
    <w:rsid w:val="0001076B"/>
    <w:rsid w:val="00010B32"/>
    <w:rsid w:val="00010CDE"/>
    <w:rsid w:val="00011568"/>
    <w:rsid w:val="0001159C"/>
    <w:rsid w:val="00011DD5"/>
    <w:rsid w:val="0001268D"/>
    <w:rsid w:val="00012B82"/>
    <w:rsid w:val="00012C88"/>
    <w:rsid w:val="00013CEE"/>
    <w:rsid w:val="00013D44"/>
    <w:rsid w:val="00013E76"/>
    <w:rsid w:val="00013EC5"/>
    <w:rsid w:val="00014290"/>
    <w:rsid w:val="0001451C"/>
    <w:rsid w:val="000147BB"/>
    <w:rsid w:val="00014974"/>
    <w:rsid w:val="00014A39"/>
    <w:rsid w:val="00014C29"/>
    <w:rsid w:val="00015109"/>
    <w:rsid w:val="0001539B"/>
    <w:rsid w:val="00015AF4"/>
    <w:rsid w:val="00015DBA"/>
    <w:rsid w:val="000168E4"/>
    <w:rsid w:val="00017C71"/>
    <w:rsid w:val="00020368"/>
    <w:rsid w:val="0002048D"/>
    <w:rsid w:val="00020AA1"/>
    <w:rsid w:val="000227B0"/>
    <w:rsid w:val="000228B8"/>
    <w:rsid w:val="00022EA5"/>
    <w:rsid w:val="0002309D"/>
    <w:rsid w:val="000232F5"/>
    <w:rsid w:val="00023712"/>
    <w:rsid w:val="0002381B"/>
    <w:rsid w:val="00024753"/>
    <w:rsid w:val="00024E58"/>
    <w:rsid w:val="00024EA5"/>
    <w:rsid w:val="0002518F"/>
    <w:rsid w:val="00025663"/>
    <w:rsid w:val="000259E7"/>
    <w:rsid w:val="0002610D"/>
    <w:rsid w:val="0002755F"/>
    <w:rsid w:val="00027B48"/>
    <w:rsid w:val="00027FE9"/>
    <w:rsid w:val="00030AD8"/>
    <w:rsid w:val="00030B86"/>
    <w:rsid w:val="000310F7"/>
    <w:rsid w:val="00031A07"/>
    <w:rsid w:val="00031EA7"/>
    <w:rsid w:val="000326AE"/>
    <w:rsid w:val="00032F45"/>
    <w:rsid w:val="00032FD7"/>
    <w:rsid w:val="00033972"/>
    <w:rsid w:val="00033C73"/>
    <w:rsid w:val="00033D8C"/>
    <w:rsid w:val="0003423A"/>
    <w:rsid w:val="0003477F"/>
    <w:rsid w:val="000357EB"/>
    <w:rsid w:val="00035A30"/>
    <w:rsid w:val="00035AB9"/>
    <w:rsid w:val="00035AFC"/>
    <w:rsid w:val="00035CA1"/>
    <w:rsid w:val="00036358"/>
    <w:rsid w:val="0003643B"/>
    <w:rsid w:val="000367F0"/>
    <w:rsid w:val="00036AD8"/>
    <w:rsid w:val="00036FDB"/>
    <w:rsid w:val="00037037"/>
    <w:rsid w:val="00037302"/>
    <w:rsid w:val="0003786B"/>
    <w:rsid w:val="00037ACE"/>
    <w:rsid w:val="00037FFB"/>
    <w:rsid w:val="0004005D"/>
    <w:rsid w:val="000409CA"/>
    <w:rsid w:val="00040ADF"/>
    <w:rsid w:val="00040BD9"/>
    <w:rsid w:val="00040E54"/>
    <w:rsid w:val="00040FB4"/>
    <w:rsid w:val="000414B6"/>
    <w:rsid w:val="0004178C"/>
    <w:rsid w:val="00041F5D"/>
    <w:rsid w:val="0004262B"/>
    <w:rsid w:val="0004427F"/>
    <w:rsid w:val="000443A6"/>
    <w:rsid w:val="000445FE"/>
    <w:rsid w:val="0004469F"/>
    <w:rsid w:val="000449D1"/>
    <w:rsid w:val="00044C5A"/>
    <w:rsid w:val="00044CE3"/>
    <w:rsid w:val="00045B8D"/>
    <w:rsid w:val="00045CC5"/>
    <w:rsid w:val="0004629F"/>
    <w:rsid w:val="0004664B"/>
    <w:rsid w:val="00046B6A"/>
    <w:rsid w:val="000472D4"/>
    <w:rsid w:val="00047C87"/>
    <w:rsid w:val="00047E4C"/>
    <w:rsid w:val="0005039F"/>
    <w:rsid w:val="000508D7"/>
    <w:rsid w:val="0005108C"/>
    <w:rsid w:val="00051642"/>
    <w:rsid w:val="000516FC"/>
    <w:rsid w:val="0005175D"/>
    <w:rsid w:val="000524F5"/>
    <w:rsid w:val="0005290D"/>
    <w:rsid w:val="00052992"/>
    <w:rsid w:val="00052A1A"/>
    <w:rsid w:val="00052B42"/>
    <w:rsid w:val="00052DD3"/>
    <w:rsid w:val="00052EBE"/>
    <w:rsid w:val="0005326D"/>
    <w:rsid w:val="00053F6C"/>
    <w:rsid w:val="000542DD"/>
    <w:rsid w:val="00054CB8"/>
    <w:rsid w:val="000556D7"/>
    <w:rsid w:val="000563C6"/>
    <w:rsid w:val="0005642A"/>
    <w:rsid w:val="0005756B"/>
    <w:rsid w:val="000602A9"/>
    <w:rsid w:val="00061BCC"/>
    <w:rsid w:val="00061CF7"/>
    <w:rsid w:val="00061DF2"/>
    <w:rsid w:val="0006229B"/>
    <w:rsid w:val="0006339C"/>
    <w:rsid w:val="0006407D"/>
    <w:rsid w:val="00064783"/>
    <w:rsid w:val="000647C2"/>
    <w:rsid w:val="00064A61"/>
    <w:rsid w:val="00065588"/>
    <w:rsid w:val="00066E07"/>
    <w:rsid w:val="00067B41"/>
    <w:rsid w:val="00067FC1"/>
    <w:rsid w:val="00067FFE"/>
    <w:rsid w:val="0007021F"/>
    <w:rsid w:val="00070293"/>
    <w:rsid w:val="000709A0"/>
    <w:rsid w:val="0007128E"/>
    <w:rsid w:val="00071DBC"/>
    <w:rsid w:val="00072219"/>
    <w:rsid w:val="00072754"/>
    <w:rsid w:val="00072B05"/>
    <w:rsid w:val="000735E7"/>
    <w:rsid w:val="00073E18"/>
    <w:rsid w:val="00074199"/>
    <w:rsid w:val="0007429D"/>
    <w:rsid w:val="00076574"/>
    <w:rsid w:val="00076CF6"/>
    <w:rsid w:val="000774A3"/>
    <w:rsid w:val="0007781F"/>
    <w:rsid w:val="00080241"/>
    <w:rsid w:val="00081778"/>
    <w:rsid w:val="00081B66"/>
    <w:rsid w:val="000831F9"/>
    <w:rsid w:val="00084A61"/>
    <w:rsid w:val="000853E7"/>
    <w:rsid w:val="00085543"/>
    <w:rsid w:val="00085EAD"/>
    <w:rsid w:val="00086D73"/>
    <w:rsid w:val="000870B6"/>
    <w:rsid w:val="00087A95"/>
    <w:rsid w:val="00087AE0"/>
    <w:rsid w:val="00087BEB"/>
    <w:rsid w:val="00090613"/>
    <w:rsid w:val="00090BD1"/>
    <w:rsid w:val="00090F13"/>
    <w:rsid w:val="00091017"/>
    <w:rsid w:val="00091857"/>
    <w:rsid w:val="00091C59"/>
    <w:rsid w:val="00092A21"/>
    <w:rsid w:val="00092D93"/>
    <w:rsid w:val="00093B96"/>
    <w:rsid w:val="00093D9A"/>
    <w:rsid w:val="00094656"/>
    <w:rsid w:val="000950B5"/>
    <w:rsid w:val="000962D2"/>
    <w:rsid w:val="00096716"/>
    <w:rsid w:val="00096B52"/>
    <w:rsid w:val="00097135"/>
    <w:rsid w:val="00097839"/>
    <w:rsid w:val="00097CE6"/>
    <w:rsid w:val="00097F41"/>
    <w:rsid w:val="000A0A32"/>
    <w:rsid w:val="000A10A7"/>
    <w:rsid w:val="000A10BF"/>
    <w:rsid w:val="000A1ED3"/>
    <w:rsid w:val="000A1F24"/>
    <w:rsid w:val="000A2ACD"/>
    <w:rsid w:val="000A2B65"/>
    <w:rsid w:val="000A2DA8"/>
    <w:rsid w:val="000A3049"/>
    <w:rsid w:val="000A4C2C"/>
    <w:rsid w:val="000A5458"/>
    <w:rsid w:val="000A5C47"/>
    <w:rsid w:val="000A629E"/>
    <w:rsid w:val="000A6B30"/>
    <w:rsid w:val="000A79BD"/>
    <w:rsid w:val="000A7B67"/>
    <w:rsid w:val="000B156F"/>
    <w:rsid w:val="000B158D"/>
    <w:rsid w:val="000B17F3"/>
    <w:rsid w:val="000B1A5E"/>
    <w:rsid w:val="000B20EF"/>
    <w:rsid w:val="000B23F7"/>
    <w:rsid w:val="000B2C20"/>
    <w:rsid w:val="000B3044"/>
    <w:rsid w:val="000B3330"/>
    <w:rsid w:val="000B3354"/>
    <w:rsid w:val="000B35FC"/>
    <w:rsid w:val="000B4325"/>
    <w:rsid w:val="000B51C5"/>
    <w:rsid w:val="000B583B"/>
    <w:rsid w:val="000B5FB5"/>
    <w:rsid w:val="000B6A3A"/>
    <w:rsid w:val="000B6CF0"/>
    <w:rsid w:val="000B6F0D"/>
    <w:rsid w:val="000B720C"/>
    <w:rsid w:val="000B725B"/>
    <w:rsid w:val="000B734B"/>
    <w:rsid w:val="000B761B"/>
    <w:rsid w:val="000B764E"/>
    <w:rsid w:val="000B7665"/>
    <w:rsid w:val="000B7726"/>
    <w:rsid w:val="000B7E0F"/>
    <w:rsid w:val="000B7EE8"/>
    <w:rsid w:val="000B7FDA"/>
    <w:rsid w:val="000C0FB3"/>
    <w:rsid w:val="000C25D9"/>
    <w:rsid w:val="000C2FDE"/>
    <w:rsid w:val="000C3C1A"/>
    <w:rsid w:val="000C3CB0"/>
    <w:rsid w:val="000C3F19"/>
    <w:rsid w:val="000C3FAC"/>
    <w:rsid w:val="000C4A2F"/>
    <w:rsid w:val="000C4BE9"/>
    <w:rsid w:val="000C5146"/>
    <w:rsid w:val="000C65C8"/>
    <w:rsid w:val="000C6802"/>
    <w:rsid w:val="000C7978"/>
    <w:rsid w:val="000C7C46"/>
    <w:rsid w:val="000D022E"/>
    <w:rsid w:val="000D07D4"/>
    <w:rsid w:val="000D0A6F"/>
    <w:rsid w:val="000D1B52"/>
    <w:rsid w:val="000D1C42"/>
    <w:rsid w:val="000D2AB2"/>
    <w:rsid w:val="000D2CC6"/>
    <w:rsid w:val="000D4344"/>
    <w:rsid w:val="000D4C1B"/>
    <w:rsid w:val="000D5049"/>
    <w:rsid w:val="000D5135"/>
    <w:rsid w:val="000D515B"/>
    <w:rsid w:val="000D5523"/>
    <w:rsid w:val="000D67CB"/>
    <w:rsid w:val="000D683C"/>
    <w:rsid w:val="000D6B70"/>
    <w:rsid w:val="000D704F"/>
    <w:rsid w:val="000E03DC"/>
    <w:rsid w:val="000E1124"/>
    <w:rsid w:val="000E1134"/>
    <w:rsid w:val="000E1BB4"/>
    <w:rsid w:val="000E1D10"/>
    <w:rsid w:val="000E1F85"/>
    <w:rsid w:val="000E375C"/>
    <w:rsid w:val="000E3DA5"/>
    <w:rsid w:val="000E4C36"/>
    <w:rsid w:val="000E5531"/>
    <w:rsid w:val="000E5927"/>
    <w:rsid w:val="000E5B35"/>
    <w:rsid w:val="000E6410"/>
    <w:rsid w:val="000E665E"/>
    <w:rsid w:val="000E678B"/>
    <w:rsid w:val="000E79F4"/>
    <w:rsid w:val="000F0123"/>
    <w:rsid w:val="000F02D7"/>
    <w:rsid w:val="000F0616"/>
    <w:rsid w:val="000F0B49"/>
    <w:rsid w:val="000F0F72"/>
    <w:rsid w:val="000F1014"/>
    <w:rsid w:val="000F117A"/>
    <w:rsid w:val="000F19D6"/>
    <w:rsid w:val="000F2755"/>
    <w:rsid w:val="000F2E01"/>
    <w:rsid w:val="000F2F3E"/>
    <w:rsid w:val="000F2F7D"/>
    <w:rsid w:val="000F4812"/>
    <w:rsid w:val="000F5A54"/>
    <w:rsid w:val="000F6451"/>
    <w:rsid w:val="000F673A"/>
    <w:rsid w:val="000F6984"/>
    <w:rsid w:val="000F7987"/>
    <w:rsid w:val="00100150"/>
    <w:rsid w:val="001001D6"/>
    <w:rsid w:val="0010051C"/>
    <w:rsid w:val="0010185F"/>
    <w:rsid w:val="001018FE"/>
    <w:rsid w:val="00101C20"/>
    <w:rsid w:val="001022E1"/>
    <w:rsid w:val="00103957"/>
    <w:rsid w:val="0010448B"/>
    <w:rsid w:val="00104818"/>
    <w:rsid w:val="0010521F"/>
    <w:rsid w:val="0010625A"/>
    <w:rsid w:val="00106362"/>
    <w:rsid w:val="00106906"/>
    <w:rsid w:val="00107524"/>
    <w:rsid w:val="00107799"/>
    <w:rsid w:val="00107DCD"/>
    <w:rsid w:val="00107EF0"/>
    <w:rsid w:val="00111417"/>
    <w:rsid w:val="001115C2"/>
    <w:rsid w:val="001116D0"/>
    <w:rsid w:val="00113C60"/>
    <w:rsid w:val="00114448"/>
    <w:rsid w:val="001148BB"/>
    <w:rsid w:val="00114C3B"/>
    <w:rsid w:val="00115020"/>
    <w:rsid w:val="00115691"/>
    <w:rsid w:val="001157CD"/>
    <w:rsid w:val="001162D7"/>
    <w:rsid w:val="0011684C"/>
    <w:rsid w:val="00117039"/>
    <w:rsid w:val="00117739"/>
    <w:rsid w:val="00117C25"/>
    <w:rsid w:val="00117F04"/>
    <w:rsid w:val="001202EC"/>
    <w:rsid w:val="00120678"/>
    <w:rsid w:val="00120BD3"/>
    <w:rsid w:val="00121A68"/>
    <w:rsid w:val="00121B0F"/>
    <w:rsid w:val="00121F1D"/>
    <w:rsid w:val="0012216B"/>
    <w:rsid w:val="001227BF"/>
    <w:rsid w:val="00122AE3"/>
    <w:rsid w:val="00122DE5"/>
    <w:rsid w:val="00122EE1"/>
    <w:rsid w:val="00122F5F"/>
    <w:rsid w:val="00123658"/>
    <w:rsid w:val="001237AF"/>
    <w:rsid w:val="00123B44"/>
    <w:rsid w:val="001247EB"/>
    <w:rsid w:val="00124A95"/>
    <w:rsid w:val="00124C30"/>
    <w:rsid w:val="00124F3C"/>
    <w:rsid w:val="001251E5"/>
    <w:rsid w:val="00125B61"/>
    <w:rsid w:val="00126122"/>
    <w:rsid w:val="00127167"/>
    <w:rsid w:val="001279B9"/>
    <w:rsid w:val="00127D2B"/>
    <w:rsid w:val="00131CE4"/>
    <w:rsid w:val="00131D45"/>
    <w:rsid w:val="001320F0"/>
    <w:rsid w:val="00132A85"/>
    <w:rsid w:val="00133529"/>
    <w:rsid w:val="001336E0"/>
    <w:rsid w:val="00133F34"/>
    <w:rsid w:val="001341B2"/>
    <w:rsid w:val="001344B4"/>
    <w:rsid w:val="00134757"/>
    <w:rsid w:val="00134F66"/>
    <w:rsid w:val="00135273"/>
    <w:rsid w:val="00135286"/>
    <w:rsid w:val="00135FC9"/>
    <w:rsid w:val="00136A6E"/>
    <w:rsid w:val="00137280"/>
    <w:rsid w:val="00137E8F"/>
    <w:rsid w:val="0014007B"/>
    <w:rsid w:val="00141309"/>
    <w:rsid w:val="0014199B"/>
    <w:rsid w:val="001426A6"/>
    <w:rsid w:val="00142849"/>
    <w:rsid w:val="00142B38"/>
    <w:rsid w:val="00143478"/>
    <w:rsid w:val="00143F2F"/>
    <w:rsid w:val="00144281"/>
    <w:rsid w:val="00144EAF"/>
    <w:rsid w:val="0014522B"/>
    <w:rsid w:val="0014632C"/>
    <w:rsid w:val="00146624"/>
    <w:rsid w:val="001471A9"/>
    <w:rsid w:val="00147BF6"/>
    <w:rsid w:val="001502AC"/>
    <w:rsid w:val="00150376"/>
    <w:rsid w:val="001519A6"/>
    <w:rsid w:val="00151DBD"/>
    <w:rsid w:val="00152E11"/>
    <w:rsid w:val="001531D6"/>
    <w:rsid w:val="00153B27"/>
    <w:rsid w:val="00153F60"/>
    <w:rsid w:val="001541D1"/>
    <w:rsid w:val="0015477F"/>
    <w:rsid w:val="00155434"/>
    <w:rsid w:val="00155BDA"/>
    <w:rsid w:val="00155F62"/>
    <w:rsid w:val="001568DC"/>
    <w:rsid w:val="00156AEF"/>
    <w:rsid w:val="00156FA7"/>
    <w:rsid w:val="001570EA"/>
    <w:rsid w:val="001571D3"/>
    <w:rsid w:val="0016023A"/>
    <w:rsid w:val="00160458"/>
    <w:rsid w:val="00162DBF"/>
    <w:rsid w:val="0016302A"/>
    <w:rsid w:val="001638E2"/>
    <w:rsid w:val="00163A34"/>
    <w:rsid w:val="00164CF8"/>
    <w:rsid w:val="001651D4"/>
    <w:rsid w:val="001651FE"/>
    <w:rsid w:val="001653AE"/>
    <w:rsid w:val="00165CDF"/>
    <w:rsid w:val="00165FAC"/>
    <w:rsid w:val="00166438"/>
    <w:rsid w:val="00166B9E"/>
    <w:rsid w:val="00170BC2"/>
    <w:rsid w:val="00170D5B"/>
    <w:rsid w:val="001718E1"/>
    <w:rsid w:val="001727D7"/>
    <w:rsid w:val="00172B8F"/>
    <w:rsid w:val="00173003"/>
    <w:rsid w:val="001736F8"/>
    <w:rsid w:val="00173872"/>
    <w:rsid w:val="00173D85"/>
    <w:rsid w:val="00173E24"/>
    <w:rsid w:val="00174660"/>
    <w:rsid w:val="00174CE2"/>
    <w:rsid w:val="00174FD4"/>
    <w:rsid w:val="00175945"/>
    <w:rsid w:val="00175EF0"/>
    <w:rsid w:val="001760C3"/>
    <w:rsid w:val="001765AE"/>
    <w:rsid w:val="0018033D"/>
    <w:rsid w:val="00182031"/>
    <w:rsid w:val="00184086"/>
    <w:rsid w:val="0018410B"/>
    <w:rsid w:val="00184157"/>
    <w:rsid w:val="00184BAE"/>
    <w:rsid w:val="00186A53"/>
    <w:rsid w:val="0018752E"/>
    <w:rsid w:val="001918E3"/>
    <w:rsid w:val="00191D02"/>
    <w:rsid w:val="00191D19"/>
    <w:rsid w:val="00191E9D"/>
    <w:rsid w:val="00191FF4"/>
    <w:rsid w:val="00192862"/>
    <w:rsid w:val="00192EDE"/>
    <w:rsid w:val="00192F8D"/>
    <w:rsid w:val="001933FA"/>
    <w:rsid w:val="00193547"/>
    <w:rsid w:val="0019362A"/>
    <w:rsid w:val="001937EA"/>
    <w:rsid w:val="001938BE"/>
    <w:rsid w:val="00193B63"/>
    <w:rsid w:val="0019474E"/>
    <w:rsid w:val="00195728"/>
    <w:rsid w:val="00196415"/>
    <w:rsid w:val="00196D6B"/>
    <w:rsid w:val="001970C0"/>
    <w:rsid w:val="0019782D"/>
    <w:rsid w:val="001978D8"/>
    <w:rsid w:val="001978F7"/>
    <w:rsid w:val="00197CD8"/>
    <w:rsid w:val="00197E1A"/>
    <w:rsid w:val="001A0432"/>
    <w:rsid w:val="001A147A"/>
    <w:rsid w:val="001A1569"/>
    <w:rsid w:val="001A18EA"/>
    <w:rsid w:val="001A1B85"/>
    <w:rsid w:val="001A1CB7"/>
    <w:rsid w:val="001A1F6B"/>
    <w:rsid w:val="001A3193"/>
    <w:rsid w:val="001A3837"/>
    <w:rsid w:val="001A39FA"/>
    <w:rsid w:val="001A3C38"/>
    <w:rsid w:val="001A420B"/>
    <w:rsid w:val="001A456E"/>
    <w:rsid w:val="001A4B97"/>
    <w:rsid w:val="001A4F7D"/>
    <w:rsid w:val="001A5901"/>
    <w:rsid w:val="001A5BDE"/>
    <w:rsid w:val="001A5BEE"/>
    <w:rsid w:val="001A61DA"/>
    <w:rsid w:val="001A71E8"/>
    <w:rsid w:val="001A726A"/>
    <w:rsid w:val="001A77EC"/>
    <w:rsid w:val="001A7B42"/>
    <w:rsid w:val="001A7D8F"/>
    <w:rsid w:val="001A7FD3"/>
    <w:rsid w:val="001B0F23"/>
    <w:rsid w:val="001B243D"/>
    <w:rsid w:val="001B27F9"/>
    <w:rsid w:val="001B2A97"/>
    <w:rsid w:val="001B2CD4"/>
    <w:rsid w:val="001B3949"/>
    <w:rsid w:val="001B3CBA"/>
    <w:rsid w:val="001B4820"/>
    <w:rsid w:val="001B4ED9"/>
    <w:rsid w:val="001B549F"/>
    <w:rsid w:val="001B54C4"/>
    <w:rsid w:val="001B6B8F"/>
    <w:rsid w:val="001B7329"/>
    <w:rsid w:val="001B7436"/>
    <w:rsid w:val="001C015D"/>
    <w:rsid w:val="001C07E4"/>
    <w:rsid w:val="001C1161"/>
    <w:rsid w:val="001C174A"/>
    <w:rsid w:val="001C1BD7"/>
    <w:rsid w:val="001C1D05"/>
    <w:rsid w:val="001C1D80"/>
    <w:rsid w:val="001C234A"/>
    <w:rsid w:val="001C2799"/>
    <w:rsid w:val="001C2A48"/>
    <w:rsid w:val="001C3392"/>
    <w:rsid w:val="001C44ED"/>
    <w:rsid w:val="001C48A0"/>
    <w:rsid w:val="001C491C"/>
    <w:rsid w:val="001C4938"/>
    <w:rsid w:val="001C4DA4"/>
    <w:rsid w:val="001C5D20"/>
    <w:rsid w:val="001C69E3"/>
    <w:rsid w:val="001C6DFD"/>
    <w:rsid w:val="001C717A"/>
    <w:rsid w:val="001C777F"/>
    <w:rsid w:val="001C7E24"/>
    <w:rsid w:val="001D06E9"/>
    <w:rsid w:val="001D08CE"/>
    <w:rsid w:val="001D15E5"/>
    <w:rsid w:val="001D15F5"/>
    <w:rsid w:val="001D2DB3"/>
    <w:rsid w:val="001D2E39"/>
    <w:rsid w:val="001D32C0"/>
    <w:rsid w:val="001D3A64"/>
    <w:rsid w:val="001D4086"/>
    <w:rsid w:val="001D4D03"/>
    <w:rsid w:val="001D506B"/>
    <w:rsid w:val="001D5793"/>
    <w:rsid w:val="001D5ABE"/>
    <w:rsid w:val="001D6495"/>
    <w:rsid w:val="001D68B0"/>
    <w:rsid w:val="001D6C87"/>
    <w:rsid w:val="001D74A7"/>
    <w:rsid w:val="001D7F05"/>
    <w:rsid w:val="001D7F85"/>
    <w:rsid w:val="001E0066"/>
    <w:rsid w:val="001E0129"/>
    <w:rsid w:val="001E0CCF"/>
    <w:rsid w:val="001E15F2"/>
    <w:rsid w:val="001E22F7"/>
    <w:rsid w:val="001E23A4"/>
    <w:rsid w:val="001E2BF3"/>
    <w:rsid w:val="001E31CE"/>
    <w:rsid w:val="001E33AF"/>
    <w:rsid w:val="001E340C"/>
    <w:rsid w:val="001E465F"/>
    <w:rsid w:val="001E60D9"/>
    <w:rsid w:val="001E690E"/>
    <w:rsid w:val="001F03B1"/>
    <w:rsid w:val="001F069E"/>
    <w:rsid w:val="001F072A"/>
    <w:rsid w:val="001F0A36"/>
    <w:rsid w:val="001F107F"/>
    <w:rsid w:val="001F2902"/>
    <w:rsid w:val="001F3D7C"/>
    <w:rsid w:val="001F3F11"/>
    <w:rsid w:val="001F3F36"/>
    <w:rsid w:val="001F4367"/>
    <w:rsid w:val="001F4B3E"/>
    <w:rsid w:val="001F4BB7"/>
    <w:rsid w:val="001F5035"/>
    <w:rsid w:val="001F5BC8"/>
    <w:rsid w:val="001F658C"/>
    <w:rsid w:val="001F675C"/>
    <w:rsid w:val="001F6C32"/>
    <w:rsid w:val="001F6EC6"/>
    <w:rsid w:val="001F6F44"/>
    <w:rsid w:val="001F70C7"/>
    <w:rsid w:val="001F743F"/>
    <w:rsid w:val="001F74BA"/>
    <w:rsid w:val="001F7563"/>
    <w:rsid w:val="002008FA"/>
    <w:rsid w:val="002011A4"/>
    <w:rsid w:val="002014AA"/>
    <w:rsid w:val="002024B6"/>
    <w:rsid w:val="00202CD5"/>
    <w:rsid w:val="0020351F"/>
    <w:rsid w:val="0020445C"/>
    <w:rsid w:val="00204501"/>
    <w:rsid w:val="00204683"/>
    <w:rsid w:val="00204CDD"/>
    <w:rsid w:val="00205188"/>
    <w:rsid w:val="0020574B"/>
    <w:rsid w:val="00206C95"/>
    <w:rsid w:val="00207002"/>
    <w:rsid w:val="00207EC2"/>
    <w:rsid w:val="00207F59"/>
    <w:rsid w:val="00210F6E"/>
    <w:rsid w:val="00211921"/>
    <w:rsid w:val="002119CE"/>
    <w:rsid w:val="00211AA0"/>
    <w:rsid w:val="00211DC3"/>
    <w:rsid w:val="00211FD8"/>
    <w:rsid w:val="0021251D"/>
    <w:rsid w:val="002140FB"/>
    <w:rsid w:val="002155B6"/>
    <w:rsid w:val="002157E4"/>
    <w:rsid w:val="00215AFB"/>
    <w:rsid w:val="00215D7D"/>
    <w:rsid w:val="00215DEA"/>
    <w:rsid w:val="00215EAD"/>
    <w:rsid w:val="00215EC2"/>
    <w:rsid w:val="00216310"/>
    <w:rsid w:val="002163F3"/>
    <w:rsid w:val="00216D8C"/>
    <w:rsid w:val="002170B9"/>
    <w:rsid w:val="002171C0"/>
    <w:rsid w:val="0021759E"/>
    <w:rsid w:val="00217752"/>
    <w:rsid w:val="002200D8"/>
    <w:rsid w:val="00222A84"/>
    <w:rsid w:val="00223664"/>
    <w:rsid w:val="0022376B"/>
    <w:rsid w:val="00223A56"/>
    <w:rsid w:val="00225475"/>
    <w:rsid w:val="00225833"/>
    <w:rsid w:val="00226095"/>
    <w:rsid w:val="002261E2"/>
    <w:rsid w:val="002265D3"/>
    <w:rsid w:val="00226F45"/>
    <w:rsid w:val="0022711B"/>
    <w:rsid w:val="00227801"/>
    <w:rsid w:val="00227B5A"/>
    <w:rsid w:val="00227B89"/>
    <w:rsid w:val="00227F43"/>
    <w:rsid w:val="00230562"/>
    <w:rsid w:val="00230A2E"/>
    <w:rsid w:val="002310A2"/>
    <w:rsid w:val="002315AB"/>
    <w:rsid w:val="002317F8"/>
    <w:rsid w:val="00231865"/>
    <w:rsid w:val="0023189E"/>
    <w:rsid w:val="002327CD"/>
    <w:rsid w:val="00233030"/>
    <w:rsid w:val="002338DB"/>
    <w:rsid w:val="002344D3"/>
    <w:rsid w:val="00234543"/>
    <w:rsid w:val="00234640"/>
    <w:rsid w:val="00235CB5"/>
    <w:rsid w:val="00237997"/>
    <w:rsid w:val="00237AAE"/>
    <w:rsid w:val="00240106"/>
    <w:rsid w:val="0024095B"/>
    <w:rsid w:val="002411C7"/>
    <w:rsid w:val="00241B5A"/>
    <w:rsid w:val="00242965"/>
    <w:rsid w:val="00242F4E"/>
    <w:rsid w:val="00243DE3"/>
    <w:rsid w:val="002442E0"/>
    <w:rsid w:val="00244D9A"/>
    <w:rsid w:val="002452A0"/>
    <w:rsid w:val="0024542A"/>
    <w:rsid w:val="00245FC2"/>
    <w:rsid w:val="002463A6"/>
    <w:rsid w:val="0024654F"/>
    <w:rsid w:val="00246ADB"/>
    <w:rsid w:val="00246DF2"/>
    <w:rsid w:val="002505B5"/>
    <w:rsid w:val="002517A5"/>
    <w:rsid w:val="00251F6C"/>
    <w:rsid w:val="00251FE5"/>
    <w:rsid w:val="0025211A"/>
    <w:rsid w:val="0025249C"/>
    <w:rsid w:val="00252644"/>
    <w:rsid w:val="002539ED"/>
    <w:rsid w:val="0025440D"/>
    <w:rsid w:val="0025450E"/>
    <w:rsid w:val="0025505A"/>
    <w:rsid w:val="00255152"/>
    <w:rsid w:val="002554BA"/>
    <w:rsid w:val="0025554E"/>
    <w:rsid w:val="0025578A"/>
    <w:rsid w:val="00256032"/>
    <w:rsid w:val="0025606D"/>
    <w:rsid w:val="0025625E"/>
    <w:rsid w:val="0026025C"/>
    <w:rsid w:val="002609FF"/>
    <w:rsid w:val="002610ED"/>
    <w:rsid w:val="00261522"/>
    <w:rsid w:val="00261569"/>
    <w:rsid w:val="0026174D"/>
    <w:rsid w:val="002624AE"/>
    <w:rsid w:val="00262571"/>
    <w:rsid w:val="002625A7"/>
    <w:rsid w:val="00262A23"/>
    <w:rsid w:val="002633EC"/>
    <w:rsid w:val="00263876"/>
    <w:rsid w:val="002638F4"/>
    <w:rsid w:val="00263C4C"/>
    <w:rsid w:val="00263E55"/>
    <w:rsid w:val="00263E65"/>
    <w:rsid w:val="00263EF1"/>
    <w:rsid w:val="00263F95"/>
    <w:rsid w:val="00264D51"/>
    <w:rsid w:val="00264D6C"/>
    <w:rsid w:val="00266E20"/>
    <w:rsid w:val="0026704F"/>
    <w:rsid w:val="0026795D"/>
    <w:rsid w:val="002679BD"/>
    <w:rsid w:val="00267D5D"/>
    <w:rsid w:val="00270478"/>
    <w:rsid w:val="00271478"/>
    <w:rsid w:val="0027160C"/>
    <w:rsid w:val="0027206C"/>
    <w:rsid w:val="00272595"/>
    <w:rsid w:val="002735EA"/>
    <w:rsid w:val="00273896"/>
    <w:rsid w:val="00273DE2"/>
    <w:rsid w:val="00274239"/>
    <w:rsid w:val="00274CB1"/>
    <w:rsid w:val="002751D1"/>
    <w:rsid w:val="00275209"/>
    <w:rsid w:val="0027627F"/>
    <w:rsid w:val="0027679A"/>
    <w:rsid w:val="00276C61"/>
    <w:rsid w:val="00277735"/>
    <w:rsid w:val="00277B4D"/>
    <w:rsid w:val="002801C4"/>
    <w:rsid w:val="00281B0C"/>
    <w:rsid w:val="00282AA4"/>
    <w:rsid w:val="00283E2C"/>
    <w:rsid w:val="002840DE"/>
    <w:rsid w:val="00284340"/>
    <w:rsid w:val="0028594F"/>
    <w:rsid w:val="00286A47"/>
    <w:rsid w:val="00286D05"/>
    <w:rsid w:val="00286FFA"/>
    <w:rsid w:val="00287294"/>
    <w:rsid w:val="002874BF"/>
    <w:rsid w:val="00287E78"/>
    <w:rsid w:val="00290676"/>
    <w:rsid w:val="00290AF9"/>
    <w:rsid w:val="00291462"/>
    <w:rsid w:val="00291522"/>
    <w:rsid w:val="00291572"/>
    <w:rsid w:val="0029175D"/>
    <w:rsid w:val="00291C25"/>
    <w:rsid w:val="00292369"/>
    <w:rsid w:val="00292498"/>
    <w:rsid w:val="00292529"/>
    <w:rsid w:val="00292D05"/>
    <w:rsid w:val="002938AE"/>
    <w:rsid w:val="00293D4B"/>
    <w:rsid w:val="002943D9"/>
    <w:rsid w:val="0029471D"/>
    <w:rsid w:val="00294831"/>
    <w:rsid w:val="00294B08"/>
    <w:rsid w:val="00294B9B"/>
    <w:rsid w:val="002957C5"/>
    <w:rsid w:val="0029640D"/>
    <w:rsid w:val="0029706F"/>
    <w:rsid w:val="0029724F"/>
    <w:rsid w:val="00297DE5"/>
    <w:rsid w:val="002A000D"/>
    <w:rsid w:val="002A04B4"/>
    <w:rsid w:val="002A051A"/>
    <w:rsid w:val="002A145B"/>
    <w:rsid w:val="002A1663"/>
    <w:rsid w:val="002A18BE"/>
    <w:rsid w:val="002A2898"/>
    <w:rsid w:val="002A33E3"/>
    <w:rsid w:val="002A36F6"/>
    <w:rsid w:val="002A3BD0"/>
    <w:rsid w:val="002A4084"/>
    <w:rsid w:val="002A4A97"/>
    <w:rsid w:val="002A4AD6"/>
    <w:rsid w:val="002A5180"/>
    <w:rsid w:val="002A5838"/>
    <w:rsid w:val="002A5EDA"/>
    <w:rsid w:val="002A5F65"/>
    <w:rsid w:val="002A6301"/>
    <w:rsid w:val="002A67BE"/>
    <w:rsid w:val="002A6861"/>
    <w:rsid w:val="002A7196"/>
    <w:rsid w:val="002A73B7"/>
    <w:rsid w:val="002A7659"/>
    <w:rsid w:val="002A76AE"/>
    <w:rsid w:val="002A7B4F"/>
    <w:rsid w:val="002A7B57"/>
    <w:rsid w:val="002B017F"/>
    <w:rsid w:val="002B03EC"/>
    <w:rsid w:val="002B0480"/>
    <w:rsid w:val="002B1384"/>
    <w:rsid w:val="002B27FD"/>
    <w:rsid w:val="002B2D93"/>
    <w:rsid w:val="002B3681"/>
    <w:rsid w:val="002B3ED8"/>
    <w:rsid w:val="002B4852"/>
    <w:rsid w:val="002B5547"/>
    <w:rsid w:val="002B5A26"/>
    <w:rsid w:val="002B5E5A"/>
    <w:rsid w:val="002B648F"/>
    <w:rsid w:val="002B667C"/>
    <w:rsid w:val="002B6B1F"/>
    <w:rsid w:val="002C0188"/>
    <w:rsid w:val="002C05F2"/>
    <w:rsid w:val="002C0F6B"/>
    <w:rsid w:val="002C11CA"/>
    <w:rsid w:val="002C137F"/>
    <w:rsid w:val="002C1487"/>
    <w:rsid w:val="002C1E86"/>
    <w:rsid w:val="002C1F84"/>
    <w:rsid w:val="002C2495"/>
    <w:rsid w:val="002C297B"/>
    <w:rsid w:val="002C3A0D"/>
    <w:rsid w:val="002C4015"/>
    <w:rsid w:val="002C411B"/>
    <w:rsid w:val="002C45E8"/>
    <w:rsid w:val="002C48B4"/>
    <w:rsid w:val="002C5A27"/>
    <w:rsid w:val="002C61AF"/>
    <w:rsid w:val="002C6678"/>
    <w:rsid w:val="002C70CE"/>
    <w:rsid w:val="002C74FB"/>
    <w:rsid w:val="002D07EB"/>
    <w:rsid w:val="002D0CBC"/>
    <w:rsid w:val="002D130F"/>
    <w:rsid w:val="002D18F5"/>
    <w:rsid w:val="002D1950"/>
    <w:rsid w:val="002D2238"/>
    <w:rsid w:val="002D26B1"/>
    <w:rsid w:val="002D2F93"/>
    <w:rsid w:val="002D358F"/>
    <w:rsid w:val="002D35A3"/>
    <w:rsid w:val="002D3FCE"/>
    <w:rsid w:val="002D4823"/>
    <w:rsid w:val="002D4BBC"/>
    <w:rsid w:val="002D5097"/>
    <w:rsid w:val="002D55E4"/>
    <w:rsid w:val="002D6122"/>
    <w:rsid w:val="002D690D"/>
    <w:rsid w:val="002D71B0"/>
    <w:rsid w:val="002D74D9"/>
    <w:rsid w:val="002D7938"/>
    <w:rsid w:val="002D795F"/>
    <w:rsid w:val="002D7DF7"/>
    <w:rsid w:val="002E0CBC"/>
    <w:rsid w:val="002E0D05"/>
    <w:rsid w:val="002E0E99"/>
    <w:rsid w:val="002E3AB1"/>
    <w:rsid w:val="002E4708"/>
    <w:rsid w:val="002E584E"/>
    <w:rsid w:val="002E5E36"/>
    <w:rsid w:val="002E63BE"/>
    <w:rsid w:val="002E67A1"/>
    <w:rsid w:val="002E69E3"/>
    <w:rsid w:val="002E749D"/>
    <w:rsid w:val="002E7775"/>
    <w:rsid w:val="002E7AD2"/>
    <w:rsid w:val="002F0C38"/>
    <w:rsid w:val="002F12F8"/>
    <w:rsid w:val="002F1399"/>
    <w:rsid w:val="002F13D6"/>
    <w:rsid w:val="002F1444"/>
    <w:rsid w:val="002F1447"/>
    <w:rsid w:val="002F32E5"/>
    <w:rsid w:val="002F32FB"/>
    <w:rsid w:val="002F4C8D"/>
    <w:rsid w:val="002F5611"/>
    <w:rsid w:val="002F5F5E"/>
    <w:rsid w:val="002F5F85"/>
    <w:rsid w:val="002F693F"/>
    <w:rsid w:val="002F7629"/>
    <w:rsid w:val="002F7B5B"/>
    <w:rsid w:val="003008CC"/>
    <w:rsid w:val="00301763"/>
    <w:rsid w:val="00301A5A"/>
    <w:rsid w:val="00301D02"/>
    <w:rsid w:val="00302252"/>
    <w:rsid w:val="003023DD"/>
    <w:rsid w:val="00302660"/>
    <w:rsid w:val="003030FA"/>
    <w:rsid w:val="00303C60"/>
    <w:rsid w:val="00303E79"/>
    <w:rsid w:val="00303E8C"/>
    <w:rsid w:val="00304098"/>
    <w:rsid w:val="00304932"/>
    <w:rsid w:val="0030493E"/>
    <w:rsid w:val="00304FB8"/>
    <w:rsid w:val="0030590A"/>
    <w:rsid w:val="003060A2"/>
    <w:rsid w:val="00307299"/>
    <w:rsid w:val="00307436"/>
    <w:rsid w:val="00310812"/>
    <w:rsid w:val="00310903"/>
    <w:rsid w:val="00310B9B"/>
    <w:rsid w:val="00310C3F"/>
    <w:rsid w:val="0031169A"/>
    <w:rsid w:val="00312980"/>
    <w:rsid w:val="003136CF"/>
    <w:rsid w:val="003140D2"/>
    <w:rsid w:val="0031431C"/>
    <w:rsid w:val="00314362"/>
    <w:rsid w:val="0031454B"/>
    <w:rsid w:val="003145AC"/>
    <w:rsid w:val="0031493D"/>
    <w:rsid w:val="00314F37"/>
    <w:rsid w:val="0031533A"/>
    <w:rsid w:val="003165A5"/>
    <w:rsid w:val="00317714"/>
    <w:rsid w:val="003177A2"/>
    <w:rsid w:val="00317BD8"/>
    <w:rsid w:val="00320A17"/>
    <w:rsid w:val="00320FF4"/>
    <w:rsid w:val="00321B5B"/>
    <w:rsid w:val="00321FA4"/>
    <w:rsid w:val="00322DA9"/>
    <w:rsid w:val="00323AF6"/>
    <w:rsid w:val="00323C05"/>
    <w:rsid w:val="0032418F"/>
    <w:rsid w:val="00324312"/>
    <w:rsid w:val="00324BEE"/>
    <w:rsid w:val="00324D29"/>
    <w:rsid w:val="0032504D"/>
    <w:rsid w:val="003251C2"/>
    <w:rsid w:val="00325BBD"/>
    <w:rsid w:val="00325FA0"/>
    <w:rsid w:val="00326F1C"/>
    <w:rsid w:val="00327162"/>
    <w:rsid w:val="0032787D"/>
    <w:rsid w:val="00327954"/>
    <w:rsid w:val="00327DD2"/>
    <w:rsid w:val="00330096"/>
    <w:rsid w:val="00330A0A"/>
    <w:rsid w:val="00330E91"/>
    <w:rsid w:val="0033264F"/>
    <w:rsid w:val="003328A9"/>
    <w:rsid w:val="003341AE"/>
    <w:rsid w:val="003348F4"/>
    <w:rsid w:val="00335A55"/>
    <w:rsid w:val="003365A4"/>
    <w:rsid w:val="003367F9"/>
    <w:rsid w:val="003369D1"/>
    <w:rsid w:val="00336C3F"/>
    <w:rsid w:val="003371B5"/>
    <w:rsid w:val="003372DE"/>
    <w:rsid w:val="003373AC"/>
    <w:rsid w:val="00337BAF"/>
    <w:rsid w:val="00340341"/>
    <w:rsid w:val="00341696"/>
    <w:rsid w:val="003417CB"/>
    <w:rsid w:val="0034239B"/>
    <w:rsid w:val="003429D8"/>
    <w:rsid w:val="00342ACB"/>
    <w:rsid w:val="00343247"/>
    <w:rsid w:val="003435A9"/>
    <w:rsid w:val="003435E5"/>
    <w:rsid w:val="00344649"/>
    <w:rsid w:val="00345496"/>
    <w:rsid w:val="00345BCF"/>
    <w:rsid w:val="0034661F"/>
    <w:rsid w:val="003466F9"/>
    <w:rsid w:val="0034677F"/>
    <w:rsid w:val="0034705B"/>
    <w:rsid w:val="00350092"/>
    <w:rsid w:val="003506ED"/>
    <w:rsid w:val="00351101"/>
    <w:rsid w:val="003519AD"/>
    <w:rsid w:val="00351E0E"/>
    <w:rsid w:val="00352699"/>
    <w:rsid w:val="003526F0"/>
    <w:rsid w:val="0035388F"/>
    <w:rsid w:val="0035391F"/>
    <w:rsid w:val="00353F74"/>
    <w:rsid w:val="003545C1"/>
    <w:rsid w:val="00354BC5"/>
    <w:rsid w:val="00354EB4"/>
    <w:rsid w:val="003551F6"/>
    <w:rsid w:val="00355553"/>
    <w:rsid w:val="00355B1C"/>
    <w:rsid w:val="00355CE4"/>
    <w:rsid w:val="00355DFC"/>
    <w:rsid w:val="003562B6"/>
    <w:rsid w:val="00356A82"/>
    <w:rsid w:val="00356D29"/>
    <w:rsid w:val="003571C2"/>
    <w:rsid w:val="003577B4"/>
    <w:rsid w:val="003601FE"/>
    <w:rsid w:val="003602E5"/>
    <w:rsid w:val="00360336"/>
    <w:rsid w:val="00360A74"/>
    <w:rsid w:val="00360CD3"/>
    <w:rsid w:val="00361820"/>
    <w:rsid w:val="00361997"/>
    <w:rsid w:val="003623DD"/>
    <w:rsid w:val="00363E04"/>
    <w:rsid w:val="003640A7"/>
    <w:rsid w:val="0036454A"/>
    <w:rsid w:val="003652EC"/>
    <w:rsid w:val="00365447"/>
    <w:rsid w:val="00365A5B"/>
    <w:rsid w:val="00366270"/>
    <w:rsid w:val="003672ED"/>
    <w:rsid w:val="0036744C"/>
    <w:rsid w:val="0036794E"/>
    <w:rsid w:val="00370270"/>
    <w:rsid w:val="0037172E"/>
    <w:rsid w:val="00371C70"/>
    <w:rsid w:val="0037208D"/>
    <w:rsid w:val="00372712"/>
    <w:rsid w:val="00372752"/>
    <w:rsid w:val="00372C98"/>
    <w:rsid w:val="003730DF"/>
    <w:rsid w:val="003732B3"/>
    <w:rsid w:val="00373553"/>
    <w:rsid w:val="0037398A"/>
    <w:rsid w:val="00373E3E"/>
    <w:rsid w:val="003743FE"/>
    <w:rsid w:val="003745A7"/>
    <w:rsid w:val="003746E1"/>
    <w:rsid w:val="00374C2A"/>
    <w:rsid w:val="0037528C"/>
    <w:rsid w:val="00377819"/>
    <w:rsid w:val="00377E08"/>
    <w:rsid w:val="00381164"/>
    <w:rsid w:val="0038146C"/>
    <w:rsid w:val="003815C3"/>
    <w:rsid w:val="00381F43"/>
    <w:rsid w:val="00382397"/>
    <w:rsid w:val="00382413"/>
    <w:rsid w:val="00382609"/>
    <w:rsid w:val="00382A89"/>
    <w:rsid w:val="003834AA"/>
    <w:rsid w:val="00384D08"/>
    <w:rsid w:val="00385289"/>
    <w:rsid w:val="00385A7E"/>
    <w:rsid w:val="00386124"/>
    <w:rsid w:val="0038612E"/>
    <w:rsid w:val="003864D5"/>
    <w:rsid w:val="00386752"/>
    <w:rsid w:val="00387E9C"/>
    <w:rsid w:val="00387F43"/>
    <w:rsid w:val="00390567"/>
    <w:rsid w:val="00390D4A"/>
    <w:rsid w:val="00390E6E"/>
    <w:rsid w:val="00391DAE"/>
    <w:rsid w:val="00391F50"/>
    <w:rsid w:val="00392446"/>
    <w:rsid w:val="00392A2F"/>
    <w:rsid w:val="0039393C"/>
    <w:rsid w:val="00393F8A"/>
    <w:rsid w:val="003949E5"/>
    <w:rsid w:val="00394A1F"/>
    <w:rsid w:val="003957E1"/>
    <w:rsid w:val="00395DFD"/>
    <w:rsid w:val="003966F6"/>
    <w:rsid w:val="0039677D"/>
    <w:rsid w:val="00396C54"/>
    <w:rsid w:val="00396CE7"/>
    <w:rsid w:val="00396DCD"/>
    <w:rsid w:val="0039710A"/>
    <w:rsid w:val="003A0058"/>
    <w:rsid w:val="003A011C"/>
    <w:rsid w:val="003A039C"/>
    <w:rsid w:val="003A056E"/>
    <w:rsid w:val="003A0660"/>
    <w:rsid w:val="003A0D52"/>
    <w:rsid w:val="003A1F0B"/>
    <w:rsid w:val="003A2197"/>
    <w:rsid w:val="003A24A9"/>
    <w:rsid w:val="003A24E4"/>
    <w:rsid w:val="003A2DB2"/>
    <w:rsid w:val="003A2ED1"/>
    <w:rsid w:val="003A3E62"/>
    <w:rsid w:val="003A43A7"/>
    <w:rsid w:val="003A4462"/>
    <w:rsid w:val="003A4C47"/>
    <w:rsid w:val="003A4C9B"/>
    <w:rsid w:val="003A504E"/>
    <w:rsid w:val="003A50ED"/>
    <w:rsid w:val="003A5707"/>
    <w:rsid w:val="003A6573"/>
    <w:rsid w:val="003A6724"/>
    <w:rsid w:val="003A698D"/>
    <w:rsid w:val="003A6E1A"/>
    <w:rsid w:val="003A6FAF"/>
    <w:rsid w:val="003A738B"/>
    <w:rsid w:val="003A7445"/>
    <w:rsid w:val="003A767B"/>
    <w:rsid w:val="003A770F"/>
    <w:rsid w:val="003A78CE"/>
    <w:rsid w:val="003B04EC"/>
    <w:rsid w:val="003B0BA1"/>
    <w:rsid w:val="003B1EC9"/>
    <w:rsid w:val="003B2777"/>
    <w:rsid w:val="003B2A98"/>
    <w:rsid w:val="003B2E8F"/>
    <w:rsid w:val="003B3012"/>
    <w:rsid w:val="003B3D8A"/>
    <w:rsid w:val="003B3E3A"/>
    <w:rsid w:val="003B42E6"/>
    <w:rsid w:val="003B4599"/>
    <w:rsid w:val="003B493E"/>
    <w:rsid w:val="003B5391"/>
    <w:rsid w:val="003B58AB"/>
    <w:rsid w:val="003B61B7"/>
    <w:rsid w:val="003B6AE1"/>
    <w:rsid w:val="003B734B"/>
    <w:rsid w:val="003C036B"/>
    <w:rsid w:val="003C11C5"/>
    <w:rsid w:val="003C1AE2"/>
    <w:rsid w:val="003C1F39"/>
    <w:rsid w:val="003C26B3"/>
    <w:rsid w:val="003C3C5C"/>
    <w:rsid w:val="003C3C99"/>
    <w:rsid w:val="003C41D9"/>
    <w:rsid w:val="003C4B6A"/>
    <w:rsid w:val="003C4F8F"/>
    <w:rsid w:val="003C5C1F"/>
    <w:rsid w:val="003C65F1"/>
    <w:rsid w:val="003C6B59"/>
    <w:rsid w:val="003C7041"/>
    <w:rsid w:val="003C7799"/>
    <w:rsid w:val="003D00DE"/>
    <w:rsid w:val="003D02FC"/>
    <w:rsid w:val="003D09D7"/>
    <w:rsid w:val="003D111B"/>
    <w:rsid w:val="003D1864"/>
    <w:rsid w:val="003D1B9E"/>
    <w:rsid w:val="003D256B"/>
    <w:rsid w:val="003D262D"/>
    <w:rsid w:val="003D299E"/>
    <w:rsid w:val="003D35E3"/>
    <w:rsid w:val="003D392E"/>
    <w:rsid w:val="003D4694"/>
    <w:rsid w:val="003D4AA9"/>
    <w:rsid w:val="003D4DA1"/>
    <w:rsid w:val="003D519E"/>
    <w:rsid w:val="003D5271"/>
    <w:rsid w:val="003D54F9"/>
    <w:rsid w:val="003D55E1"/>
    <w:rsid w:val="003D59BC"/>
    <w:rsid w:val="003D5B08"/>
    <w:rsid w:val="003D636D"/>
    <w:rsid w:val="003D63BD"/>
    <w:rsid w:val="003D641A"/>
    <w:rsid w:val="003D6571"/>
    <w:rsid w:val="003D6BC2"/>
    <w:rsid w:val="003D71EB"/>
    <w:rsid w:val="003D7703"/>
    <w:rsid w:val="003D782E"/>
    <w:rsid w:val="003D79DF"/>
    <w:rsid w:val="003D7D1E"/>
    <w:rsid w:val="003D7FC2"/>
    <w:rsid w:val="003E1AEB"/>
    <w:rsid w:val="003E20FE"/>
    <w:rsid w:val="003E22CB"/>
    <w:rsid w:val="003E2343"/>
    <w:rsid w:val="003E3551"/>
    <w:rsid w:val="003E3A2F"/>
    <w:rsid w:val="003E406B"/>
    <w:rsid w:val="003E40E2"/>
    <w:rsid w:val="003E410C"/>
    <w:rsid w:val="003E4F96"/>
    <w:rsid w:val="003E53BD"/>
    <w:rsid w:val="003E5C78"/>
    <w:rsid w:val="003E5CCA"/>
    <w:rsid w:val="003E7288"/>
    <w:rsid w:val="003E7727"/>
    <w:rsid w:val="003E7773"/>
    <w:rsid w:val="003F02CF"/>
    <w:rsid w:val="003F093E"/>
    <w:rsid w:val="003F115E"/>
    <w:rsid w:val="003F14C2"/>
    <w:rsid w:val="003F1D23"/>
    <w:rsid w:val="003F2210"/>
    <w:rsid w:val="003F2960"/>
    <w:rsid w:val="003F2A86"/>
    <w:rsid w:val="003F34DA"/>
    <w:rsid w:val="003F36F2"/>
    <w:rsid w:val="003F3FA4"/>
    <w:rsid w:val="003F4C56"/>
    <w:rsid w:val="003F50D7"/>
    <w:rsid w:val="003F535C"/>
    <w:rsid w:val="003F5550"/>
    <w:rsid w:val="003F5801"/>
    <w:rsid w:val="003F5BAB"/>
    <w:rsid w:val="003F7196"/>
    <w:rsid w:val="003F72E9"/>
    <w:rsid w:val="004003B2"/>
    <w:rsid w:val="004003BB"/>
    <w:rsid w:val="004008AF"/>
    <w:rsid w:val="00400B5F"/>
    <w:rsid w:val="00400CD2"/>
    <w:rsid w:val="00400F6D"/>
    <w:rsid w:val="00401DBF"/>
    <w:rsid w:val="0040237C"/>
    <w:rsid w:val="00402E01"/>
    <w:rsid w:val="004033D9"/>
    <w:rsid w:val="00403533"/>
    <w:rsid w:val="0040373A"/>
    <w:rsid w:val="00403F14"/>
    <w:rsid w:val="004040F4"/>
    <w:rsid w:val="00404379"/>
    <w:rsid w:val="00404680"/>
    <w:rsid w:val="00404A94"/>
    <w:rsid w:val="00404D10"/>
    <w:rsid w:val="0040551F"/>
    <w:rsid w:val="0040586D"/>
    <w:rsid w:val="00406027"/>
    <w:rsid w:val="0040771F"/>
    <w:rsid w:val="0041028F"/>
    <w:rsid w:val="004111F7"/>
    <w:rsid w:val="0041145A"/>
    <w:rsid w:val="0041217D"/>
    <w:rsid w:val="00412339"/>
    <w:rsid w:val="004125C6"/>
    <w:rsid w:val="0041275F"/>
    <w:rsid w:val="00412D7C"/>
    <w:rsid w:val="0041322B"/>
    <w:rsid w:val="004132F1"/>
    <w:rsid w:val="00413649"/>
    <w:rsid w:val="00414E06"/>
    <w:rsid w:val="004156D9"/>
    <w:rsid w:val="0041625F"/>
    <w:rsid w:val="00416A09"/>
    <w:rsid w:val="00417EB0"/>
    <w:rsid w:val="004209E8"/>
    <w:rsid w:val="00421A89"/>
    <w:rsid w:val="00421D9B"/>
    <w:rsid w:val="00421EBC"/>
    <w:rsid w:val="004225DB"/>
    <w:rsid w:val="0042304B"/>
    <w:rsid w:val="00424084"/>
    <w:rsid w:val="00424356"/>
    <w:rsid w:val="0042522D"/>
    <w:rsid w:val="004259C4"/>
    <w:rsid w:val="00426405"/>
    <w:rsid w:val="004267D6"/>
    <w:rsid w:val="004273AD"/>
    <w:rsid w:val="004305AE"/>
    <w:rsid w:val="0043085D"/>
    <w:rsid w:val="00431173"/>
    <w:rsid w:val="004317C4"/>
    <w:rsid w:val="00431800"/>
    <w:rsid w:val="0043193A"/>
    <w:rsid w:val="00432072"/>
    <w:rsid w:val="00433541"/>
    <w:rsid w:val="004336E0"/>
    <w:rsid w:val="00433F9E"/>
    <w:rsid w:val="004344E7"/>
    <w:rsid w:val="00434F86"/>
    <w:rsid w:val="0043568A"/>
    <w:rsid w:val="00436514"/>
    <w:rsid w:val="00436584"/>
    <w:rsid w:val="004366B3"/>
    <w:rsid w:val="00436C48"/>
    <w:rsid w:val="00436E3E"/>
    <w:rsid w:val="00437216"/>
    <w:rsid w:val="00440164"/>
    <w:rsid w:val="00440ABD"/>
    <w:rsid w:val="0044190B"/>
    <w:rsid w:val="00442231"/>
    <w:rsid w:val="004423F7"/>
    <w:rsid w:val="00442A42"/>
    <w:rsid w:val="00442A49"/>
    <w:rsid w:val="00443BEA"/>
    <w:rsid w:val="00445BD9"/>
    <w:rsid w:val="00445E03"/>
    <w:rsid w:val="00446707"/>
    <w:rsid w:val="0044690B"/>
    <w:rsid w:val="00446BBE"/>
    <w:rsid w:val="0044782C"/>
    <w:rsid w:val="00447AB3"/>
    <w:rsid w:val="0045093D"/>
    <w:rsid w:val="00451645"/>
    <w:rsid w:val="004518F1"/>
    <w:rsid w:val="004519AF"/>
    <w:rsid w:val="00451F5A"/>
    <w:rsid w:val="00452169"/>
    <w:rsid w:val="0045278F"/>
    <w:rsid w:val="00453D6D"/>
    <w:rsid w:val="0045410D"/>
    <w:rsid w:val="004542E2"/>
    <w:rsid w:val="00454331"/>
    <w:rsid w:val="0045434B"/>
    <w:rsid w:val="00454F8E"/>
    <w:rsid w:val="00455795"/>
    <w:rsid w:val="004561BE"/>
    <w:rsid w:val="004565DA"/>
    <w:rsid w:val="0045669D"/>
    <w:rsid w:val="00456F26"/>
    <w:rsid w:val="004570C7"/>
    <w:rsid w:val="00457D7A"/>
    <w:rsid w:val="00460202"/>
    <w:rsid w:val="00460290"/>
    <w:rsid w:val="0046040B"/>
    <w:rsid w:val="00460862"/>
    <w:rsid w:val="00460E5A"/>
    <w:rsid w:val="00460ED2"/>
    <w:rsid w:val="00461116"/>
    <w:rsid w:val="0046115A"/>
    <w:rsid w:val="0046160D"/>
    <w:rsid w:val="00461D85"/>
    <w:rsid w:val="00462243"/>
    <w:rsid w:val="00462778"/>
    <w:rsid w:val="00462B30"/>
    <w:rsid w:val="00462DFF"/>
    <w:rsid w:val="00463B6A"/>
    <w:rsid w:val="00464670"/>
    <w:rsid w:val="00464F6C"/>
    <w:rsid w:val="00464FDF"/>
    <w:rsid w:val="00466856"/>
    <w:rsid w:val="004669BA"/>
    <w:rsid w:val="004714D0"/>
    <w:rsid w:val="00471D0D"/>
    <w:rsid w:val="0047239E"/>
    <w:rsid w:val="004737DA"/>
    <w:rsid w:val="00473E25"/>
    <w:rsid w:val="00473E8B"/>
    <w:rsid w:val="0047443E"/>
    <w:rsid w:val="00474957"/>
    <w:rsid w:val="00474E01"/>
    <w:rsid w:val="004762F2"/>
    <w:rsid w:val="004765B2"/>
    <w:rsid w:val="004768E0"/>
    <w:rsid w:val="004769A1"/>
    <w:rsid w:val="00476ADB"/>
    <w:rsid w:val="00481858"/>
    <w:rsid w:val="00482804"/>
    <w:rsid w:val="00482B47"/>
    <w:rsid w:val="0048323E"/>
    <w:rsid w:val="0048344C"/>
    <w:rsid w:val="00484D20"/>
    <w:rsid w:val="00484DC5"/>
    <w:rsid w:val="00485675"/>
    <w:rsid w:val="00485959"/>
    <w:rsid w:val="00485F9D"/>
    <w:rsid w:val="00486398"/>
    <w:rsid w:val="00486778"/>
    <w:rsid w:val="004872A7"/>
    <w:rsid w:val="00487C85"/>
    <w:rsid w:val="00487E8E"/>
    <w:rsid w:val="00490DC4"/>
    <w:rsid w:val="0049136B"/>
    <w:rsid w:val="00491773"/>
    <w:rsid w:val="004917CD"/>
    <w:rsid w:val="00491B22"/>
    <w:rsid w:val="00492183"/>
    <w:rsid w:val="00492C95"/>
    <w:rsid w:val="00493483"/>
    <w:rsid w:val="004935AF"/>
    <w:rsid w:val="00494693"/>
    <w:rsid w:val="004946B4"/>
    <w:rsid w:val="0049475A"/>
    <w:rsid w:val="00494F64"/>
    <w:rsid w:val="0049616A"/>
    <w:rsid w:val="00496DA9"/>
    <w:rsid w:val="0049705F"/>
    <w:rsid w:val="00497B9F"/>
    <w:rsid w:val="00497E02"/>
    <w:rsid w:val="004A0864"/>
    <w:rsid w:val="004A0FB4"/>
    <w:rsid w:val="004A2084"/>
    <w:rsid w:val="004A3A0C"/>
    <w:rsid w:val="004A3A41"/>
    <w:rsid w:val="004A3EF9"/>
    <w:rsid w:val="004A42B5"/>
    <w:rsid w:val="004A4430"/>
    <w:rsid w:val="004A4FDF"/>
    <w:rsid w:val="004A51D5"/>
    <w:rsid w:val="004A5489"/>
    <w:rsid w:val="004A5773"/>
    <w:rsid w:val="004A578F"/>
    <w:rsid w:val="004A5E73"/>
    <w:rsid w:val="004A758A"/>
    <w:rsid w:val="004A7978"/>
    <w:rsid w:val="004A7A52"/>
    <w:rsid w:val="004B032A"/>
    <w:rsid w:val="004B04BB"/>
    <w:rsid w:val="004B0DE1"/>
    <w:rsid w:val="004B0F73"/>
    <w:rsid w:val="004B108B"/>
    <w:rsid w:val="004B132E"/>
    <w:rsid w:val="004B1713"/>
    <w:rsid w:val="004B19FE"/>
    <w:rsid w:val="004B1B4F"/>
    <w:rsid w:val="004B222A"/>
    <w:rsid w:val="004B2A03"/>
    <w:rsid w:val="004B2A4D"/>
    <w:rsid w:val="004B2F45"/>
    <w:rsid w:val="004B3098"/>
    <w:rsid w:val="004B3326"/>
    <w:rsid w:val="004B33A4"/>
    <w:rsid w:val="004B33C2"/>
    <w:rsid w:val="004B4099"/>
    <w:rsid w:val="004B4214"/>
    <w:rsid w:val="004B43B8"/>
    <w:rsid w:val="004B5557"/>
    <w:rsid w:val="004B6544"/>
    <w:rsid w:val="004B689D"/>
    <w:rsid w:val="004B6A9C"/>
    <w:rsid w:val="004B70FA"/>
    <w:rsid w:val="004B7351"/>
    <w:rsid w:val="004B75B3"/>
    <w:rsid w:val="004C005C"/>
    <w:rsid w:val="004C027A"/>
    <w:rsid w:val="004C065A"/>
    <w:rsid w:val="004C08BE"/>
    <w:rsid w:val="004C0E97"/>
    <w:rsid w:val="004C1892"/>
    <w:rsid w:val="004C1E15"/>
    <w:rsid w:val="004C2FB0"/>
    <w:rsid w:val="004C383E"/>
    <w:rsid w:val="004C3A19"/>
    <w:rsid w:val="004C48C8"/>
    <w:rsid w:val="004C4D49"/>
    <w:rsid w:val="004C5517"/>
    <w:rsid w:val="004C5637"/>
    <w:rsid w:val="004C598D"/>
    <w:rsid w:val="004C633E"/>
    <w:rsid w:val="004C6A1D"/>
    <w:rsid w:val="004C6ECE"/>
    <w:rsid w:val="004C7018"/>
    <w:rsid w:val="004C78D2"/>
    <w:rsid w:val="004C7B20"/>
    <w:rsid w:val="004D2810"/>
    <w:rsid w:val="004D2C16"/>
    <w:rsid w:val="004D37C5"/>
    <w:rsid w:val="004D3897"/>
    <w:rsid w:val="004D4425"/>
    <w:rsid w:val="004D483C"/>
    <w:rsid w:val="004D4F5A"/>
    <w:rsid w:val="004D580E"/>
    <w:rsid w:val="004D6327"/>
    <w:rsid w:val="004D68D0"/>
    <w:rsid w:val="004D77B1"/>
    <w:rsid w:val="004D7B52"/>
    <w:rsid w:val="004E0257"/>
    <w:rsid w:val="004E08F0"/>
    <w:rsid w:val="004E0F1B"/>
    <w:rsid w:val="004E11CB"/>
    <w:rsid w:val="004E1FA4"/>
    <w:rsid w:val="004E2235"/>
    <w:rsid w:val="004E26A0"/>
    <w:rsid w:val="004E2BD6"/>
    <w:rsid w:val="004E337D"/>
    <w:rsid w:val="004E3890"/>
    <w:rsid w:val="004E4755"/>
    <w:rsid w:val="004E4AEA"/>
    <w:rsid w:val="004E5871"/>
    <w:rsid w:val="004E5DD0"/>
    <w:rsid w:val="004E600D"/>
    <w:rsid w:val="004E6657"/>
    <w:rsid w:val="004E6E88"/>
    <w:rsid w:val="004E7BBE"/>
    <w:rsid w:val="004F065A"/>
    <w:rsid w:val="004F0BC3"/>
    <w:rsid w:val="004F13DF"/>
    <w:rsid w:val="004F1AC1"/>
    <w:rsid w:val="004F20FB"/>
    <w:rsid w:val="004F23A5"/>
    <w:rsid w:val="004F2A57"/>
    <w:rsid w:val="004F2E0B"/>
    <w:rsid w:val="004F3150"/>
    <w:rsid w:val="004F326F"/>
    <w:rsid w:val="004F5040"/>
    <w:rsid w:val="004F55A0"/>
    <w:rsid w:val="004F6033"/>
    <w:rsid w:val="004F6639"/>
    <w:rsid w:val="004F6AD3"/>
    <w:rsid w:val="004F75AB"/>
    <w:rsid w:val="004F7991"/>
    <w:rsid w:val="005004E7"/>
    <w:rsid w:val="00500EC3"/>
    <w:rsid w:val="0050132A"/>
    <w:rsid w:val="00501386"/>
    <w:rsid w:val="00501BD9"/>
    <w:rsid w:val="00501C25"/>
    <w:rsid w:val="00501C70"/>
    <w:rsid w:val="00502687"/>
    <w:rsid w:val="005027A6"/>
    <w:rsid w:val="005028D2"/>
    <w:rsid w:val="00502DAE"/>
    <w:rsid w:val="00502FFB"/>
    <w:rsid w:val="00503093"/>
    <w:rsid w:val="005038A0"/>
    <w:rsid w:val="00503D09"/>
    <w:rsid w:val="00504518"/>
    <w:rsid w:val="00504A82"/>
    <w:rsid w:val="0050567B"/>
    <w:rsid w:val="00505E19"/>
    <w:rsid w:val="0050763A"/>
    <w:rsid w:val="005103C5"/>
    <w:rsid w:val="0051053E"/>
    <w:rsid w:val="005105F7"/>
    <w:rsid w:val="005107FD"/>
    <w:rsid w:val="00510AAC"/>
    <w:rsid w:val="00510B1B"/>
    <w:rsid w:val="0051124B"/>
    <w:rsid w:val="00511322"/>
    <w:rsid w:val="00512141"/>
    <w:rsid w:val="005128A1"/>
    <w:rsid w:val="005131D3"/>
    <w:rsid w:val="005133CC"/>
    <w:rsid w:val="005133DC"/>
    <w:rsid w:val="0051352C"/>
    <w:rsid w:val="005144A0"/>
    <w:rsid w:val="00514787"/>
    <w:rsid w:val="00514FC2"/>
    <w:rsid w:val="005151BF"/>
    <w:rsid w:val="00515BFA"/>
    <w:rsid w:val="00515C1E"/>
    <w:rsid w:val="00516589"/>
    <w:rsid w:val="00517A86"/>
    <w:rsid w:val="005207A6"/>
    <w:rsid w:val="0052147C"/>
    <w:rsid w:val="00521D08"/>
    <w:rsid w:val="005220AD"/>
    <w:rsid w:val="005221D9"/>
    <w:rsid w:val="005222D8"/>
    <w:rsid w:val="00522D68"/>
    <w:rsid w:val="005233AD"/>
    <w:rsid w:val="0052349D"/>
    <w:rsid w:val="00524BE8"/>
    <w:rsid w:val="005251EA"/>
    <w:rsid w:val="0052544D"/>
    <w:rsid w:val="0052575D"/>
    <w:rsid w:val="00526AE4"/>
    <w:rsid w:val="00526C92"/>
    <w:rsid w:val="00526F05"/>
    <w:rsid w:val="005275FC"/>
    <w:rsid w:val="0052768C"/>
    <w:rsid w:val="00527DE2"/>
    <w:rsid w:val="00530896"/>
    <w:rsid w:val="005310AF"/>
    <w:rsid w:val="005314AF"/>
    <w:rsid w:val="00531904"/>
    <w:rsid w:val="00531DCF"/>
    <w:rsid w:val="00532ABD"/>
    <w:rsid w:val="0053315C"/>
    <w:rsid w:val="005342C3"/>
    <w:rsid w:val="00534468"/>
    <w:rsid w:val="005345E5"/>
    <w:rsid w:val="00534799"/>
    <w:rsid w:val="005348F7"/>
    <w:rsid w:val="00536061"/>
    <w:rsid w:val="005362F5"/>
    <w:rsid w:val="005367C1"/>
    <w:rsid w:val="005369B8"/>
    <w:rsid w:val="00536E39"/>
    <w:rsid w:val="00536F49"/>
    <w:rsid w:val="0053725B"/>
    <w:rsid w:val="00537DC5"/>
    <w:rsid w:val="005408D1"/>
    <w:rsid w:val="00540C57"/>
    <w:rsid w:val="00540EE9"/>
    <w:rsid w:val="00541BD5"/>
    <w:rsid w:val="005432CB"/>
    <w:rsid w:val="005446A8"/>
    <w:rsid w:val="005458A1"/>
    <w:rsid w:val="00545A64"/>
    <w:rsid w:val="00546190"/>
    <w:rsid w:val="00547087"/>
    <w:rsid w:val="00550A60"/>
    <w:rsid w:val="00550DEE"/>
    <w:rsid w:val="00550F87"/>
    <w:rsid w:val="00552901"/>
    <w:rsid w:val="00552949"/>
    <w:rsid w:val="005531BD"/>
    <w:rsid w:val="005532F2"/>
    <w:rsid w:val="00553865"/>
    <w:rsid w:val="00553E2C"/>
    <w:rsid w:val="00554ADF"/>
    <w:rsid w:val="00555041"/>
    <w:rsid w:val="00555613"/>
    <w:rsid w:val="00555E82"/>
    <w:rsid w:val="00555F7D"/>
    <w:rsid w:val="005567B2"/>
    <w:rsid w:val="00556B3F"/>
    <w:rsid w:val="00557460"/>
    <w:rsid w:val="00557870"/>
    <w:rsid w:val="00557885"/>
    <w:rsid w:val="00560277"/>
    <w:rsid w:val="005604DF"/>
    <w:rsid w:val="00560938"/>
    <w:rsid w:val="00560AF1"/>
    <w:rsid w:val="00560DB8"/>
    <w:rsid w:val="00561562"/>
    <w:rsid w:val="00561867"/>
    <w:rsid w:val="00561AFD"/>
    <w:rsid w:val="00562122"/>
    <w:rsid w:val="00562616"/>
    <w:rsid w:val="0056318B"/>
    <w:rsid w:val="005638DB"/>
    <w:rsid w:val="00563AF2"/>
    <w:rsid w:val="00563CE2"/>
    <w:rsid w:val="00563DD3"/>
    <w:rsid w:val="00563DE6"/>
    <w:rsid w:val="005641FC"/>
    <w:rsid w:val="00564748"/>
    <w:rsid w:val="0056495D"/>
    <w:rsid w:val="005649FD"/>
    <w:rsid w:val="00565105"/>
    <w:rsid w:val="0056528D"/>
    <w:rsid w:val="005660B5"/>
    <w:rsid w:val="0056628B"/>
    <w:rsid w:val="00566298"/>
    <w:rsid w:val="00566E2A"/>
    <w:rsid w:val="00566EB1"/>
    <w:rsid w:val="0056705A"/>
    <w:rsid w:val="00570558"/>
    <w:rsid w:val="0057091E"/>
    <w:rsid w:val="00570996"/>
    <w:rsid w:val="005715AB"/>
    <w:rsid w:val="005723D6"/>
    <w:rsid w:val="005728DC"/>
    <w:rsid w:val="005730DD"/>
    <w:rsid w:val="00573545"/>
    <w:rsid w:val="00573572"/>
    <w:rsid w:val="0057398D"/>
    <w:rsid w:val="00573E8A"/>
    <w:rsid w:val="00574A6E"/>
    <w:rsid w:val="00575537"/>
    <w:rsid w:val="00575F22"/>
    <w:rsid w:val="00576163"/>
    <w:rsid w:val="00576868"/>
    <w:rsid w:val="00576B7C"/>
    <w:rsid w:val="0057712D"/>
    <w:rsid w:val="00577145"/>
    <w:rsid w:val="005772B5"/>
    <w:rsid w:val="005772DB"/>
    <w:rsid w:val="005773BE"/>
    <w:rsid w:val="00577474"/>
    <w:rsid w:val="00577706"/>
    <w:rsid w:val="0057798B"/>
    <w:rsid w:val="00580453"/>
    <w:rsid w:val="005814FD"/>
    <w:rsid w:val="00582365"/>
    <w:rsid w:val="0058247D"/>
    <w:rsid w:val="00582796"/>
    <w:rsid w:val="00583466"/>
    <w:rsid w:val="00583BA2"/>
    <w:rsid w:val="00583C10"/>
    <w:rsid w:val="00584300"/>
    <w:rsid w:val="00584750"/>
    <w:rsid w:val="005849CA"/>
    <w:rsid w:val="0058556B"/>
    <w:rsid w:val="00585C1B"/>
    <w:rsid w:val="00585DBF"/>
    <w:rsid w:val="00587639"/>
    <w:rsid w:val="0059021A"/>
    <w:rsid w:val="005902B4"/>
    <w:rsid w:val="00590D18"/>
    <w:rsid w:val="005916A7"/>
    <w:rsid w:val="005920DD"/>
    <w:rsid w:val="0059261B"/>
    <w:rsid w:val="00592638"/>
    <w:rsid w:val="0059311E"/>
    <w:rsid w:val="00593138"/>
    <w:rsid w:val="00593A33"/>
    <w:rsid w:val="00593BA6"/>
    <w:rsid w:val="005945E0"/>
    <w:rsid w:val="005947B5"/>
    <w:rsid w:val="005948C6"/>
    <w:rsid w:val="0059569D"/>
    <w:rsid w:val="005960BB"/>
    <w:rsid w:val="005962D0"/>
    <w:rsid w:val="00596B3E"/>
    <w:rsid w:val="0059714D"/>
    <w:rsid w:val="00597407"/>
    <w:rsid w:val="005A0496"/>
    <w:rsid w:val="005A0665"/>
    <w:rsid w:val="005A06CC"/>
    <w:rsid w:val="005A0D7A"/>
    <w:rsid w:val="005A1DAE"/>
    <w:rsid w:val="005A2E09"/>
    <w:rsid w:val="005A3B56"/>
    <w:rsid w:val="005A4047"/>
    <w:rsid w:val="005A40C0"/>
    <w:rsid w:val="005A4384"/>
    <w:rsid w:val="005A4CC0"/>
    <w:rsid w:val="005A50AD"/>
    <w:rsid w:val="005A6F59"/>
    <w:rsid w:val="005A7012"/>
    <w:rsid w:val="005A7424"/>
    <w:rsid w:val="005A79EF"/>
    <w:rsid w:val="005A7A5E"/>
    <w:rsid w:val="005B05B5"/>
    <w:rsid w:val="005B0863"/>
    <w:rsid w:val="005B0E21"/>
    <w:rsid w:val="005B11BA"/>
    <w:rsid w:val="005B127F"/>
    <w:rsid w:val="005B1C07"/>
    <w:rsid w:val="005B1E02"/>
    <w:rsid w:val="005B2371"/>
    <w:rsid w:val="005B2AFA"/>
    <w:rsid w:val="005B3432"/>
    <w:rsid w:val="005B3484"/>
    <w:rsid w:val="005B3BD6"/>
    <w:rsid w:val="005B3DB8"/>
    <w:rsid w:val="005B4790"/>
    <w:rsid w:val="005B493E"/>
    <w:rsid w:val="005B4ADF"/>
    <w:rsid w:val="005B5059"/>
    <w:rsid w:val="005B67CC"/>
    <w:rsid w:val="005B71BB"/>
    <w:rsid w:val="005B79D2"/>
    <w:rsid w:val="005B7D6C"/>
    <w:rsid w:val="005C032B"/>
    <w:rsid w:val="005C0693"/>
    <w:rsid w:val="005C0839"/>
    <w:rsid w:val="005C1A3E"/>
    <w:rsid w:val="005C1E86"/>
    <w:rsid w:val="005C2198"/>
    <w:rsid w:val="005C28F1"/>
    <w:rsid w:val="005C3096"/>
    <w:rsid w:val="005C38E8"/>
    <w:rsid w:val="005C3B08"/>
    <w:rsid w:val="005C4204"/>
    <w:rsid w:val="005C4379"/>
    <w:rsid w:val="005C4ECA"/>
    <w:rsid w:val="005C5159"/>
    <w:rsid w:val="005C52FB"/>
    <w:rsid w:val="005C63DB"/>
    <w:rsid w:val="005C6725"/>
    <w:rsid w:val="005C71F5"/>
    <w:rsid w:val="005C7215"/>
    <w:rsid w:val="005C7217"/>
    <w:rsid w:val="005C73C4"/>
    <w:rsid w:val="005D00EA"/>
    <w:rsid w:val="005D023B"/>
    <w:rsid w:val="005D02C4"/>
    <w:rsid w:val="005D04A8"/>
    <w:rsid w:val="005D16F5"/>
    <w:rsid w:val="005D1C48"/>
    <w:rsid w:val="005D1D23"/>
    <w:rsid w:val="005D2304"/>
    <w:rsid w:val="005D24C8"/>
    <w:rsid w:val="005D2FC3"/>
    <w:rsid w:val="005D3A04"/>
    <w:rsid w:val="005D432C"/>
    <w:rsid w:val="005D452F"/>
    <w:rsid w:val="005D48FE"/>
    <w:rsid w:val="005D521D"/>
    <w:rsid w:val="005D7471"/>
    <w:rsid w:val="005D749D"/>
    <w:rsid w:val="005D756A"/>
    <w:rsid w:val="005D766A"/>
    <w:rsid w:val="005E089B"/>
    <w:rsid w:val="005E09B2"/>
    <w:rsid w:val="005E0C4F"/>
    <w:rsid w:val="005E1DA9"/>
    <w:rsid w:val="005E2247"/>
    <w:rsid w:val="005E2702"/>
    <w:rsid w:val="005E39E7"/>
    <w:rsid w:val="005E3EED"/>
    <w:rsid w:val="005E40FB"/>
    <w:rsid w:val="005E41DE"/>
    <w:rsid w:val="005E4EDA"/>
    <w:rsid w:val="005E5874"/>
    <w:rsid w:val="005E5ADE"/>
    <w:rsid w:val="005E75D5"/>
    <w:rsid w:val="005F1555"/>
    <w:rsid w:val="005F258A"/>
    <w:rsid w:val="005F2978"/>
    <w:rsid w:val="005F3697"/>
    <w:rsid w:val="005F39A6"/>
    <w:rsid w:val="005F4721"/>
    <w:rsid w:val="005F4E85"/>
    <w:rsid w:val="005F56FD"/>
    <w:rsid w:val="005F6CED"/>
    <w:rsid w:val="005F720A"/>
    <w:rsid w:val="006008E5"/>
    <w:rsid w:val="00600E68"/>
    <w:rsid w:val="00601856"/>
    <w:rsid w:val="00602A6F"/>
    <w:rsid w:val="00602F43"/>
    <w:rsid w:val="00603665"/>
    <w:rsid w:val="00603B08"/>
    <w:rsid w:val="006043B2"/>
    <w:rsid w:val="00604549"/>
    <w:rsid w:val="00604559"/>
    <w:rsid w:val="00605005"/>
    <w:rsid w:val="006055E0"/>
    <w:rsid w:val="00605776"/>
    <w:rsid w:val="0060582E"/>
    <w:rsid w:val="0060603C"/>
    <w:rsid w:val="0060610A"/>
    <w:rsid w:val="00606AA0"/>
    <w:rsid w:val="006072C8"/>
    <w:rsid w:val="00607430"/>
    <w:rsid w:val="00607791"/>
    <w:rsid w:val="00607B03"/>
    <w:rsid w:val="00610162"/>
    <w:rsid w:val="00610A85"/>
    <w:rsid w:val="00610ABA"/>
    <w:rsid w:val="006113DB"/>
    <w:rsid w:val="0061210B"/>
    <w:rsid w:val="0061222E"/>
    <w:rsid w:val="00612957"/>
    <w:rsid w:val="00613037"/>
    <w:rsid w:val="006135AB"/>
    <w:rsid w:val="006138E4"/>
    <w:rsid w:val="00613AD3"/>
    <w:rsid w:val="00613E02"/>
    <w:rsid w:val="006142C6"/>
    <w:rsid w:val="00614338"/>
    <w:rsid w:val="006144F6"/>
    <w:rsid w:val="00614D1C"/>
    <w:rsid w:val="0061509D"/>
    <w:rsid w:val="00615D8A"/>
    <w:rsid w:val="00616407"/>
    <w:rsid w:val="00616F18"/>
    <w:rsid w:val="00616F57"/>
    <w:rsid w:val="00620E5A"/>
    <w:rsid w:val="006211DA"/>
    <w:rsid w:val="00622186"/>
    <w:rsid w:val="0062233A"/>
    <w:rsid w:val="00622CA3"/>
    <w:rsid w:val="00622CAD"/>
    <w:rsid w:val="00622CF8"/>
    <w:rsid w:val="006236DF"/>
    <w:rsid w:val="00624CB1"/>
    <w:rsid w:val="006250E9"/>
    <w:rsid w:val="006255AB"/>
    <w:rsid w:val="00626520"/>
    <w:rsid w:val="00627F46"/>
    <w:rsid w:val="00630A53"/>
    <w:rsid w:val="00630B3B"/>
    <w:rsid w:val="00630FDB"/>
    <w:rsid w:val="00631070"/>
    <w:rsid w:val="00631568"/>
    <w:rsid w:val="0063231E"/>
    <w:rsid w:val="00633634"/>
    <w:rsid w:val="006336E2"/>
    <w:rsid w:val="00633B2F"/>
    <w:rsid w:val="00634528"/>
    <w:rsid w:val="006370D6"/>
    <w:rsid w:val="00637EE5"/>
    <w:rsid w:val="006403CC"/>
    <w:rsid w:val="00640530"/>
    <w:rsid w:val="00640B04"/>
    <w:rsid w:val="00640C31"/>
    <w:rsid w:val="00642649"/>
    <w:rsid w:val="0064264C"/>
    <w:rsid w:val="00642A10"/>
    <w:rsid w:val="00643226"/>
    <w:rsid w:val="0064322A"/>
    <w:rsid w:val="0064392E"/>
    <w:rsid w:val="006440AD"/>
    <w:rsid w:val="0064457D"/>
    <w:rsid w:val="006445E8"/>
    <w:rsid w:val="00644F3D"/>
    <w:rsid w:val="00644FA1"/>
    <w:rsid w:val="006459A5"/>
    <w:rsid w:val="006459EF"/>
    <w:rsid w:val="00646003"/>
    <w:rsid w:val="006463ED"/>
    <w:rsid w:val="006465F3"/>
    <w:rsid w:val="006470D5"/>
    <w:rsid w:val="00647D8D"/>
    <w:rsid w:val="00647DC1"/>
    <w:rsid w:val="00650007"/>
    <w:rsid w:val="0065245F"/>
    <w:rsid w:val="006533E6"/>
    <w:rsid w:val="006534BF"/>
    <w:rsid w:val="006537D7"/>
    <w:rsid w:val="00653AE8"/>
    <w:rsid w:val="0065444A"/>
    <w:rsid w:val="00654F68"/>
    <w:rsid w:val="00655CF9"/>
    <w:rsid w:val="00655D45"/>
    <w:rsid w:val="006564E3"/>
    <w:rsid w:val="00656E22"/>
    <w:rsid w:val="0065714C"/>
    <w:rsid w:val="0066020F"/>
    <w:rsid w:val="00660A74"/>
    <w:rsid w:val="00660C9A"/>
    <w:rsid w:val="006610CD"/>
    <w:rsid w:val="006616F2"/>
    <w:rsid w:val="0066262F"/>
    <w:rsid w:val="00662E5F"/>
    <w:rsid w:val="00663A80"/>
    <w:rsid w:val="00664434"/>
    <w:rsid w:val="0066561F"/>
    <w:rsid w:val="00665DB4"/>
    <w:rsid w:val="00666A58"/>
    <w:rsid w:val="006677D3"/>
    <w:rsid w:val="00667CC1"/>
    <w:rsid w:val="00670088"/>
    <w:rsid w:val="00670650"/>
    <w:rsid w:val="006712C0"/>
    <w:rsid w:val="006716EB"/>
    <w:rsid w:val="00671D85"/>
    <w:rsid w:val="00672B18"/>
    <w:rsid w:val="00673819"/>
    <w:rsid w:val="00673941"/>
    <w:rsid w:val="006744AC"/>
    <w:rsid w:val="00674961"/>
    <w:rsid w:val="00674C7D"/>
    <w:rsid w:val="00675181"/>
    <w:rsid w:val="00675280"/>
    <w:rsid w:val="00675722"/>
    <w:rsid w:val="00675CBE"/>
    <w:rsid w:val="006772ED"/>
    <w:rsid w:val="0067742B"/>
    <w:rsid w:val="00680394"/>
    <w:rsid w:val="00680A05"/>
    <w:rsid w:val="00680B40"/>
    <w:rsid w:val="00680DED"/>
    <w:rsid w:val="00681420"/>
    <w:rsid w:val="00681EC9"/>
    <w:rsid w:val="006822FA"/>
    <w:rsid w:val="0068288C"/>
    <w:rsid w:val="00682FF5"/>
    <w:rsid w:val="00683BDF"/>
    <w:rsid w:val="00683EB2"/>
    <w:rsid w:val="00683F36"/>
    <w:rsid w:val="00684850"/>
    <w:rsid w:val="00684DAF"/>
    <w:rsid w:val="0068537D"/>
    <w:rsid w:val="006853C7"/>
    <w:rsid w:val="00685589"/>
    <w:rsid w:val="0068574D"/>
    <w:rsid w:val="0068682C"/>
    <w:rsid w:val="00686E13"/>
    <w:rsid w:val="00687E52"/>
    <w:rsid w:val="00687FC0"/>
    <w:rsid w:val="0069041C"/>
    <w:rsid w:val="00691218"/>
    <w:rsid w:val="006926A1"/>
    <w:rsid w:val="0069385B"/>
    <w:rsid w:val="006938AA"/>
    <w:rsid w:val="00693965"/>
    <w:rsid w:val="0069398F"/>
    <w:rsid w:val="00693A33"/>
    <w:rsid w:val="00694202"/>
    <w:rsid w:val="0069474B"/>
    <w:rsid w:val="0069475D"/>
    <w:rsid w:val="00696012"/>
    <w:rsid w:val="00697472"/>
    <w:rsid w:val="00697966"/>
    <w:rsid w:val="00697E20"/>
    <w:rsid w:val="006A001C"/>
    <w:rsid w:val="006A1B0D"/>
    <w:rsid w:val="006A2909"/>
    <w:rsid w:val="006A2D0C"/>
    <w:rsid w:val="006A3A2B"/>
    <w:rsid w:val="006A3F68"/>
    <w:rsid w:val="006A453B"/>
    <w:rsid w:val="006A48C0"/>
    <w:rsid w:val="006A498D"/>
    <w:rsid w:val="006A4F06"/>
    <w:rsid w:val="006A537B"/>
    <w:rsid w:val="006A585F"/>
    <w:rsid w:val="006A67A8"/>
    <w:rsid w:val="006A6B90"/>
    <w:rsid w:val="006A6BF1"/>
    <w:rsid w:val="006A6E20"/>
    <w:rsid w:val="006A74CB"/>
    <w:rsid w:val="006B016B"/>
    <w:rsid w:val="006B045A"/>
    <w:rsid w:val="006B171E"/>
    <w:rsid w:val="006B20B2"/>
    <w:rsid w:val="006B21AC"/>
    <w:rsid w:val="006B2BC1"/>
    <w:rsid w:val="006B3032"/>
    <w:rsid w:val="006B4746"/>
    <w:rsid w:val="006B49DF"/>
    <w:rsid w:val="006B4B4A"/>
    <w:rsid w:val="006B55A5"/>
    <w:rsid w:val="006B5FC8"/>
    <w:rsid w:val="006B68E5"/>
    <w:rsid w:val="006B75C6"/>
    <w:rsid w:val="006B77F6"/>
    <w:rsid w:val="006B7D5B"/>
    <w:rsid w:val="006C10B1"/>
    <w:rsid w:val="006C22E1"/>
    <w:rsid w:val="006C23C0"/>
    <w:rsid w:val="006C2B75"/>
    <w:rsid w:val="006C2C7B"/>
    <w:rsid w:val="006C2CC0"/>
    <w:rsid w:val="006C352C"/>
    <w:rsid w:val="006C354C"/>
    <w:rsid w:val="006C3B20"/>
    <w:rsid w:val="006C3B3A"/>
    <w:rsid w:val="006C3B76"/>
    <w:rsid w:val="006C425E"/>
    <w:rsid w:val="006C4416"/>
    <w:rsid w:val="006C4572"/>
    <w:rsid w:val="006C56BE"/>
    <w:rsid w:val="006C5DFB"/>
    <w:rsid w:val="006C6839"/>
    <w:rsid w:val="006C75A7"/>
    <w:rsid w:val="006C761C"/>
    <w:rsid w:val="006C7B03"/>
    <w:rsid w:val="006C7D67"/>
    <w:rsid w:val="006D0A04"/>
    <w:rsid w:val="006D0EAB"/>
    <w:rsid w:val="006D0EC2"/>
    <w:rsid w:val="006D2E82"/>
    <w:rsid w:val="006D2F16"/>
    <w:rsid w:val="006D3268"/>
    <w:rsid w:val="006D32A3"/>
    <w:rsid w:val="006D3AFA"/>
    <w:rsid w:val="006D4A62"/>
    <w:rsid w:val="006D4C72"/>
    <w:rsid w:val="006D4E4C"/>
    <w:rsid w:val="006D5585"/>
    <w:rsid w:val="006D5F76"/>
    <w:rsid w:val="006D6CD4"/>
    <w:rsid w:val="006D6D96"/>
    <w:rsid w:val="006D70F9"/>
    <w:rsid w:val="006D7211"/>
    <w:rsid w:val="006D72A6"/>
    <w:rsid w:val="006D742C"/>
    <w:rsid w:val="006D743B"/>
    <w:rsid w:val="006D75C8"/>
    <w:rsid w:val="006D7910"/>
    <w:rsid w:val="006D7E25"/>
    <w:rsid w:val="006E0BB1"/>
    <w:rsid w:val="006E162B"/>
    <w:rsid w:val="006E2166"/>
    <w:rsid w:val="006E2AC5"/>
    <w:rsid w:val="006E31A5"/>
    <w:rsid w:val="006E356E"/>
    <w:rsid w:val="006E3898"/>
    <w:rsid w:val="006E3B75"/>
    <w:rsid w:val="006E489C"/>
    <w:rsid w:val="006E50A8"/>
    <w:rsid w:val="006E5568"/>
    <w:rsid w:val="006E5BD7"/>
    <w:rsid w:val="006E5C31"/>
    <w:rsid w:val="006E69DF"/>
    <w:rsid w:val="006E6B7A"/>
    <w:rsid w:val="006F0383"/>
    <w:rsid w:val="006F0CB5"/>
    <w:rsid w:val="006F0D46"/>
    <w:rsid w:val="006F12F8"/>
    <w:rsid w:val="006F1D98"/>
    <w:rsid w:val="006F21C0"/>
    <w:rsid w:val="006F229B"/>
    <w:rsid w:val="006F23DD"/>
    <w:rsid w:val="006F28DF"/>
    <w:rsid w:val="006F2949"/>
    <w:rsid w:val="006F37A2"/>
    <w:rsid w:val="006F4139"/>
    <w:rsid w:val="006F419D"/>
    <w:rsid w:val="006F41C0"/>
    <w:rsid w:val="006F4FCB"/>
    <w:rsid w:val="006F5158"/>
    <w:rsid w:val="006F52C7"/>
    <w:rsid w:val="006F53C2"/>
    <w:rsid w:val="006F53F0"/>
    <w:rsid w:val="006F556D"/>
    <w:rsid w:val="006F561F"/>
    <w:rsid w:val="006F6283"/>
    <w:rsid w:val="006F7929"/>
    <w:rsid w:val="00700048"/>
    <w:rsid w:val="007001D3"/>
    <w:rsid w:val="00700246"/>
    <w:rsid w:val="00700950"/>
    <w:rsid w:val="00701136"/>
    <w:rsid w:val="007017A3"/>
    <w:rsid w:val="007025B4"/>
    <w:rsid w:val="007026A1"/>
    <w:rsid w:val="007028F3"/>
    <w:rsid w:val="0070319A"/>
    <w:rsid w:val="007039FB"/>
    <w:rsid w:val="00703CB4"/>
    <w:rsid w:val="0070417F"/>
    <w:rsid w:val="00704628"/>
    <w:rsid w:val="007050C5"/>
    <w:rsid w:val="00705420"/>
    <w:rsid w:val="007054D6"/>
    <w:rsid w:val="00705C57"/>
    <w:rsid w:val="007069D9"/>
    <w:rsid w:val="007071B7"/>
    <w:rsid w:val="00707C18"/>
    <w:rsid w:val="007102D3"/>
    <w:rsid w:val="00710334"/>
    <w:rsid w:val="007103A9"/>
    <w:rsid w:val="0071074A"/>
    <w:rsid w:val="00711010"/>
    <w:rsid w:val="00711A7F"/>
    <w:rsid w:val="00711DC5"/>
    <w:rsid w:val="0071224F"/>
    <w:rsid w:val="00712967"/>
    <w:rsid w:val="0071307C"/>
    <w:rsid w:val="00713199"/>
    <w:rsid w:val="00714B0A"/>
    <w:rsid w:val="00714C9C"/>
    <w:rsid w:val="00715D09"/>
    <w:rsid w:val="00716199"/>
    <w:rsid w:val="0071624A"/>
    <w:rsid w:val="00716AD2"/>
    <w:rsid w:val="00717973"/>
    <w:rsid w:val="00717B8D"/>
    <w:rsid w:val="00720157"/>
    <w:rsid w:val="007203CA"/>
    <w:rsid w:val="0072059D"/>
    <w:rsid w:val="00721942"/>
    <w:rsid w:val="00721AE8"/>
    <w:rsid w:val="00721D47"/>
    <w:rsid w:val="007222DF"/>
    <w:rsid w:val="0072263F"/>
    <w:rsid w:val="007226F5"/>
    <w:rsid w:val="00722BB6"/>
    <w:rsid w:val="00723845"/>
    <w:rsid w:val="00723B2C"/>
    <w:rsid w:val="007242A7"/>
    <w:rsid w:val="00724ED0"/>
    <w:rsid w:val="00724F92"/>
    <w:rsid w:val="007252FA"/>
    <w:rsid w:val="007253D6"/>
    <w:rsid w:val="0072578A"/>
    <w:rsid w:val="0072597A"/>
    <w:rsid w:val="007304C1"/>
    <w:rsid w:val="00731DBD"/>
    <w:rsid w:val="00731ED8"/>
    <w:rsid w:val="00734123"/>
    <w:rsid w:val="007344A4"/>
    <w:rsid w:val="007345AD"/>
    <w:rsid w:val="007345F6"/>
    <w:rsid w:val="00734626"/>
    <w:rsid w:val="00734E09"/>
    <w:rsid w:val="00734EAB"/>
    <w:rsid w:val="007352C9"/>
    <w:rsid w:val="00735832"/>
    <w:rsid w:val="007358D9"/>
    <w:rsid w:val="00735B37"/>
    <w:rsid w:val="00735CA1"/>
    <w:rsid w:val="0073603D"/>
    <w:rsid w:val="0073610A"/>
    <w:rsid w:val="00736B27"/>
    <w:rsid w:val="0073792C"/>
    <w:rsid w:val="00737DB2"/>
    <w:rsid w:val="007408C5"/>
    <w:rsid w:val="00740C4D"/>
    <w:rsid w:val="007412DE"/>
    <w:rsid w:val="00741456"/>
    <w:rsid w:val="00741AE0"/>
    <w:rsid w:val="00741FA5"/>
    <w:rsid w:val="0074257A"/>
    <w:rsid w:val="007428B1"/>
    <w:rsid w:val="00742BDD"/>
    <w:rsid w:val="00743407"/>
    <w:rsid w:val="00744921"/>
    <w:rsid w:val="007450C9"/>
    <w:rsid w:val="0074521B"/>
    <w:rsid w:val="00745E05"/>
    <w:rsid w:val="00745E9F"/>
    <w:rsid w:val="007464DD"/>
    <w:rsid w:val="007470D2"/>
    <w:rsid w:val="00747434"/>
    <w:rsid w:val="0074788B"/>
    <w:rsid w:val="00747F99"/>
    <w:rsid w:val="00750EEE"/>
    <w:rsid w:val="00751357"/>
    <w:rsid w:val="0075137C"/>
    <w:rsid w:val="0075216D"/>
    <w:rsid w:val="0075276C"/>
    <w:rsid w:val="0075306C"/>
    <w:rsid w:val="007530BB"/>
    <w:rsid w:val="007534C0"/>
    <w:rsid w:val="00753E4E"/>
    <w:rsid w:val="0075418A"/>
    <w:rsid w:val="007543EF"/>
    <w:rsid w:val="0075473F"/>
    <w:rsid w:val="00754AD8"/>
    <w:rsid w:val="00754F8A"/>
    <w:rsid w:val="00755150"/>
    <w:rsid w:val="007558AC"/>
    <w:rsid w:val="00755D78"/>
    <w:rsid w:val="00755F7C"/>
    <w:rsid w:val="00756574"/>
    <w:rsid w:val="00756866"/>
    <w:rsid w:val="0075791B"/>
    <w:rsid w:val="0076260D"/>
    <w:rsid w:val="00763A51"/>
    <w:rsid w:val="00763B77"/>
    <w:rsid w:val="00764B86"/>
    <w:rsid w:val="0076532B"/>
    <w:rsid w:val="00765A8B"/>
    <w:rsid w:val="00765BFF"/>
    <w:rsid w:val="0076686A"/>
    <w:rsid w:val="0076702C"/>
    <w:rsid w:val="007677DC"/>
    <w:rsid w:val="00767A86"/>
    <w:rsid w:val="00767EC4"/>
    <w:rsid w:val="00767F6C"/>
    <w:rsid w:val="00770ABD"/>
    <w:rsid w:val="00770FF0"/>
    <w:rsid w:val="00771334"/>
    <w:rsid w:val="00771AFF"/>
    <w:rsid w:val="00771CF0"/>
    <w:rsid w:val="00771DCE"/>
    <w:rsid w:val="0077273E"/>
    <w:rsid w:val="00772829"/>
    <w:rsid w:val="00773B52"/>
    <w:rsid w:val="007740B4"/>
    <w:rsid w:val="0077471C"/>
    <w:rsid w:val="00775668"/>
    <w:rsid w:val="0077647A"/>
    <w:rsid w:val="007766BA"/>
    <w:rsid w:val="007772DC"/>
    <w:rsid w:val="00777848"/>
    <w:rsid w:val="00777893"/>
    <w:rsid w:val="00777A68"/>
    <w:rsid w:val="0077E4E1"/>
    <w:rsid w:val="0078009C"/>
    <w:rsid w:val="007800B3"/>
    <w:rsid w:val="007801C1"/>
    <w:rsid w:val="007803B3"/>
    <w:rsid w:val="00781186"/>
    <w:rsid w:val="007817F8"/>
    <w:rsid w:val="00782C5A"/>
    <w:rsid w:val="00783F43"/>
    <w:rsid w:val="00784341"/>
    <w:rsid w:val="00784718"/>
    <w:rsid w:val="007848BC"/>
    <w:rsid w:val="00784AB0"/>
    <w:rsid w:val="007852E9"/>
    <w:rsid w:val="00785C17"/>
    <w:rsid w:val="00786BE0"/>
    <w:rsid w:val="00787078"/>
    <w:rsid w:val="00787F9F"/>
    <w:rsid w:val="007900CE"/>
    <w:rsid w:val="00790213"/>
    <w:rsid w:val="007909AB"/>
    <w:rsid w:val="00790B15"/>
    <w:rsid w:val="00790F49"/>
    <w:rsid w:val="007913DA"/>
    <w:rsid w:val="00791645"/>
    <w:rsid w:val="0079191A"/>
    <w:rsid w:val="00791E14"/>
    <w:rsid w:val="007921D2"/>
    <w:rsid w:val="0079237C"/>
    <w:rsid w:val="007927FE"/>
    <w:rsid w:val="00792BDF"/>
    <w:rsid w:val="007931CB"/>
    <w:rsid w:val="00793866"/>
    <w:rsid w:val="00794A20"/>
    <w:rsid w:val="00794EE2"/>
    <w:rsid w:val="007951D4"/>
    <w:rsid w:val="00795953"/>
    <w:rsid w:val="007961C3"/>
    <w:rsid w:val="00796607"/>
    <w:rsid w:val="00797094"/>
    <w:rsid w:val="00797338"/>
    <w:rsid w:val="00797C46"/>
    <w:rsid w:val="00797F2F"/>
    <w:rsid w:val="007A064D"/>
    <w:rsid w:val="007A175D"/>
    <w:rsid w:val="007A19F6"/>
    <w:rsid w:val="007A2B65"/>
    <w:rsid w:val="007A3ACC"/>
    <w:rsid w:val="007A3B46"/>
    <w:rsid w:val="007A522A"/>
    <w:rsid w:val="007A543B"/>
    <w:rsid w:val="007A5617"/>
    <w:rsid w:val="007A5FA2"/>
    <w:rsid w:val="007A71FA"/>
    <w:rsid w:val="007B0245"/>
    <w:rsid w:val="007B083F"/>
    <w:rsid w:val="007B0880"/>
    <w:rsid w:val="007B0D01"/>
    <w:rsid w:val="007B0DCF"/>
    <w:rsid w:val="007B1903"/>
    <w:rsid w:val="007B2085"/>
    <w:rsid w:val="007B2129"/>
    <w:rsid w:val="007B2FDC"/>
    <w:rsid w:val="007B30DB"/>
    <w:rsid w:val="007B38A0"/>
    <w:rsid w:val="007B38B7"/>
    <w:rsid w:val="007B3C5B"/>
    <w:rsid w:val="007B3E18"/>
    <w:rsid w:val="007B4872"/>
    <w:rsid w:val="007B48AE"/>
    <w:rsid w:val="007B4F7B"/>
    <w:rsid w:val="007B50DD"/>
    <w:rsid w:val="007B583D"/>
    <w:rsid w:val="007B6684"/>
    <w:rsid w:val="007B6B07"/>
    <w:rsid w:val="007B6B21"/>
    <w:rsid w:val="007B7024"/>
    <w:rsid w:val="007B70E2"/>
    <w:rsid w:val="007B74DA"/>
    <w:rsid w:val="007B74EF"/>
    <w:rsid w:val="007C0390"/>
    <w:rsid w:val="007C0C08"/>
    <w:rsid w:val="007C14A2"/>
    <w:rsid w:val="007C2696"/>
    <w:rsid w:val="007C300E"/>
    <w:rsid w:val="007C328D"/>
    <w:rsid w:val="007C332F"/>
    <w:rsid w:val="007C336F"/>
    <w:rsid w:val="007C37CC"/>
    <w:rsid w:val="007C41B1"/>
    <w:rsid w:val="007C4256"/>
    <w:rsid w:val="007C562B"/>
    <w:rsid w:val="007C5EA5"/>
    <w:rsid w:val="007C6756"/>
    <w:rsid w:val="007C6B3A"/>
    <w:rsid w:val="007C71FD"/>
    <w:rsid w:val="007C7AFB"/>
    <w:rsid w:val="007D0F14"/>
    <w:rsid w:val="007D1C2A"/>
    <w:rsid w:val="007D1FF9"/>
    <w:rsid w:val="007D2BDD"/>
    <w:rsid w:val="007D30B7"/>
    <w:rsid w:val="007D30CF"/>
    <w:rsid w:val="007D351F"/>
    <w:rsid w:val="007D3942"/>
    <w:rsid w:val="007D3F16"/>
    <w:rsid w:val="007D4609"/>
    <w:rsid w:val="007D6DAC"/>
    <w:rsid w:val="007D74A7"/>
    <w:rsid w:val="007D777D"/>
    <w:rsid w:val="007E00C6"/>
    <w:rsid w:val="007E0219"/>
    <w:rsid w:val="007E0C77"/>
    <w:rsid w:val="007E15AD"/>
    <w:rsid w:val="007E236A"/>
    <w:rsid w:val="007E25ED"/>
    <w:rsid w:val="007E290D"/>
    <w:rsid w:val="007E2BC0"/>
    <w:rsid w:val="007E3810"/>
    <w:rsid w:val="007E3F7D"/>
    <w:rsid w:val="007E41DD"/>
    <w:rsid w:val="007E423B"/>
    <w:rsid w:val="007E424E"/>
    <w:rsid w:val="007E4756"/>
    <w:rsid w:val="007E49C6"/>
    <w:rsid w:val="007E4E70"/>
    <w:rsid w:val="007E5C82"/>
    <w:rsid w:val="007E71CC"/>
    <w:rsid w:val="007E7801"/>
    <w:rsid w:val="007E7D7C"/>
    <w:rsid w:val="007E7FA4"/>
    <w:rsid w:val="007F0FBB"/>
    <w:rsid w:val="007F1506"/>
    <w:rsid w:val="007F198D"/>
    <w:rsid w:val="007F1A76"/>
    <w:rsid w:val="007F1E0B"/>
    <w:rsid w:val="007F3620"/>
    <w:rsid w:val="007F3640"/>
    <w:rsid w:val="007F403E"/>
    <w:rsid w:val="007F4066"/>
    <w:rsid w:val="007F42E8"/>
    <w:rsid w:val="007F67E9"/>
    <w:rsid w:val="007F6B9D"/>
    <w:rsid w:val="007F75C5"/>
    <w:rsid w:val="007F7C7B"/>
    <w:rsid w:val="0080002C"/>
    <w:rsid w:val="00800597"/>
    <w:rsid w:val="0080162E"/>
    <w:rsid w:val="0080187C"/>
    <w:rsid w:val="00801C02"/>
    <w:rsid w:val="00801E0F"/>
    <w:rsid w:val="00802573"/>
    <w:rsid w:val="00802D1C"/>
    <w:rsid w:val="00803E65"/>
    <w:rsid w:val="00803EB0"/>
    <w:rsid w:val="008040A2"/>
    <w:rsid w:val="00804632"/>
    <w:rsid w:val="008054D9"/>
    <w:rsid w:val="0080562C"/>
    <w:rsid w:val="00805747"/>
    <w:rsid w:val="00805FFD"/>
    <w:rsid w:val="00806688"/>
    <w:rsid w:val="00806CD0"/>
    <w:rsid w:val="00807A3E"/>
    <w:rsid w:val="00807C25"/>
    <w:rsid w:val="00810338"/>
    <w:rsid w:val="00810339"/>
    <w:rsid w:val="008108A7"/>
    <w:rsid w:val="00810CC1"/>
    <w:rsid w:val="00810D36"/>
    <w:rsid w:val="00811796"/>
    <w:rsid w:val="00812282"/>
    <w:rsid w:val="00812C1F"/>
    <w:rsid w:val="00812E8B"/>
    <w:rsid w:val="00814437"/>
    <w:rsid w:val="008148E4"/>
    <w:rsid w:val="00814ABC"/>
    <w:rsid w:val="008157F1"/>
    <w:rsid w:val="00816EC2"/>
    <w:rsid w:val="00817394"/>
    <w:rsid w:val="008178D5"/>
    <w:rsid w:val="00820413"/>
    <w:rsid w:val="00820457"/>
    <w:rsid w:val="0082066B"/>
    <w:rsid w:val="008211EC"/>
    <w:rsid w:val="00821A05"/>
    <w:rsid w:val="008220FD"/>
    <w:rsid w:val="0082306E"/>
    <w:rsid w:val="0082341B"/>
    <w:rsid w:val="008236E1"/>
    <w:rsid w:val="00823767"/>
    <w:rsid w:val="00824458"/>
    <w:rsid w:val="00824587"/>
    <w:rsid w:val="008249F7"/>
    <w:rsid w:val="00824B74"/>
    <w:rsid w:val="00824C76"/>
    <w:rsid w:val="00824C88"/>
    <w:rsid w:val="008269E3"/>
    <w:rsid w:val="00826C30"/>
    <w:rsid w:val="00827027"/>
    <w:rsid w:val="00831290"/>
    <w:rsid w:val="00831D00"/>
    <w:rsid w:val="00832653"/>
    <w:rsid w:val="0083296E"/>
    <w:rsid w:val="00833904"/>
    <w:rsid w:val="00833D37"/>
    <w:rsid w:val="00834110"/>
    <w:rsid w:val="00834EEF"/>
    <w:rsid w:val="00835836"/>
    <w:rsid w:val="00835EC9"/>
    <w:rsid w:val="00836A43"/>
    <w:rsid w:val="0083702D"/>
    <w:rsid w:val="00837673"/>
    <w:rsid w:val="00837F7D"/>
    <w:rsid w:val="00840018"/>
    <w:rsid w:val="00841388"/>
    <w:rsid w:val="0084199D"/>
    <w:rsid w:val="00841A58"/>
    <w:rsid w:val="00841EFB"/>
    <w:rsid w:val="00841F44"/>
    <w:rsid w:val="00842C82"/>
    <w:rsid w:val="00842D62"/>
    <w:rsid w:val="008436D7"/>
    <w:rsid w:val="00843AE9"/>
    <w:rsid w:val="00843F4A"/>
    <w:rsid w:val="008440FE"/>
    <w:rsid w:val="0084484B"/>
    <w:rsid w:val="00844D11"/>
    <w:rsid w:val="00845893"/>
    <w:rsid w:val="00845D8C"/>
    <w:rsid w:val="00846119"/>
    <w:rsid w:val="00846679"/>
    <w:rsid w:val="00846F3F"/>
    <w:rsid w:val="00847252"/>
    <w:rsid w:val="008474E3"/>
    <w:rsid w:val="00847B7A"/>
    <w:rsid w:val="00850441"/>
    <w:rsid w:val="00850ADA"/>
    <w:rsid w:val="00850C3F"/>
    <w:rsid w:val="008513B1"/>
    <w:rsid w:val="00851CEC"/>
    <w:rsid w:val="00851DAE"/>
    <w:rsid w:val="008527ED"/>
    <w:rsid w:val="008537F7"/>
    <w:rsid w:val="00854063"/>
    <w:rsid w:val="00854193"/>
    <w:rsid w:val="008546BE"/>
    <w:rsid w:val="00854A03"/>
    <w:rsid w:val="00854CAF"/>
    <w:rsid w:val="008552F8"/>
    <w:rsid w:val="00856074"/>
    <w:rsid w:val="00856FBB"/>
    <w:rsid w:val="008573CE"/>
    <w:rsid w:val="00857949"/>
    <w:rsid w:val="00857999"/>
    <w:rsid w:val="008579CB"/>
    <w:rsid w:val="008579D7"/>
    <w:rsid w:val="00860600"/>
    <w:rsid w:val="00860CCC"/>
    <w:rsid w:val="00860F9D"/>
    <w:rsid w:val="00861659"/>
    <w:rsid w:val="00861A2C"/>
    <w:rsid w:val="00862281"/>
    <w:rsid w:val="00863601"/>
    <w:rsid w:val="008652AB"/>
    <w:rsid w:val="0086644D"/>
    <w:rsid w:val="00866B60"/>
    <w:rsid w:val="00866E90"/>
    <w:rsid w:val="00867277"/>
    <w:rsid w:val="008672A0"/>
    <w:rsid w:val="008674EC"/>
    <w:rsid w:val="00870D51"/>
    <w:rsid w:val="008711F6"/>
    <w:rsid w:val="008719C2"/>
    <w:rsid w:val="0087277A"/>
    <w:rsid w:val="00872A47"/>
    <w:rsid w:val="00872FCB"/>
    <w:rsid w:val="008732E5"/>
    <w:rsid w:val="008736E2"/>
    <w:rsid w:val="008736FB"/>
    <w:rsid w:val="00873BEA"/>
    <w:rsid w:val="00874565"/>
    <w:rsid w:val="00875141"/>
    <w:rsid w:val="00875E6E"/>
    <w:rsid w:val="00876188"/>
    <w:rsid w:val="00876287"/>
    <w:rsid w:val="00876787"/>
    <w:rsid w:val="0087699B"/>
    <w:rsid w:val="00877247"/>
    <w:rsid w:val="00877A79"/>
    <w:rsid w:val="0088011A"/>
    <w:rsid w:val="008801AE"/>
    <w:rsid w:val="00880599"/>
    <w:rsid w:val="00880AA3"/>
    <w:rsid w:val="00880C9D"/>
    <w:rsid w:val="00882A0E"/>
    <w:rsid w:val="00882D09"/>
    <w:rsid w:val="00882D82"/>
    <w:rsid w:val="008837AC"/>
    <w:rsid w:val="0088421C"/>
    <w:rsid w:val="008843A1"/>
    <w:rsid w:val="0088445B"/>
    <w:rsid w:val="00884BB1"/>
    <w:rsid w:val="008850FB"/>
    <w:rsid w:val="00885393"/>
    <w:rsid w:val="00885866"/>
    <w:rsid w:val="00885B1A"/>
    <w:rsid w:val="00885F4F"/>
    <w:rsid w:val="00887574"/>
    <w:rsid w:val="00887D48"/>
    <w:rsid w:val="00887ECD"/>
    <w:rsid w:val="00891AF6"/>
    <w:rsid w:val="00891B2A"/>
    <w:rsid w:val="00891BC3"/>
    <w:rsid w:val="00891F45"/>
    <w:rsid w:val="008937C8"/>
    <w:rsid w:val="00893F59"/>
    <w:rsid w:val="00893FA1"/>
    <w:rsid w:val="00894A63"/>
    <w:rsid w:val="00895241"/>
    <w:rsid w:val="00895DC2"/>
    <w:rsid w:val="00896679"/>
    <w:rsid w:val="008967C4"/>
    <w:rsid w:val="00896FB8"/>
    <w:rsid w:val="00897444"/>
    <w:rsid w:val="0089746A"/>
    <w:rsid w:val="0089751C"/>
    <w:rsid w:val="00897B57"/>
    <w:rsid w:val="008A048B"/>
    <w:rsid w:val="008A0AE3"/>
    <w:rsid w:val="008A0D2A"/>
    <w:rsid w:val="008A10EA"/>
    <w:rsid w:val="008A1693"/>
    <w:rsid w:val="008A1C92"/>
    <w:rsid w:val="008A1F85"/>
    <w:rsid w:val="008A2483"/>
    <w:rsid w:val="008A254F"/>
    <w:rsid w:val="008A262B"/>
    <w:rsid w:val="008A2630"/>
    <w:rsid w:val="008A3186"/>
    <w:rsid w:val="008A33B9"/>
    <w:rsid w:val="008A3A13"/>
    <w:rsid w:val="008A45E6"/>
    <w:rsid w:val="008A47EF"/>
    <w:rsid w:val="008A4957"/>
    <w:rsid w:val="008A5833"/>
    <w:rsid w:val="008A5A18"/>
    <w:rsid w:val="008A5A8A"/>
    <w:rsid w:val="008A7B29"/>
    <w:rsid w:val="008B0732"/>
    <w:rsid w:val="008B08B3"/>
    <w:rsid w:val="008B0F77"/>
    <w:rsid w:val="008B12E4"/>
    <w:rsid w:val="008B14B8"/>
    <w:rsid w:val="008B1F2D"/>
    <w:rsid w:val="008B1F56"/>
    <w:rsid w:val="008B2217"/>
    <w:rsid w:val="008B2695"/>
    <w:rsid w:val="008B2911"/>
    <w:rsid w:val="008B2ADA"/>
    <w:rsid w:val="008B3A88"/>
    <w:rsid w:val="008B4A47"/>
    <w:rsid w:val="008B4B72"/>
    <w:rsid w:val="008B4BFC"/>
    <w:rsid w:val="008B51B4"/>
    <w:rsid w:val="008B5214"/>
    <w:rsid w:val="008B54BD"/>
    <w:rsid w:val="008B5627"/>
    <w:rsid w:val="008B5B44"/>
    <w:rsid w:val="008B5B67"/>
    <w:rsid w:val="008B5D7A"/>
    <w:rsid w:val="008B66E3"/>
    <w:rsid w:val="008B69FE"/>
    <w:rsid w:val="008B6A47"/>
    <w:rsid w:val="008B7244"/>
    <w:rsid w:val="008B7848"/>
    <w:rsid w:val="008B7947"/>
    <w:rsid w:val="008B7BCC"/>
    <w:rsid w:val="008C0D7E"/>
    <w:rsid w:val="008C173D"/>
    <w:rsid w:val="008C1C27"/>
    <w:rsid w:val="008C1E05"/>
    <w:rsid w:val="008C2355"/>
    <w:rsid w:val="008C34BB"/>
    <w:rsid w:val="008C45E2"/>
    <w:rsid w:val="008C557E"/>
    <w:rsid w:val="008C5A05"/>
    <w:rsid w:val="008C5C0F"/>
    <w:rsid w:val="008C789C"/>
    <w:rsid w:val="008C7BFE"/>
    <w:rsid w:val="008D0995"/>
    <w:rsid w:val="008D0CD1"/>
    <w:rsid w:val="008D1360"/>
    <w:rsid w:val="008D1A86"/>
    <w:rsid w:val="008D2945"/>
    <w:rsid w:val="008D2F0D"/>
    <w:rsid w:val="008D3726"/>
    <w:rsid w:val="008D460B"/>
    <w:rsid w:val="008D4CB0"/>
    <w:rsid w:val="008D5AA8"/>
    <w:rsid w:val="008D5C82"/>
    <w:rsid w:val="008D5DDD"/>
    <w:rsid w:val="008D5FED"/>
    <w:rsid w:val="008D6397"/>
    <w:rsid w:val="008D73C9"/>
    <w:rsid w:val="008D7F16"/>
    <w:rsid w:val="008E07F8"/>
    <w:rsid w:val="008E0A79"/>
    <w:rsid w:val="008E16BF"/>
    <w:rsid w:val="008E170B"/>
    <w:rsid w:val="008E2656"/>
    <w:rsid w:val="008E2F97"/>
    <w:rsid w:val="008E3049"/>
    <w:rsid w:val="008E3051"/>
    <w:rsid w:val="008E35A3"/>
    <w:rsid w:val="008E3DCB"/>
    <w:rsid w:val="008E5376"/>
    <w:rsid w:val="008E5438"/>
    <w:rsid w:val="008E5E91"/>
    <w:rsid w:val="008E647D"/>
    <w:rsid w:val="008E71C0"/>
    <w:rsid w:val="008E7274"/>
    <w:rsid w:val="008E75C7"/>
    <w:rsid w:val="008E790B"/>
    <w:rsid w:val="008E7C5B"/>
    <w:rsid w:val="008E7CE5"/>
    <w:rsid w:val="008E7DB4"/>
    <w:rsid w:val="008F0232"/>
    <w:rsid w:val="008F0562"/>
    <w:rsid w:val="008F0F0E"/>
    <w:rsid w:val="008F1767"/>
    <w:rsid w:val="008F2391"/>
    <w:rsid w:val="008F260B"/>
    <w:rsid w:val="008F2C39"/>
    <w:rsid w:val="008F2FEA"/>
    <w:rsid w:val="008F306F"/>
    <w:rsid w:val="008F34B5"/>
    <w:rsid w:val="008F371A"/>
    <w:rsid w:val="008F3D5F"/>
    <w:rsid w:val="008F4663"/>
    <w:rsid w:val="008F4E2B"/>
    <w:rsid w:val="008F5506"/>
    <w:rsid w:val="008F56B7"/>
    <w:rsid w:val="008F67CD"/>
    <w:rsid w:val="008F74AE"/>
    <w:rsid w:val="0090114E"/>
    <w:rsid w:val="009016F7"/>
    <w:rsid w:val="00901840"/>
    <w:rsid w:val="00901C8D"/>
    <w:rsid w:val="009021A4"/>
    <w:rsid w:val="009029C0"/>
    <w:rsid w:val="00902C97"/>
    <w:rsid w:val="00903200"/>
    <w:rsid w:val="0090333F"/>
    <w:rsid w:val="00903803"/>
    <w:rsid w:val="00903C47"/>
    <w:rsid w:val="00904AE5"/>
    <w:rsid w:val="009055BF"/>
    <w:rsid w:val="009055C8"/>
    <w:rsid w:val="009055FC"/>
    <w:rsid w:val="00906821"/>
    <w:rsid w:val="00906C39"/>
    <w:rsid w:val="00906E65"/>
    <w:rsid w:val="009072F5"/>
    <w:rsid w:val="0090795B"/>
    <w:rsid w:val="00907C5B"/>
    <w:rsid w:val="009102AA"/>
    <w:rsid w:val="00912178"/>
    <w:rsid w:val="0091278C"/>
    <w:rsid w:val="00913618"/>
    <w:rsid w:val="009137B5"/>
    <w:rsid w:val="009139B8"/>
    <w:rsid w:val="00913BC2"/>
    <w:rsid w:val="00914045"/>
    <w:rsid w:val="009144D5"/>
    <w:rsid w:val="00914663"/>
    <w:rsid w:val="00914752"/>
    <w:rsid w:val="0091488E"/>
    <w:rsid w:val="00914ED4"/>
    <w:rsid w:val="00915565"/>
    <w:rsid w:val="00915AC9"/>
    <w:rsid w:val="00915F98"/>
    <w:rsid w:val="00915FA3"/>
    <w:rsid w:val="00915FB8"/>
    <w:rsid w:val="00916DA3"/>
    <w:rsid w:val="00916DF1"/>
    <w:rsid w:val="009179CA"/>
    <w:rsid w:val="00917B0F"/>
    <w:rsid w:val="009217F8"/>
    <w:rsid w:val="009223C6"/>
    <w:rsid w:val="0092292A"/>
    <w:rsid w:val="00922EBB"/>
    <w:rsid w:val="00923097"/>
    <w:rsid w:val="009231BC"/>
    <w:rsid w:val="00923D74"/>
    <w:rsid w:val="0092470E"/>
    <w:rsid w:val="00924B7C"/>
    <w:rsid w:val="00924DB3"/>
    <w:rsid w:val="00925187"/>
    <w:rsid w:val="00925A39"/>
    <w:rsid w:val="0092709C"/>
    <w:rsid w:val="0092717F"/>
    <w:rsid w:val="0092742D"/>
    <w:rsid w:val="00927744"/>
    <w:rsid w:val="00927B05"/>
    <w:rsid w:val="00927E2D"/>
    <w:rsid w:val="00930F4E"/>
    <w:rsid w:val="00932550"/>
    <w:rsid w:val="00932DA2"/>
    <w:rsid w:val="00932F73"/>
    <w:rsid w:val="00932FEA"/>
    <w:rsid w:val="0093342C"/>
    <w:rsid w:val="009338B5"/>
    <w:rsid w:val="00933BBD"/>
    <w:rsid w:val="00936062"/>
    <w:rsid w:val="00936981"/>
    <w:rsid w:val="0093700F"/>
    <w:rsid w:val="0093701C"/>
    <w:rsid w:val="00937301"/>
    <w:rsid w:val="00937928"/>
    <w:rsid w:val="00937CBE"/>
    <w:rsid w:val="00937D07"/>
    <w:rsid w:val="00940DFF"/>
    <w:rsid w:val="0094186A"/>
    <w:rsid w:val="00941A1E"/>
    <w:rsid w:val="00942248"/>
    <w:rsid w:val="0094377A"/>
    <w:rsid w:val="00943D16"/>
    <w:rsid w:val="00944087"/>
    <w:rsid w:val="00944940"/>
    <w:rsid w:val="00944E74"/>
    <w:rsid w:val="00944F04"/>
    <w:rsid w:val="0094505E"/>
    <w:rsid w:val="0094556B"/>
    <w:rsid w:val="009457BA"/>
    <w:rsid w:val="00946A26"/>
    <w:rsid w:val="0095012E"/>
    <w:rsid w:val="00950639"/>
    <w:rsid w:val="0095078F"/>
    <w:rsid w:val="00950A46"/>
    <w:rsid w:val="00951158"/>
    <w:rsid w:val="00951934"/>
    <w:rsid w:val="00951A2C"/>
    <w:rsid w:val="00951C93"/>
    <w:rsid w:val="0095207B"/>
    <w:rsid w:val="0095300D"/>
    <w:rsid w:val="00953952"/>
    <w:rsid w:val="00954C8C"/>
    <w:rsid w:val="00955F9A"/>
    <w:rsid w:val="00956785"/>
    <w:rsid w:val="00956ACE"/>
    <w:rsid w:val="009572A0"/>
    <w:rsid w:val="00957433"/>
    <w:rsid w:val="00957D24"/>
    <w:rsid w:val="00957FA0"/>
    <w:rsid w:val="009603FD"/>
    <w:rsid w:val="00960A85"/>
    <w:rsid w:val="00960C26"/>
    <w:rsid w:val="00960D2E"/>
    <w:rsid w:val="00960DCF"/>
    <w:rsid w:val="00960E72"/>
    <w:rsid w:val="009616B1"/>
    <w:rsid w:val="009617D8"/>
    <w:rsid w:val="00961918"/>
    <w:rsid w:val="00961B53"/>
    <w:rsid w:val="00961C6D"/>
    <w:rsid w:val="00962955"/>
    <w:rsid w:val="00963264"/>
    <w:rsid w:val="009636C8"/>
    <w:rsid w:val="00963899"/>
    <w:rsid w:val="0096389D"/>
    <w:rsid w:val="009645DD"/>
    <w:rsid w:val="00964D97"/>
    <w:rsid w:val="009658FF"/>
    <w:rsid w:val="00965ABE"/>
    <w:rsid w:val="00965D3F"/>
    <w:rsid w:val="00966A1F"/>
    <w:rsid w:val="00967660"/>
    <w:rsid w:val="009676C0"/>
    <w:rsid w:val="009678B1"/>
    <w:rsid w:val="00967F6D"/>
    <w:rsid w:val="009705FE"/>
    <w:rsid w:val="00970875"/>
    <w:rsid w:val="00970CDB"/>
    <w:rsid w:val="009713A2"/>
    <w:rsid w:val="00971E2D"/>
    <w:rsid w:val="00972A36"/>
    <w:rsid w:val="00972C95"/>
    <w:rsid w:val="00972FED"/>
    <w:rsid w:val="009730A2"/>
    <w:rsid w:val="009747E2"/>
    <w:rsid w:val="00974F5E"/>
    <w:rsid w:val="00974FC5"/>
    <w:rsid w:val="009751C2"/>
    <w:rsid w:val="00976075"/>
    <w:rsid w:val="00976CB8"/>
    <w:rsid w:val="00976FDC"/>
    <w:rsid w:val="00977383"/>
    <w:rsid w:val="00977BC0"/>
    <w:rsid w:val="009803A9"/>
    <w:rsid w:val="009803CB"/>
    <w:rsid w:val="009803D4"/>
    <w:rsid w:val="009807A2"/>
    <w:rsid w:val="00980D21"/>
    <w:rsid w:val="00981331"/>
    <w:rsid w:val="009815F2"/>
    <w:rsid w:val="009816DF"/>
    <w:rsid w:val="0098193D"/>
    <w:rsid w:val="0098199C"/>
    <w:rsid w:val="00981B20"/>
    <w:rsid w:val="00982659"/>
    <w:rsid w:val="00982952"/>
    <w:rsid w:val="00983DE1"/>
    <w:rsid w:val="00985D30"/>
    <w:rsid w:val="00987104"/>
    <w:rsid w:val="009873F3"/>
    <w:rsid w:val="00987C5B"/>
    <w:rsid w:val="0099086C"/>
    <w:rsid w:val="00991F9D"/>
    <w:rsid w:val="0099240F"/>
    <w:rsid w:val="0099258C"/>
    <w:rsid w:val="009926F0"/>
    <w:rsid w:val="00992AA9"/>
    <w:rsid w:val="00992FC1"/>
    <w:rsid w:val="009934C2"/>
    <w:rsid w:val="00994496"/>
    <w:rsid w:val="00995206"/>
    <w:rsid w:val="00995E98"/>
    <w:rsid w:val="00995E99"/>
    <w:rsid w:val="00995EAE"/>
    <w:rsid w:val="00996149"/>
    <w:rsid w:val="00996720"/>
    <w:rsid w:val="0099678C"/>
    <w:rsid w:val="00996C27"/>
    <w:rsid w:val="00996E9A"/>
    <w:rsid w:val="00996F15"/>
    <w:rsid w:val="00997BA8"/>
    <w:rsid w:val="009A06F4"/>
    <w:rsid w:val="009A1D12"/>
    <w:rsid w:val="009A2661"/>
    <w:rsid w:val="009A36EC"/>
    <w:rsid w:val="009A3778"/>
    <w:rsid w:val="009A3E2E"/>
    <w:rsid w:val="009A45A2"/>
    <w:rsid w:val="009A4D6B"/>
    <w:rsid w:val="009A5190"/>
    <w:rsid w:val="009A55B7"/>
    <w:rsid w:val="009A55D5"/>
    <w:rsid w:val="009A5831"/>
    <w:rsid w:val="009A595F"/>
    <w:rsid w:val="009A5B24"/>
    <w:rsid w:val="009A5CEE"/>
    <w:rsid w:val="009A620E"/>
    <w:rsid w:val="009A63BB"/>
    <w:rsid w:val="009A69A9"/>
    <w:rsid w:val="009A6CDF"/>
    <w:rsid w:val="009A772C"/>
    <w:rsid w:val="009A7F34"/>
    <w:rsid w:val="009B1DED"/>
    <w:rsid w:val="009B203E"/>
    <w:rsid w:val="009B2245"/>
    <w:rsid w:val="009B258E"/>
    <w:rsid w:val="009B4D7E"/>
    <w:rsid w:val="009B5997"/>
    <w:rsid w:val="009B59D7"/>
    <w:rsid w:val="009B6B23"/>
    <w:rsid w:val="009B718B"/>
    <w:rsid w:val="009B77E2"/>
    <w:rsid w:val="009B7ABD"/>
    <w:rsid w:val="009B7CE1"/>
    <w:rsid w:val="009B7E58"/>
    <w:rsid w:val="009C06F8"/>
    <w:rsid w:val="009C0B34"/>
    <w:rsid w:val="009C0F29"/>
    <w:rsid w:val="009C1490"/>
    <w:rsid w:val="009C1D27"/>
    <w:rsid w:val="009C2C4F"/>
    <w:rsid w:val="009C3841"/>
    <w:rsid w:val="009C3BD9"/>
    <w:rsid w:val="009C4227"/>
    <w:rsid w:val="009C484E"/>
    <w:rsid w:val="009C4EA0"/>
    <w:rsid w:val="009C5B82"/>
    <w:rsid w:val="009C5E72"/>
    <w:rsid w:val="009C5F82"/>
    <w:rsid w:val="009C722E"/>
    <w:rsid w:val="009C756E"/>
    <w:rsid w:val="009C7C95"/>
    <w:rsid w:val="009C7DE5"/>
    <w:rsid w:val="009D21BE"/>
    <w:rsid w:val="009D291C"/>
    <w:rsid w:val="009D2D0A"/>
    <w:rsid w:val="009D3111"/>
    <w:rsid w:val="009D31EA"/>
    <w:rsid w:val="009D337E"/>
    <w:rsid w:val="009D3C3D"/>
    <w:rsid w:val="009D3F1F"/>
    <w:rsid w:val="009D4332"/>
    <w:rsid w:val="009D5288"/>
    <w:rsid w:val="009D5794"/>
    <w:rsid w:val="009D749C"/>
    <w:rsid w:val="009E0FEC"/>
    <w:rsid w:val="009E1682"/>
    <w:rsid w:val="009E16EF"/>
    <w:rsid w:val="009E19C6"/>
    <w:rsid w:val="009E1FB7"/>
    <w:rsid w:val="009E2175"/>
    <w:rsid w:val="009E2AD3"/>
    <w:rsid w:val="009E303B"/>
    <w:rsid w:val="009E317B"/>
    <w:rsid w:val="009E3611"/>
    <w:rsid w:val="009E379C"/>
    <w:rsid w:val="009E4296"/>
    <w:rsid w:val="009E439A"/>
    <w:rsid w:val="009E47E5"/>
    <w:rsid w:val="009E48DF"/>
    <w:rsid w:val="009E5083"/>
    <w:rsid w:val="009E5B5B"/>
    <w:rsid w:val="009E5F78"/>
    <w:rsid w:val="009E6587"/>
    <w:rsid w:val="009E68CE"/>
    <w:rsid w:val="009E6970"/>
    <w:rsid w:val="009E72A3"/>
    <w:rsid w:val="009E782E"/>
    <w:rsid w:val="009F012A"/>
    <w:rsid w:val="009F02B5"/>
    <w:rsid w:val="009F046B"/>
    <w:rsid w:val="009F0563"/>
    <w:rsid w:val="009F068B"/>
    <w:rsid w:val="009F088F"/>
    <w:rsid w:val="009F146F"/>
    <w:rsid w:val="009F2241"/>
    <w:rsid w:val="009F2567"/>
    <w:rsid w:val="009F307B"/>
    <w:rsid w:val="009F377E"/>
    <w:rsid w:val="009F3B0B"/>
    <w:rsid w:val="009F3C75"/>
    <w:rsid w:val="009F4B5A"/>
    <w:rsid w:val="009F4BEF"/>
    <w:rsid w:val="009F51B4"/>
    <w:rsid w:val="009F5EBE"/>
    <w:rsid w:val="009F6E0E"/>
    <w:rsid w:val="009F6F06"/>
    <w:rsid w:val="009F799A"/>
    <w:rsid w:val="00A0037E"/>
    <w:rsid w:val="00A01303"/>
    <w:rsid w:val="00A01789"/>
    <w:rsid w:val="00A01C30"/>
    <w:rsid w:val="00A02C4F"/>
    <w:rsid w:val="00A031CD"/>
    <w:rsid w:val="00A036B6"/>
    <w:rsid w:val="00A03B14"/>
    <w:rsid w:val="00A03DE8"/>
    <w:rsid w:val="00A04500"/>
    <w:rsid w:val="00A04A09"/>
    <w:rsid w:val="00A05821"/>
    <w:rsid w:val="00A05CE8"/>
    <w:rsid w:val="00A05D1D"/>
    <w:rsid w:val="00A05EA2"/>
    <w:rsid w:val="00A0692F"/>
    <w:rsid w:val="00A0745E"/>
    <w:rsid w:val="00A076CC"/>
    <w:rsid w:val="00A0793E"/>
    <w:rsid w:val="00A11486"/>
    <w:rsid w:val="00A1165C"/>
    <w:rsid w:val="00A11A09"/>
    <w:rsid w:val="00A125D6"/>
    <w:rsid w:val="00A12A37"/>
    <w:rsid w:val="00A13C8F"/>
    <w:rsid w:val="00A144D6"/>
    <w:rsid w:val="00A14D6A"/>
    <w:rsid w:val="00A14E53"/>
    <w:rsid w:val="00A15580"/>
    <w:rsid w:val="00A155B0"/>
    <w:rsid w:val="00A16449"/>
    <w:rsid w:val="00A17074"/>
    <w:rsid w:val="00A170A0"/>
    <w:rsid w:val="00A2021A"/>
    <w:rsid w:val="00A2081C"/>
    <w:rsid w:val="00A20820"/>
    <w:rsid w:val="00A21839"/>
    <w:rsid w:val="00A2249E"/>
    <w:rsid w:val="00A22EFC"/>
    <w:rsid w:val="00A23AD0"/>
    <w:rsid w:val="00A24449"/>
    <w:rsid w:val="00A24617"/>
    <w:rsid w:val="00A250A5"/>
    <w:rsid w:val="00A25B12"/>
    <w:rsid w:val="00A25D7A"/>
    <w:rsid w:val="00A26389"/>
    <w:rsid w:val="00A26743"/>
    <w:rsid w:val="00A2710B"/>
    <w:rsid w:val="00A2790C"/>
    <w:rsid w:val="00A27A0C"/>
    <w:rsid w:val="00A303B8"/>
    <w:rsid w:val="00A3154B"/>
    <w:rsid w:val="00A330CF"/>
    <w:rsid w:val="00A3326B"/>
    <w:rsid w:val="00A34664"/>
    <w:rsid w:val="00A34735"/>
    <w:rsid w:val="00A35CDC"/>
    <w:rsid w:val="00A361C3"/>
    <w:rsid w:val="00A3730E"/>
    <w:rsid w:val="00A3751B"/>
    <w:rsid w:val="00A40730"/>
    <w:rsid w:val="00A40ECA"/>
    <w:rsid w:val="00A411FA"/>
    <w:rsid w:val="00A41448"/>
    <w:rsid w:val="00A42369"/>
    <w:rsid w:val="00A4285A"/>
    <w:rsid w:val="00A42B37"/>
    <w:rsid w:val="00A42C5A"/>
    <w:rsid w:val="00A42D47"/>
    <w:rsid w:val="00A42E65"/>
    <w:rsid w:val="00A43091"/>
    <w:rsid w:val="00A43FAB"/>
    <w:rsid w:val="00A44B39"/>
    <w:rsid w:val="00A44C6F"/>
    <w:rsid w:val="00A44EC1"/>
    <w:rsid w:val="00A454B3"/>
    <w:rsid w:val="00A45E52"/>
    <w:rsid w:val="00A45FE6"/>
    <w:rsid w:val="00A46652"/>
    <w:rsid w:val="00A46D15"/>
    <w:rsid w:val="00A4713D"/>
    <w:rsid w:val="00A47EE2"/>
    <w:rsid w:val="00A5107F"/>
    <w:rsid w:val="00A513C1"/>
    <w:rsid w:val="00A516F9"/>
    <w:rsid w:val="00A529D9"/>
    <w:rsid w:val="00A5323B"/>
    <w:rsid w:val="00A537D1"/>
    <w:rsid w:val="00A538B7"/>
    <w:rsid w:val="00A546A4"/>
    <w:rsid w:val="00A54FB4"/>
    <w:rsid w:val="00A54FC5"/>
    <w:rsid w:val="00A558B0"/>
    <w:rsid w:val="00A56571"/>
    <w:rsid w:val="00A5688E"/>
    <w:rsid w:val="00A56DE0"/>
    <w:rsid w:val="00A57A42"/>
    <w:rsid w:val="00A57A47"/>
    <w:rsid w:val="00A60B73"/>
    <w:rsid w:val="00A61215"/>
    <w:rsid w:val="00A6143B"/>
    <w:rsid w:val="00A61BCE"/>
    <w:rsid w:val="00A6268D"/>
    <w:rsid w:val="00A63043"/>
    <w:rsid w:val="00A63708"/>
    <w:rsid w:val="00A63C18"/>
    <w:rsid w:val="00A63F3F"/>
    <w:rsid w:val="00A64FDF"/>
    <w:rsid w:val="00A65AC2"/>
    <w:rsid w:val="00A6602D"/>
    <w:rsid w:val="00A660D0"/>
    <w:rsid w:val="00A661C5"/>
    <w:rsid w:val="00A662CF"/>
    <w:rsid w:val="00A662DC"/>
    <w:rsid w:val="00A6741B"/>
    <w:rsid w:val="00A67526"/>
    <w:rsid w:val="00A67EBB"/>
    <w:rsid w:val="00A70790"/>
    <w:rsid w:val="00A712CD"/>
    <w:rsid w:val="00A7185A"/>
    <w:rsid w:val="00A71B8F"/>
    <w:rsid w:val="00A71DEB"/>
    <w:rsid w:val="00A7213F"/>
    <w:rsid w:val="00A7253F"/>
    <w:rsid w:val="00A73097"/>
    <w:rsid w:val="00A73A21"/>
    <w:rsid w:val="00A740C4"/>
    <w:rsid w:val="00A74226"/>
    <w:rsid w:val="00A7463A"/>
    <w:rsid w:val="00A75484"/>
    <w:rsid w:val="00A757B0"/>
    <w:rsid w:val="00A75A47"/>
    <w:rsid w:val="00A75FDC"/>
    <w:rsid w:val="00A76C4E"/>
    <w:rsid w:val="00A776A4"/>
    <w:rsid w:val="00A77BA0"/>
    <w:rsid w:val="00A8049D"/>
    <w:rsid w:val="00A8091E"/>
    <w:rsid w:val="00A8109A"/>
    <w:rsid w:val="00A81E35"/>
    <w:rsid w:val="00A81E4B"/>
    <w:rsid w:val="00A822C2"/>
    <w:rsid w:val="00A82990"/>
    <w:rsid w:val="00A82AFB"/>
    <w:rsid w:val="00A834B1"/>
    <w:rsid w:val="00A838CA"/>
    <w:rsid w:val="00A83BAD"/>
    <w:rsid w:val="00A84C56"/>
    <w:rsid w:val="00A8508E"/>
    <w:rsid w:val="00A85124"/>
    <w:rsid w:val="00A85670"/>
    <w:rsid w:val="00A86142"/>
    <w:rsid w:val="00A8619B"/>
    <w:rsid w:val="00A86CB1"/>
    <w:rsid w:val="00A87857"/>
    <w:rsid w:val="00A90084"/>
    <w:rsid w:val="00A90401"/>
    <w:rsid w:val="00A90F26"/>
    <w:rsid w:val="00A91CA5"/>
    <w:rsid w:val="00A921E3"/>
    <w:rsid w:val="00A92472"/>
    <w:rsid w:val="00A9253B"/>
    <w:rsid w:val="00A92E00"/>
    <w:rsid w:val="00A933CC"/>
    <w:rsid w:val="00A9342D"/>
    <w:rsid w:val="00A93992"/>
    <w:rsid w:val="00A9451F"/>
    <w:rsid w:val="00A946AC"/>
    <w:rsid w:val="00A9498F"/>
    <w:rsid w:val="00A94D20"/>
    <w:rsid w:val="00A950FC"/>
    <w:rsid w:val="00A959CC"/>
    <w:rsid w:val="00A96413"/>
    <w:rsid w:val="00A96A80"/>
    <w:rsid w:val="00A9752B"/>
    <w:rsid w:val="00A97DE6"/>
    <w:rsid w:val="00A97F1B"/>
    <w:rsid w:val="00AA0086"/>
    <w:rsid w:val="00AA01EF"/>
    <w:rsid w:val="00AA0BE7"/>
    <w:rsid w:val="00AA11B0"/>
    <w:rsid w:val="00AA13EC"/>
    <w:rsid w:val="00AA1C4B"/>
    <w:rsid w:val="00AA20F9"/>
    <w:rsid w:val="00AA2461"/>
    <w:rsid w:val="00AA2865"/>
    <w:rsid w:val="00AA2E5B"/>
    <w:rsid w:val="00AA2E87"/>
    <w:rsid w:val="00AA34BF"/>
    <w:rsid w:val="00AA3A9B"/>
    <w:rsid w:val="00AA3BF1"/>
    <w:rsid w:val="00AA3D59"/>
    <w:rsid w:val="00AA3E7F"/>
    <w:rsid w:val="00AA4777"/>
    <w:rsid w:val="00AA5003"/>
    <w:rsid w:val="00AA5410"/>
    <w:rsid w:val="00AA54D7"/>
    <w:rsid w:val="00AA60C7"/>
    <w:rsid w:val="00AA626B"/>
    <w:rsid w:val="00AA74E2"/>
    <w:rsid w:val="00AA75CC"/>
    <w:rsid w:val="00AA7685"/>
    <w:rsid w:val="00AB0004"/>
    <w:rsid w:val="00AB0751"/>
    <w:rsid w:val="00AB0D61"/>
    <w:rsid w:val="00AB0FE6"/>
    <w:rsid w:val="00AB1133"/>
    <w:rsid w:val="00AB1A98"/>
    <w:rsid w:val="00AB1AD8"/>
    <w:rsid w:val="00AB21C6"/>
    <w:rsid w:val="00AB2774"/>
    <w:rsid w:val="00AB2841"/>
    <w:rsid w:val="00AB2CB9"/>
    <w:rsid w:val="00AB489E"/>
    <w:rsid w:val="00AB51A1"/>
    <w:rsid w:val="00AB542B"/>
    <w:rsid w:val="00AB6797"/>
    <w:rsid w:val="00AB684C"/>
    <w:rsid w:val="00AB6B39"/>
    <w:rsid w:val="00AB6EF1"/>
    <w:rsid w:val="00AB7426"/>
    <w:rsid w:val="00AB76A0"/>
    <w:rsid w:val="00AB79F3"/>
    <w:rsid w:val="00AB7E50"/>
    <w:rsid w:val="00AB7F57"/>
    <w:rsid w:val="00AC0266"/>
    <w:rsid w:val="00AC171F"/>
    <w:rsid w:val="00AC2407"/>
    <w:rsid w:val="00AC33DB"/>
    <w:rsid w:val="00AC374C"/>
    <w:rsid w:val="00AC397C"/>
    <w:rsid w:val="00AC430B"/>
    <w:rsid w:val="00AC4926"/>
    <w:rsid w:val="00AC4BCD"/>
    <w:rsid w:val="00AC4D16"/>
    <w:rsid w:val="00AC4E2F"/>
    <w:rsid w:val="00AC534E"/>
    <w:rsid w:val="00AC535F"/>
    <w:rsid w:val="00AC5617"/>
    <w:rsid w:val="00AC5EB3"/>
    <w:rsid w:val="00AC6B44"/>
    <w:rsid w:val="00AC6B9F"/>
    <w:rsid w:val="00AC6F7D"/>
    <w:rsid w:val="00AC7002"/>
    <w:rsid w:val="00AC720A"/>
    <w:rsid w:val="00AC76CC"/>
    <w:rsid w:val="00AC7B5C"/>
    <w:rsid w:val="00AD1279"/>
    <w:rsid w:val="00AD16CD"/>
    <w:rsid w:val="00AD1D94"/>
    <w:rsid w:val="00AD1F31"/>
    <w:rsid w:val="00AD2426"/>
    <w:rsid w:val="00AD2CD7"/>
    <w:rsid w:val="00AD3CEB"/>
    <w:rsid w:val="00AD52BF"/>
    <w:rsid w:val="00AD591D"/>
    <w:rsid w:val="00AD5986"/>
    <w:rsid w:val="00AD5B6A"/>
    <w:rsid w:val="00AD60EA"/>
    <w:rsid w:val="00AD620A"/>
    <w:rsid w:val="00AD67D4"/>
    <w:rsid w:val="00AE009E"/>
    <w:rsid w:val="00AE0F5A"/>
    <w:rsid w:val="00AE205C"/>
    <w:rsid w:val="00AE222D"/>
    <w:rsid w:val="00AE22F9"/>
    <w:rsid w:val="00AE266A"/>
    <w:rsid w:val="00AE29C7"/>
    <w:rsid w:val="00AE4331"/>
    <w:rsid w:val="00AE4F6F"/>
    <w:rsid w:val="00AE53EF"/>
    <w:rsid w:val="00AE597B"/>
    <w:rsid w:val="00AE5DC5"/>
    <w:rsid w:val="00AE5FA7"/>
    <w:rsid w:val="00AE6127"/>
    <w:rsid w:val="00AE614D"/>
    <w:rsid w:val="00AE6557"/>
    <w:rsid w:val="00AE677C"/>
    <w:rsid w:val="00AE723F"/>
    <w:rsid w:val="00AE76B3"/>
    <w:rsid w:val="00AE7849"/>
    <w:rsid w:val="00AE7977"/>
    <w:rsid w:val="00AE7FB5"/>
    <w:rsid w:val="00AF00B1"/>
    <w:rsid w:val="00AF08FC"/>
    <w:rsid w:val="00AF1954"/>
    <w:rsid w:val="00AF1F10"/>
    <w:rsid w:val="00AF30F6"/>
    <w:rsid w:val="00AF38A0"/>
    <w:rsid w:val="00AF3D28"/>
    <w:rsid w:val="00AF3D39"/>
    <w:rsid w:val="00AF3D5D"/>
    <w:rsid w:val="00AF4019"/>
    <w:rsid w:val="00AF42F2"/>
    <w:rsid w:val="00AF497B"/>
    <w:rsid w:val="00AF5883"/>
    <w:rsid w:val="00AF5EB9"/>
    <w:rsid w:val="00AF610F"/>
    <w:rsid w:val="00AF6A4C"/>
    <w:rsid w:val="00AF70A1"/>
    <w:rsid w:val="00AF7559"/>
    <w:rsid w:val="00AF75B9"/>
    <w:rsid w:val="00B005F7"/>
    <w:rsid w:val="00B00B78"/>
    <w:rsid w:val="00B00E16"/>
    <w:rsid w:val="00B02183"/>
    <w:rsid w:val="00B02AEC"/>
    <w:rsid w:val="00B02B73"/>
    <w:rsid w:val="00B02D42"/>
    <w:rsid w:val="00B03B0F"/>
    <w:rsid w:val="00B03DC6"/>
    <w:rsid w:val="00B04627"/>
    <w:rsid w:val="00B047C2"/>
    <w:rsid w:val="00B04CB1"/>
    <w:rsid w:val="00B05635"/>
    <w:rsid w:val="00B056AD"/>
    <w:rsid w:val="00B06CDC"/>
    <w:rsid w:val="00B06F72"/>
    <w:rsid w:val="00B06F8C"/>
    <w:rsid w:val="00B07240"/>
    <w:rsid w:val="00B07620"/>
    <w:rsid w:val="00B07A20"/>
    <w:rsid w:val="00B07A7B"/>
    <w:rsid w:val="00B10289"/>
    <w:rsid w:val="00B10CB7"/>
    <w:rsid w:val="00B112C2"/>
    <w:rsid w:val="00B112D5"/>
    <w:rsid w:val="00B117FC"/>
    <w:rsid w:val="00B127E1"/>
    <w:rsid w:val="00B12877"/>
    <w:rsid w:val="00B1314F"/>
    <w:rsid w:val="00B13362"/>
    <w:rsid w:val="00B143F2"/>
    <w:rsid w:val="00B145AA"/>
    <w:rsid w:val="00B14631"/>
    <w:rsid w:val="00B151CF"/>
    <w:rsid w:val="00B15FBC"/>
    <w:rsid w:val="00B17030"/>
    <w:rsid w:val="00B17273"/>
    <w:rsid w:val="00B1770D"/>
    <w:rsid w:val="00B2017C"/>
    <w:rsid w:val="00B20445"/>
    <w:rsid w:val="00B20661"/>
    <w:rsid w:val="00B20AAA"/>
    <w:rsid w:val="00B20CD9"/>
    <w:rsid w:val="00B210CB"/>
    <w:rsid w:val="00B21741"/>
    <w:rsid w:val="00B2191E"/>
    <w:rsid w:val="00B22A7D"/>
    <w:rsid w:val="00B23CE3"/>
    <w:rsid w:val="00B23D6C"/>
    <w:rsid w:val="00B23E26"/>
    <w:rsid w:val="00B23F98"/>
    <w:rsid w:val="00B247AD"/>
    <w:rsid w:val="00B24AF0"/>
    <w:rsid w:val="00B24F66"/>
    <w:rsid w:val="00B252A4"/>
    <w:rsid w:val="00B25609"/>
    <w:rsid w:val="00B25CD0"/>
    <w:rsid w:val="00B25D05"/>
    <w:rsid w:val="00B26622"/>
    <w:rsid w:val="00B26669"/>
    <w:rsid w:val="00B276B4"/>
    <w:rsid w:val="00B27B3E"/>
    <w:rsid w:val="00B303F6"/>
    <w:rsid w:val="00B305B5"/>
    <w:rsid w:val="00B307B7"/>
    <w:rsid w:val="00B30A44"/>
    <w:rsid w:val="00B30F4B"/>
    <w:rsid w:val="00B326F1"/>
    <w:rsid w:val="00B327E7"/>
    <w:rsid w:val="00B32E21"/>
    <w:rsid w:val="00B3382A"/>
    <w:rsid w:val="00B33A37"/>
    <w:rsid w:val="00B34982"/>
    <w:rsid w:val="00B34B97"/>
    <w:rsid w:val="00B36028"/>
    <w:rsid w:val="00B366FC"/>
    <w:rsid w:val="00B367F9"/>
    <w:rsid w:val="00B36A6C"/>
    <w:rsid w:val="00B370B5"/>
    <w:rsid w:val="00B378D9"/>
    <w:rsid w:val="00B37A12"/>
    <w:rsid w:val="00B40064"/>
    <w:rsid w:val="00B40467"/>
    <w:rsid w:val="00B40A33"/>
    <w:rsid w:val="00B41275"/>
    <w:rsid w:val="00B4258E"/>
    <w:rsid w:val="00B42A9C"/>
    <w:rsid w:val="00B4372A"/>
    <w:rsid w:val="00B43874"/>
    <w:rsid w:val="00B46417"/>
    <w:rsid w:val="00B469DA"/>
    <w:rsid w:val="00B47A27"/>
    <w:rsid w:val="00B47D24"/>
    <w:rsid w:val="00B500EB"/>
    <w:rsid w:val="00B50623"/>
    <w:rsid w:val="00B50A44"/>
    <w:rsid w:val="00B50DC2"/>
    <w:rsid w:val="00B50FBB"/>
    <w:rsid w:val="00B51527"/>
    <w:rsid w:val="00B51AE3"/>
    <w:rsid w:val="00B51C2C"/>
    <w:rsid w:val="00B5232C"/>
    <w:rsid w:val="00B52416"/>
    <w:rsid w:val="00B532E9"/>
    <w:rsid w:val="00B53605"/>
    <w:rsid w:val="00B53D93"/>
    <w:rsid w:val="00B544B5"/>
    <w:rsid w:val="00B55524"/>
    <w:rsid w:val="00B55D7F"/>
    <w:rsid w:val="00B55EAD"/>
    <w:rsid w:val="00B56142"/>
    <w:rsid w:val="00B569E5"/>
    <w:rsid w:val="00B570C7"/>
    <w:rsid w:val="00B575BF"/>
    <w:rsid w:val="00B57D96"/>
    <w:rsid w:val="00B602E9"/>
    <w:rsid w:val="00B612C1"/>
    <w:rsid w:val="00B612EA"/>
    <w:rsid w:val="00B61B4A"/>
    <w:rsid w:val="00B61C66"/>
    <w:rsid w:val="00B62604"/>
    <w:rsid w:val="00B62DF2"/>
    <w:rsid w:val="00B63402"/>
    <w:rsid w:val="00B639C9"/>
    <w:rsid w:val="00B64203"/>
    <w:rsid w:val="00B64B6B"/>
    <w:rsid w:val="00B650A4"/>
    <w:rsid w:val="00B6511E"/>
    <w:rsid w:val="00B6622E"/>
    <w:rsid w:val="00B6649A"/>
    <w:rsid w:val="00B66569"/>
    <w:rsid w:val="00B6694E"/>
    <w:rsid w:val="00B66A87"/>
    <w:rsid w:val="00B66F7C"/>
    <w:rsid w:val="00B67155"/>
    <w:rsid w:val="00B672B5"/>
    <w:rsid w:val="00B675A6"/>
    <w:rsid w:val="00B67FEA"/>
    <w:rsid w:val="00B70600"/>
    <w:rsid w:val="00B712D0"/>
    <w:rsid w:val="00B71607"/>
    <w:rsid w:val="00B71B11"/>
    <w:rsid w:val="00B71C29"/>
    <w:rsid w:val="00B72D0F"/>
    <w:rsid w:val="00B73047"/>
    <w:rsid w:val="00B74DFA"/>
    <w:rsid w:val="00B7511D"/>
    <w:rsid w:val="00B754EF"/>
    <w:rsid w:val="00B756AF"/>
    <w:rsid w:val="00B757E5"/>
    <w:rsid w:val="00B75FC1"/>
    <w:rsid w:val="00B77687"/>
    <w:rsid w:val="00B77764"/>
    <w:rsid w:val="00B77BBD"/>
    <w:rsid w:val="00B80581"/>
    <w:rsid w:val="00B8105B"/>
    <w:rsid w:val="00B813F5"/>
    <w:rsid w:val="00B81F38"/>
    <w:rsid w:val="00B82DE7"/>
    <w:rsid w:val="00B83878"/>
    <w:rsid w:val="00B83901"/>
    <w:rsid w:val="00B8394B"/>
    <w:rsid w:val="00B83B62"/>
    <w:rsid w:val="00B83BC5"/>
    <w:rsid w:val="00B83C74"/>
    <w:rsid w:val="00B84439"/>
    <w:rsid w:val="00B84CDE"/>
    <w:rsid w:val="00B851CC"/>
    <w:rsid w:val="00B8535F"/>
    <w:rsid w:val="00B85A2C"/>
    <w:rsid w:val="00B85A35"/>
    <w:rsid w:val="00B85E1F"/>
    <w:rsid w:val="00B873D6"/>
    <w:rsid w:val="00B878CD"/>
    <w:rsid w:val="00B879C2"/>
    <w:rsid w:val="00B9105C"/>
    <w:rsid w:val="00B913E2"/>
    <w:rsid w:val="00B915B9"/>
    <w:rsid w:val="00B91CB1"/>
    <w:rsid w:val="00B91E0D"/>
    <w:rsid w:val="00B9249B"/>
    <w:rsid w:val="00B93485"/>
    <w:rsid w:val="00B93548"/>
    <w:rsid w:val="00B93DEE"/>
    <w:rsid w:val="00B94831"/>
    <w:rsid w:val="00B94D7B"/>
    <w:rsid w:val="00B950D5"/>
    <w:rsid w:val="00B9536C"/>
    <w:rsid w:val="00B95FDD"/>
    <w:rsid w:val="00B96243"/>
    <w:rsid w:val="00B96EAC"/>
    <w:rsid w:val="00B96F52"/>
    <w:rsid w:val="00B9705C"/>
    <w:rsid w:val="00BA016B"/>
    <w:rsid w:val="00BA0480"/>
    <w:rsid w:val="00BA062E"/>
    <w:rsid w:val="00BA0654"/>
    <w:rsid w:val="00BA0A23"/>
    <w:rsid w:val="00BA1C4E"/>
    <w:rsid w:val="00BA1E7F"/>
    <w:rsid w:val="00BA1FC7"/>
    <w:rsid w:val="00BA1FFB"/>
    <w:rsid w:val="00BA2269"/>
    <w:rsid w:val="00BA2560"/>
    <w:rsid w:val="00BA26D3"/>
    <w:rsid w:val="00BA2B3F"/>
    <w:rsid w:val="00BA363D"/>
    <w:rsid w:val="00BA4CC8"/>
    <w:rsid w:val="00BA4E45"/>
    <w:rsid w:val="00BA59FB"/>
    <w:rsid w:val="00BA5FF3"/>
    <w:rsid w:val="00BA65D5"/>
    <w:rsid w:val="00BA676C"/>
    <w:rsid w:val="00BA6775"/>
    <w:rsid w:val="00BA6871"/>
    <w:rsid w:val="00BA710B"/>
    <w:rsid w:val="00BA739B"/>
    <w:rsid w:val="00BB14A3"/>
    <w:rsid w:val="00BB1F82"/>
    <w:rsid w:val="00BB2865"/>
    <w:rsid w:val="00BB2F0F"/>
    <w:rsid w:val="00BB31D6"/>
    <w:rsid w:val="00BB3FF0"/>
    <w:rsid w:val="00BB4510"/>
    <w:rsid w:val="00BB48B3"/>
    <w:rsid w:val="00BB4F33"/>
    <w:rsid w:val="00BB6641"/>
    <w:rsid w:val="00BB69B9"/>
    <w:rsid w:val="00BB6E1B"/>
    <w:rsid w:val="00BB7563"/>
    <w:rsid w:val="00BB76D5"/>
    <w:rsid w:val="00BB7DB0"/>
    <w:rsid w:val="00BC10D6"/>
    <w:rsid w:val="00BC12E1"/>
    <w:rsid w:val="00BC15DE"/>
    <w:rsid w:val="00BC17C8"/>
    <w:rsid w:val="00BC189C"/>
    <w:rsid w:val="00BC2991"/>
    <w:rsid w:val="00BC31B4"/>
    <w:rsid w:val="00BC369C"/>
    <w:rsid w:val="00BC3806"/>
    <w:rsid w:val="00BC3BEF"/>
    <w:rsid w:val="00BC4125"/>
    <w:rsid w:val="00BC41DB"/>
    <w:rsid w:val="00BC4213"/>
    <w:rsid w:val="00BC469B"/>
    <w:rsid w:val="00BC4972"/>
    <w:rsid w:val="00BC59BB"/>
    <w:rsid w:val="00BC5A70"/>
    <w:rsid w:val="00BC5B83"/>
    <w:rsid w:val="00BC6567"/>
    <w:rsid w:val="00BC6897"/>
    <w:rsid w:val="00BC6964"/>
    <w:rsid w:val="00BC6C9A"/>
    <w:rsid w:val="00BC70BF"/>
    <w:rsid w:val="00BC7250"/>
    <w:rsid w:val="00BC74B5"/>
    <w:rsid w:val="00BC7CDC"/>
    <w:rsid w:val="00BD0150"/>
    <w:rsid w:val="00BD1156"/>
    <w:rsid w:val="00BD179C"/>
    <w:rsid w:val="00BD1B8D"/>
    <w:rsid w:val="00BD1BCB"/>
    <w:rsid w:val="00BD2090"/>
    <w:rsid w:val="00BD2C72"/>
    <w:rsid w:val="00BD2F74"/>
    <w:rsid w:val="00BD33D4"/>
    <w:rsid w:val="00BD3F0F"/>
    <w:rsid w:val="00BD40B1"/>
    <w:rsid w:val="00BD4CC9"/>
    <w:rsid w:val="00BD5D9D"/>
    <w:rsid w:val="00BD6931"/>
    <w:rsid w:val="00BE027E"/>
    <w:rsid w:val="00BE0AE5"/>
    <w:rsid w:val="00BE12D3"/>
    <w:rsid w:val="00BE17BF"/>
    <w:rsid w:val="00BE1B1D"/>
    <w:rsid w:val="00BE1C00"/>
    <w:rsid w:val="00BE288D"/>
    <w:rsid w:val="00BE33EC"/>
    <w:rsid w:val="00BE3467"/>
    <w:rsid w:val="00BE3D59"/>
    <w:rsid w:val="00BE47BF"/>
    <w:rsid w:val="00BE4B02"/>
    <w:rsid w:val="00BE4FD8"/>
    <w:rsid w:val="00BE5266"/>
    <w:rsid w:val="00BE5374"/>
    <w:rsid w:val="00BE53FA"/>
    <w:rsid w:val="00BE54FA"/>
    <w:rsid w:val="00BE611B"/>
    <w:rsid w:val="00BE627A"/>
    <w:rsid w:val="00BE62F0"/>
    <w:rsid w:val="00BE6CE8"/>
    <w:rsid w:val="00BE71D1"/>
    <w:rsid w:val="00BE725C"/>
    <w:rsid w:val="00BE7846"/>
    <w:rsid w:val="00BF17C1"/>
    <w:rsid w:val="00BF1FF6"/>
    <w:rsid w:val="00BF266A"/>
    <w:rsid w:val="00BF37FC"/>
    <w:rsid w:val="00BF538D"/>
    <w:rsid w:val="00BF5438"/>
    <w:rsid w:val="00BF60C7"/>
    <w:rsid w:val="00BF6A07"/>
    <w:rsid w:val="00BF74FF"/>
    <w:rsid w:val="00BF78EC"/>
    <w:rsid w:val="00BF7C54"/>
    <w:rsid w:val="00BF7DFA"/>
    <w:rsid w:val="00C0048F"/>
    <w:rsid w:val="00C00C15"/>
    <w:rsid w:val="00C01419"/>
    <w:rsid w:val="00C01D5F"/>
    <w:rsid w:val="00C02336"/>
    <w:rsid w:val="00C02361"/>
    <w:rsid w:val="00C02F29"/>
    <w:rsid w:val="00C030E6"/>
    <w:rsid w:val="00C0345A"/>
    <w:rsid w:val="00C03511"/>
    <w:rsid w:val="00C0390B"/>
    <w:rsid w:val="00C03F38"/>
    <w:rsid w:val="00C04288"/>
    <w:rsid w:val="00C04C3A"/>
    <w:rsid w:val="00C04D54"/>
    <w:rsid w:val="00C05700"/>
    <w:rsid w:val="00C05856"/>
    <w:rsid w:val="00C05D48"/>
    <w:rsid w:val="00C05E65"/>
    <w:rsid w:val="00C0623D"/>
    <w:rsid w:val="00C06BC9"/>
    <w:rsid w:val="00C07058"/>
    <w:rsid w:val="00C070DE"/>
    <w:rsid w:val="00C074CD"/>
    <w:rsid w:val="00C107C3"/>
    <w:rsid w:val="00C10BF7"/>
    <w:rsid w:val="00C114F3"/>
    <w:rsid w:val="00C11600"/>
    <w:rsid w:val="00C117F6"/>
    <w:rsid w:val="00C11816"/>
    <w:rsid w:val="00C12853"/>
    <w:rsid w:val="00C131DF"/>
    <w:rsid w:val="00C13520"/>
    <w:rsid w:val="00C14734"/>
    <w:rsid w:val="00C14757"/>
    <w:rsid w:val="00C14F9B"/>
    <w:rsid w:val="00C14FAB"/>
    <w:rsid w:val="00C1592D"/>
    <w:rsid w:val="00C15D96"/>
    <w:rsid w:val="00C15F42"/>
    <w:rsid w:val="00C1610B"/>
    <w:rsid w:val="00C1611D"/>
    <w:rsid w:val="00C1649A"/>
    <w:rsid w:val="00C16A05"/>
    <w:rsid w:val="00C16C9A"/>
    <w:rsid w:val="00C172AB"/>
    <w:rsid w:val="00C175E4"/>
    <w:rsid w:val="00C17E14"/>
    <w:rsid w:val="00C17FD0"/>
    <w:rsid w:val="00C207E6"/>
    <w:rsid w:val="00C20D12"/>
    <w:rsid w:val="00C223EF"/>
    <w:rsid w:val="00C226E1"/>
    <w:rsid w:val="00C22A5F"/>
    <w:rsid w:val="00C22EF1"/>
    <w:rsid w:val="00C230BD"/>
    <w:rsid w:val="00C23231"/>
    <w:rsid w:val="00C232E0"/>
    <w:rsid w:val="00C240AE"/>
    <w:rsid w:val="00C243E3"/>
    <w:rsid w:val="00C24B5E"/>
    <w:rsid w:val="00C2534F"/>
    <w:rsid w:val="00C257E8"/>
    <w:rsid w:val="00C25E4D"/>
    <w:rsid w:val="00C26444"/>
    <w:rsid w:val="00C265D1"/>
    <w:rsid w:val="00C26A7E"/>
    <w:rsid w:val="00C27B99"/>
    <w:rsid w:val="00C30058"/>
    <w:rsid w:val="00C3014A"/>
    <w:rsid w:val="00C30B75"/>
    <w:rsid w:val="00C30BC3"/>
    <w:rsid w:val="00C30D60"/>
    <w:rsid w:val="00C31637"/>
    <w:rsid w:val="00C317A2"/>
    <w:rsid w:val="00C31DD3"/>
    <w:rsid w:val="00C32A7C"/>
    <w:rsid w:val="00C343FC"/>
    <w:rsid w:val="00C34C23"/>
    <w:rsid w:val="00C350EE"/>
    <w:rsid w:val="00C354B5"/>
    <w:rsid w:val="00C35649"/>
    <w:rsid w:val="00C357CA"/>
    <w:rsid w:val="00C359FD"/>
    <w:rsid w:val="00C3651F"/>
    <w:rsid w:val="00C36633"/>
    <w:rsid w:val="00C367F0"/>
    <w:rsid w:val="00C36E9D"/>
    <w:rsid w:val="00C37116"/>
    <w:rsid w:val="00C379EE"/>
    <w:rsid w:val="00C37C86"/>
    <w:rsid w:val="00C401D3"/>
    <w:rsid w:val="00C404AC"/>
    <w:rsid w:val="00C40A98"/>
    <w:rsid w:val="00C41093"/>
    <w:rsid w:val="00C412B1"/>
    <w:rsid w:val="00C4286F"/>
    <w:rsid w:val="00C432C6"/>
    <w:rsid w:val="00C440E1"/>
    <w:rsid w:val="00C4436C"/>
    <w:rsid w:val="00C447BE"/>
    <w:rsid w:val="00C461B2"/>
    <w:rsid w:val="00C47C8E"/>
    <w:rsid w:val="00C5175E"/>
    <w:rsid w:val="00C5196C"/>
    <w:rsid w:val="00C52AEA"/>
    <w:rsid w:val="00C52F71"/>
    <w:rsid w:val="00C52FD1"/>
    <w:rsid w:val="00C5359B"/>
    <w:rsid w:val="00C53AF7"/>
    <w:rsid w:val="00C53B3B"/>
    <w:rsid w:val="00C54102"/>
    <w:rsid w:val="00C54877"/>
    <w:rsid w:val="00C5489D"/>
    <w:rsid w:val="00C54951"/>
    <w:rsid w:val="00C554B5"/>
    <w:rsid w:val="00C56EF2"/>
    <w:rsid w:val="00C570A6"/>
    <w:rsid w:val="00C57320"/>
    <w:rsid w:val="00C579F3"/>
    <w:rsid w:val="00C600B3"/>
    <w:rsid w:val="00C60DE1"/>
    <w:rsid w:val="00C61464"/>
    <w:rsid w:val="00C61D97"/>
    <w:rsid w:val="00C628B1"/>
    <w:rsid w:val="00C62C7C"/>
    <w:rsid w:val="00C63112"/>
    <w:rsid w:val="00C63254"/>
    <w:rsid w:val="00C641B0"/>
    <w:rsid w:val="00C65147"/>
    <w:rsid w:val="00C65532"/>
    <w:rsid w:val="00C666BF"/>
    <w:rsid w:val="00C66913"/>
    <w:rsid w:val="00C67E8E"/>
    <w:rsid w:val="00C703AC"/>
    <w:rsid w:val="00C707FC"/>
    <w:rsid w:val="00C70E67"/>
    <w:rsid w:val="00C71B45"/>
    <w:rsid w:val="00C71DCC"/>
    <w:rsid w:val="00C72177"/>
    <w:rsid w:val="00C728CE"/>
    <w:rsid w:val="00C737C1"/>
    <w:rsid w:val="00C73CC6"/>
    <w:rsid w:val="00C73F94"/>
    <w:rsid w:val="00C74B8C"/>
    <w:rsid w:val="00C76191"/>
    <w:rsid w:val="00C774EF"/>
    <w:rsid w:val="00C779EE"/>
    <w:rsid w:val="00C810DD"/>
    <w:rsid w:val="00C821FA"/>
    <w:rsid w:val="00C8268F"/>
    <w:rsid w:val="00C8287A"/>
    <w:rsid w:val="00C83377"/>
    <w:rsid w:val="00C834C5"/>
    <w:rsid w:val="00C83535"/>
    <w:rsid w:val="00C83CAC"/>
    <w:rsid w:val="00C83D84"/>
    <w:rsid w:val="00C8441F"/>
    <w:rsid w:val="00C8454E"/>
    <w:rsid w:val="00C846F8"/>
    <w:rsid w:val="00C84B68"/>
    <w:rsid w:val="00C858EF"/>
    <w:rsid w:val="00C85BCD"/>
    <w:rsid w:val="00C86028"/>
    <w:rsid w:val="00C86CA7"/>
    <w:rsid w:val="00C87398"/>
    <w:rsid w:val="00C873B2"/>
    <w:rsid w:val="00C87436"/>
    <w:rsid w:val="00C90207"/>
    <w:rsid w:val="00C905B3"/>
    <w:rsid w:val="00C91651"/>
    <w:rsid w:val="00C9168E"/>
    <w:rsid w:val="00C917A4"/>
    <w:rsid w:val="00C91EFC"/>
    <w:rsid w:val="00C922A2"/>
    <w:rsid w:val="00C92C00"/>
    <w:rsid w:val="00C931AC"/>
    <w:rsid w:val="00C93802"/>
    <w:rsid w:val="00C94622"/>
    <w:rsid w:val="00C959C3"/>
    <w:rsid w:val="00C95CEC"/>
    <w:rsid w:val="00C96E2B"/>
    <w:rsid w:val="00C975B3"/>
    <w:rsid w:val="00C97CEE"/>
    <w:rsid w:val="00CA0A09"/>
    <w:rsid w:val="00CA0DC2"/>
    <w:rsid w:val="00CA14DE"/>
    <w:rsid w:val="00CA1CF7"/>
    <w:rsid w:val="00CA2086"/>
    <w:rsid w:val="00CA2539"/>
    <w:rsid w:val="00CA26EA"/>
    <w:rsid w:val="00CA2976"/>
    <w:rsid w:val="00CA2FB2"/>
    <w:rsid w:val="00CA3453"/>
    <w:rsid w:val="00CA3D3A"/>
    <w:rsid w:val="00CA3EAF"/>
    <w:rsid w:val="00CA42D6"/>
    <w:rsid w:val="00CA4C1B"/>
    <w:rsid w:val="00CA5099"/>
    <w:rsid w:val="00CA528A"/>
    <w:rsid w:val="00CA5956"/>
    <w:rsid w:val="00CA6417"/>
    <w:rsid w:val="00CA6669"/>
    <w:rsid w:val="00CA6706"/>
    <w:rsid w:val="00CA7F35"/>
    <w:rsid w:val="00CB15E9"/>
    <w:rsid w:val="00CB2671"/>
    <w:rsid w:val="00CB2BD5"/>
    <w:rsid w:val="00CB3817"/>
    <w:rsid w:val="00CB3D26"/>
    <w:rsid w:val="00CB4312"/>
    <w:rsid w:val="00CB4DAB"/>
    <w:rsid w:val="00CB5C55"/>
    <w:rsid w:val="00CB5F62"/>
    <w:rsid w:val="00CB7273"/>
    <w:rsid w:val="00CC14F2"/>
    <w:rsid w:val="00CC1D1A"/>
    <w:rsid w:val="00CC25C9"/>
    <w:rsid w:val="00CC3B2D"/>
    <w:rsid w:val="00CC4106"/>
    <w:rsid w:val="00CC456F"/>
    <w:rsid w:val="00CC5956"/>
    <w:rsid w:val="00CC6260"/>
    <w:rsid w:val="00CC6B58"/>
    <w:rsid w:val="00CC71C4"/>
    <w:rsid w:val="00CC7AE7"/>
    <w:rsid w:val="00CD01B5"/>
    <w:rsid w:val="00CD06DD"/>
    <w:rsid w:val="00CD0824"/>
    <w:rsid w:val="00CD1404"/>
    <w:rsid w:val="00CD1FF9"/>
    <w:rsid w:val="00CD24D9"/>
    <w:rsid w:val="00CD2A30"/>
    <w:rsid w:val="00CD53F1"/>
    <w:rsid w:val="00CD58C4"/>
    <w:rsid w:val="00CD636A"/>
    <w:rsid w:val="00CD669A"/>
    <w:rsid w:val="00CD6769"/>
    <w:rsid w:val="00CD6DFA"/>
    <w:rsid w:val="00CD6F0F"/>
    <w:rsid w:val="00CD7596"/>
    <w:rsid w:val="00CD7D50"/>
    <w:rsid w:val="00CE0B1D"/>
    <w:rsid w:val="00CE1373"/>
    <w:rsid w:val="00CE154B"/>
    <w:rsid w:val="00CE26D2"/>
    <w:rsid w:val="00CE28E3"/>
    <w:rsid w:val="00CE2C5E"/>
    <w:rsid w:val="00CE3EC6"/>
    <w:rsid w:val="00CE3F6E"/>
    <w:rsid w:val="00CE5DC9"/>
    <w:rsid w:val="00CE6367"/>
    <w:rsid w:val="00CE6F9D"/>
    <w:rsid w:val="00CE794B"/>
    <w:rsid w:val="00CF188F"/>
    <w:rsid w:val="00CF1A2D"/>
    <w:rsid w:val="00CF1CAE"/>
    <w:rsid w:val="00CF218A"/>
    <w:rsid w:val="00CF2913"/>
    <w:rsid w:val="00CF3174"/>
    <w:rsid w:val="00CF3526"/>
    <w:rsid w:val="00CF394A"/>
    <w:rsid w:val="00CF4179"/>
    <w:rsid w:val="00CF439F"/>
    <w:rsid w:val="00CF449A"/>
    <w:rsid w:val="00CF5A89"/>
    <w:rsid w:val="00CF64D2"/>
    <w:rsid w:val="00CF6773"/>
    <w:rsid w:val="00CF68B4"/>
    <w:rsid w:val="00CF699C"/>
    <w:rsid w:val="00CF6CA5"/>
    <w:rsid w:val="00CF7120"/>
    <w:rsid w:val="00CF724C"/>
    <w:rsid w:val="00CF7403"/>
    <w:rsid w:val="00D001B4"/>
    <w:rsid w:val="00D003B7"/>
    <w:rsid w:val="00D00E36"/>
    <w:rsid w:val="00D018ED"/>
    <w:rsid w:val="00D01B09"/>
    <w:rsid w:val="00D02BCD"/>
    <w:rsid w:val="00D02C60"/>
    <w:rsid w:val="00D02D27"/>
    <w:rsid w:val="00D02F4F"/>
    <w:rsid w:val="00D02FDD"/>
    <w:rsid w:val="00D03543"/>
    <w:rsid w:val="00D0360C"/>
    <w:rsid w:val="00D03F1C"/>
    <w:rsid w:val="00D04919"/>
    <w:rsid w:val="00D04CB3"/>
    <w:rsid w:val="00D04EE2"/>
    <w:rsid w:val="00D04F5B"/>
    <w:rsid w:val="00D05097"/>
    <w:rsid w:val="00D05261"/>
    <w:rsid w:val="00D0534F"/>
    <w:rsid w:val="00D058E2"/>
    <w:rsid w:val="00D05E73"/>
    <w:rsid w:val="00D0685E"/>
    <w:rsid w:val="00D07252"/>
    <w:rsid w:val="00D07E94"/>
    <w:rsid w:val="00D10092"/>
    <w:rsid w:val="00D1049E"/>
    <w:rsid w:val="00D104DE"/>
    <w:rsid w:val="00D111DA"/>
    <w:rsid w:val="00D117AE"/>
    <w:rsid w:val="00D1284D"/>
    <w:rsid w:val="00D12A82"/>
    <w:rsid w:val="00D1312E"/>
    <w:rsid w:val="00D133EA"/>
    <w:rsid w:val="00D139DB"/>
    <w:rsid w:val="00D14528"/>
    <w:rsid w:val="00D14549"/>
    <w:rsid w:val="00D1471B"/>
    <w:rsid w:val="00D14E59"/>
    <w:rsid w:val="00D15741"/>
    <w:rsid w:val="00D15B81"/>
    <w:rsid w:val="00D161C2"/>
    <w:rsid w:val="00D1781A"/>
    <w:rsid w:val="00D17D9A"/>
    <w:rsid w:val="00D20031"/>
    <w:rsid w:val="00D217E8"/>
    <w:rsid w:val="00D21CEA"/>
    <w:rsid w:val="00D222F2"/>
    <w:rsid w:val="00D22358"/>
    <w:rsid w:val="00D2268F"/>
    <w:rsid w:val="00D23E89"/>
    <w:rsid w:val="00D246A0"/>
    <w:rsid w:val="00D24C6E"/>
    <w:rsid w:val="00D24D98"/>
    <w:rsid w:val="00D26B7F"/>
    <w:rsid w:val="00D26BC1"/>
    <w:rsid w:val="00D27639"/>
    <w:rsid w:val="00D27B53"/>
    <w:rsid w:val="00D27F04"/>
    <w:rsid w:val="00D30465"/>
    <w:rsid w:val="00D30E3E"/>
    <w:rsid w:val="00D313B3"/>
    <w:rsid w:val="00D3158D"/>
    <w:rsid w:val="00D319EF"/>
    <w:rsid w:val="00D31C55"/>
    <w:rsid w:val="00D32325"/>
    <w:rsid w:val="00D32886"/>
    <w:rsid w:val="00D3292B"/>
    <w:rsid w:val="00D33114"/>
    <w:rsid w:val="00D3367C"/>
    <w:rsid w:val="00D337F7"/>
    <w:rsid w:val="00D33F02"/>
    <w:rsid w:val="00D353F7"/>
    <w:rsid w:val="00D358F7"/>
    <w:rsid w:val="00D36376"/>
    <w:rsid w:val="00D36CFD"/>
    <w:rsid w:val="00D36E67"/>
    <w:rsid w:val="00D37A21"/>
    <w:rsid w:val="00D37EF5"/>
    <w:rsid w:val="00D4136A"/>
    <w:rsid w:val="00D419C9"/>
    <w:rsid w:val="00D428B9"/>
    <w:rsid w:val="00D42A59"/>
    <w:rsid w:val="00D43246"/>
    <w:rsid w:val="00D43761"/>
    <w:rsid w:val="00D43975"/>
    <w:rsid w:val="00D45056"/>
    <w:rsid w:val="00D4521A"/>
    <w:rsid w:val="00D45750"/>
    <w:rsid w:val="00D457EA"/>
    <w:rsid w:val="00D45A8A"/>
    <w:rsid w:val="00D45C42"/>
    <w:rsid w:val="00D46B27"/>
    <w:rsid w:val="00D473B6"/>
    <w:rsid w:val="00D473F6"/>
    <w:rsid w:val="00D50016"/>
    <w:rsid w:val="00D50B3F"/>
    <w:rsid w:val="00D515BA"/>
    <w:rsid w:val="00D52304"/>
    <w:rsid w:val="00D52419"/>
    <w:rsid w:val="00D52E54"/>
    <w:rsid w:val="00D52FF5"/>
    <w:rsid w:val="00D53732"/>
    <w:rsid w:val="00D551E7"/>
    <w:rsid w:val="00D55C74"/>
    <w:rsid w:val="00D55D65"/>
    <w:rsid w:val="00D56742"/>
    <w:rsid w:val="00D56BD5"/>
    <w:rsid w:val="00D56D8C"/>
    <w:rsid w:val="00D56DFA"/>
    <w:rsid w:val="00D57ABA"/>
    <w:rsid w:val="00D57E8E"/>
    <w:rsid w:val="00D60108"/>
    <w:rsid w:val="00D603C9"/>
    <w:rsid w:val="00D60E22"/>
    <w:rsid w:val="00D60F3B"/>
    <w:rsid w:val="00D61302"/>
    <w:rsid w:val="00D61950"/>
    <w:rsid w:val="00D62531"/>
    <w:rsid w:val="00D625BC"/>
    <w:rsid w:val="00D628CC"/>
    <w:rsid w:val="00D62E9D"/>
    <w:rsid w:val="00D62F4D"/>
    <w:rsid w:val="00D6351D"/>
    <w:rsid w:val="00D63C10"/>
    <w:rsid w:val="00D64906"/>
    <w:rsid w:val="00D64CB8"/>
    <w:rsid w:val="00D652D9"/>
    <w:rsid w:val="00D65AE8"/>
    <w:rsid w:val="00D65CF2"/>
    <w:rsid w:val="00D6622F"/>
    <w:rsid w:val="00D663E1"/>
    <w:rsid w:val="00D66499"/>
    <w:rsid w:val="00D67594"/>
    <w:rsid w:val="00D70A30"/>
    <w:rsid w:val="00D70DDA"/>
    <w:rsid w:val="00D71117"/>
    <w:rsid w:val="00D711BA"/>
    <w:rsid w:val="00D711CA"/>
    <w:rsid w:val="00D7151F"/>
    <w:rsid w:val="00D71536"/>
    <w:rsid w:val="00D717A6"/>
    <w:rsid w:val="00D72767"/>
    <w:rsid w:val="00D72E78"/>
    <w:rsid w:val="00D73136"/>
    <w:rsid w:val="00D73AD9"/>
    <w:rsid w:val="00D73F10"/>
    <w:rsid w:val="00D7432B"/>
    <w:rsid w:val="00D74416"/>
    <w:rsid w:val="00D74727"/>
    <w:rsid w:val="00D74C6D"/>
    <w:rsid w:val="00D7556B"/>
    <w:rsid w:val="00D75BF7"/>
    <w:rsid w:val="00D75CF9"/>
    <w:rsid w:val="00D75EC0"/>
    <w:rsid w:val="00D76738"/>
    <w:rsid w:val="00D76801"/>
    <w:rsid w:val="00D768E7"/>
    <w:rsid w:val="00D776AD"/>
    <w:rsid w:val="00D80525"/>
    <w:rsid w:val="00D80C1A"/>
    <w:rsid w:val="00D80C29"/>
    <w:rsid w:val="00D813E2"/>
    <w:rsid w:val="00D81C02"/>
    <w:rsid w:val="00D81EB4"/>
    <w:rsid w:val="00D8261A"/>
    <w:rsid w:val="00D8316D"/>
    <w:rsid w:val="00D83B51"/>
    <w:rsid w:val="00D84153"/>
    <w:rsid w:val="00D84ECA"/>
    <w:rsid w:val="00D8525E"/>
    <w:rsid w:val="00D8547D"/>
    <w:rsid w:val="00D86478"/>
    <w:rsid w:val="00D86CB4"/>
    <w:rsid w:val="00D876B2"/>
    <w:rsid w:val="00D87808"/>
    <w:rsid w:val="00D9041B"/>
    <w:rsid w:val="00D90DBB"/>
    <w:rsid w:val="00D91317"/>
    <w:rsid w:val="00D9141D"/>
    <w:rsid w:val="00D914E9"/>
    <w:rsid w:val="00D91CCD"/>
    <w:rsid w:val="00D92576"/>
    <w:rsid w:val="00D9264C"/>
    <w:rsid w:val="00D92A7F"/>
    <w:rsid w:val="00D93391"/>
    <w:rsid w:val="00D946C9"/>
    <w:rsid w:val="00D94C1E"/>
    <w:rsid w:val="00D94CF3"/>
    <w:rsid w:val="00D94CF9"/>
    <w:rsid w:val="00D953A4"/>
    <w:rsid w:val="00D96637"/>
    <w:rsid w:val="00D967A8"/>
    <w:rsid w:val="00D96EF7"/>
    <w:rsid w:val="00D97813"/>
    <w:rsid w:val="00DA0546"/>
    <w:rsid w:val="00DA058E"/>
    <w:rsid w:val="00DA1CB0"/>
    <w:rsid w:val="00DA247A"/>
    <w:rsid w:val="00DA28A7"/>
    <w:rsid w:val="00DA2B4F"/>
    <w:rsid w:val="00DA2F62"/>
    <w:rsid w:val="00DA3C77"/>
    <w:rsid w:val="00DA4994"/>
    <w:rsid w:val="00DA512C"/>
    <w:rsid w:val="00DA5AC7"/>
    <w:rsid w:val="00DA5E9D"/>
    <w:rsid w:val="00DA6765"/>
    <w:rsid w:val="00DA694D"/>
    <w:rsid w:val="00DA71B1"/>
    <w:rsid w:val="00DA75D9"/>
    <w:rsid w:val="00DB003C"/>
    <w:rsid w:val="00DB036A"/>
    <w:rsid w:val="00DB05FE"/>
    <w:rsid w:val="00DB1321"/>
    <w:rsid w:val="00DB13D0"/>
    <w:rsid w:val="00DB1B81"/>
    <w:rsid w:val="00DB1E91"/>
    <w:rsid w:val="00DB205C"/>
    <w:rsid w:val="00DB20E3"/>
    <w:rsid w:val="00DB22BF"/>
    <w:rsid w:val="00DB2E7A"/>
    <w:rsid w:val="00DB3051"/>
    <w:rsid w:val="00DB35CE"/>
    <w:rsid w:val="00DB3C50"/>
    <w:rsid w:val="00DB3E4B"/>
    <w:rsid w:val="00DB40A0"/>
    <w:rsid w:val="00DB4410"/>
    <w:rsid w:val="00DB45F9"/>
    <w:rsid w:val="00DB4AB2"/>
    <w:rsid w:val="00DB5085"/>
    <w:rsid w:val="00DB5117"/>
    <w:rsid w:val="00DB5BA9"/>
    <w:rsid w:val="00DB6031"/>
    <w:rsid w:val="00DB664A"/>
    <w:rsid w:val="00DB6698"/>
    <w:rsid w:val="00DB7463"/>
    <w:rsid w:val="00DC1016"/>
    <w:rsid w:val="00DC14AF"/>
    <w:rsid w:val="00DC1720"/>
    <w:rsid w:val="00DC188D"/>
    <w:rsid w:val="00DC2270"/>
    <w:rsid w:val="00DC3621"/>
    <w:rsid w:val="00DC3633"/>
    <w:rsid w:val="00DC4108"/>
    <w:rsid w:val="00DC4448"/>
    <w:rsid w:val="00DC4595"/>
    <w:rsid w:val="00DC4CF1"/>
    <w:rsid w:val="00DC4EC7"/>
    <w:rsid w:val="00DC4F64"/>
    <w:rsid w:val="00DC50A6"/>
    <w:rsid w:val="00DC50C5"/>
    <w:rsid w:val="00DC541C"/>
    <w:rsid w:val="00DC5732"/>
    <w:rsid w:val="00DC5F4C"/>
    <w:rsid w:val="00DC632E"/>
    <w:rsid w:val="00DC6480"/>
    <w:rsid w:val="00DC64A7"/>
    <w:rsid w:val="00DC64AB"/>
    <w:rsid w:val="00DC6DB2"/>
    <w:rsid w:val="00DC719F"/>
    <w:rsid w:val="00DC7261"/>
    <w:rsid w:val="00DD0572"/>
    <w:rsid w:val="00DD06AC"/>
    <w:rsid w:val="00DD0953"/>
    <w:rsid w:val="00DD11E4"/>
    <w:rsid w:val="00DD17FF"/>
    <w:rsid w:val="00DD1A28"/>
    <w:rsid w:val="00DD1A95"/>
    <w:rsid w:val="00DD257E"/>
    <w:rsid w:val="00DD2B7A"/>
    <w:rsid w:val="00DD2C81"/>
    <w:rsid w:val="00DD2CCA"/>
    <w:rsid w:val="00DD3028"/>
    <w:rsid w:val="00DD4CB0"/>
    <w:rsid w:val="00DD5F71"/>
    <w:rsid w:val="00DD6960"/>
    <w:rsid w:val="00DD7D68"/>
    <w:rsid w:val="00DE00E6"/>
    <w:rsid w:val="00DE1ED0"/>
    <w:rsid w:val="00DE1EE5"/>
    <w:rsid w:val="00DE23C0"/>
    <w:rsid w:val="00DE23CB"/>
    <w:rsid w:val="00DE2496"/>
    <w:rsid w:val="00DE3AA6"/>
    <w:rsid w:val="00DE456F"/>
    <w:rsid w:val="00DE4AB7"/>
    <w:rsid w:val="00DE4B52"/>
    <w:rsid w:val="00DE575F"/>
    <w:rsid w:val="00DE589A"/>
    <w:rsid w:val="00DE6944"/>
    <w:rsid w:val="00DE6D69"/>
    <w:rsid w:val="00DE7099"/>
    <w:rsid w:val="00DE7E4D"/>
    <w:rsid w:val="00DF066B"/>
    <w:rsid w:val="00DF0A7A"/>
    <w:rsid w:val="00DF0BC0"/>
    <w:rsid w:val="00DF0F05"/>
    <w:rsid w:val="00DF0FAA"/>
    <w:rsid w:val="00DF24F8"/>
    <w:rsid w:val="00DF341B"/>
    <w:rsid w:val="00DF37F5"/>
    <w:rsid w:val="00DF39E9"/>
    <w:rsid w:val="00DF431B"/>
    <w:rsid w:val="00DF4445"/>
    <w:rsid w:val="00DF51A8"/>
    <w:rsid w:val="00DF5BDD"/>
    <w:rsid w:val="00DF653C"/>
    <w:rsid w:val="00DF6730"/>
    <w:rsid w:val="00DF68B5"/>
    <w:rsid w:val="00DF6909"/>
    <w:rsid w:val="00DF6979"/>
    <w:rsid w:val="00DF74CB"/>
    <w:rsid w:val="00DF74D9"/>
    <w:rsid w:val="00E00EED"/>
    <w:rsid w:val="00E0186B"/>
    <w:rsid w:val="00E020B3"/>
    <w:rsid w:val="00E02729"/>
    <w:rsid w:val="00E02883"/>
    <w:rsid w:val="00E0360B"/>
    <w:rsid w:val="00E03A96"/>
    <w:rsid w:val="00E04AB7"/>
    <w:rsid w:val="00E05D56"/>
    <w:rsid w:val="00E079B8"/>
    <w:rsid w:val="00E105A9"/>
    <w:rsid w:val="00E10A5E"/>
    <w:rsid w:val="00E111DD"/>
    <w:rsid w:val="00E115DA"/>
    <w:rsid w:val="00E12B28"/>
    <w:rsid w:val="00E12F1E"/>
    <w:rsid w:val="00E13001"/>
    <w:rsid w:val="00E13527"/>
    <w:rsid w:val="00E136A4"/>
    <w:rsid w:val="00E1478E"/>
    <w:rsid w:val="00E14CBC"/>
    <w:rsid w:val="00E15056"/>
    <w:rsid w:val="00E15DB1"/>
    <w:rsid w:val="00E16055"/>
    <w:rsid w:val="00E16A0E"/>
    <w:rsid w:val="00E16E09"/>
    <w:rsid w:val="00E17552"/>
    <w:rsid w:val="00E176D8"/>
    <w:rsid w:val="00E178B4"/>
    <w:rsid w:val="00E20D3A"/>
    <w:rsid w:val="00E21B03"/>
    <w:rsid w:val="00E21EB7"/>
    <w:rsid w:val="00E21FB2"/>
    <w:rsid w:val="00E22150"/>
    <w:rsid w:val="00E22445"/>
    <w:rsid w:val="00E22CD1"/>
    <w:rsid w:val="00E234E2"/>
    <w:rsid w:val="00E23646"/>
    <w:rsid w:val="00E2376D"/>
    <w:rsid w:val="00E24B94"/>
    <w:rsid w:val="00E25639"/>
    <w:rsid w:val="00E260A3"/>
    <w:rsid w:val="00E26D15"/>
    <w:rsid w:val="00E26D26"/>
    <w:rsid w:val="00E27445"/>
    <w:rsid w:val="00E27840"/>
    <w:rsid w:val="00E27B51"/>
    <w:rsid w:val="00E27DDB"/>
    <w:rsid w:val="00E306B6"/>
    <w:rsid w:val="00E30C2E"/>
    <w:rsid w:val="00E314CC"/>
    <w:rsid w:val="00E314E4"/>
    <w:rsid w:val="00E31702"/>
    <w:rsid w:val="00E31B75"/>
    <w:rsid w:val="00E31D67"/>
    <w:rsid w:val="00E322C0"/>
    <w:rsid w:val="00E32371"/>
    <w:rsid w:val="00E3242E"/>
    <w:rsid w:val="00E3254D"/>
    <w:rsid w:val="00E32702"/>
    <w:rsid w:val="00E32F7D"/>
    <w:rsid w:val="00E330C9"/>
    <w:rsid w:val="00E3330E"/>
    <w:rsid w:val="00E3351F"/>
    <w:rsid w:val="00E33992"/>
    <w:rsid w:val="00E33BE6"/>
    <w:rsid w:val="00E33ECB"/>
    <w:rsid w:val="00E34B3E"/>
    <w:rsid w:val="00E3502C"/>
    <w:rsid w:val="00E37E33"/>
    <w:rsid w:val="00E4053A"/>
    <w:rsid w:val="00E40DAE"/>
    <w:rsid w:val="00E40F62"/>
    <w:rsid w:val="00E41C65"/>
    <w:rsid w:val="00E42224"/>
    <w:rsid w:val="00E425FE"/>
    <w:rsid w:val="00E43249"/>
    <w:rsid w:val="00E436A2"/>
    <w:rsid w:val="00E441B4"/>
    <w:rsid w:val="00E44456"/>
    <w:rsid w:val="00E44515"/>
    <w:rsid w:val="00E449D3"/>
    <w:rsid w:val="00E44D78"/>
    <w:rsid w:val="00E44E9E"/>
    <w:rsid w:val="00E458D8"/>
    <w:rsid w:val="00E47815"/>
    <w:rsid w:val="00E47940"/>
    <w:rsid w:val="00E47C42"/>
    <w:rsid w:val="00E47C61"/>
    <w:rsid w:val="00E50090"/>
    <w:rsid w:val="00E518A7"/>
    <w:rsid w:val="00E520CA"/>
    <w:rsid w:val="00E529F5"/>
    <w:rsid w:val="00E5356B"/>
    <w:rsid w:val="00E5392A"/>
    <w:rsid w:val="00E53C91"/>
    <w:rsid w:val="00E53E00"/>
    <w:rsid w:val="00E53ECB"/>
    <w:rsid w:val="00E54221"/>
    <w:rsid w:val="00E5450F"/>
    <w:rsid w:val="00E5474E"/>
    <w:rsid w:val="00E553EF"/>
    <w:rsid w:val="00E55A07"/>
    <w:rsid w:val="00E5650A"/>
    <w:rsid w:val="00E5674A"/>
    <w:rsid w:val="00E56A24"/>
    <w:rsid w:val="00E56AD3"/>
    <w:rsid w:val="00E574EC"/>
    <w:rsid w:val="00E579EF"/>
    <w:rsid w:val="00E57A0A"/>
    <w:rsid w:val="00E57F9C"/>
    <w:rsid w:val="00E602E8"/>
    <w:rsid w:val="00E609E9"/>
    <w:rsid w:val="00E6139B"/>
    <w:rsid w:val="00E615B3"/>
    <w:rsid w:val="00E615F9"/>
    <w:rsid w:val="00E6189D"/>
    <w:rsid w:val="00E6193C"/>
    <w:rsid w:val="00E62BC2"/>
    <w:rsid w:val="00E62F9B"/>
    <w:rsid w:val="00E63BDA"/>
    <w:rsid w:val="00E63DAA"/>
    <w:rsid w:val="00E65C11"/>
    <w:rsid w:val="00E65EB8"/>
    <w:rsid w:val="00E65F66"/>
    <w:rsid w:val="00E66C01"/>
    <w:rsid w:val="00E66DBC"/>
    <w:rsid w:val="00E6700E"/>
    <w:rsid w:val="00E67213"/>
    <w:rsid w:val="00E676BF"/>
    <w:rsid w:val="00E706ED"/>
    <w:rsid w:val="00E70BAF"/>
    <w:rsid w:val="00E71790"/>
    <w:rsid w:val="00E720AF"/>
    <w:rsid w:val="00E7221D"/>
    <w:rsid w:val="00E72234"/>
    <w:rsid w:val="00E72A9C"/>
    <w:rsid w:val="00E72F61"/>
    <w:rsid w:val="00E73D88"/>
    <w:rsid w:val="00E76074"/>
    <w:rsid w:val="00E7615F"/>
    <w:rsid w:val="00E76AE0"/>
    <w:rsid w:val="00E76D25"/>
    <w:rsid w:val="00E77582"/>
    <w:rsid w:val="00E77D64"/>
    <w:rsid w:val="00E77E03"/>
    <w:rsid w:val="00E809BC"/>
    <w:rsid w:val="00E81A87"/>
    <w:rsid w:val="00E8230B"/>
    <w:rsid w:val="00E82456"/>
    <w:rsid w:val="00E83948"/>
    <w:rsid w:val="00E83BCE"/>
    <w:rsid w:val="00E83CF9"/>
    <w:rsid w:val="00E8409E"/>
    <w:rsid w:val="00E84383"/>
    <w:rsid w:val="00E85130"/>
    <w:rsid w:val="00E85223"/>
    <w:rsid w:val="00E8675C"/>
    <w:rsid w:val="00E86B72"/>
    <w:rsid w:val="00E87B9D"/>
    <w:rsid w:val="00E92797"/>
    <w:rsid w:val="00E92974"/>
    <w:rsid w:val="00E92F98"/>
    <w:rsid w:val="00E9331D"/>
    <w:rsid w:val="00E94EF8"/>
    <w:rsid w:val="00E95322"/>
    <w:rsid w:val="00E95490"/>
    <w:rsid w:val="00E956ED"/>
    <w:rsid w:val="00E95733"/>
    <w:rsid w:val="00E95E24"/>
    <w:rsid w:val="00E962B1"/>
    <w:rsid w:val="00E968C1"/>
    <w:rsid w:val="00E969E1"/>
    <w:rsid w:val="00E971F6"/>
    <w:rsid w:val="00E97285"/>
    <w:rsid w:val="00EA0432"/>
    <w:rsid w:val="00EA0E54"/>
    <w:rsid w:val="00EA1769"/>
    <w:rsid w:val="00EA2942"/>
    <w:rsid w:val="00EA2FEC"/>
    <w:rsid w:val="00EA336C"/>
    <w:rsid w:val="00EA3671"/>
    <w:rsid w:val="00EA3D63"/>
    <w:rsid w:val="00EA515D"/>
    <w:rsid w:val="00EA5E04"/>
    <w:rsid w:val="00EA5FCA"/>
    <w:rsid w:val="00EA780C"/>
    <w:rsid w:val="00EA7E2A"/>
    <w:rsid w:val="00EB0DEA"/>
    <w:rsid w:val="00EB1304"/>
    <w:rsid w:val="00EB1F63"/>
    <w:rsid w:val="00EB22D2"/>
    <w:rsid w:val="00EB27BC"/>
    <w:rsid w:val="00EB2876"/>
    <w:rsid w:val="00EB28BF"/>
    <w:rsid w:val="00EB2E1D"/>
    <w:rsid w:val="00EB2E44"/>
    <w:rsid w:val="00EB3296"/>
    <w:rsid w:val="00EB355E"/>
    <w:rsid w:val="00EB3900"/>
    <w:rsid w:val="00EB457D"/>
    <w:rsid w:val="00EB457E"/>
    <w:rsid w:val="00EB4749"/>
    <w:rsid w:val="00EB4AFE"/>
    <w:rsid w:val="00EB51D4"/>
    <w:rsid w:val="00EB52ED"/>
    <w:rsid w:val="00EB5404"/>
    <w:rsid w:val="00EB6235"/>
    <w:rsid w:val="00EB6750"/>
    <w:rsid w:val="00EB6808"/>
    <w:rsid w:val="00EB6A32"/>
    <w:rsid w:val="00EB6B45"/>
    <w:rsid w:val="00EB77B2"/>
    <w:rsid w:val="00EC1ECA"/>
    <w:rsid w:val="00EC2522"/>
    <w:rsid w:val="00EC33A0"/>
    <w:rsid w:val="00EC356A"/>
    <w:rsid w:val="00EC4836"/>
    <w:rsid w:val="00EC4F13"/>
    <w:rsid w:val="00EC5088"/>
    <w:rsid w:val="00EC5A16"/>
    <w:rsid w:val="00EC5EAA"/>
    <w:rsid w:val="00EC633C"/>
    <w:rsid w:val="00EC6C0D"/>
    <w:rsid w:val="00EC781C"/>
    <w:rsid w:val="00EC7C9B"/>
    <w:rsid w:val="00ED03C3"/>
    <w:rsid w:val="00ED0441"/>
    <w:rsid w:val="00ED0867"/>
    <w:rsid w:val="00ED16CE"/>
    <w:rsid w:val="00ED1D22"/>
    <w:rsid w:val="00ED26A0"/>
    <w:rsid w:val="00ED2CDD"/>
    <w:rsid w:val="00ED33F6"/>
    <w:rsid w:val="00ED39B4"/>
    <w:rsid w:val="00ED48B2"/>
    <w:rsid w:val="00ED4DDC"/>
    <w:rsid w:val="00ED5E38"/>
    <w:rsid w:val="00ED6174"/>
    <w:rsid w:val="00ED68C4"/>
    <w:rsid w:val="00EE051D"/>
    <w:rsid w:val="00EE0B79"/>
    <w:rsid w:val="00EE1480"/>
    <w:rsid w:val="00EE14E5"/>
    <w:rsid w:val="00EE2406"/>
    <w:rsid w:val="00EE29B3"/>
    <w:rsid w:val="00EE2E12"/>
    <w:rsid w:val="00EE2F2F"/>
    <w:rsid w:val="00EE4490"/>
    <w:rsid w:val="00EE4776"/>
    <w:rsid w:val="00EE4907"/>
    <w:rsid w:val="00EE4B6C"/>
    <w:rsid w:val="00EE4EEF"/>
    <w:rsid w:val="00EE5F78"/>
    <w:rsid w:val="00EE6832"/>
    <w:rsid w:val="00EE7C06"/>
    <w:rsid w:val="00EE7CB3"/>
    <w:rsid w:val="00EF01D6"/>
    <w:rsid w:val="00EF02C6"/>
    <w:rsid w:val="00EF1304"/>
    <w:rsid w:val="00EF138F"/>
    <w:rsid w:val="00EF157F"/>
    <w:rsid w:val="00EF1755"/>
    <w:rsid w:val="00EF1D29"/>
    <w:rsid w:val="00EF21C5"/>
    <w:rsid w:val="00EF2A26"/>
    <w:rsid w:val="00EF3724"/>
    <w:rsid w:val="00EF3D58"/>
    <w:rsid w:val="00EF4077"/>
    <w:rsid w:val="00EF46DE"/>
    <w:rsid w:val="00EF7063"/>
    <w:rsid w:val="00EF7084"/>
    <w:rsid w:val="00EF7CD3"/>
    <w:rsid w:val="00EF7F4F"/>
    <w:rsid w:val="00F00704"/>
    <w:rsid w:val="00F007BD"/>
    <w:rsid w:val="00F00FF2"/>
    <w:rsid w:val="00F0122E"/>
    <w:rsid w:val="00F014B1"/>
    <w:rsid w:val="00F01F5B"/>
    <w:rsid w:val="00F024EC"/>
    <w:rsid w:val="00F0291B"/>
    <w:rsid w:val="00F03B39"/>
    <w:rsid w:val="00F03EA0"/>
    <w:rsid w:val="00F03ECE"/>
    <w:rsid w:val="00F04052"/>
    <w:rsid w:val="00F0412D"/>
    <w:rsid w:val="00F04FED"/>
    <w:rsid w:val="00F050BF"/>
    <w:rsid w:val="00F0554D"/>
    <w:rsid w:val="00F05B7A"/>
    <w:rsid w:val="00F05CCF"/>
    <w:rsid w:val="00F06644"/>
    <w:rsid w:val="00F06673"/>
    <w:rsid w:val="00F06710"/>
    <w:rsid w:val="00F06961"/>
    <w:rsid w:val="00F072FF"/>
    <w:rsid w:val="00F07CA6"/>
    <w:rsid w:val="00F07FF5"/>
    <w:rsid w:val="00F1066F"/>
    <w:rsid w:val="00F10678"/>
    <w:rsid w:val="00F10BAD"/>
    <w:rsid w:val="00F117EF"/>
    <w:rsid w:val="00F118AA"/>
    <w:rsid w:val="00F11E50"/>
    <w:rsid w:val="00F12960"/>
    <w:rsid w:val="00F13681"/>
    <w:rsid w:val="00F1415F"/>
    <w:rsid w:val="00F14201"/>
    <w:rsid w:val="00F146E9"/>
    <w:rsid w:val="00F14760"/>
    <w:rsid w:val="00F148FC"/>
    <w:rsid w:val="00F1508C"/>
    <w:rsid w:val="00F1578E"/>
    <w:rsid w:val="00F15BAB"/>
    <w:rsid w:val="00F15C01"/>
    <w:rsid w:val="00F1649D"/>
    <w:rsid w:val="00F165EB"/>
    <w:rsid w:val="00F2028F"/>
    <w:rsid w:val="00F20763"/>
    <w:rsid w:val="00F20A20"/>
    <w:rsid w:val="00F217DD"/>
    <w:rsid w:val="00F21EC7"/>
    <w:rsid w:val="00F226B7"/>
    <w:rsid w:val="00F227C8"/>
    <w:rsid w:val="00F23CB7"/>
    <w:rsid w:val="00F257B5"/>
    <w:rsid w:val="00F262D1"/>
    <w:rsid w:val="00F26357"/>
    <w:rsid w:val="00F2663E"/>
    <w:rsid w:val="00F2720E"/>
    <w:rsid w:val="00F27407"/>
    <w:rsid w:val="00F2776D"/>
    <w:rsid w:val="00F27D7C"/>
    <w:rsid w:val="00F30687"/>
    <w:rsid w:val="00F309DF"/>
    <w:rsid w:val="00F30E60"/>
    <w:rsid w:val="00F30FE8"/>
    <w:rsid w:val="00F3123C"/>
    <w:rsid w:val="00F31DB8"/>
    <w:rsid w:val="00F334CA"/>
    <w:rsid w:val="00F3441F"/>
    <w:rsid w:val="00F346E6"/>
    <w:rsid w:val="00F3485B"/>
    <w:rsid w:val="00F36078"/>
    <w:rsid w:val="00F36AE9"/>
    <w:rsid w:val="00F37547"/>
    <w:rsid w:val="00F37DF1"/>
    <w:rsid w:val="00F40860"/>
    <w:rsid w:val="00F40864"/>
    <w:rsid w:val="00F40F8A"/>
    <w:rsid w:val="00F41F62"/>
    <w:rsid w:val="00F425D1"/>
    <w:rsid w:val="00F4272A"/>
    <w:rsid w:val="00F429F5"/>
    <w:rsid w:val="00F42FCF"/>
    <w:rsid w:val="00F440E4"/>
    <w:rsid w:val="00F44895"/>
    <w:rsid w:val="00F44ADD"/>
    <w:rsid w:val="00F45379"/>
    <w:rsid w:val="00F4559D"/>
    <w:rsid w:val="00F45C35"/>
    <w:rsid w:val="00F45F87"/>
    <w:rsid w:val="00F46B53"/>
    <w:rsid w:val="00F46FC2"/>
    <w:rsid w:val="00F47A21"/>
    <w:rsid w:val="00F47E07"/>
    <w:rsid w:val="00F500AE"/>
    <w:rsid w:val="00F50121"/>
    <w:rsid w:val="00F5020F"/>
    <w:rsid w:val="00F50585"/>
    <w:rsid w:val="00F50587"/>
    <w:rsid w:val="00F507E9"/>
    <w:rsid w:val="00F509B4"/>
    <w:rsid w:val="00F512C4"/>
    <w:rsid w:val="00F516E3"/>
    <w:rsid w:val="00F5189B"/>
    <w:rsid w:val="00F52254"/>
    <w:rsid w:val="00F52CBF"/>
    <w:rsid w:val="00F52E2E"/>
    <w:rsid w:val="00F5472D"/>
    <w:rsid w:val="00F54832"/>
    <w:rsid w:val="00F54E48"/>
    <w:rsid w:val="00F55331"/>
    <w:rsid w:val="00F559F2"/>
    <w:rsid w:val="00F56539"/>
    <w:rsid w:val="00F569C9"/>
    <w:rsid w:val="00F56A1E"/>
    <w:rsid w:val="00F57223"/>
    <w:rsid w:val="00F57732"/>
    <w:rsid w:val="00F57885"/>
    <w:rsid w:val="00F61457"/>
    <w:rsid w:val="00F61931"/>
    <w:rsid w:val="00F622CC"/>
    <w:rsid w:val="00F62384"/>
    <w:rsid w:val="00F62A6D"/>
    <w:rsid w:val="00F62F36"/>
    <w:rsid w:val="00F63014"/>
    <w:rsid w:val="00F6347F"/>
    <w:rsid w:val="00F63C5C"/>
    <w:rsid w:val="00F63D54"/>
    <w:rsid w:val="00F64DDD"/>
    <w:rsid w:val="00F6528E"/>
    <w:rsid w:val="00F65677"/>
    <w:rsid w:val="00F657EA"/>
    <w:rsid w:val="00F65845"/>
    <w:rsid w:val="00F66144"/>
    <w:rsid w:val="00F66295"/>
    <w:rsid w:val="00F6713F"/>
    <w:rsid w:val="00F673EB"/>
    <w:rsid w:val="00F67F3A"/>
    <w:rsid w:val="00F70593"/>
    <w:rsid w:val="00F71168"/>
    <w:rsid w:val="00F71290"/>
    <w:rsid w:val="00F713C1"/>
    <w:rsid w:val="00F71742"/>
    <w:rsid w:val="00F71F3F"/>
    <w:rsid w:val="00F736E7"/>
    <w:rsid w:val="00F73A1A"/>
    <w:rsid w:val="00F74B51"/>
    <w:rsid w:val="00F76444"/>
    <w:rsid w:val="00F767E9"/>
    <w:rsid w:val="00F76F52"/>
    <w:rsid w:val="00F775B4"/>
    <w:rsid w:val="00F80B4D"/>
    <w:rsid w:val="00F81362"/>
    <w:rsid w:val="00F81A79"/>
    <w:rsid w:val="00F82456"/>
    <w:rsid w:val="00F832EC"/>
    <w:rsid w:val="00F8368E"/>
    <w:rsid w:val="00F837A6"/>
    <w:rsid w:val="00F83A9E"/>
    <w:rsid w:val="00F844C2"/>
    <w:rsid w:val="00F844EE"/>
    <w:rsid w:val="00F84A13"/>
    <w:rsid w:val="00F84C59"/>
    <w:rsid w:val="00F84E32"/>
    <w:rsid w:val="00F850C3"/>
    <w:rsid w:val="00F853C2"/>
    <w:rsid w:val="00F854EE"/>
    <w:rsid w:val="00F85950"/>
    <w:rsid w:val="00F85BA6"/>
    <w:rsid w:val="00F85DA9"/>
    <w:rsid w:val="00F867F5"/>
    <w:rsid w:val="00F877F9"/>
    <w:rsid w:val="00F9011C"/>
    <w:rsid w:val="00F902D2"/>
    <w:rsid w:val="00F90996"/>
    <w:rsid w:val="00F90EBD"/>
    <w:rsid w:val="00F91353"/>
    <w:rsid w:val="00F91B16"/>
    <w:rsid w:val="00F92CF2"/>
    <w:rsid w:val="00F92EC0"/>
    <w:rsid w:val="00F9497A"/>
    <w:rsid w:val="00F94998"/>
    <w:rsid w:val="00F94E51"/>
    <w:rsid w:val="00F94F21"/>
    <w:rsid w:val="00F94FC7"/>
    <w:rsid w:val="00F9579D"/>
    <w:rsid w:val="00F9661A"/>
    <w:rsid w:val="00F9684A"/>
    <w:rsid w:val="00FA0601"/>
    <w:rsid w:val="00FA0825"/>
    <w:rsid w:val="00FA08AD"/>
    <w:rsid w:val="00FA09E0"/>
    <w:rsid w:val="00FA0AF8"/>
    <w:rsid w:val="00FA279A"/>
    <w:rsid w:val="00FA2F27"/>
    <w:rsid w:val="00FA3EA4"/>
    <w:rsid w:val="00FA4150"/>
    <w:rsid w:val="00FA48DD"/>
    <w:rsid w:val="00FA4CAD"/>
    <w:rsid w:val="00FA5766"/>
    <w:rsid w:val="00FA5AEA"/>
    <w:rsid w:val="00FA5CCB"/>
    <w:rsid w:val="00FA5F76"/>
    <w:rsid w:val="00FA6C6F"/>
    <w:rsid w:val="00FA6D71"/>
    <w:rsid w:val="00FA71B8"/>
    <w:rsid w:val="00FA730D"/>
    <w:rsid w:val="00FA7D7D"/>
    <w:rsid w:val="00FA7EEE"/>
    <w:rsid w:val="00FB0218"/>
    <w:rsid w:val="00FB0249"/>
    <w:rsid w:val="00FB2531"/>
    <w:rsid w:val="00FB2BAA"/>
    <w:rsid w:val="00FB2D1F"/>
    <w:rsid w:val="00FB346C"/>
    <w:rsid w:val="00FB415E"/>
    <w:rsid w:val="00FB4258"/>
    <w:rsid w:val="00FB48C4"/>
    <w:rsid w:val="00FB4F0B"/>
    <w:rsid w:val="00FB5C50"/>
    <w:rsid w:val="00FB620D"/>
    <w:rsid w:val="00FB6978"/>
    <w:rsid w:val="00FB6F67"/>
    <w:rsid w:val="00FB7066"/>
    <w:rsid w:val="00FB73A2"/>
    <w:rsid w:val="00FB7F3D"/>
    <w:rsid w:val="00FC0270"/>
    <w:rsid w:val="00FC0AD7"/>
    <w:rsid w:val="00FC10DE"/>
    <w:rsid w:val="00FC178B"/>
    <w:rsid w:val="00FC1C61"/>
    <w:rsid w:val="00FC217D"/>
    <w:rsid w:val="00FC27BC"/>
    <w:rsid w:val="00FC2879"/>
    <w:rsid w:val="00FC2B00"/>
    <w:rsid w:val="00FC2D5F"/>
    <w:rsid w:val="00FC40A2"/>
    <w:rsid w:val="00FC47CD"/>
    <w:rsid w:val="00FC4D94"/>
    <w:rsid w:val="00FC5041"/>
    <w:rsid w:val="00FC5503"/>
    <w:rsid w:val="00FC5603"/>
    <w:rsid w:val="00FC5AD1"/>
    <w:rsid w:val="00FC5B0F"/>
    <w:rsid w:val="00FC62E4"/>
    <w:rsid w:val="00FC631A"/>
    <w:rsid w:val="00FC6552"/>
    <w:rsid w:val="00FC68EE"/>
    <w:rsid w:val="00FC6C58"/>
    <w:rsid w:val="00FC713A"/>
    <w:rsid w:val="00FC71E8"/>
    <w:rsid w:val="00FD063C"/>
    <w:rsid w:val="00FD0B28"/>
    <w:rsid w:val="00FD0BBD"/>
    <w:rsid w:val="00FD14F9"/>
    <w:rsid w:val="00FD17BA"/>
    <w:rsid w:val="00FD2C9D"/>
    <w:rsid w:val="00FD2F74"/>
    <w:rsid w:val="00FD3B94"/>
    <w:rsid w:val="00FD403A"/>
    <w:rsid w:val="00FD40DD"/>
    <w:rsid w:val="00FD40F5"/>
    <w:rsid w:val="00FD43B3"/>
    <w:rsid w:val="00FD50D8"/>
    <w:rsid w:val="00FD51A9"/>
    <w:rsid w:val="00FD58EA"/>
    <w:rsid w:val="00FD61B2"/>
    <w:rsid w:val="00FD6280"/>
    <w:rsid w:val="00FD6295"/>
    <w:rsid w:val="00FD62D8"/>
    <w:rsid w:val="00FD70D3"/>
    <w:rsid w:val="00FD7344"/>
    <w:rsid w:val="00FD76B9"/>
    <w:rsid w:val="00FE0236"/>
    <w:rsid w:val="00FE0959"/>
    <w:rsid w:val="00FE1118"/>
    <w:rsid w:val="00FE1219"/>
    <w:rsid w:val="00FE12F9"/>
    <w:rsid w:val="00FE2971"/>
    <w:rsid w:val="00FE3092"/>
    <w:rsid w:val="00FE3C11"/>
    <w:rsid w:val="00FE3EE3"/>
    <w:rsid w:val="00FE40E5"/>
    <w:rsid w:val="00FE427A"/>
    <w:rsid w:val="00FE4287"/>
    <w:rsid w:val="00FE4739"/>
    <w:rsid w:val="00FE4798"/>
    <w:rsid w:val="00FE4DB2"/>
    <w:rsid w:val="00FE4DDA"/>
    <w:rsid w:val="00FE681D"/>
    <w:rsid w:val="00FE74DF"/>
    <w:rsid w:val="00FE74F2"/>
    <w:rsid w:val="00FE7D2D"/>
    <w:rsid w:val="00FF00C8"/>
    <w:rsid w:val="00FF01DC"/>
    <w:rsid w:val="00FF0C9E"/>
    <w:rsid w:val="00FF0DBD"/>
    <w:rsid w:val="00FF0EA2"/>
    <w:rsid w:val="00FF116B"/>
    <w:rsid w:val="00FF1E0B"/>
    <w:rsid w:val="00FF2100"/>
    <w:rsid w:val="00FF22D3"/>
    <w:rsid w:val="00FF2AD6"/>
    <w:rsid w:val="00FF3A07"/>
    <w:rsid w:val="00FF3FEA"/>
    <w:rsid w:val="00FF44BF"/>
    <w:rsid w:val="00FF4C68"/>
    <w:rsid w:val="00FF4D05"/>
    <w:rsid w:val="00FF5786"/>
    <w:rsid w:val="00FF5A65"/>
    <w:rsid w:val="00FF6EE2"/>
    <w:rsid w:val="00FF76FC"/>
    <w:rsid w:val="0139481C"/>
    <w:rsid w:val="0158AF9E"/>
    <w:rsid w:val="0172E25A"/>
    <w:rsid w:val="01AAAA9E"/>
    <w:rsid w:val="01BD5CA9"/>
    <w:rsid w:val="01C3795D"/>
    <w:rsid w:val="01DB939E"/>
    <w:rsid w:val="020AC692"/>
    <w:rsid w:val="0239CA30"/>
    <w:rsid w:val="029E5832"/>
    <w:rsid w:val="02AE2A12"/>
    <w:rsid w:val="02B996D8"/>
    <w:rsid w:val="02DAC31F"/>
    <w:rsid w:val="02F5E014"/>
    <w:rsid w:val="03032DAE"/>
    <w:rsid w:val="0332AD46"/>
    <w:rsid w:val="03363B25"/>
    <w:rsid w:val="033780AA"/>
    <w:rsid w:val="035CA4C1"/>
    <w:rsid w:val="036D9FDC"/>
    <w:rsid w:val="03DA5E94"/>
    <w:rsid w:val="03E835B6"/>
    <w:rsid w:val="03ECADDA"/>
    <w:rsid w:val="040C8835"/>
    <w:rsid w:val="040E0965"/>
    <w:rsid w:val="04232441"/>
    <w:rsid w:val="050E41A3"/>
    <w:rsid w:val="0532F46E"/>
    <w:rsid w:val="055296F0"/>
    <w:rsid w:val="05A48A57"/>
    <w:rsid w:val="05AE56ED"/>
    <w:rsid w:val="05B3E59A"/>
    <w:rsid w:val="05DE37A8"/>
    <w:rsid w:val="06116419"/>
    <w:rsid w:val="062EAD6B"/>
    <w:rsid w:val="0656C2FC"/>
    <w:rsid w:val="06A19343"/>
    <w:rsid w:val="06A388A6"/>
    <w:rsid w:val="06FDB348"/>
    <w:rsid w:val="071D038F"/>
    <w:rsid w:val="07202765"/>
    <w:rsid w:val="07314F69"/>
    <w:rsid w:val="07673496"/>
    <w:rsid w:val="0769D4C4"/>
    <w:rsid w:val="07738A28"/>
    <w:rsid w:val="07D2A2D1"/>
    <w:rsid w:val="07F2D5D1"/>
    <w:rsid w:val="084FB5EB"/>
    <w:rsid w:val="0864BFE3"/>
    <w:rsid w:val="0867E229"/>
    <w:rsid w:val="087361CB"/>
    <w:rsid w:val="08CD1FCA"/>
    <w:rsid w:val="08EA51C0"/>
    <w:rsid w:val="08EA7F87"/>
    <w:rsid w:val="0903DEC4"/>
    <w:rsid w:val="090415A2"/>
    <w:rsid w:val="090C4D31"/>
    <w:rsid w:val="092C0AD4"/>
    <w:rsid w:val="093B26B1"/>
    <w:rsid w:val="09413B55"/>
    <w:rsid w:val="0961376A"/>
    <w:rsid w:val="0967A8ED"/>
    <w:rsid w:val="0985DC2A"/>
    <w:rsid w:val="098B0A90"/>
    <w:rsid w:val="09AB3EEE"/>
    <w:rsid w:val="09D0C1BC"/>
    <w:rsid w:val="09EF1BE2"/>
    <w:rsid w:val="0A4C3BF9"/>
    <w:rsid w:val="0AC8B193"/>
    <w:rsid w:val="0AFB23BC"/>
    <w:rsid w:val="0B14BE6C"/>
    <w:rsid w:val="0B28178D"/>
    <w:rsid w:val="0B470F4F"/>
    <w:rsid w:val="0B8D3D92"/>
    <w:rsid w:val="0BB2F055"/>
    <w:rsid w:val="0BBF0DAB"/>
    <w:rsid w:val="0C5D25FF"/>
    <w:rsid w:val="0CC1F6F4"/>
    <w:rsid w:val="0CCF9670"/>
    <w:rsid w:val="0CD5A99B"/>
    <w:rsid w:val="0DD4F2F5"/>
    <w:rsid w:val="0DEC3EFC"/>
    <w:rsid w:val="0DFFBADD"/>
    <w:rsid w:val="0E205F8B"/>
    <w:rsid w:val="0E457603"/>
    <w:rsid w:val="0E569206"/>
    <w:rsid w:val="0E5D64B4"/>
    <w:rsid w:val="0E81CA30"/>
    <w:rsid w:val="0E9D2B77"/>
    <w:rsid w:val="0EAABD03"/>
    <w:rsid w:val="0EB09848"/>
    <w:rsid w:val="0ED52494"/>
    <w:rsid w:val="0EE302A3"/>
    <w:rsid w:val="0F189ED6"/>
    <w:rsid w:val="0F840F31"/>
    <w:rsid w:val="0F9E57C5"/>
    <w:rsid w:val="10A42CBE"/>
    <w:rsid w:val="111419D6"/>
    <w:rsid w:val="11340BB1"/>
    <w:rsid w:val="115EA1AA"/>
    <w:rsid w:val="11A2AA48"/>
    <w:rsid w:val="121D2A33"/>
    <w:rsid w:val="12300313"/>
    <w:rsid w:val="124A058A"/>
    <w:rsid w:val="12A2C659"/>
    <w:rsid w:val="12AE21B4"/>
    <w:rsid w:val="12BC194F"/>
    <w:rsid w:val="12E8E046"/>
    <w:rsid w:val="12ED70A6"/>
    <w:rsid w:val="13086CDC"/>
    <w:rsid w:val="130D36C7"/>
    <w:rsid w:val="130DACC3"/>
    <w:rsid w:val="131D5F31"/>
    <w:rsid w:val="1321A3B1"/>
    <w:rsid w:val="1353458C"/>
    <w:rsid w:val="13B00A5E"/>
    <w:rsid w:val="1449F215"/>
    <w:rsid w:val="144E7C84"/>
    <w:rsid w:val="145413F1"/>
    <w:rsid w:val="14A286BA"/>
    <w:rsid w:val="14C97193"/>
    <w:rsid w:val="14F8909F"/>
    <w:rsid w:val="15080611"/>
    <w:rsid w:val="152149A2"/>
    <w:rsid w:val="155D6B10"/>
    <w:rsid w:val="15B6933A"/>
    <w:rsid w:val="15DDC2AA"/>
    <w:rsid w:val="16252F27"/>
    <w:rsid w:val="164B36D5"/>
    <w:rsid w:val="16618680"/>
    <w:rsid w:val="16813656"/>
    <w:rsid w:val="16ACA363"/>
    <w:rsid w:val="171507CB"/>
    <w:rsid w:val="1725DE1C"/>
    <w:rsid w:val="1758E642"/>
    <w:rsid w:val="17632D41"/>
    <w:rsid w:val="1792CC8D"/>
    <w:rsid w:val="17BA106E"/>
    <w:rsid w:val="17F985F4"/>
    <w:rsid w:val="1801CE68"/>
    <w:rsid w:val="18254E1B"/>
    <w:rsid w:val="183859EB"/>
    <w:rsid w:val="185D55B2"/>
    <w:rsid w:val="1862E0A3"/>
    <w:rsid w:val="18ACF277"/>
    <w:rsid w:val="18C64AB2"/>
    <w:rsid w:val="18F0D186"/>
    <w:rsid w:val="19090F44"/>
    <w:rsid w:val="192B49A8"/>
    <w:rsid w:val="198E8503"/>
    <w:rsid w:val="19A24483"/>
    <w:rsid w:val="19BA5255"/>
    <w:rsid w:val="19C19A70"/>
    <w:rsid w:val="19F6B038"/>
    <w:rsid w:val="1A2CE22B"/>
    <w:rsid w:val="1A52DBF1"/>
    <w:rsid w:val="1A5807C3"/>
    <w:rsid w:val="1A683EE0"/>
    <w:rsid w:val="1A9981F8"/>
    <w:rsid w:val="1ABB0F60"/>
    <w:rsid w:val="1AE86329"/>
    <w:rsid w:val="1AF723F1"/>
    <w:rsid w:val="1AFB8E8F"/>
    <w:rsid w:val="1B034EDC"/>
    <w:rsid w:val="1B1213D7"/>
    <w:rsid w:val="1B182020"/>
    <w:rsid w:val="1B442FB5"/>
    <w:rsid w:val="1B56D35C"/>
    <w:rsid w:val="1BBFBBC8"/>
    <w:rsid w:val="1BE2C041"/>
    <w:rsid w:val="1BFA988B"/>
    <w:rsid w:val="1C106432"/>
    <w:rsid w:val="1C2244FC"/>
    <w:rsid w:val="1C5DEB14"/>
    <w:rsid w:val="1C8ACDAF"/>
    <w:rsid w:val="1C9DD0CA"/>
    <w:rsid w:val="1CC0F279"/>
    <w:rsid w:val="1CCCF3FC"/>
    <w:rsid w:val="1CD59FC7"/>
    <w:rsid w:val="1CEF4553"/>
    <w:rsid w:val="1D30B74A"/>
    <w:rsid w:val="1D614D79"/>
    <w:rsid w:val="1D6B1F3A"/>
    <w:rsid w:val="1D7D3228"/>
    <w:rsid w:val="1DEDEAC5"/>
    <w:rsid w:val="1E0ED133"/>
    <w:rsid w:val="1E14CFB7"/>
    <w:rsid w:val="1E180404"/>
    <w:rsid w:val="1E201317"/>
    <w:rsid w:val="1E431B35"/>
    <w:rsid w:val="1E55E679"/>
    <w:rsid w:val="1E914F4D"/>
    <w:rsid w:val="1EA89C63"/>
    <w:rsid w:val="1EC034EE"/>
    <w:rsid w:val="1EC82465"/>
    <w:rsid w:val="1EE1431E"/>
    <w:rsid w:val="1F1A6103"/>
    <w:rsid w:val="1F1B902C"/>
    <w:rsid w:val="2006F00A"/>
    <w:rsid w:val="202A5940"/>
    <w:rsid w:val="2059E69D"/>
    <w:rsid w:val="208DF5EE"/>
    <w:rsid w:val="20AD8C32"/>
    <w:rsid w:val="20B63164"/>
    <w:rsid w:val="20E2562E"/>
    <w:rsid w:val="21219E03"/>
    <w:rsid w:val="213503F4"/>
    <w:rsid w:val="217EABE2"/>
    <w:rsid w:val="21A989B6"/>
    <w:rsid w:val="21DD8D5E"/>
    <w:rsid w:val="2213D656"/>
    <w:rsid w:val="2229C64F"/>
    <w:rsid w:val="2259358F"/>
    <w:rsid w:val="2268F229"/>
    <w:rsid w:val="226B07A5"/>
    <w:rsid w:val="22892105"/>
    <w:rsid w:val="22A8887D"/>
    <w:rsid w:val="2313AE12"/>
    <w:rsid w:val="239286FC"/>
    <w:rsid w:val="23C5E4CE"/>
    <w:rsid w:val="23D73951"/>
    <w:rsid w:val="23DAF485"/>
    <w:rsid w:val="23EDD226"/>
    <w:rsid w:val="2410CDDA"/>
    <w:rsid w:val="242EA68D"/>
    <w:rsid w:val="25061805"/>
    <w:rsid w:val="25259155"/>
    <w:rsid w:val="2586C3F6"/>
    <w:rsid w:val="259AA1BE"/>
    <w:rsid w:val="25BA2754"/>
    <w:rsid w:val="261E9426"/>
    <w:rsid w:val="262C4B43"/>
    <w:rsid w:val="26466606"/>
    <w:rsid w:val="26799311"/>
    <w:rsid w:val="2689C982"/>
    <w:rsid w:val="2714E36A"/>
    <w:rsid w:val="2715F1BE"/>
    <w:rsid w:val="275D2587"/>
    <w:rsid w:val="27B68231"/>
    <w:rsid w:val="27CEE2E3"/>
    <w:rsid w:val="28051886"/>
    <w:rsid w:val="28303410"/>
    <w:rsid w:val="289F1381"/>
    <w:rsid w:val="28E18EB4"/>
    <w:rsid w:val="28FF6643"/>
    <w:rsid w:val="290B3518"/>
    <w:rsid w:val="2966A4F7"/>
    <w:rsid w:val="29708ADD"/>
    <w:rsid w:val="29AA3BFA"/>
    <w:rsid w:val="29E05CD3"/>
    <w:rsid w:val="29E49348"/>
    <w:rsid w:val="2A203ABD"/>
    <w:rsid w:val="2A20F736"/>
    <w:rsid w:val="2A4CFC30"/>
    <w:rsid w:val="2A7F4610"/>
    <w:rsid w:val="2A99CF33"/>
    <w:rsid w:val="2A9D42EB"/>
    <w:rsid w:val="2AA0DC75"/>
    <w:rsid w:val="2AB01919"/>
    <w:rsid w:val="2AB34570"/>
    <w:rsid w:val="2AB4A644"/>
    <w:rsid w:val="2ABCCA19"/>
    <w:rsid w:val="2AC4765A"/>
    <w:rsid w:val="2AC8B5B6"/>
    <w:rsid w:val="2AD60D1A"/>
    <w:rsid w:val="2B012509"/>
    <w:rsid w:val="2B108901"/>
    <w:rsid w:val="2B453D1B"/>
    <w:rsid w:val="2BC7A0BA"/>
    <w:rsid w:val="2BCA485A"/>
    <w:rsid w:val="2C1802A0"/>
    <w:rsid w:val="2C54C310"/>
    <w:rsid w:val="2C7EC00B"/>
    <w:rsid w:val="2CEECD94"/>
    <w:rsid w:val="2CEED954"/>
    <w:rsid w:val="2D14680F"/>
    <w:rsid w:val="2D621400"/>
    <w:rsid w:val="2D72FFB6"/>
    <w:rsid w:val="2D8E2973"/>
    <w:rsid w:val="2DA11487"/>
    <w:rsid w:val="2DDF1EF7"/>
    <w:rsid w:val="2E27364C"/>
    <w:rsid w:val="2E47A3B9"/>
    <w:rsid w:val="2E4CD1CD"/>
    <w:rsid w:val="2E697CDE"/>
    <w:rsid w:val="2E6C5663"/>
    <w:rsid w:val="2E737542"/>
    <w:rsid w:val="2E7D493A"/>
    <w:rsid w:val="2E96DE1B"/>
    <w:rsid w:val="2EE52F21"/>
    <w:rsid w:val="2EEE2AA0"/>
    <w:rsid w:val="2F1E37AD"/>
    <w:rsid w:val="2F4A2A5B"/>
    <w:rsid w:val="2F782DE3"/>
    <w:rsid w:val="2F86D904"/>
    <w:rsid w:val="2F9FBC16"/>
    <w:rsid w:val="2FBCF8E5"/>
    <w:rsid w:val="2FC0CC6B"/>
    <w:rsid w:val="2FD1931B"/>
    <w:rsid w:val="2FDBB9C9"/>
    <w:rsid w:val="30476631"/>
    <w:rsid w:val="3063371E"/>
    <w:rsid w:val="3084DE97"/>
    <w:rsid w:val="30AF9E0E"/>
    <w:rsid w:val="30B4E4F3"/>
    <w:rsid w:val="30F7D5E0"/>
    <w:rsid w:val="31785413"/>
    <w:rsid w:val="319701DB"/>
    <w:rsid w:val="31E8C929"/>
    <w:rsid w:val="31F2566E"/>
    <w:rsid w:val="320C8130"/>
    <w:rsid w:val="32291DC4"/>
    <w:rsid w:val="322E31DC"/>
    <w:rsid w:val="32365F55"/>
    <w:rsid w:val="3246922D"/>
    <w:rsid w:val="325CAA2A"/>
    <w:rsid w:val="326DA88B"/>
    <w:rsid w:val="32C9F7FB"/>
    <w:rsid w:val="32EC3ADF"/>
    <w:rsid w:val="32FB821D"/>
    <w:rsid w:val="33315D2B"/>
    <w:rsid w:val="3355FEFD"/>
    <w:rsid w:val="33706BE6"/>
    <w:rsid w:val="338CC648"/>
    <w:rsid w:val="33BA2832"/>
    <w:rsid w:val="3407E997"/>
    <w:rsid w:val="34AF4558"/>
    <w:rsid w:val="34B173AB"/>
    <w:rsid w:val="34BC407B"/>
    <w:rsid w:val="34F475C7"/>
    <w:rsid w:val="351EF61C"/>
    <w:rsid w:val="352F62D7"/>
    <w:rsid w:val="35507012"/>
    <w:rsid w:val="3550BB35"/>
    <w:rsid w:val="35993B58"/>
    <w:rsid w:val="3655F10E"/>
    <w:rsid w:val="366ABD9A"/>
    <w:rsid w:val="36938944"/>
    <w:rsid w:val="36AA6B7B"/>
    <w:rsid w:val="36DF8890"/>
    <w:rsid w:val="36F14DDF"/>
    <w:rsid w:val="36FB374D"/>
    <w:rsid w:val="36FDDB2C"/>
    <w:rsid w:val="3719490E"/>
    <w:rsid w:val="3727E1D2"/>
    <w:rsid w:val="373BE37B"/>
    <w:rsid w:val="376B6DD9"/>
    <w:rsid w:val="37CED466"/>
    <w:rsid w:val="380B192D"/>
    <w:rsid w:val="385520A6"/>
    <w:rsid w:val="387A3420"/>
    <w:rsid w:val="3898CA13"/>
    <w:rsid w:val="38A190FE"/>
    <w:rsid w:val="38A3E88A"/>
    <w:rsid w:val="38D0DC1A"/>
    <w:rsid w:val="38EA7B3B"/>
    <w:rsid w:val="390D3540"/>
    <w:rsid w:val="393B6235"/>
    <w:rsid w:val="39B8B527"/>
    <w:rsid w:val="39C0CFBE"/>
    <w:rsid w:val="3A53841E"/>
    <w:rsid w:val="3B65B618"/>
    <w:rsid w:val="3BEF547F"/>
    <w:rsid w:val="3BF9E9A2"/>
    <w:rsid w:val="3C06DDE1"/>
    <w:rsid w:val="3C13B128"/>
    <w:rsid w:val="3C4D3227"/>
    <w:rsid w:val="3C8DA004"/>
    <w:rsid w:val="3CA0880F"/>
    <w:rsid w:val="3CED32D7"/>
    <w:rsid w:val="3CF1C90E"/>
    <w:rsid w:val="3D27D02C"/>
    <w:rsid w:val="3D2CA7C6"/>
    <w:rsid w:val="3D30F0A9"/>
    <w:rsid w:val="3D358A43"/>
    <w:rsid w:val="3D4A4B20"/>
    <w:rsid w:val="3D7AC2AB"/>
    <w:rsid w:val="3DB138A8"/>
    <w:rsid w:val="3E107D90"/>
    <w:rsid w:val="3E230D49"/>
    <w:rsid w:val="3E27A900"/>
    <w:rsid w:val="3E45BFD1"/>
    <w:rsid w:val="3E8572CC"/>
    <w:rsid w:val="3E9F8F13"/>
    <w:rsid w:val="3EB99EFD"/>
    <w:rsid w:val="3F348380"/>
    <w:rsid w:val="3FC4AE20"/>
    <w:rsid w:val="3FC91D93"/>
    <w:rsid w:val="3FDCE065"/>
    <w:rsid w:val="3FE16CA5"/>
    <w:rsid w:val="3FE3A4B4"/>
    <w:rsid w:val="3FF0E1E0"/>
    <w:rsid w:val="401A1C9F"/>
    <w:rsid w:val="404F7BFF"/>
    <w:rsid w:val="408B4BA2"/>
    <w:rsid w:val="40A5FC83"/>
    <w:rsid w:val="40E0F52C"/>
    <w:rsid w:val="40F78DF5"/>
    <w:rsid w:val="40FBE70B"/>
    <w:rsid w:val="41102D7F"/>
    <w:rsid w:val="416DAEBC"/>
    <w:rsid w:val="418CB241"/>
    <w:rsid w:val="4192D918"/>
    <w:rsid w:val="41DC4DE4"/>
    <w:rsid w:val="4200DC59"/>
    <w:rsid w:val="423EC219"/>
    <w:rsid w:val="425E9603"/>
    <w:rsid w:val="425F860E"/>
    <w:rsid w:val="426D0E82"/>
    <w:rsid w:val="42753525"/>
    <w:rsid w:val="42A71CB8"/>
    <w:rsid w:val="431999A0"/>
    <w:rsid w:val="43DA927A"/>
    <w:rsid w:val="43EE4348"/>
    <w:rsid w:val="440D89E5"/>
    <w:rsid w:val="446D2452"/>
    <w:rsid w:val="448503BD"/>
    <w:rsid w:val="449B89BD"/>
    <w:rsid w:val="44B5FB46"/>
    <w:rsid w:val="45214B75"/>
    <w:rsid w:val="4549160E"/>
    <w:rsid w:val="4583F73D"/>
    <w:rsid w:val="459B682C"/>
    <w:rsid w:val="45D77E72"/>
    <w:rsid w:val="4608B664"/>
    <w:rsid w:val="4666AE5D"/>
    <w:rsid w:val="46CF02FA"/>
    <w:rsid w:val="46E6B677"/>
    <w:rsid w:val="46F35616"/>
    <w:rsid w:val="46FF1BD2"/>
    <w:rsid w:val="473D1BDA"/>
    <w:rsid w:val="4746655E"/>
    <w:rsid w:val="47478B90"/>
    <w:rsid w:val="47765B39"/>
    <w:rsid w:val="477ADD4E"/>
    <w:rsid w:val="478679FA"/>
    <w:rsid w:val="47B98D10"/>
    <w:rsid w:val="47C9BFA7"/>
    <w:rsid w:val="47FB45A6"/>
    <w:rsid w:val="482FEFC1"/>
    <w:rsid w:val="4884AC62"/>
    <w:rsid w:val="488833F0"/>
    <w:rsid w:val="48A8827C"/>
    <w:rsid w:val="48AB97E1"/>
    <w:rsid w:val="48D8BF43"/>
    <w:rsid w:val="48E0283B"/>
    <w:rsid w:val="48EC357B"/>
    <w:rsid w:val="49B129EC"/>
    <w:rsid w:val="49C7C346"/>
    <w:rsid w:val="49E1FE68"/>
    <w:rsid w:val="4A0E35F3"/>
    <w:rsid w:val="4A1F80A4"/>
    <w:rsid w:val="4A414FFE"/>
    <w:rsid w:val="4A69194F"/>
    <w:rsid w:val="4A8EA2B4"/>
    <w:rsid w:val="4A93ACF0"/>
    <w:rsid w:val="4AC6F051"/>
    <w:rsid w:val="4AE070E0"/>
    <w:rsid w:val="4AF02F06"/>
    <w:rsid w:val="4AF642C2"/>
    <w:rsid w:val="4AF921A5"/>
    <w:rsid w:val="4B060BF4"/>
    <w:rsid w:val="4B17C825"/>
    <w:rsid w:val="4B3C6F96"/>
    <w:rsid w:val="4B665759"/>
    <w:rsid w:val="4BDDD43B"/>
    <w:rsid w:val="4BEA95FF"/>
    <w:rsid w:val="4BF2CA82"/>
    <w:rsid w:val="4C509239"/>
    <w:rsid w:val="4C799273"/>
    <w:rsid w:val="4C85D042"/>
    <w:rsid w:val="4C8E504F"/>
    <w:rsid w:val="4CACEE0E"/>
    <w:rsid w:val="4CF9C750"/>
    <w:rsid w:val="4D0FA3B3"/>
    <w:rsid w:val="4D2AB2D0"/>
    <w:rsid w:val="4D31E0FD"/>
    <w:rsid w:val="4D43AD49"/>
    <w:rsid w:val="4D5EF22A"/>
    <w:rsid w:val="4D933501"/>
    <w:rsid w:val="4DA6EE4B"/>
    <w:rsid w:val="4DAA289A"/>
    <w:rsid w:val="4DE20FA6"/>
    <w:rsid w:val="4DF97BF9"/>
    <w:rsid w:val="4E1562D4"/>
    <w:rsid w:val="4E5C70CF"/>
    <w:rsid w:val="4E7B0794"/>
    <w:rsid w:val="4EBA7D1E"/>
    <w:rsid w:val="4F7FA912"/>
    <w:rsid w:val="4F8FA7D6"/>
    <w:rsid w:val="4F9BF66F"/>
    <w:rsid w:val="4FE621B3"/>
    <w:rsid w:val="4FFC04B1"/>
    <w:rsid w:val="50846F5F"/>
    <w:rsid w:val="50AB7505"/>
    <w:rsid w:val="513F7A7D"/>
    <w:rsid w:val="5156486A"/>
    <w:rsid w:val="5176BF8B"/>
    <w:rsid w:val="5183295F"/>
    <w:rsid w:val="5188EE85"/>
    <w:rsid w:val="51C44ACD"/>
    <w:rsid w:val="52215FC5"/>
    <w:rsid w:val="524EA5BB"/>
    <w:rsid w:val="533CE77A"/>
    <w:rsid w:val="534CC34F"/>
    <w:rsid w:val="53568FF8"/>
    <w:rsid w:val="535DCCE2"/>
    <w:rsid w:val="5377F4CB"/>
    <w:rsid w:val="539D519D"/>
    <w:rsid w:val="541877B4"/>
    <w:rsid w:val="5456A84B"/>
    <w:rsid w:val="54BCEBF1"/>
    <w:rsid w:val="54DE7210"/>
    <w:rsid w:val="54F7D6F4"/>
    <w:rsid w:val="55030D05"/>
    <w:rsid w:val="55043AD7"/>
    <w:rsid w:val="551B6DBC"/>
    <w:rsid w:val="5529AA92"/>
    <w:rsid w:val="55A83744"/>
    <w:rsid w:val="55B42DE4"/>
    <w:rsid w:val="55DE4C22"/>
    <w:rsid w:val="560C5BEE"/>
    <w:rsid w:val="564688AB"/>
    <w:rsid w:val="564E41DA"/>
    <w:rsid w:val="5654CCD3"/>
    <w:rsid w:val="56616C72"/>
    <w:rsid w:val="569ACB45"/>
    <w:rsid w:val="56B9D101"/>
    <w:rsid w:val="573819DD"/>
    <w:rsid w:val="57692E95"/>
    <w:rsid w:val="576EF011"/>
    <w:rsid w:val="57ADE9B7"/>
    <w:rsid w:val="57CFB0B9"/>
    <w:rsid w:val="57E932CE"/>
    <w:rsid w:val="580C8F08"/>
    <w:rsid w:val="582096D3"/>
    <w:rsid w:val="58392B6A"/>
    <w:rsid w:val="583A189C"/>
    <w:rsid w:val="5940C3FC"/>
    <w:rsid w:val="5944997F"/>
    <w:rsid w:val="595FFABB"/>
    <w:rsid w:val="59A6A7DD"/>
    <w:rsid w:val="59BBE570"/>
    <w:rsid w:val="5A16DCA0"/>
    <w:rsid w:val="5A29FF8E"/>
    <w:rsid w:val="5A969B83"/>
    <w:rsid w:val="5AF444D2"/>
    <w:rsid w:val="5B239510"/>
    <w:rsid w:val="5B5C7751"/>
    <w:rsid w:val="5B73DB69"/>
    <w:rsid w:val="5B84499A"/>
    <w:rsid w:val="5BA1488E"/>
    <w:rsid w:val="5BB5E00B"/>
    <w:rsid w:val="5BB94162"/>
    <w:rsid w:val="5BD3AEE2"/>
    <w:rsid w:val="5BE63E5E"/>
    <w:rsid w:val="5BFA81D5"/>
    <w:rsid w:val="5BFD9E28"/>
    <w:rsid w:val="5C60D013"/>
    <w:rsid w:val="5C6B1E31"/>
    <w:rsid w:val="5C875436"/>
    <w:rsid w:val="5C8A90C3"/>
    <w:rsid w:val="5C8E2B84"/>
    <w:rsid w:val="5C902284"/>
    <w:rsid w:val="5CA7AAD0"/>
    <w:rsid w:val="5CDE0D66"/>
    <w:rsid w:val="5CEBD858"/>
    <w:rsid w:val="5DD9B453"/>
    <w:rsid w:val="5E90DC86"/>
    <w:rsid w:val="5ED84CF6"/>
    <w:rsid w:val="5F14085D"/>
    <w:rsid w:val="5F2853AC"/>
    <w:rsid w:val="5F433B13"/>
    <w:rsid w:val="5F8B6F9E"/>
    <w:rsid w:val="5FDBF3CA"/>
    <w:rsid w:val="5FF9E63C"/>
    <w:rsid w:val="6044768D"/>
    <w:rsid w:val="60599870"/>
    <w:rsid w:val="605CD821"/>
    <w:rsid w:val="6064481A"/>
    <w:rsid w:val="60883E8C"/>
    <w:rsid w:val="60C5F778"/>
    <w:rsid w:val="60D10E39"/>
    <w:rsid w:val="60EB609E"/>
    <w:rsid w:val="614D1F33"/>
    <w:rsid w:val="6165A983"/>
    <w:rsid w:val="617D4349"/>
    <w:rsid w:val="61D8885F"/>
    <w:rsid w:val="62567B67"/>
    <w:rsid w:val="62583F2C"/>
    <w:rsid w:val="625F747B"/>
    <w:rsid w:val="627ABF72"/>
    <w:rsid w:val="628730FF"/>
    <w:rsid w:val="62A02214"/>
    <w:rsid w:val="62D21D6D"/>
    <w:rsid w:val="62D8D686"/>
    <w:rsid w:val="631973A9"/>
    <w:rsid w:val="631D2DA2"/>
    <w:rsid w:val="632968DB"/>
    <w:rsid w:val="63943C17"/>
    <w:rsid w:val="639B0F3E"/>
    <w:rsid w:val="63C32094"/>
    <w:rsid w:val="63D99257"/>
    <w:rsid w:val="64015363"/>
    <w:rsid w:val="641DC35C"/>
    <w:rsid w:val="642EEC13"/>
    <w:rsid w:val="64484690"/>
    <w:rsid w:val="64BB174C"/>
    <w:rsid w:val="653B0469"/>
    <w:rsid w:val="6580541C"/>
    <w:rsid w:val="658D47B6"/>
    <w:rsid w:val="65BC5836"/>
    <w:rsid w:val="6682C5C4"/>
    <w:rsid w:val="66DAF46E"/>
    <w:rsid w:val="66E1DAB1"/>
    <w:rsid w:val="66FA752C"/>
    <w:rsid w:val="671176D6"/>
    <w:rsid w:val="672CB7D5"/>
    <w:rsid w:val="67850FEE"/>
    <w:rsid w:val="67A19C5A"/>
    <w:rsid w:val="67EDE41D"/>
    <w:rsid w:val="6821B7F8"/>
    <w:rsid w:val="6843C7B9"/>
    <w:rsid w:val="684BAD21"/>
    <w:rsid w:val="685821D2"/>
    <w:rsid w:val="687671B4"/>
    <w:rsid w:val="68A46F1E"/>
    <w:rsid w:val="68B4BFB2"/>
    <w:rsid w:val="68B6306F"/>
    <w:rsid w:val="68D93C7D"/>
    <w:rsid w:val="68DC9384"/>
    <w:rsid w:val="690C236F"/>
    <w:rsid w:val="69277454"/>
    <w:rsid w:val="69657684"/>
    <w:rsid w:val="696C0979"/>
    <w:rsid w:val="69741E42"/>
    <w:rsid w:val="69E1B560"/>
    <w:rsid w:val="6A046440"/>
    <w:rsid w:val="6A20A387"/>
    <w:rsid w:val="6A3B7D93"/>
    <w:rsid w:val="6A97F3A2"/>
    <w:rsid w:val="6B075E6D"/>
    <w:rsid w:val="6B189FE5"/>
    <w:rsid w:val="6B7411F0"/>
    <w:rsid w:val="6B8EF1C6"/>
    <w:rsid w:val="6BD4EA87"/>
    <w:rsid w:val="6C3AB41A"/>
    <w:rsid w:val="6C5E23D5"/>
    <w:rsid w:val="6C7899DA"/>
    <w:rsid w:val="6C94DFF0"/>
    <w:rsid w:val="6CC87F5F"/>
    <w:rsid w:val="6CECF6C3"/>
    <w:rsid w:val="6CFADBEE"/>
    <w:rsid w:val="6D31B3D5"/>
    <w:rsid w:val="6D58E77C"/>
    <w:rsid w:val="6D9CB172"/>
    <w:rsid w:val="6DC630F0"/>
    <w:rsid w:val="6E038A93"/>
    <w:rsid w:val="6E515745"/>
    <w:rsid w:val="6E6331A1"/>
    <w:rsid w:val="6E6F5489"/>
    <w:rsid w:val="6E74C587"/>
    <w:rsid w:val="6F3F699D"/>
    <w:rsid w:val="6F66037E"/>
    <w:rsid w:val="6F75660F"/>
    <w:rsid w:val="6F913DE9"/>
    <w:rsid w:val="6FBB0788"/>
    <w:rsid w:val="6FC21E7A"/>
    <w:rsid w:val="6FF38DD4"/>
    <w:rsid w:val="700F7587"/>
    <w:rsid w:val="7060C4B3"/>
    <w:rsid w:val="708A3B89"/>
    <w:rsid w:val="70950AD6"/>
    <w:rsid w:val="70BFD431"/>
    <w:rsid w:val="7105EDD6"/>
    <w:rsid w:val="715B4D8E"/>
    <w:rsid w:val="71939D82"/>
    <w:rsid w:val="71BCD6CD"/>
    <w:rsid w:val="71EE0C99"/>
    <w:rsid w:val="71FB92E3"/>
    <w:rsid w:val="721B108D"/>
    <w:rsid w:val="7244689F"/>
    <w:rsid w:val="725128BE"/>
    <w:rsid w:val="72C76245"/>
    <w:rsid w:val="72CD8F1A"/>
    <w:rsid w:val="73048714"/>
    <w:rsid w:val="7381EA15"/>
    <w:rsid w:val="73A1EDEC"/>
    <w:rsid w:val="73BA6E3E"/>
    <w:rsid w:val="73F80889"/>
    <w:rsid w:val="7415FBE4"/>
    <w:rsid w:val="7450B03F"/>
    <w:rsid w:val="74576B66"/>
    <w:rsid w:val="74892210"/>
    <w:rsid w:val="74A40C48"/>
    <w:rsid w:val="74F228BF"/>
    <w:rsid w:val="75091126"/>
    <w:rsid w:val="750DEB6A"/>
    <w:rsid w:val="750E1F07"/>
    <w:rsid w:val="75429909"/>
    <w:rsid w:val="7545B95D"/>
    <w:rsid w:val="75503699"/>
    <w:rsid w:val="756388A8"/>
    <w:rsid w:val="75747F97"/>
    <w:rsid w:val="75769972"/>
    <w:rsid w:val="75A8127B"/>
    <w:rsid w:val="76497759"/>
    <w:rsid w:val="765AEE66"/>
    <w:rsid w:val="7717DB0F"/>
    <w:rsid w:val="77210860"/>
    <w:rsid w:val="7784A395"/>
    <w:rsid w:val="7784A8C0"/>
    <w:rsid w:val="779823CA"/>
    <w:rsid w:val="779D6AFB"/>
    <w:rsid w:val="77DB4FEB"/>
    <w:rsid w:val="78178C7F"/>
    <w:rsid w:val="781B4BAC"/>
    <w:rsid w:val="78240F4C"/>
    <w:rsid w:val="7845BFC9"/>
    <w:rsid w:val="786D99C2"/>
    <w:rsid w:val="78A1271F"/>
    <w:rsid w:val="78EBBC7E"/>
    <w:rsid w:val="791A35E2"/>
    <w:rsid w:val="792CEAEF"/>
    <w:rsid w:val="7938202F"/>
    <w:rsid w:val="793D35AD"/>
    <w:rsid w:val="79EC05F5"/>
    <w:rsid w:val="79EFFE1E"/>
    <w:rsid w:val="7A2B81E8"/>
    <w:rsid w:val="7A52E4D8"/>
    <w:rsid w:val="7A84A9EE"/>
    <w:rsid w:val="7AA0F737"/>
    <w:rsid w:val="7B2CD36B"/>
    <w:rsid w:val="7BC022F3"/>
    <w:rsid w:val="7BDD0D81"/>
    <w:rsid w:val="7C18FC96"/>
    <w:rsid w:val="7C19210A"/>
    <w:rsid w:val="7C24C96C"/>
    <w:rsid w:val="7C561DD9"/>
    <w:rsid w:val="7CA46399"/>
    <w:rsid w:val="7CDE1420"/>
    <w:rsid w:val="7DB13FE8"/>
    <w:rsid w:val="7DCE5C5F"/>
    <w:rsid w:val="7DDD13C8"/>
    <w:rsid w:val="7E0A1482"/>
    <w:rsid w:val="7E48E286"/>
    <w:rsid w:val="7EEABC47"/>
    <w:rsid w:val="7F6C0D57"/>
    <w:rsid w:val="7F85DA5D"/>
    <w:rsid w:val="7FB32E4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17A"/>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3"/>
      </w:numPr>
      <w:pBdr>
        <w:bottom w:val="single" w:sz="4" w:space="1" w:color="auto"/>
      </w:pBdr>
      <w:spacing w:before="600" w:after="480" w:line="240" w:lineRule="auto"/>
      <w:ind w:left="357" w:hanging="357"/>
      <w:outlineLvl w:val="0"/>
    </w:pPr>
    <w:rPr>
      <w:rFonts w:ascii="Cambria Math" w:eastAsiaTheme="majorEastAsia" w:hAnsi="Cambria Math" w:cstheme="majorBidi"/>
      <w:sz w:val="44"/>
      <w:szCs w:val="32"/>
    </w:rPr>
  </w:style>
  <w:style w:type="paragraph" w:styleId="Heading2">
    <w:name w:val="heading 2"/>
    <w:basedOn w:val="Normal"/>
    <w:next w:val="Normal"/>
    <w:link w:val="Heading2Char"/>
    <w:uiPriority w:val="9"/>
    <w:unhideWhenUsed/>
    <w:qFormat/>
    <w:rsid w:val="00E47815"/>
    <w:pPr>
      <w:keepNext/>
      <w:keepLines/>
      <w:numPr>
        <w:ilvl w:val="1"/>
        <w:numId w:val="3"/>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4E600D"/>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C858EF"/>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Calibri Light" w:hAnsi="Calibri Light"/>
      <w:b/>
      <w:sz w:val="20"/>
    </w:rPr>
  </w:style>
  <w:style w:type="paragraph" w:styleId="CommentText">
    <w:name w:val="annotation text"/>
    <w:basedOn w:val="Normal"/>
    <w:link w:val="CommentTextChar"/>
    <w:uiPriority w:val="99"/>
    <w:unhideWhenUsed/>
    <w:rsid w:val="003E7773"/>
    <w:pPr>
      <w:spacing w:after="240" w:line="240" w:lineRule="auto"/>
    </w:pPr>
    <w:rPr>
      <w:rFonts w:ascii="SimSun" w:eastAsia="Wingdings" w:hAnsi="SimSun" w:cs="Wingdings"/>
      <w:color w:val="000000"/>
      <w:szCs w:val="24"/>
      <w:lang w:eastAsia="en-AU"/>
    </w:rPr>
  </w:style>
  <w:style w:type="character" w:customStyle="1" w:styleId="CommentTextChar">
    <w:name w:val="Comment Text Char"/>
    <w:basedOn w:val="DefaultParagraphFont"/>
    <w:link w:val="CommentText"/>
    <w:uiPriority w:val="99"/>
    <w:rsid w:val="003E7773"/>
    <w:rPr>
      <w:rFonts w:ascii="SimSun" w:eastAsia="Wingdings" w:hAnsi="SimSun" w:cs="Wingdings"/>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C858EF"/>
    <w:rPr>
      <w:rFonts w:ascii="Arial Narrow" w:hAnsi="Arial Narrow"/>
      <w:sz w:val="20"/>
    </w:rPr>
  </w:style>
  <w:style w:type="character" w:customStyle="1" w:styleId="TableHeadingChar">
    <w:name w:val="TableHeading Char"/>
    <w:link w:val="TableHeading"/>
    <w:rsid w:val="00B151CF"/>
    <w:rPr>
      <w:rFonts w:ascii="Calibri Light" w:hAnsi="Calibri Light"/>
      <w:b/>
      <w:sz w:val="20"/>
    </w:rPr>
  </w:style>
  <w:style w:type="paragraph" w:styleId="BalloonText">
    <w:name w:val="Balloon Text"/>
    <w:basedOn w:val="Normal"/>
    <w:link w:val="BalloonTextChar"/>
    <w:uiPriority w:val="99"/>
    <w:semiHidden/>
    <w:unhideWhenUsed/>
    <w:rsid w:val="003E7773"/>
    <w:pPr>
      <w:spacing w:after="0" w:line="240" w:lineRule="auto"/>
    </w:pPr>
    <w:rPr>
      <w:rFonts w:ascii="Yu Mincho Light" w:hAnsi="Yu Mincho Light" w:cs="Yu Mincho Light"/>
      <w:sz w:val="18"/>
      <w:szCs w:val="18"/>
    </w:rPr>
  </w:style>
  <w:style w:type="character" w:customStyle="1" w:styleId="BalloonTextChar">
    <w:name w:val="Balloon Text Char"/>
    <w:basedOn w:val="DefaultParagraphFont"/>
    <w:link w:val="BalloonText"/>
    <w:uiPriority w:val="99"/>
    <w:semiHidden/>
    <w:rsid w:val="003E7773"/>
    <w:rPr>
      <w:rFonts w:ascii="Yu Mincho Light" w:hAnsi="Yu Mincho Light" w:cs="Yu Mincho Light"/>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Cambria Math" w:eastAsiaTheme="majorEastAsia" w:hAnsi="Cambria Math" w:cstheme="majorBidi"/>
      <w:sz w:val="44"/>
      <w:szCs w:val="32"/>
    </w:rPr>
  </w:style>
  <w:style w:type="character" w:customStyle="1" w:styleId="Heading2Char">
    <w:name w:val="Heading 2 Char"/>
    <w:basedOn w:val="DefaultParagraphFont"/>
    <w:link w:val="Heading2"/>
    <w:uiPriority w:val="9"/>
    <w:rsid w:val="00E47815"/>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4E600D"/>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35"/>
    <w:qFormat/>
    <w:rsid w:val="00B851CC"/>
    <w:pPr>
      <w:keepNext/>
      <w:spacing w:before="360" w:after="120" w:line="240" w:lineRule="auto"/>
      <w:outlineLvl w:val="3"/>
    </w:pPr>
    <w:rPr>
      <w:rFonts w:ascii="Arial Narrow" w:eastAsia="Wingdings" w:hAnsi="Arial Narrow" w:cs="Wingdings"/>
      <w:b/>
      <w:bCs/>
      <w:szCs w:val="20"/>
    </w:rPr>
  </w:style>
  <w:style w:type="table" w:customStyle="1" w:styleId="TableGrid1">
    <w:name w:val="Table Grid1"/>
    <w:basedOn w:val="TableNormal"/>
    <w:next w:val="TableGrid"/>
    <w:locked/>
    <w:rsid w:val="00CA528A"/>
    <w:pPr>
      <w:spacing w:before="40" w:after="40" w:line="240" w:lineRule="auto"/>
    </w:pPr>
    <w:rPr>
      <w:rFonts w:ascii="Calibri Light" w:eastAsia="Wingdings" w:hAnsi="Calibri Light" w:cs="Wingdings"/>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Berlin Sans FB" w:hAnsi="Berlin Sans FB"/>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uiPriority w:val="35"/>
    <w:rsid w:val="00B851CC"/>
    <w:rPr>
      <w:rFonts w:ascii="Arial Narrow" w:eastAsia="Wingdings" w:hAnsi="Arial Narrow" w:cs="Wingdings"/>
      <w:b/>
      <w:bCs/>
      <w:szCs w:val="20"/>
    </w:rPr>
  </w:style>
  <w:style w:type="table" w:styleId="TableGrid">
    <w:name w:val="Table Grid"/>
    <w:aliases w:val="Summary box,Table Gridbeth,RTI AMCP Table,new style,ASD Table,HTAtableplain"/>
    <w:basedOn w:val="TableNormal"/>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aliases w:val="Bullet Point,Bullet point,Bullet- First level,Bulletr List Paragraph,Content descriptions,Figure_name,FooterText,L,List NUmber,List Paragraph1,List Paragraph11,List Paragraph2,Listenabsatz1,Numbered Indented Text,Recommendation,lp1,リスト段落"/>
    <w:basedOn w:val="Normal"/>
    <w:link w:val="ListParagraphChar"/>
    <w:uiPriority w:val="34"/>
    <w:qFormat/>
    <w:rsid w:val="00724F92"/>
    <w:pPr>
      <w:numPr>
        <w:numId w:val="39"/>
      </w:numPr>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Cambria Math" w:hAnsi="Cambria Math"/>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1D6C87"/>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Franklin Gothic Medium" w:eastAsia="Wingdings" w:hAnsi="Franklin Gothic Medium" w:cs="Symbol"/>
      <w:b/>
      <w:sz w:val="36"/>
      <w:lang w:eastAsia="en-AU"/>
    </w:rPr>
  </w:style>
  <w:style w:type="character" w:customStyle="1" w:styleId="DateChar">
    <w:name w:val="Date Char"/>
    <w:basedOn w:val="DefaultParagraphFont"/>
    <w:link w:val="Date"/>
    <w:rsid w:val="000870B6"/>
    <w:rPr>
      <w:rFonts w:ascii="Franklin Gothic Medium" w:eastAsia="Wingdings" w:hAnsi="Franklin Gothic Medium" w:cs="Symbol"/>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Franklin Gothic Medium" w:eastAsia="Wingdings" w:hAnsi="Franklin Gothic Medium" w:cs="Symbol"/>
      <w:b/>
      <w:i/>
      <w:sz w:val="44"/>
      <w:lang w:eastAsia="en-AU"/>
    </w:rPr>
  </w:style>
  <w:style w:type="paragraph" w:customStyle="1" w:styleId="Sub-title">
    <w:name w:val="Sub-title"/>
    <w:basedOn w:val="Normal"/>
    <w:locked/>
    <w:rsid w:val="00401DBF"/>
    <w:pPr>
      <w:spacing w:before="1701"/>
      <w:ind w:left="4536"/>
    </w:pPr>
    <w:rPr>
      <w:rFonts w:ascii="Franklin Gothic Medium" w:eastAsia="Wingdings" w:hAnsi="Franklin Gothic Medium" w:cs="Symbol"/>
      <w:b/>
      <w:sz w:val="32"/>
      <w:lang w:eastAsia="en-AU"/>
    </w:rPr>
  </w:style>
  <w:style w:type="paragraph" w:customStyle="1" w:styleId="Nnumberedlist">
    <w:name w:val="Nnumbered list"/>
    <w:basedOn w:val="Normal"/>
    <w:rsid w:val="00AF3D39"/>
    <w:pPr>
      <w:numPr>
        <w:numId w:val="4"/>
      </w:numPr>
      <w:jc w:val="both"/>
    </w:pPr>
    <w:rPr>
      <w:rFonts w:ascii="SimSun" w:eastAsia="Wingdings" w:hAnsi="SimSun" w:cs="Symbol"/>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Calibri Light" w:eastAsiaTheme="majorEastAsia" w:hAnsi="Calibri Light" w:cs="Wingdings"/>
      <w:b/>
      <w:sz w:val="20"/>
      <w:szCs w:val="24"/>
      <w:lang w:val="en-US" w:eastAsia="en-AU"/>
    </w:rPr>
  </w:style>
  <w:style w:type="paragraph" w:customStyle="1" w:styleId="TableFigureFooter">
    <w:name w:val="Table/Figure Footer"/>
    <w:basedOn w:val="Normal"/>
    <w:link w:val="TableFigureFooterChar"/>
    <w:qFormat/>
    <w:rsid w:val="002E0CBC"/>
    <w:pPr>
      <w:tabs>
        <w:tab w:val="left" w:pos="284"/>
      </w:tabs>
      <w:spacing w:after="360" w:line="240" w:lineRule="auto"/>
      <w:contextualSpacing/>
    </w:pPr>
    <w:rPr>
      <w:rFonts w:ascii="Arial Narrow" w:eastAsia="Wingdings" w:hAnsi="Arial Narrow" w:cs="Franklin Gothic Medium"/>
      <w:snapToGrid w:val="0"/>
      <w:sz w:val="18"/>
      <w:lang w:eastAsia="en-AU"/>
    </w:rPr>
  </w:style>
  <w:style w:type="character" w:customStyle="1" w:styleId="TableFigureFooterChar">
    <w:name w:val="Table/Figure Footer Char"/>
    <w:link w:val="TableFigureFooter"/>
    <w:rsid w:val="00731ED8"/>
    <w:rPr>
      <w:rFonts w:ascii="Arial Narrow" w:eastAsia="Wingdings" w:hAnsi="Arial Narrow" w:cs="Franklin Gothic Medium"/>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Calibri Light" w:eastAsia="Wingdings" w:hAnsi="Calibri Light" w:cs="Franklin Gothic Medium"/>
      <w:snapToGrid w:val="0"/>
      <w:sz w:val="18"/>
      <w:szCs w:val="20"/>
    </w:rPr>
  </w:style>
  <w:style w:type="character" w:customStyle="1" w:styleId="TablenotesChar">
    <w:name w:val="Tablenotes Char"/>
    <w:basedOn w:val="DefaultParagraphFont"/>
    <w:link w:val="Tablenotes"/>
    <w:rsid w:val="00242F4E"/>
    <w:rPr>
      <w:rFonts w:ascii="Calibri Light" w:eastAsia="Wingdings" w:hAnsi="Calibri Light" w:cs="Franklin Gothic Medium"/>
      <w:snapToGrid w:val="0"/>
      <w:sz w:val="18"/>
      <w:szCs w:val="20"/>
    </w:rPr>
  </w:style>
  <w:style w:type="character" w:customStyle="1" w:styleId="ListParagraphChar">
    <w:name w:val="List Paragraph Char"/>
    <w:aliases w:val="Bullet Point Char,Bullet point Char,Bullet- First level Char,Bulletr List Paragraph Char,Content descriptions Char,Figure_name Char,FooterText Char,L Char,List NUmber Char,List Paragraph1 Char,List Paragraph11 Char,Listenabsatz1 Char"/>
    <w:basedOn w:val="DefaultParagraphFont"/>
    <w:link w:val="ListParagraph"/>
    <w:uiPriority w:val="34"/>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5"/>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Calibri Light" w:eastAsiaTheme="majorEastAsia" w:hAnsi="Calibri Light"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Calibri Light" w:eastAsiaTheme="majorEastAsia" w:hAnsi="Calibri Light" w:cstheme="majorBidi"/>
      <w:b/>
      <w:bCs/>
      <w:sz w:val="20"/>
      <w:szCs w:val="24"/>
      <w:lang w:eastAsia="en-AU"/>
    </w:rPr>
  </w:style>
  <w:style w:type="paragraph" w:customStyle="1" w:styleId="Tabletext0">
    <w:name w:val="Table text"/>
    <w:basedOn w:val="Normal"/>
    <w:link w:val="TabletextChar0"/>
    <w:qFormat/>
    <w:rsid w:val="001D6C87"/>
    <w:pPr>
      <w:spacing w:before="40" w:after="40" w:line="240" w:lineRule="auto"/>
      <w:jc w:val="both"/>
    </w:pPr>
    <w:rPr>
      <w:rFonts w:ascii="Arial Narrow" w:eastAsia="Wingdings" w:hAnsi="Arial Narrow" w:cs="Symbol"/>
      <w:sz w:val="20"/>
      <w:szCs w:val="20"/>
      <w:lang w:eastAsia="en-AU"/>
    </w:rPr>
  </w:style>
  <w:style w:type="character" w:customStyle="1" w:styleId="TabletextChar0">
    <w:name w:val="Table text Char"/>
    <w:link w:val="Tabletext0"/>
    <w:rsid w:val="001D6C87"/>
    <w:rPr>
      <w:rFonts w:ascii="Arial Narrow" w:eastAsia="Wingdings" w:hAnsi="Arial Narrow" w:cs="Symbol"/>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Calibri Light" w:hAnsi="Calibri Light" w:cs="Franklin Gothic Medium"/>
      <w:sz w:val="18"/>
    </w:rPr>
  </w:style>
  <w:style w:type="character" w:customStyle="1" w:styleId="TablenotesChar0">
    <w:name w:val="Table notes Char"/>
    <w:basedOn w:val="DefaultParagraphFont"/>
    <w:link w:val="Tablenotes0"/>
    <w:rsid w:val="001B2CD4"/>
    <w:rPr>
      <w:rFonts w:ascii="Calibri Light" w:hAnsi="Calibri Light" w:cs="Franklin Gothic Medium"/>
      <w:sz w:val="18"/>
    </w:rPr>
  </w:style>
  <w:style w:type="numbering" w:customStyle="1" w:styleId="ESSectionheading-numbered">
    <w:name w:val="ES. Section heading - numbered"/>
    <w:uiPriority w:val="99"/>
    <w:rsid w:val="002A4084"/>
    <w:pPr>
      <w:numPr>
        <w:numId w:val="6"/>
      </w:numPr>
    </w:pPr>
  </w:style>
  <w:style w:type="paragraph" w:customStyle="1" w:styleId="2-SectionHeading">
    <w:name w:val="2-Section Heading"/>
    <w:qFormat/>
    <w:rsid w:val="005131D3"/>
    <w:pPr>
      <w:keepNext/>
      <w:numPr>
        <w:numId w:val="7"/>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7"/>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Cambria Math" w:hAnsi="Cambria Math"/>
      <w:sz w:val="21"/>
    </w:rPr>
  </w:style>
  <w:style w:type="character" w:customStyle="1" w:styleId="InstructionBulletpointChar">
    <w:name w:val="Instruction Bullet point Char"/>
    <w:basedOn w:val="DefaultParagraphFont"/>
    <w:link w:val="InstructionBulletpoint"/>
    <w:uiPriority w:val="3"/>
    <w:locked/>
    <w:rsid w:val="00107DCD"/>
    <w:rPr>
      <w:rFonts w:ascii="SimSun" w:hAnsi="SimSun" w:cs="SimSun"/>
      <w:color w:val="0070C0"/>
      <w:sz w:val="24"/>
    </w:rPr>
  </w:style>
  <w:style w:type="paragraph" w:customStyle="1" w:styleId="InstructionBulletpoint">
    <w:name w:val="Instruction Bullet point"/>
    <w:basedOn w:val="Normal"/>
    <w:link w:val="InstructionBulletpointChar"/>
    <w:uiPriority w:val="3"/>
    <w:qFormat/>
    <w:rsid w:val="00107DCD"/>
    <w:pPr>
      <w:numPr>
        <w:numId w:val="8"/>
      </w:numPr>
      <w:spacing w:after="120" w:line="240" w:lineRule="auto"/>
    </w:pPr>
    <w:rPr>
      <w:rFonts w:ascii="SimSun" w:hAnsi="SimSun" w:cs="SimSun"/>
      <w:color w:val="0070C0"/>
      <w:sz w:val="24"/>
    </w:rPr>
  </w:style>
  <w:style w:type="character" w:customStyle="1" w:styleId="TableFooterChar">
    <w:name w:val="Table Footer Char"/>
    <w:link w:val="TableFooter"/>
    <w:locked/>
    <w:rsid w:val="00731ED8"/>
    <w:rPr>
      <w:rFonts w:ascii="Arial Narrow" w:eastAsia="Wingdings" w:hAnsi="Arial Narrow" w:cs="Franklin Gothic Medium"/>
      <w:sz w:val="18"/>
      <w:szCs w:val="20"/>
    </w:rPr>
  </w:style>
  <w:style w:type="paragraph" w:customStyle="1" w:styleId="TableFooter">
    <w:name w:val="Table Footer"/>
    <w:basedOn w:val="Normal"/>
    <w:link w:val="TableFooterChar"/>
    <w:qFormat/>
    <w:rsid w:val="001A1F6B"/>
    <w:pPr>
      <w:widowControl w:val="0"/>
      <w:snapToGrid w:val="0"/>
      <w:spacing w:after="0" w:line="240" w:lineRule="auto"/>
      <w:contextualSpacing/>
      <w:jc w:val="both"/>
    </w:pPr>
    <w:rPr>
      <w:rFonts w:ascii="Arial Narrow" w:eastAsia="Wingdings" w:hAnsi="Arial Narrow" w:cs="Franklin Gothic Medium"/>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Berlin Sans FB" w:hAnsi="Berlin Sans FB"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Berlin Sans FB" w:hAnsi="Berlin Sans FB"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Berlin Sans FB" w:hAnsi="Berlin Sans FB"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Wingdings" w:hAnsi="Wingdings" w:cs="Wingdings"/>
      <w:sz w:val="24"/>
    </w:rPr>
  </w:style>
  <w:style w:type="paragraph" w:customStyle="1" w:styleId="MSACESParagraph">
    <w:name w:val="MSAC ES Paragraph"/>
    <w:link w:val="MSACESParagraphChar"/>
    <w:uiPriority w:val="1"/>
    <w:qFormat/>
    <w:rsid w:val="000B720C"/>
    <w:pPr>
      <w:spacing w:after="240" w:line="240" w:lineRule="auto"/>
    </w:pPr>
    <w:rPr>
      <w:rFonts w:ascii="Wingdings" w:hAnsi="Wingdings" w:cs="Wingdings"/>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iPriority w:val="99"/>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Wingdings" w:eastAsia="Wingdings" w:hAnsi="Wingdings" w:cs="Wingdings"/>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Calibri Light" w:eastAsia="Wingdings" w:hAnsi="Calibri Light" w:cs="Symbol"/>
      <w:b/>
      <w:lang w:eastAsia="en-AU"/>
    </w:rPr>
  </w:style>
  <w:style w:type="paragraph" w:customStyle="1" w:styleId="TableText1">
    <w:name w:val="TableText"/>
    <w:basedOn w:val="Normal"/>
    <w:link w:val="TableTextChar1"/>
    <w:rsid w:val="001C2A48"/>
    <w:pPr>
      <w:keepNext/>
      <w:spacing w:before="40" w:after="40"/>
      <w:jc w:val="both"/>
    </w:pPr>
    <w:rPr>
      <w:rFonts w:ascii="Calibri Light" w:eastAsia="Wingdings" w:hAnsi="Calibri Light" w:cs="Symbol"/>
      <w:sz w:val="18"/>
      <w:lang w:eastAsia="en-AU"/>
    </w:rPr>
  </w:style>
  <w:style w:type="character" w:customStyle="1" w:styleId="TableTextChar1">
    <w:name w:val="TableText Char"/>
    <w:link w:val="TableText1"/>
    <w:rsid w:val="001C2A48"/>
    <w:rPr>
      <w:rFonts w:ascii="Calibri Light" w:eastAsia="Wingdings" w:hAnsi="Calibri Light" w:cs="Symbol"/>
      <w:sz w:val="18"/>
      <w:lang w:eastAsia="en-AU"/>
    </w:rPr>
  </w:style>
  <w:style w:type="paragraph" w:customStyle="1" w:styleId="References">
    <w:name w:val="References"/>
    <w:basedOn w:val="Normal"/>
    <w:rsid w:val="001C2A48"/>
    <w:pPr>
      <w:keepLines/>
      <w:spacing w:after="240" w:line="312" w:lineRule="auto"/>
      <w:ind w:left="1440" w:hanging="720"/>
    </w:pPr>
    <w:rPr>
      <w:rFonts w:ascii="SimSun" w:eastAsia="Wingdings" w:hAnsi="SimSun" w:cs="Symbol"/>
      <w:lang w:eastAsia="en-AU"/>
    </w:rPr>
  </w:style>
  <w:style w:type="paragraph" w:styleId="Title">
    <w:name w:val="Title"/>
    <w:basedOn w:val="Normal"/>
    <w:next w:val="Normal"/>
    <w:link w:val="TitleChar"/>
    <w:qFormat/>
    <w:rsid w:val="00772829"/>
    <w:pPr>
      <w:spacing w:before="480" w:after="240" w:line="240" w:lineRule="auto"/>
      <w:jc w:val="center"/>
    </w:pPr>
    <w:rPr>
      <w:rFonts w:ascii="Franklin Gothic Medium" w:eastAsia="Wingdings" w:hAnsi="Franklin Gothic Medium" w:cs="Franklin Gothic Medium"/>
      <w:b/>
      <w:bCs/>
      <w:color w:val="000080"/>
      <w:sz w:val="36"/>
      <w:szCs w:val="36"/>
      <w:lang w:eastAsia="en-AU"/>
    </w:rPr>
  </w:style>
  <w:style w:type="character" w:customStyle="1" w:styleId="TitleChar">
    <w:name w:val="Title Char"/>
    <w:basedOn w:val="DefaultParagraphFont"/>
    <w:link w:val="Title"/>
    <w:rsid w:val="00772829"/>
    <w:rPr>
      <w:rFonts w:ascii="Franklin Gothic Medium" w:eastAsia="Wingdings" w:hAnsi="Franklin Gothic Medium" w:cs="Franklin Gothic Medium"/>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Franklin Gothic Medium" w:eastAsia="Wingdings" w:hAnsi="Franklin Gothic Medium" w:cs="Franklin Gothic Medium"/>
      <w:b/>
      <w:bCs/>
      <w:i/>
      <w:color w:val="000080"/>
      <w:sz w:val="28"/>
      <w:szCs w:val="28"/>
      <w:lang w:eastAsia="en-AU"/>
    </w:rPr>
  </w:style>
  <w:style w:type="character" w:customStyle="1" w:styleId="SubtitleChar">
    <w:name w:val="Subtitle Char"/>
    <w:basedOn w:val="DefaultParagraphFont"/>
    <w:link w:val="Subtitle"/>
    <w:rsid w:val="00772829"/>
    <w:rPr>
      <w:rFonts w:ascii="Franklin Gothic Medium" w:eastAsia="Wingdings" w:hAnsi="Franklin Gothic Medium" w:cs="Franklin Gothic Medium"/>
      <w:b/>
      <w:bCs/>
      <w:i/>
      <w:color w:val="000080"/>
      <w:sz w:val="28"/>
      <w:szCs w:val="28"/>
      <w:lang w:eastAsia="en-AU"/>
    </w:rPr>
  </w:style>
  <w:style w:type="paragraph" w:customStyle="1" w:styleId="ESHeading1">
    <w:name w:val="ES Heading1"/>
    <w:basedOn w:val="Heading2"/>
    <w:next w:val="Normal"/>
    <w:qFormat/>
    <w:rsid w:val="002C70CE"/>
    <w:pPr>
      <w:numPr>
        <w:ilvl w:val="0"/>
        <w:numId w:val="9"/>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10"/>
      </w:numPr>
      <w:spacing w:after="40"/>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spacing w:before="0" w:after="0"/>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Segoe UI" w:hAnsi="Segoe UI"/>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character" w:styleId="UnresolvedMention">
    <w:name w:val="Unresolved Mention"/>
    <w:basedOn w:val="DefaultParagraphFont"/>
    <w:uiPriority w:val="99"/>
    <w:unhideWhenUsed/>
    <w:rsid w:val="00B80581"/>
    <w:rPr>
      <w:color w:val="605E5C"/>
      <w:shd w:val="clear" w:color="auto" w:fill="E1DFDD"/>
    </w:rPr>
  </w:style>
  <w:style w:type="character" w:customStyle="1" w:styleId="normaltextrun">
    <w:name w:val="normaltextrun"/>
    <w:basedOn w:val="DefaultParagraphFont"/>
    <w:rsid w:val="004917CD"/>
  </w:style>
  <w:style w:type="character" w:customStyle="1" w:styleId="eop">
    <w:name w:val="eop"/>
    <w:basedOn w:val="DefaultParagraphFont"/>
    <w:rsid w:val="004917CD"/>
  </w:style>
  <w:style w:type="character" w:styleId="Mention">
    <w:name w:val="Mention"/>
    <w:basedOn w:val="DefaultParagraphFont"/>
    <w:uiPriority w:val="99"/>
    <w:unhideWhenUsed/>
    <w:rsid w:val="002C4015"/>
    <w:rPr>
      <w:color w:val="2B579A"/>
      <w:shd w:val="clear" w:color="auto" w:fill="E1DFDD"/>
    </w:rPr>
  </w:style>
  <w:style w:type="table" w:customStyle="1" w:styleId="TableGrid11">
    <w:name w:val="Table Grid11"/>
    <w:basedOn w:val="TableNormal"/>
    <w:locked/>
    <w:rsid w:val="00D7556B"/>
    <w:pPr>
      <w:spacing w:before="40" w:after="40" w:line="240" w:lineRule="auto"/>
    </w:pPr>
    <w:rPr>
      <w:rFonts w:ascii="Calibri Light" w:eastAsia="Wingdings" w:hAnsi="Calibri Light" w:cs="Wingding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Berlin Sans FB" w:hAnsi="Berlin Sans FB" w:cs="Times New Roman" w:hint="default"/>
        <w:b w:val="0"/>
        <w:sz w:val="20"/>
        <w:szCs w:val="20"/>
      </w:rPr>
    </w:tblStylePr>
  </w:style>
  <w:style w:type="paragraph" w:styleId="NoSpacing">
    <w:name w:val="No Spacing"/>
    <w:uiPriority w:val="1"/>
    <w:qFormat/>
    <w:rsid w:val="00E4053A"/>
    <w:pPr>
      <w:spacing w:after="0" w:line="240" w:lineRule="auto"/>
    </w:pPr>
  </w:style>
  <w:style w:type="paragraph" w:customStyle="1" w:styleId="Default">
    <w:name w:val="Default"/>
    <w:rsid w:val="00C83CAC"/>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39393C"/>
    <w:pPr>
      <w:spacing w:before="0" w:after="0" w:line="312" w:lineRule="auto"/>
    </w:pPr>
    <w:rPr>
      <w:rFonts w:ascii="Helv" w:eastAsia="Times New Roman" w:hAnsi="Helv" w:cs="Tahoma"/>
      <w:b/>
      <w:i/>
      <w:snapToGrid w:val="0"/>
      <w:color w:val="000000"/>
      <w:sz w:val="28"/>
    </w:rPr>
  </w:style>
  <w:style w:type="character" w:customStyle="1" w:styleId="BodyTextChar">
    <w:name w:val="Body Text Char"/>
    <w:basedOn w:val="DefaultParagraphFont"/>
    <w:link w:val="BodyText"/>
    <w:rsid w:val="0039393C"/>
    <w:rPr>
      <w:rFonts w:ascii="Helv" w:eastAsia="Times New Roman" w:hAnsi="Helv" w:cs="Tahoma"/>
      <w:b/>
      <w:i/>
      <w:snapToGrid w:val="0"/>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29188213">
      <w:bodyDiv w:val="1"/>
      <w:marLeft w:val="0"/>
      <w:marRight w:val="0"/>
      <w:marTop w:val="0"/>
      <w:marBottom w:val="0"/>
      <w:divBdr>
        <w:top w:val="none" w:sz="0" w:space="0" w:color="auto"/>
        <w:left w:val="none" w:sz="0" w:space="0" w:color="auto"/>
        <w:bottom w:val="none" w:sz="0" w:space="0" w:color="auto"/>
        <w:right w:val="none" w:sz="0" w:space="0" w:color="auto"/>
      </w:divBdr>
      <w:divsChild>
        <w:div w:id="1004818504">
          <w:marLeft w:val="1051"/>
          <w:marRight w:val="0"/>
          <w:marTop w:val="96"/>
          <w:marBottom w:val="0"/>
          <w:divBdr>
            <w:top w:val="none" w:sz="0" w:space="0" w:color="auto"/>
            <w:left w:val="none" w:sz="0" w:space="0" w:color="auto"/>
            <w:bottom w:val="none" w:sz="0" w:space="0" w:color="auto"/>
            <w:right w:val="none" w:sz="0" w:space="0" w:color="auto"/>
          </w:divBdr>
        </w:div>
        <w:div w:id="1321155349">
          <w:marLeft w:val="1051"/>
          <w:marRight w:val="0"/>
          <w:marTop w:val="96"/>
          <w:marBottom w:val="0"/>
          <w:divBdr>
            <w:top w:val="none" w:sz="0" w:space="0" w:color="auto"/>
            <w:left w:val="none" w:sz="0" w:space="0" w:color="auto"/>
            <w:bottom w:val="none" w:sz="0" w:space="0" w:color="auto"/>
            <w:right w:val="none" w:sz="0" w:space="0" w:color="auto"/>
          </w:divBdr>
        </w:div>
        <w:div w:id="1945923234">
          <w:marLeft w:val="547"/>
          <w:marRight w:val="0"/>
          <w:marTop w:val="160"/>
          <w:marBottom w:val="0"/>
          <w:divBdr>
            <w:top w:val="none" w:sz="0" w:space="0" w:color="auto"/>
            <w:left w:val="none" w:sz="0" w:space="0" w:color="auto"/>
            <w:bottom w:val="none" w:sz="0" w:space="0" w:color="auto"/>
            <w:right w:val="none" w:sz="0" w:space="0" w:color="auto"/>
          </w:divBdr>
        </w:div>
      </w:divsChild>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02064872">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0095114">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26620844">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yperlink" Target="http://www.msac.gov.au/internet/msac/publishing.nsf/Content/8FBBD6DC1F003721CA25876D0002CEF5/$File/IPAC%20Stakeholder%20meeting%20outcomes%202022-10-10%20-%20Final.pdf" TargetMode="External"/><Relationship Id="rId18" Type="http://schemas.openxmlformats.org/officeDocument/2006/relationships/hyperlink" Target="http://www9.health.gov.au/mbs/fullDisplay.cfm?type=item&amp;qt=ItemID&amp;q=249" TargetMode="External"/><Relationship Id="rId26" Type="http://schemas.openxmlformats.org/officeDocument/2006/relationships/hyperlink" Target="https://www.psa.org.au/career-and-support/career-pathways/general-practice-pharmacist/gpp-training/" TargetMode="External"/><Relationship Id="rId3" Type="http://schemas.openxmlformats.org/officeDocument/2006/relationships/styles" Target="styles.xml"/><Relationship Id="rId21" Type="http://schemas.openxmlformats.org/officeDocument/2006/relationships/hyperlink" Target="https://www.ppaonline.com.au/programs/medication-management-programs/residential-medication-management-review-and-quality-use-of-medicines" TargetMode="External"/><Relationship Id="rId34" Type="http://schemas.openxmlformats.org/officeDocument/2006/relationships/hyperlink" Target="https://healthgov.sharepoint.com/sites/PBPolicyGovernance/Shared%20Documents/IPAC/Departmental%20Overview/Harfield,%20S.,%20Pearson,%20O.,%20Morey,%20K.,%20et%20al.%20(2020).%20Assessing%20the%20quality%20of%20health%20research%20from%20an%20Indigenous%20perspective:%20the%20Aboriginal%20and%20Torres%20Strait%20Islander%20quality%20appraisal%20tool.%20BMC%20Medical%20Research%20Methodology,%2020(79)" TargetMode="External"/><Relationship Id="rId7" Type="http://schemas.openxmlformats.org/officeDocument/2006/relationships/endnotes" Target="endnotes.xml"/><Relationship Id="rId12" Type="http://schemas.openxmlformats.org/officeDocument/2006/relationships/hyperlink" Target="http://www.msac.gov.au/internet/msac/publishing.nsf/Content/8FBBD6DC1F003721CA25876D0002CEF5/$File/1678%20-%20Final%20PSD_Mar-Apr2022.pdf" TargetMode="External"/><Relationship Id="rId17" Type="http://schemas.openxmlformats.org/officeDocument/2006/relationships/hyperlink" Target="http://www9.health.gov.au/mbs/fullDisplay.cfm?type=item&amp;q=903&amp;qt=item&amp;criteria=903" TargetMode="External"/><Relationship Id="rId25" Type="http://schemas.openxmlformats.org/officeDocument/2006/relationships/hyperlink" Target="https://www.aihw.gov.au/reports/indigenous-australians/indigenous-primary-health-care-results-osr-nkpi/overview/summary" TargetMode="External"/><Relationship Id="rId33" Type="http://schemas.openxmlformats.org/officeDocument/2006/relationships/hyperlink" Target="https://consultations.health.gov.au/++preview++/aged-care-division/aged-care-on-site-pharmacists/supporting_documents/Aged%20care%20onsite%20pharmacists%20consultation%20paper%20%20July%202022.pdf" TargetMode="External"/><Relationship Id="rId2" Type="http://schemas.openxmlformats.org/officeDocument/2006/relationships/numbering" Target="numbering.xml"/><Relationship Id="rId16" Type="http://schemas.openxmlformats.org/officeDocument/2006/relationships/hyperlink" Target="http://www9.health.gov.au/mbs/fullDisplay.cfm?type=item&amp;qt=ItemID&amp;q=245" TargetMode="External"/><Relationship Id="rId20" Type="http://schemas.openxmlformats.org/officeDocument/2006/relationships/hyperlink" Target="https://www.ppaonline.com.au/programs/medication-management-programs/medscheck-and-diabetes-medschec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internet/msac/publishing.nsf/Content/8FBBD6DC1F003721CA25876D0002CEF5/$File/IPAC%20Stakeholder%20meeting%20outcomes%202022-10-10%20-%20Final.pdf" TargetMode="External"/><Relationship Id="rId24" Type="http://schemas.openxmlformats.org/officeDocument/2006/relationships/hyperlink" Target="https://www.gen-agedcaredata.gov.au/Topics/People-using-aged-care" TargetMode="Externa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9.health.gov.au/mbs/fullDisplay.cfm?type=item&amp;q=900&amp;qt=item" TargetMode="External"/><Relationship Id="rId23" Type="http://schemas.openxmlformats.org/officeDocument/2006/relationships/hyperlink" Target="https://www.health.gov.au/resources/publications/seventh-community-pharmacy-agreements-7cpas-pharmacy-programs-data?language=en" TargetMode="External"/><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hyperlink" Target="http://www.msac.gov.au/internet/msac/publishing.nsf/Content/8FBBD6DC1F003721CA25876D0002CEF5/$File/1678%20-%20Final%20PSD_Mar-Apr2022.pdf" TargetMode="External"/><Relationship Id="rId19" Type="http://schemas.openxmlformats.org/officeDocument/2006/relationships/hyperlink" Target="https://www.ppaonline.com.au/programs/medication-management-programs/home-medicines-review"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msac.gov.au/internet/msac/publishing.nsf/Content/8FBBD6DC1F003721CA25876D0002CEF5/$File/1678%20-%20Final%20PSD_Mar-Apr2022.pdf" TargetMode="External"/><Relationship Id="rId14" Type="http://schemas.openxmlformats.org/officeDocument/2006/relationships/hyperlink" Target="http://www.msac.gov.au/internet/msac/publishing.nsf/Content/6CPA-MMR+Programs-public" TargetMode="External"/><Relationship Id="rId22" Type="http://schemas.openxmlformats.org/officeDocument/2006/relationships/hyperlink" Target="https://www.ppaonline.com.au/programs/aboriginal-and-torres-strait-islander/indigenous-health-services-pharmacy-support-program"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yperlink" Target="http://msac.gov.au/internet/msac/publishing.nsf/Content/Home-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ealth.gov.au/ministers/the-hon-greg-hunt-mp/media/on-site-pharmacists-to-improve-medication-management-in-racfs" TargetMode="External"/><Relationship Id="rId7" Type="http://schemas.openxmlformats.org/officeDocument/2006/relationships/hyperlink" Target="https://www.health.gov.au/sites/default/files/documents/2020/12/economic-evaluation-of-the-indigenous-australians-health-programme-phase-i.pdf" TargetMode="External"/><Relationship Id="rId2" Type="http://schemas.openxmlformats.org/officeDocument/2006/relationships/hyperlink" Target="https://www.pbs.gov.au/general/sixth-cpa-pages/cpp-files/QUM-Evaluation-Final-Report.PDF" TargetMode="External"/><Relationship Id="rId1" Type="http://schemas.openxmlformats.org/officeDocument/2006/relationships/hyperlink" Target="https://www.health.gov.au/committees-and-groups/strengthening-medicare-taskforce" TargetMode="External"/><Relationship Id="rId6" Type="http://schemas.openxmlformats.org/officeDocument/2006/relationships/hyperlink" Target="https://www.pbs.gov.au/info/reviews/diabetes" TargetMode="External"/><Relationship Id="rId5" Type="http://schemas.openxmlformats.org/officeDocument/2006/relationships/hyperlink" Target="http://www.ppaonline.com.au/wp-content/uploads/2022/04/IHSPS-Program-Rules-22-23.pdf" TargetMode="External"/><Relationship Id="rId4" Type="http://schemas.openxmlformats.org/officeDocument/2006/relationships/hyperlink" Target="https://consultations.health.gov.au/aged-care-division/aged-care-on-site-pharmacists/supporting_documents/Aged%20care%20onsite%20pharmacists%20consultation%20paper%20%20July%20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D9449-04C4-43A9-82F8-8EEF7CBAC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15452</Words>
  <Characters>88078</Characters>
  <Application>Microsoft Office Word</Application>
  <DocSecurity>0</DocSecurity>
  <Lines>733</Lines>
  <Paragraphs>206</Paragraphs>
  <ScaleCrop>false</ScaleCrop>
  <Manager/>
  <Company/>
  <LinksUpToDate>false</LinksUpToDate>
  <CharactersWithSpaces>103324</CharactersWithSpaces>
  <SharedDoc>false</SharedDoc>
  <HyperlinkBase/>
  <HLinks>
    <vt:vector size="192" baseType="variant">
      <vt:variant>
        <vt:i4>6684716</vt:i4>
      </vt:variant>
      <vt:variant>
        <vt:i4>183</vt:i4>
      </vt:variant>
      <vt:variant>
        <vt:i4>0</vt:i4>
      </vt:variant>
      <vt:variant>
        <vt:i4>5</vt:i4>
      </vt:variant>
      <vt:variant>
        <vt:lpwstr>http://msac.gov.au/internet/msac/publishing.nsf/Content/Home-1</vt:lpwstr>
      </vt:variant>
      <vt:variant>
        <vt:lpwstr/>
      </vt:variant>
      <vt:variant>
        <vt:i4>3604536</vt:i4>
      </vt:variant>
      <vt:variant>
        <vt:i4>168</vt:i4>
      </vt:variant>
      <vt:variant>
        <vt:i4>0</vt:i4>
      </vt:variant>
      <vt:variant>
        <vt:i4>5</vt:i4>
      </vt:variant>
      <vt:variant>
        <vt:lpwstr>https://healthgov.sharepoint.com/sites/PBPolicyGovernance/Shared Documents/IPAC/Departmental Overview/Harfield, S., Pearson, O., Morey, K., et al. (2020). Assessing the quality of health research from an Indigenous perspective: the Aboriginal and Torres Strait Islander quality appraisal tool. BMC Medical Research Methodology, 20(79)</vt:lpwstr>
      </vt:variant>
      <vt:variant>
        <vt:lpwstr/>
      </vt:variant>
      <vt:variant>
        <vt:i4>8257620</vt:i4>
      </vt:variant>
      <vt:variant>
        <vt:i4>147</vt:i4>
      </vt:variant>
      <vt:variant>
        <vt:i4>0</vt:i4>
      </vt:variant>
      <vt:variant>
        <vt:i4>5</vt:i4>
      </vt:variant>
      <vt:variant>
        <vt:lpwstr>https://consultations.health.gov.au/++preview++/aged-care-division/aged-care-on-site-pharmacists/supporting_documents/Aged care onsite pharmacists consultation paper  July 2022.pdf</vt:lpwstr>
      </vt:variant>
      <vt:variant>
        <vt:lpwstr/>
      </vt:variant>
      <vt:variant>
        <vt:i4>2555940</vt:i4>
      </vt:variant>
      <vt:variant>
        <vt:i4>117</vt:i4>
      </vt:variant>
      <vt:variant>
        <vt:i4>0</vt:i4>
      </vt:variant>
      <vt:variant>
        <vt:i4>5</vt:i4>
      </vt:variant>
      <vt:variant>
        <vt:lpwstr>https://www.nejm.org/doi/full/10.1056/NEJMoa2024816</vt:lpwstr>
      </vt:variant>
      <vt:variant>
        <vt:lpwstr/>
      </vt:variant>
      <vt:variant>
        <vt:i4>7798886</vt:i4>
      </vt:variant>
      <vt:variant>
        <vt:i4>81</vt:i4>
      </vt:variant>
      <vt:variant>
        <vt:i4>0</vt:i4>
      </vt:variant>
      <vt:variant>
        <vt:i4>5</vt:i4>
      </vt:variant>
      <vt:variant>
        <vt:lpwstr>https://www.psa.org.au/career-and-support/career-pathways/general-practice-pharmacist/gpp-training/</vt:lpwstr>
      </vt:variant>
      <vt:variant>
        <vt:lpwstr/>
      </vt:variant>
      <vt:variant>
        <vt:i4>3145784</vt:i4>
      </vt:variant>
      <vt:variant>
        <vt:i4>78</vt:i4>
      </vt:variant>
      <vt:variant>
        <vt:i4>0</vt:i4>
      </vt:variant>
      <vt:variant>
        <vt:i4>5</vt:i4>
      </vt:variant>
      <vt:variant>
        <vt:lpwstr>https://www.aihw.gov.au/reports/indigenous-australians/indigenous-primary-health-care-results-osr-nkpi/overview/summary</vt:lpwstr>
      </vt:variant>
      <vt:variant>
        <vt:lpwstr/>
      </vt:variant>
      <vt:variant>
        <vt:i4>5308509</vt:i4>
      </vt:variant>
      <vt:variant>
        <vt:i4>75</vt:i4>
      </vt:variant>
      <vt:variant>
        <vt:i4>0</vt:i4>
      </vt:variant>
      <vt:variant>
        <vt:i4>5</vt:i4>
      </vt:variant>
      <vt:variant>
        <vt:lpwstr>https://www.gen-agedcaredata.gov.au/Topics/People-using-aged-care</vt:lpwstr>
      </vt:variant>
      <vt:variant>
        <vt:lpwstr/>
      </vt:variant>
      <vt:variant>
        <vt:i4>3604600</vt:i4>
      </vt:variant>
      <vt:variant>
        <vt:i4>72</vt:i4>
      </vt:variant>
      <vt:variant>
        <vt:i4>0</vt:i4>
      </vt:variant>
      <vt:variant>
        <vt:i4>5</vt:i4>
      </vt:variant>
      <vt:variant>
        <vt:lpwstr>https://www.health.gov.au/resources/publications/seventh-community-pharmacy-agreements-7cpas-pharmacy-programs-data?language=en</vt:lpwstr>
      </vt:variant>
      <vt:variant>
        <vt:lpwstr/>
      </vt:variant>
      <vt:variant>
        <vt:i4>3080240</vt:i4>
      </vt:variant>
      <vt:variant>
        <vt:i4>63</vt:i4>
      </vt:variant>
      <vt:variant>
        <vt:i4>0</vt:i4>
      </vt:variant>
      <vt:variant>
        <vt:i4>5</vt:i4>
      </vt:variant>
      <vt:variant>
        <vt:lpwstr>https://www.ppaonline.com.au/programs/aboriginal-and-torres-strait-islander/indigenous-health-services-pharmacy-support-program</vt:lpwstr>
      </vt:variant>
      <vt:variant>
        <vt:lpwstr/>
      </vt:variant>
      <vt:variant>
        <vt:i4>6357038</vt:i4>
      </vt:variant>
      <vt:variant>
        <vt:i4>60</vt:i4>
      </vt:variant>
      <vt:variant>
        <vt:i4>0</vt:i4>
      </vt:variant>
      <vt:variant>
        <vt:i4>5</vt:i4>
      </vt:variant>
      <vt:variant>
        <vt:lpwstr>https://www.ppaonline.com.au/programs/medication-management-programs/residential-medication-management-review-and-quality-use-of-medicines</vt:lpwstr>
      </vt:variant>
      <vt:variant>
        <vt:lpwstr/>
      </vt:variant>
      <vt:variant>
        <vt:i4>1245187</vt:i4>
      </vt:variant>
      <vt:variant>
        <vt:i4>57</vt:i4>
      </vt:variant>
      <vt:variant>
        <vt:i4>0</vt:i4>
      </vt:variant>
      <vt:variant>
        <vt:i4>5</vt:i4>
      </vt:variant>
      <vt:variant>
        <vt:lpwstr>https://www.ppaonline.com.au/programs/medication-management-programs/medscheck-and-diabetes-medscheck</vt:lpwstr>
      </vt:variant>
      <vt:variant>
        <vt:lpwstr/>
      </vt:variant>
      <vt:variant>
        <vt:i4>3735663</vt:i4>
      </vt:variant>
      <vt:variant>
        <vt:i4>54</vt:i4>
      </vt:variant>
      <vt:variant>
        <vt:i4>0</vt:i4>
      </vt:variant>
      <vt:variant>
        <vt:i4>5</vt:i4>
      </vt:variant>
      <vt:variant>
        <vt:lpwstr>https://www.ppaonline.com.au/programs/medication-management-programs/home-medicines-review</vt:lpwstr>
      </vt:variant>
      <vt:variant>
        <vt:lpwstr/>
      </vt:variant>
      <vt:variant>
        <vt:i4>6815850</vt:i4>
      </vt:variant>
      <vt:variant>
        <vt:i4>51</vt:i4>
      </vt:variant>
      <vt:variant>
        <vt:i4>0</vt:i4>
      </vt:variant>
      <vt:variant>
        <vt:i4>5</vt:i4>
      </vt:variant>
      <vt:variant>
        <vt:lpwstr>http://www9.health.gov.au/mbs/fullDisplay.cfm?type=item&amp;qt=ItemID&amp;q=249</vt:lpwstr>
      </vt:variant>
      <vt:variant>
        <vt:lpwstr/>
      </vt:variant>
      <vt:variant>
        <vt:i4>3932221</vt:i4>
      </vt:variant>
      <vt:variant>
        <vt:i4>48</vt:i4>
      </vt:variant>
      <vt:variant>
        <vt:i4>0</vt:i4>
      </vt:variant>
      <vt:variant>
        <vt:i4>5</vt:i4>
      </vt:variant>
      <vt:variant>
        <vt:lpwstr>http://www9.health.gov.au/mbs/fullDisplay.cfm?type=item&amp;q=903&amp;qt=item&amp;criteria=903</vt:lpwstr>
      </vt:variant>
      <vt:variant>
        <vt:lpwstr/>
      </vt:variant>
      <vt:variant>
        <vt:i4>6815850</vt:i4>
      </vt:variant>
      <vt:variant>
        <vt:i4>45</vt:i4>
      </vt:variant>
      <vt:variant>
        <vt:i4>0</vt:i4>
      </vt:variant>
      <vt:variant>
        <vt:i4>5</vt:i4>
      </vt:variant>
      <vt:variant>
        <vt:lpwstr>http://www9.health.gov.au/mbs/fullDisplay.cfm?type=item&amp;qt=ItemID&amp;q=245</vt:lpwstr>
      </vt:variant>
      <vt:variant>
        <vt:lpwstr/>
      </vt:variant>
      <vt:variant>
        <vt:i4>327768</vt:i4>
      </vt:variant>
      <vt:variant>
        <vt:i4>42</vt:i4>
      </vt:variant>
      <vt:variant>
        <vt:i4>0</vt:i4>
      </vt:variant>
      <vt:variant>
        <vt:i4>5</vt:i4>
      </vt:variant>
      <vt:variant>
        <vt:lpwstr>http://www9.health.gov.au/mbs/fullDisplay.cfm?type=item&amp;q=900&amp;qt=item</vt:lpwstr>
      </vt:variant>
      <vt:variant>
        <vt:lpwstr/>
      </vt:variant>
      <vt:variant>
        <vt:i4>1507340</vt:i4>
      </vt:variant>
      <vt:variant>
        <vt:i4>33</vt:i4>
      </vt:variant>
      <vt:variant>
        <vt:i4>0</vt:i4>
      </vt:variant>
      <vt:variant>
        <vt:i4>5</vt:i4>
      </vt:variant>
      <vt:variant>
        <vt:lpwstr>http://www.msac.gov.au/internet/msac/publishing.nsf/Content/6CPA-MMR+Programs-public</vt:lpwstr>
      </vt:variant>
      <vt:variant>
        <vt:lpwstr/>
      </vt:variant>
      <vt:variant>
        <vt:i4>7209066</vt:i4>
      </vt:variant>
      <vt:variant>
        <vt:i4>30</vt:i4>
      </vt:variant>
      <vt:variant>
        <vt:i4>0</vt:i4>
      </vt:variant>
      <vt:variant>
        <vt:i4>5</vt:i4>
      </vt:variant>
      <vt:variant>
        <vt:lpwstr>http://www.msac.gov.au/internet/msac/publishing.nsf/Content/8FBBD6DC1F003721CA25876D0002CEF5/$File/IPAC Stakeholder meeting outcomes 2022-10-10 - Final.pdf</vt:lpwstr>
      </vt:variant>
      <vt:variant>
        <vt:lpwstr/>
      </vt:variant>
      <vt:variant>
        <vt:i4>5570682</vt:i4>
      </vt:variant>
      <vt:variant>
        <vt:i4>27</vt:i4>
      </vt:variant>
      <vt:variant>
        <vt:i4>0</vt:i4>
      </vt:variant>
      <vt:variant>
        <vt:i4>5</vt:i4>
      </vt:variant>
      <vt:variant>
        <vt:lpwstr>http://www.msac.gov.au/internet/msac/publishing.nsf/Content/8FBBD6DC1F003721CA25876D0002CEF5/$File/1678 - Final PSD_Mar-Apr2022.pdf</vt:lpwstr>
      </vt:variant>
      <vt:variant>
        <vt:lpwstr/>
      </vt:variant>
      <vt:variant>
        <vt:i4>7209066</vt:i4>
      </vt:variant>
      <vt:variant>
        <vt:i4>9</vt:i4>
      </vt:variant>
      <vt:variant>
        <vt:i4>0</vt:i4>
      </vt:variant>
      <vt:variant>
        <vt:i4>5</vt:i4>
      </vt:variant>
      <vt:variant>
        <vt:lpwstr>http://www.msac.gov.au/internet/msac/publishing.nsf/Content/8FBBD6DC1F003721CA25876D0002CEF5/$File/IPAC Stakeholder meeting outcomes 2022-10-10 - Final.pdf</vt:lpwstr>
      </vt:variant>
      <vt:variant>
        <vt:lpwstr/>
      </vt:variant>
      <vt:variant>
        <vt:i4>5570682</vt:i4>
      </vt:variant>
      <vt:variant>
        <vt:i4>6</vt:i4>
      </vt:variant>
      <vt:variant>
        <vt:i4>0</vt:i4>
      </vt:variant>
      <vt:variant>
        <vt:i4>5</vt:i4>
      </vt:variant>
      <vt:variant>
        <vt:lpwstr>http://www.msac.gov.au/internet/msac/publishing.nsf/Content/8FBBD6DC1F003721CA25876D0002CEF5/$File/1678 - Final PSD_Mar-Apr2022.pdf</vt:lpwstr>
      </vt:variant>
      <vt:variant>
        <vt:lpwstr/>
      </vt:variant>
      <vt:variant>
        <vt:i4>5570682</vt:i4>
      </vt:variant>
      <vt:variant>
        <vt:i4>3</vt:i4>
      </vt:variant>
      <vt:variant>
        <vt:i4>0</vt:i4>
      </vt:variant>
      <vt:variant>
        <vt:i4>5</vt:i4>
      </vt:variant>
      <vt:variant>
        <vt:lpwstr>http://www.msac.gov.au/internet/msac/publishing.nsf/Content/8FBBD6DC1F003721CA25876D0002CEF5/$File/1678 - Final PSD_Mar-Apr2022.pdf</vt:lpwstr>
      </vt:variant>
      <vt:variant>
        <vt:lpwstr/>
      </vt:variant>
      <vt:variant>
        <vt:i4>3997744</vt:i4>
      </vt:variant>
      <vt:variant>
        <vt:i4>0</vt:i4>
      </vt:variant>
      <vt:variant>
        <vt:i4>0</vt:i4>
      </vt:variant>
      <vt:variant>
        <vt:i4>5</vt:i4>
      </vt:variant>
      <vt:variant>
        <vt:lpwstr>http://www.msac.gov.au/</vt:lpwstr>
      </vt:variant>
      <vt:variant>
        <vt:lpwstr/>
      </vt:variant>
      <vt:variant>
        <vt:i4>2162785</vt:i4>
      </vt:variant>
      <vt:variant>
        <vt:i4>18</vt:i4>
      </vt:variant>
      <vt:variant>
        <vt:i4>0</vt:i4>
      </vt:variant>
      <vt:variant>
        <vt:i4>5</vt:i4>
      </vt:variant>
      <vt:variant>
        <vt:lpwstr>https://www.health.gov.au/sites/default/files/documents/2020/12/economic-evaluation-of-the-indigenous-australians-health-programme-phase-i.pdf</vt:lpwstr>
      </vt:variant>
      <vt:variant>
        <vt:lpwstr/>
      </vt:variant>
      <vt:variant>
        <vt:i4>5177465</vt:i4>
      </vt:variant>
      <vt:variant>
        <vt:i4>15</vt:i4>
      </vt:variant>
      <vt:variant>
        <vt:i4>0</vt:i4>
      </vt:variant>
      <vt:variant>
        <vt:i4>5</vt:i4>
      </vt:variant>
      <vt:variant>
        <vt:lpwstr>https://www.pbs.gov.au/info/reviews/diabetes</vt:lpwstr>
      </vt:variant>
      <vt:variant>
        <vt:lpwstr>_Final-Report-Stage-3</vt:lpwstr>
      </vt:variant>
      <vt:variant>
        <vt:i4>5898245</vt:i4>
      </vt:variant>
      <vt:variant>
        <vt:i4>12</vt:i4>
      </vt:variant>
      <vt:variant>
        <vt:i4>0</vt:i4>
      </vt:variant>
      <vt:variant>
        <vt:i4>5</vt:i4>
      </vt:variant>
      <vt:variant>
        <vt:lpwstr>http://www.ppaonline.com.au/wp-content/uploads/2022/04/IHSPS-Program-Rules-22-23.pdf</vt:lpwstr>
      </vt:variant>
      <vt:variant>
        <vt:lpwstr/>
      </vt:variant>
      <vt:variant>
        <vt:i4>3145823</vt:i4>
      </vt:variant>
      <vt:variant>
        <vt:i4>9</vt:i4>
      </vt:variant>
      <vt:variant>
        <vt:i4>0</vt:i4>
      </vt:variant>
      <vt:variant>
        <vt:i4>5</vt:i4>
      </vt:variant>
      <vt:variant>
        <vt:lpwstr>https://consultations.health.gov.au/aged-care-division/aged-care-on-site-pharmacists/supporting_documents/Aged care onsite pharmacists consultation paper  July 2022.pdf</vt:lpwstr>
      </vt:variant>
      <vt:variant>
        <vt:lpwstr/>
      </vt:variant>
      <vt:variant>
        <vt:i4>1966081</vt:i4>
      </vt:variant>
      <vt:variant>
        <vt:i4>6</vt:i4>
      </vt:variant>
      <vt:variant>
        <vt:i4>0</vt:i4>
      </vt:variant>
      <vt:variant>
        <vt:i4>5</vt:i4>
      </vt:variant>
      <vt:variant>
        <vt:lpwstr>https://www.health.gov.au/ministers/the-hon-greg-hunt-mp/media/on-site-pharmacists-to-improve-medication-management-in-racfs</vt:lpwstr>
      </vt:variant>
      <vt:variant>
        <vt:lpwstr/>
      </vt:variant>
      <vt:variant>
        <vt:i4>6160400</vt:i4>
      </vt:variant>
      <vt:variant>
        <vt:i4>3</vt:i4>
      </vt:variant>
      <vt:variant>
        <vt:i4>0</vt:i4>
      </vt:variant>
      <vt:variant>
        <vt:i4>5</vt:i4>
      </vt:variant>
      <vt:variant>
        <vt:lpwstr>https://www.pbs.gov.au/general/sixth-cpa-pages/cpp-files/QUM-Evaluation-Final-Report.PDF</vt:lpwstr>
      </vt:variant>
      <vt:variant>
        <vt:lpwstr/>
      </vt:variant>
      <vt:variant>
        <vt:i4>589832</vt:i4>
      </vt:variant>
      <vt:variant>
        <vt:i4>0</vt:i4>
      </vt:variant>
      <vt:variant>
        <vt:i4>0</vt:i4>
      </vt:variant>
      <vt:variant>
        <vt:i4>5</vt:i4>
      </vt:variant>
      <vt:variant>
        <vt:lpwstr>https://www.health.gov.au/committees-and-groups/strengthening-medicare-taskforce</vt:lpwstr>
      </vt:variant>
      <vt:variant>
        <vt:lpwstr/>
      </vt:variant>
      <vt:variant>
        <vt:i4>3407887</vt:i4>
      </vt:variant>
      <vt:variant>
        <vt:i4>3</vt:i4>
      </vt:variant>
      <vt:variant>
        <vt:i4>0</vt:i4>
      </vt:variant>
      <vt:variant>
        <vt:i4>5</vt:i4>
      </vt:variant>
      <vt:variant>
        <vt:lpwstr>mailto:Michael.Pitt@health.gov.au</vt:lpwstr>
      </vt:variant>
      <vt:variant>
        <vt:lpwstr/>
      </vt:variant>
      <vt:variant>
        <vt:i4>3407887</vt:i4>
      </vt:variant>
      <vt:variant>
        <vt:i4>0</vt:i4>
      </vt:variant>
      <vt:variant>
        <vt:i4>0</vt:i4>
      </vt:variant>
      <vt:variant>
        <vt:i4>5</vt:i4>
      </vt:variant>
      <vt:variant>
        <vt:lpwstr>mailto:Michael.Pitt@health.gov.au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2023-07-04T00:44:00Z</dcterms:created>
  <dcterms:modified xsi:type="dcterms:W3CDTF">2023-07-04T00:44:00Z</dcterms:modified>
  <cp:category/>
  <cp:contentStatus/>
</cp:coreProperties>
</file>