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516B1" w14:textId="77777777" w:rsidR="00405024" w:rsidRPr="00BB4F91" w:rsidRDefault="00405024" w:rsidP="00CA778E">
      <w:pPr>
        <w:spacing w:line="240" w:lineRule="auto"/>
        <w:rPr>
          <w:rFonts w:cstheme="minorHAnsi"/>
          <w:b/>
          <w:bCs/>
          <w:i/>
          <w:iCs/>
        </w:rPr>
      </w:pPr>
      <w:bookmarkStart w:id="0" w:name="_MacBuGuideStaticData_5506H"/>
      <w:bookmarkStart w:id="1" w:name="_MacBuGuideStaticData_2925H"/>
      <w:bookmarkStart w:id="2" w:name="_MacBuGuideStaticData_10168V"/>
      <w:bookmarkStart w:id="3" w:name="_MacBuGuideStaticData_4526H"/>
    </w:p>
    <w:p w14:paraId="6CB444A9" w14:textId="77777777" w:rsidR="00405024" w:rsidRPr="00BB4F91" w:rsidRDefault="00405024" w:rsidP="00CA778E">
      <w:pPr>
        <w:spacing w:line="240" w:lineRule="auto"/>
        <w:rPr>
          <w:rFonts w:cstheme="minorHAnsi"/>
          <w:b/>
          <w:bCs/>
          <w:i/>
          <w:iCs/>
        </w:rPr>
      </w:pPr>
    </w:p>
    <w:p w14:paraId="5ABB08B8" w14:textId="77777777" w:rsidR="00405024" w:rsidRPr="00BB4F91" w:rsidRDefault="00405024" w:rsidP="00CA778E">
      <w:pPr>
        <w:spacing w:line="240" w:lineRule="auto"/>
        <w:rPr>
          <w:rFonts w:cstheme="minorHAnsi"/>
        </w:rPr>
      </w:pPr>
    </w:p>
    <w:p w14:paraId="544A73DA" w14:textId="77777777" w:rsidR="00405024" w:rsidRDefault="00405024" w:rsidP="00CA778E">
      <w:pPr>
        <w:spacing w:line="240" w:lineRule="auto"/>
        <w:jc w:val="center"/>
        <w:rPr>
          <w:rFonts w:cstheme="minorHAnsi"/>
          <w:b/>
          <w:bCs/>
          <w:i/>
          <w:iCs/>
        </w:rPr>
      </w:pPr>
    </w:p>
    <w:p w14:paraId="474B5972" w14:textId="77777777" w:rsidR="007625DF" w:rsidRDefault="007625DF" w:rsidP="00CA778E">
      <w:pPr>
        <w:spacing w:line="240" w:lineRule="auto"/>
        <w:jc w:val="center"/>
        <w:rPr>
          <w:rFonts w:cstheme="minorHAnsi"/>
          <w:b/>
          <w:bCs/>
          <w:i/>
          <w:iCs/>
        </w:rPr>
      </w:pPr>
    </w:p>
    <w:p w14:paraId="30B34FCB" w14:textId="77777777" w:rsidR="007D3906" w:rsidRDefault="007D3906" w:rsidP="00CA778E">
      <w:pPr>
        <w:spacing w:line="240" w:lineRule="auto"/>
        <w:jc w:val="center"/>
        <w:rPr>
          <w:rFonts w:cstheme="minorHAnsi"/>
          <w:b/>
          <w:bCs/>
          <w:i/>
          <w:iCs/>
        </w:rPr>
      </w:pPr>
    </w:p>
    <w:p w14:paraId="6A08EF5E" w14:textId="77777777" w:rsidR="007D3906" w:rsidRPr="00405024" w:rsidRDefault="007D3906" w:rsidP="00CA778E">
      <w:pPr>
        <w:spacing w:line="240" w:lineRule="auto"/>
        <w:jc w:val="center"/>
        <w:rPr>
          <w:rFonts w:cstheme="minorHAnsi"/>
          <w:b/>
          <w:bCs/>
          <w:i/>
          <w:iCs/>
        </w:rPr>
      </w:pPr>
    </w:p>
    <w:p w14:paraId="73D3D411" w14:textId="77777777" w:rsidR="00302DE4" w:rsidRPr="007625DF" w:rsidRDefault="00405024" w:rsidP="00CA778E">
      <w:pPr>
        <w:spacing w:line="240" w:lineRule="auto"/>
        <w:jc w:val="center"/>
        <w:rPr>
          <w:rFonts w:cstheme="minorHAnsi"/>
          <w:b/>
          <w:bCs/>
          <w:iCs/>
          <w:sz w:val="52"/>
          <w:szCs w:val="52"/>
        </w:rPr>
      </w:pPr>
      <w:r w:rsidRPr="007625DF">
        <w:rPr>
          <w:rFonts w:cstheme="minorHAnsi"/>
          <w:b/>
          <w:bCs/>
          <w:iCs/>
          <w:sz w:val="52"/>
          <w:szCs w:val="52"/>
        </w:rPr>
        <w:t>Integrating Pharmacists within Aboriginal Community Controlled Health Services to improve Chronic Di</w:t>
      </w:r>
      <w:r w:rsidR="007D3906" w:rsidRPr="007625DF">
        <w:rPr>
          <w:rFonts w:cstheme="minorHAnsi"/>
          <w:b/>
          <w:bCs/>
          <w:iCs/>
          <w:sz w:val="52"/>
          <w:szCs w:val="52"/>
        </w:rPr>
        <w:t xml:space="preserve">sease Management </w:t>
      </w:r>
      <w:r w:rsidRPr="007625DF">
        <w:rPr>
          <w:rFonts w:cstheme="minorHAnsi"/>
          <w:b/>
          <w:bCs/>
          <w:iCs/>
          <w:sz w:val="52"/>
          <w:szCs w:val="52"/>
        </w:rPr>
        <w:t xml:space="preserve">(IPAC) </w:t>
      </w:r>
      <w:r w:rsidR="007D3906" w:rsidRPr="007625DF">
        <w:rPr>
          <w:rFonts w:cstheme="minorHAnsi"/>
          <w:b/>
          <w:bCs/>
          <w:iCs/>
          <w:sz w:val="52"/>
          <w:szCs w:val="52"/>
        </w:rPr>
        <w:t>Project</w:t>
      </w:r>
    </w:p>
    <w:p w14:paraId="207B9819" w14:textId="77777777" w:rsidR="007D3906" w:rsidRDefault="007D3906" w:rsidP="00CA778E">
      <w:pPr>
        <w:spacing w:line="240" w:lineRule="auto"/>
        <w:jc w:val="center"/>
        <w:rPr>
          <w:rFonts w:cstheme="minorHAnsi"/>
          <w:b/>
          <w:bCs/>
          <w:iCs/>
          <w:sz w:val="52"/>
          <w:szCs w:val="52"/>
        </w:rPr>
      </w:pPr>
    </w:p>
    <w:p w14:paraId="4086BDBD" w14:textId="77777777" w:rsidR="007625DF" w:rsidRDefault="007625DF" w:rsidP="00CA778E">
      <w:pPr>
        <w:spacing w:line="240" w:lineRule="auto"/>
        <w:jc w:val="center"/>
        <w:rPr>
          <w:rFonts w:cstheme="minorHAnsi"/>
          <w:b/>
          <w:bCs/>
          <w:iCs/>
          <w:sz w:val="52"/>
          <w:szCs w:val="52"/>
        </w:rPr>
      </w:pPr>
    </w:p>
    <w:p w14:paraId="0C29E084" w14:textId="77777777" w:rsidR="007625DF" w:rsidRDefault="007625DF" w:rsidP="00CA778E">
      <w:pPr>
        <w:spacing w:line="240" w:lineRule="auto"/>
        <w:jc w:val="center"/>
        <w:rPr>
          <w:rFonts w:cstheme="minorHAnsi"/>
          <w:b/>
          <w:bCs/>
          <w:iCs/>
          <w:sz w:val="52"/>
          <w:szCs w:val="52"/>
        </w:rPr>
      </w:pPr>
    </w:p>
    <w:p w14:paraId="3D96EE29" w14:textId="77777777" w:rsidR="007625DF" w:rsidRPr="007625DF" w:rsidRDefault="007625DF" w:rsidP="00CA778E">
      <w:pPr>
        <w:spacing w:line="240" w:lineRule="auto"/>
        <w:jc w:val="center"/>
        <w:rPr>
          <w:rFonts w:cstheme="minorHAnsi"/>
          <w:b/>
          <w:bCs/>
          <w:iCs/>
          <w:sz w:val="52"/>
          <w:szCs w:val="52"/>
        </w:rPr>
      </w:pPr>
    </w:p>
    <w:p w14:paraId="1F1C74E9" w14:textId="1909C530" w:rsidR="007D3906" w:rsidRPr="007625DF" w:rsidRDefault="0003464E" w:rsidP="00CA778E">
      <w:pPr>
        <w:spacing w:line="240" w:lineRule="auto"/>
        <w:jc w:val="center"/>
        <w:rPr>
          <w:rFonts w:cstheme="minorHAnsi"/>
          <w:b/>
          <w:bCs/>
          <w:iCs/>
          <w:sz w:val="52"/>
          <w:szCs w:val="52"/>
        </w:rPr>
      </w:pPr>
      <w:r>
        <w:rPr>
          <w:rFonts w:cstheme="minorHAnsi"/>
          <w:b/>
          <w:bCs/>
          <w:iCs/>
          <w:sz w:val="52"/>
          <w:szCs w:val="52"/>
        </w:rPr>
        <w:t>Public Summary</w:t>
      </w:r>
    </w:p>
    <w:p w14:paraId="21BDC771" w14:textId="77777777" w:rsidR="006947B4" w:rsidRDefault="006947B4" w:rsidP="00CA778E">
      <w:pPr>
        <w:spacing w:line="240" w:lineRule="auto"/>
        <w:jc w:val="center"/>
        <w:rPr>
          <w:rFonts w:cstheme="minorHAnsi"/>
          <w:b/>
          <w:bCs/>
          <w:i/>
          <w:iCs/>
          <w:sz w:val="44"/>
          <w:szCs w:val="44"/>
        </w:rPr>
      </w:pPr>
    </w:p>
    <w:p w14:paraId="089907C1" w14:textId="406F7765" w:rsidR="00405024" w:rsidRPr="00A332FF" w:rsidRDefault="0003464E" w:rsidP="00CA778E">
      <w:pPr>
        <w:spacing w:line="240" w:lineRule="auto"/>
        <w:jc w:val="center"/>
        <w:rPr>
          <w:rFonts w:cstheme="minorHAnsi"/>
          <w:b/>
          <w:bCs/>
          <w:iCs/>
          <w:sz w:val="44"/>
          <w:szCs w:val="44"/>
        </w:rPr>
      </w:pPr>
      <w:r>
        <w:rPr>
          <w:rFonts w:cstheme="minorHAnsi"/>
          <w:b/>
          <w:bCs/>
          <w:iCs/>
          <w:sz w:val="44"/>
          <w:szCs w:val="44"/>
        </w:rPr>
        <w:t>October 2021</w:t>
      </w:r>
    </w:p>
    <w:p w14:paraId="71CB3873" w14:textId="77777777" w:rsidR="007D3906" w:rsidRPr="00A332FF" w:rsidRDefault="007D3906" w:rsidP="00CA778E">
      <w:pPr>
        <w:spacing w:line="240" w:lineRule="auto"/>
        <w:jc w:val="center"/>
        <w:rPr>
          <w:rFonts w:cstheme="minorHAnsi"/>
          <w:b/>
          <w:bCs/>
          <w:iCs/>
          <w:sz w:val="44"/>
          <w:szCs w:val="44"/>
        </w:rPr>
      </w:pPr>
    </w:p>
    <w:p w14:paraId="1C417C9B" w14:textId="77777777" w:rsidR="007625DF" w:rsidRDefault="007625DF" w:rsidP="00CA778E">
      <w:pPr>
        <w:spacing w:line="240" w:lineRule="auto"/>
        <w:jc w:val="center"/>
        <w:rPr>
          <w:rFonts w:cstheme="minorHAnsi"/>
          <w:b/>
          <w:bCs/>
          <w:i/>
          <w:iCs/>
          <w:sz w:val="44"/>
          <w:szCs w:val="44"/>
        </w:rPr>
      </w:pPr>
    </w:p>
    <w:p w14:paraId="1755FE48" w14:textId="77777777" w:rsidR="007625DF" w:rsidRPr="00405024" w:rsidRDefault="007625DF" w:rsidP="00CA778E">
      <w:pPr>
        <w:spacing w:line="240" w:lineRule="auto"/>
        <w:jc w:val="center"/>
        <w:rPr>
          <w:rFonts w:cstheme="minorHAnsi"/>
          <w:b/>
          <w:bCs/>
          <w:i/>
          <w:iCs/>
          <w:sz w:val="44"/>
          <w:szCs w:val="44"/>
        </w:rPr>
      </w:pPr>
    </w:p>
    <w:p w14:paraId="5908DDEE" w14:textId="77777777" w:rsidR="00405024" w:rsidRPr="00BB4F91" w:rsidRDefault="00405024" w:rsidP="00B40096">
      <w:pPr>
        <w:rPr>
          <w:rFonts w:cstheme="minorHAnsi"/>
          <w:b/>
          <w:bCs/>
        </w:rPr>
      </w:pPr>
    </w:p>
    <w:p w14:paraId="4436E221" w14:textId="77777777" w:rsidR="00405024" w:rsidRPr="00BB4F91" w:rsidRDefault="00405024" w:rsidP="00B40096">
      <w:pPr>
        <w:rPr>
          <w:rFonts w:cstheme="minorHAnsi"/>
          <w:b/>
          <w:bCs/>
        </w:rPr>
      </w:pPr>
    </w:p>
    <w:p w14:paraId="088DF0B2" w14:textId="77777777" w:rsidR="00405024" w:rsidRPr="00BB4F91" w:rsidRDefault="00405024" w:rsidP="00B40096">
      <w:pPr>
        <w:rPr>
          <w:rFonts w:cstheme="minorHAnsi"/>
          <w:b/>
          <w:bCs/>
        </w:rPr>
      </w:pPr>
    </w:p>
    <w:p w14:paraId="485794EF" w14:textId="5EC2CC7A" w:rsidR="00405024" w:rsidRPr="00BB4F91" w:rsidRDefault="00B87A0F" w:rsidP="00B40096">
      <w:pPr>
        <w:rPr>
          <w:rFonts w:cstheme="minorHAnsi"/>
          <w:b/>
        </w:rPr>
      </w:pPr>
      <w:r w:rsidRPr="00BB4F91">
        <w:rPr>
          <w:rFonts w:cstheme="minorHAnsi"/>
          <w:b/>
          <w:bCs/>
          <w:noProof/>
          <w:lang w:val="en-AU" w:eastAsia="en-AU"/>
        </w:rPr>
        <w:drawing>
          <wp:inline distT="0" distB="0" distL="0" distR="0" wp14:anchorId="3DB2BD88" wp14:editId="4ED97C7E">
            <wp:extent cx="1533525" cy="797284"/>
            <wp:effectExtent l="0" t="0" r="0" b="3175"/>
            <wp:docPr id="15" name="Picture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214" cy="818439"/>
                    </a:xfrm>
                    <a:prstGeom prst="rect">
                      <a:avLst/>
                    </a:prstGeom>
                    <a:noFill/>
                    <a:ln>
                      <a:noFill/>
                    </a:ln>
                  </pic:spPr>
                </pic:pic>
              </a:graphicData>
            </a:graphic>
          </wp:inline>
        </w:drawing>
      </w:r>
      <w:r w:rsidR="00405024" w:rsidRPr="00BB4F91">
        <w:rPr>
          <w:rFonts w:cstheme="minorHAnsi"/>
          <w:b/>
        </w:rPr>
        <w:tab/>
      </w:r>
      <w:r w:rsidR="00405024" w:rsidRPr="00BB4F91">
        <w:rPr>
          <w:rFonts w:cstheme="minorHAnsi"/>
          <w:b/>
        </w:rPr>
        <w:tab/>
      </w:r>
      <w:r w:rsidR="00405024" w:rsidRPr="00BB4F91">
        <w:rPr>
          <w:rFonts w:cstheme="minorHAnsi"/>
          <w:b/>
          <w:bCs/>
          <w:noProof/>
          <w:lang w:val="en-AU" w:eastAsia="en-AU"/>
        </w:rPr>
        <w:drawing>
          <wp:inline distT="0" distB="0" distL="0" distR="0" wp14:anchorId="66D04334" wp14:editId="01D49B48">
            <wp:extent cx="818866" cy="823796"/>
            <wp:effectExtent l="0" t="0" r="635" b="0"/>
            <wp:docPr id="48" name="Picture 4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476" cy="841512"/>
                    </a:xfrm>
                    <a:prstGeom prst="rect">
                      <a:avLst/>
                    </a:prstGeom>
                    <a:noFill/>
                    <a:ln>
                      <a:noFill/>
                    </a:ln>
                  </pic:spPr>
                </pic:pic>
              </a:graphicData>
            </a:graphic>
          </wp:inline>
        </w:drawing>
      </w:r>
      <w:r w:rsidR="00405024" w:rsidRPr="00BB4F91">
        <w:rPr>
          <w:rFonts w:cstheme="minorHAnsi"/>
          <w:b/>
        </w:rPr>
        <w:tab/>
      </w:r>
      <w:r w:rsidR="00405024" w:rsidRPr="00BB4F91">
        <w:rPr>
          <w:rFonts w:cstheme="minorHAnsi"/>
          <w:b/>
        </w:rPr>
        <w:tab/>
      </w:r>
      <w:r w:rsidRPr="00BB4F91">
        <w:rPr>
          <w:rFonts w:cstheme="minorHAnsi"/>
          <w:b/>
          <w:bCs/>
          <w:noProof/>
          <w:lang w:val="en-AU" w:eastAsia="en-AU"/>
        </w:rPr>
        <w:drawing>
          <wp:inline distT="0" distB="0" distL="0" distR="0" wp14:anchorId="722B5037" wp14:editId="63910D40">
            <wp:extent cx="2066925" cy="356539"/>
            <wp:effectExtent l="0" t="0" r="0" b="5715"/>
            <wp:docPr id="49" name="Picture 4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170" cy="381076"/>
                    </a:xfrm>
                    <a:prstGeom prst="rect">
                      <a:avLst/>
                    </a:prstGeom>
                    <a:noFill/>
                    <a:ln>
                      <a:noFill/>
                    </a:ln>
                  </pic:spPr>
                </pic:pic>
              </a:graphicData>
            </a:graphic>
          </wp:inline>
        </w:drawing>
      </w:r>
    </w:p>
    <w:p w14:paraId="62F97E79" w14:textId="77777777" w:rsidR="00405024" w:rsidRPr="00BB4F91" w:rsidRDefault="00405024" w:rsidP="00B40096">
      <w:pPr>
        <w:rPr>
          <w:rFonts w:cstheme="minorHAnsi"/>
          <w:b/>
        </w:rPr>
      </w:pPr>
      <w:r w:rsidRPr="00BB4F91">
        <w:rPr>
          <w:rFonts w:cstheme="minorHAnsi"/>
          <w:b/>
        </w:rPr>
        <w:br w:type="page"/>
      </w:r>
    </w:p>
    <w:p w14:paraId="1875C625" w14:textId="77777777" w:rsidR="00DD2EA9" w:rsidRDefault="00DD2EA9" w:rsidP="00B40096">
      <w:pPr>
        <w:pStyle w:val="BodyText"/>
        <w:spacing w:after="0" w:line="240" w:lineRule="auto"/>
        <w:sectPr w:rsidR="00DD2EA9" w:rsidSect="00A62BB4">
          <w:headerReference w:type="first" r:id="rId11"/>
          <w:footerReference w:type="first" r:id="rId12"/>
          <w:pgSz w:w="11907" w:h="16840" w:code="9"/>
          <w:pgMar w:top="1247" w:right="1418" w:bottom="964" w:left="1418" w:header="964" w:footer="567" w:gutter="0"/>
          <w:cols w:space="708"/>
          <w:titlePg/>
          <w:docGrid w:linePitch="360"/>
        </w:sectPr>
      </w:pPr>
    </w:p>
    <w:bookmarkEnd w:id="0"/>
    <w:bookmarkEnd w:id="1"/>
    <w:bookmarkEnd w:id="2"/>
    <w:bookmarkEnd w:id="3"/>
    <w:p w14:paraId="6A395CC2" w14:textId="5F76318C" w:rsidR="007228E3" w:rsidRDefault="007228E3" w:rsidP="007228E3">
      <w:pPr>
        <w:spacing w:line="240" w:lineRule="auto"/>
      </w:pPr>
      <w:r>
        <w:lastRenderedPageBreak/>
        <w:t>Document Version Control</w:t>
      </w:r>
    </w:p>
    <w:p w14:paraId="5457B029" w14:textId="77777777" w:rsidR="007228E3" w:rsidRDefault="007228E3" w:rsidP="007228E3">
      <w:pPr>
        <w:spacing w:line="240" w:lineRule="auto"/>
      </w:pPr>
    </w:p>
    <w:tbl>
      <w:tblPr>
        <w:tblStyle w:val="TableGrid"/>
        <w:tblW w:w="0" w:type="auto"/>
        <w:tblLook w:val="04A0" w:firstRow="1" w:lastRow="0" w:firstColumn="1" w:lastColumn="0" w:noHBand="0" w:noVBand="1"/>
        <w:tblCaption w:val="Document History Table"/>
        <w:tblDescription w:val="This table records the versions of the document and the reasons for amenedment"/>
      </w:tblPr>
      <w:tblGrid>
        <w:gridCol w:w="1233"/>
        <w:gridCol w:w="1597"/>
        <w:gridCol w:w="1985"/>
        <w:gridCol w:w="4195"/>
      </w:tblGrid>
      <w:tr w:rsidR="007228E3" w14:paraId="253A060A" w14:textId="77777777" w:rsidTr="00667764">
        <w:trPr>
          <w:cantSplit/>
          <w:tblHeader/>
        </w:trPr>
        <w:tc>
          <w:tcPr>
            <w:tcW w:w="1233" w:type="dxa"/>
            <w:tcBorders>
              <w:top w:val="single" w:sz="4" w:space="0" w:color="auto"/>
              <w:left w:val="single" w:sz="4" w:space="0" w:color="auto"/>
              <w:bottom w:val="single" w:sz="4" w:space="0" w:color="auto"/>
              <w:right w:val="single" w:sz="4" w:space="0" w:color="auto"/>
            </w:tcBorders>
            <w:shd w:val="clear" w:color="auto" w:fill="FFFFCC"/>
            <w:hideMark/>
          </w:tcPr>
          <w:p w14:paraId="35A88161" w14:textId="77777777" w:rsidR="007228E3" w:rsidRDefault="007228E3" w:rsidP="00667764">
            <w:pPr>
              <w:spacing w:after="0" w:line="240" w:lineRule="auto"/>
              <w:ind w:right="82"/>
              <w:rPr>
                <w:b/>
                <w:sz w:val="20"/>
                <w:szCs w:val="20"/>
              </w:rPr>
            </w:pPr>
            <w:r>
              <w:rPr>
                <w:b/>
                <w:sz w:val="20"/>
                <w:szCs w:val="20"/>
              </w:rPr>
              <w:t>Version Number</w:t>
            </w:r>
          </w:p>
        </w:tc>
        <w:tc>
          <w:tcPr>
            <w:tcW w:w="1597" w:type="dxa"/>
            <w:tcBorders>
              <w:top w:val="single" w:sz="4" w:space="0" w:color="auto"/>
              <w:left w:val="single" w:sz="4" w:space="0" w:color="auto"/>
              <w:bottom w:val="single" w:sz="4" w:space="0" w:color="auto"/>
              <w:right w:val="single" w:sz="4" w:space="0" w:color="auto"/>
            </w:tcBorders>
            <w:shd w:val="clear" w:color="auto" w:fill="FFFFCC"/>
            <w:hideMark/>
          </w:tcPr>
          <w:p w14:paraId="1C78263B" w14:textId="77777777" w:rsidR="007228E3" w:rsidRDefault="007228E3" w:rsidP="00667764">
            <w:pPr>
              <w:spacing w:after="0" w:line="240" w:lineRule="auto"/>
              <w:ind w:left="-15"/>
              <w:rPr>
                <w:b/>
                <w:sz w:val="20"/>
                <w:szCs w:val="20"/>
              </w:rPr>
            </w:pPr>
            <w:r>
              <w:rPr>
                <w:b/>
                <w:sz w:val="20"/>
                <w:szCs w:val="20"/>
              </w:rPr>
              <w:t>Date Changed</w:t>
            </w:r>
          </w:p>
        </w:tc>
        <w:tc>
          <w:tcPr>
            <w:tcW w:w="1985" w:type="dxa"/>
            <w:tcBorders>
              <w:top w:val="single" w:sz="4" w:space="0" w:color="auto"/>
              <w:left w:val="single" w:sz="4" w:space="0" w:color="auto"/>
              <w:bottom w:val="single" w:sz="4" w:space="0" w:color="auto"/>
              <w:right w:val="single" w:sz="4" w:space="0" w:color="auto"/>
            </w:tcBorders>
            <w:shd w:val="clear" w:color="auto" w:fill="FFFFCC"/>
            <w:hideMark/>
          </w:tcPr>
          <w:p w14:paraId="485F5D8E" w14:textId="77777777" w:rsidR="007228E3" w:rsidRDefault="007228E3" w:rsidP="00667764">
            <w:pPr>
              <w:spacing w:after="0" w:line="240" w:lineRule="auto"/>
              <w:rPr>
                <w:b/>
                <w:sz w:val="20"/>
                <w:szCs w:val="20"/>
              </w:rPr>
            </w:pPr>
            <w:r>
              <w:rPr>
                <w:b/>
                <w:sz w:val="20"/>
                <w:szCs w:val="20"/>
              </w:rPr>
              <w:t>Author</w:t>
            </w:r>
          </w:p>
        </w:tc>
        <w:tc>
          <w:tcPr>
            <w:tcW w:w="4195" w:type="dxa"/>
            <w:tcBorders>
              <w:top w:val="single" w:sz="4" w:space="0" w:color="auto"/>
              <w:left w:val="single" w:sz="4" w:space="0" w:color="auto"/>
              <w:bottom w:val="single" w:sz="4" w:space="0" w:color="auto"/>
              <w:right w:val="single" w:sz="4" w:space="0" w:color="auto"/>
            </w:tcBorders>
            <w:shd w:val="clear" w:color="auto" w:fill="FFFFCC"/>
            <w:hideMark/>
          </w:tcPr>
          <w:p w14:paraId="0D94EC4D" w14:textId="77777777" w:rsidR="007228E3" w:rsidRDefault="007228E3" w:rsidP="00667764">
            <w:pPr>
              <w:spacing w:after="0" w:line="240" w:lineRule="auto"/>
              <w:rPr>
                <w:b/>
                <w:sz w:val="20"/>
                <w:szCs w:val="20"/>
              </w:rPr>
            </w:pPr>
            <w:r>
              <w:rPr>
                <w:b/>
                <w:sz w:val="20"/>
                <w:szCs w:val="20"/>
              </w:rPr>
              <w:t>Reason for Change</w:t>
            </w:r>
          </w:p>
        </w:tc>
      </w:tr>
      <w:tr w:rsidR="007228E3" w14:paraId="297E40C1" w14:textId="77777777" w:rsidTr="00667764">
        <w:tc>
          <w:tcPr>
            <w:tcW w:w="1233" w:type="dxa"/>
            <w:tcBorders>
              <w:top w:val="single" w:sz="4" w:space="0" w:color="auto"/>
              <w:left w:val="single" w:sz="4" w:space="0" w:color="auto"/>
              <w:bottom w:val="single" w:sz="4" w:space="0" w:color="auto"/>
              <w:right w:val="single" w:sz="4" w:space="0" w:color="auto"/>
            </w:tcBorders>
            <w:hideMark/>
          </w:tcPr>
          <w:p w14:paraId="3E066CB9" w14:textId="235E4597" w:rsidR="007228E3" w:rsidRDefault="007228E3" w:rsidP="00667764">
            <w:pPr>
              <w:spacing w:after="0" w:line="240" w:lineRule="auto"/>
              <w:rPr>
                <w:sz w:val="20"/>
                <w:szCs w:val="20"/>
              </w:rPr>
            </w:pPr>
            <w:r>
              <w:rPr>
                <w:sz w:val="20"/>
                <w:szCs w:val="20"/>
              </w:rPr>
              <w:t>V7</w:t>
            </w:r>
          </w:p>
        </w:tc>
        <w:tc>
          <w:tcPr>
            <w:tcW w:w="1597" w:type="dxa"/>
            <w:tcBorders>
              <w:top w:val="single" w:sz="4" w:space="0" w:color="auto"/>
              <w:left w:val="single" w:sz="4" w:space="0" w:color="auto"/>
              <w:bottom w:val="single" w:sz="4" w:space="0" w:color="auto"/>
              <w:right w:val="single" w:sz="4" w:space="0" w:color="auto"/>
            </w:tcBorders>
            <w:hideMark/>
          </w:tcPr>
          <w:p w14:paraId="1785CCCD" w14:textId="42F8526C" w:rsidR="007228E3" w:rsidRDefault="007228E3" w:rsidP="007228E3">
            <w:pPr>
              <w:spacing w:after="0" w:line="240" w:lineRule="auto"/>
              <w:rPr>
                <w:sz w:val="20"/>
                <w:szCs w:val="20"/>
              </w:rPr>
            </w:pPr>
            <w:r>
              <w:rPr>
                <w:sz w:val="20"/>
                <w:szCs w:val="20"/>
              </w:rPr>
              <w:t>04/06/2020</w:t>
            </w:r>
          </w:p>
        </w:tc>
        <w:tc>
          <w:tcPr>
            <w:tcW w:w="1985" w:type="dxa"/>
            <w:tcBorders>
              <w:top w:val="single" w:sz="4" w:space="0" w:color="auto"/>
              <w:left w:val="single" w:sz="4" w:space="0" w:color="auto"/>
              <w:bottom w:val="single" w:sz="4" w:space="0" w:color="auto"/>
              <w:right w:val="single" w:sz="4" w:space="0" w:color="auto"/>
            </w:tcBorders>
            <w:hideMark/>
          </w:tcPr>
          <w:p w14:paraId="030E94EA" w14:textId="3C7EE611" w:rsidR="007228E3" w:rsidRDefault="007228E3" w:rsidP="007228E3">
            <w:pPr>
              <w:spacing w:after="0" w:line="240" w:lineRule="auto"/>
              <w:rPr>
                <w:sz w:val="20"/>
                <w:szCs w:val="20"/>
              </w:rPr>
            </w:pPr>
            <w:r>
              <w:rPr>
                <w:sz w:val="20"/>
                <w:szCs w:val="20"/>
              </w:rPr>
              <w:t>Deb Smith</w:t>
            </w:r>
          </w:p>
        </w:tc>
        <w:tc>
          <w:tcPr>
            <w:tcW w:w="4195" w:type="dxa"/>
            <w:tcBorders>
              <w:top w:val="single" w:sz="4" w:space="0" w:color="auto"/>
              <w:left w:val="single" w:sz="4" w:space="0" w:color="auto"/>
              <w:bottom w:val="single" w:sz="4" w:space="0" w:color="auto"/>
              <w:right w:val="single" w:sz="4" w:space="0" w:color="auto"/>
            </w:tcBorders>
            <w:hideMark/>
          </w:tcPr>
          <w:p w14:paraId="61739093" w14:textId="761921A9" w:rsidR="007228E3" w:rsidRDefault="007228E3" w:rsidP="007228E3">
            <w:pPr>
              <w:spacing w:after="0" w:line="240" w:lineRule="auto"/>
              <w:ind w:left="-7"/>
              <w:rPr>
                <w:sz w:val="20"/>
                <w:szCs w:val="20"/>
              </w:rPr>
            </w:pPr>
            <w:r>
              <w:rPr>
                <w:sz w:val="20"/>
                <w:szCs w:val="20"/>
              </w:rPr>
              <w:t xml:space="preserve">Final draft completed for comment </w:t>
            </w:r>
          </w:p>
        </w:tc>
      </w:tr>
      <w:tr w:rsidR="007228E3" w:rsidRPr="00754539" w14:paraId="1555DD36" w14:textId="77777777" w:rsidTr="00667764">
        <w:tc>
          <w:tcPr>
            <w:tcW w:w="1233" w:type="dxa"/>
            <w:tcBorders>
              <w:top w:val="single" w:sz="4" w:space="0" w:color="auto"/>
              <w:left w:val="single" w:sz="4" w:space="0" w:color="auto"/>
              <w:bottom w:val="single" w:sz="4" w:space="0" w:color="auto"/>
              <w:right w:val="single" w:sz="4" w:space="0" w:color="auto"/>
            </w:tcBorders>
          </w:tcPr>
          <w:p w14:paraId="6B87056D" w14:textId="0D4BA66A" w:rsidR="007228E3" w:rsidRDefault="007228E3" w:rsidP="00667764">
            <w:pPr>
              <w:spacing w:after="0" w:line="240" w:lineRule="auto"/>
              <w:rPr>
                <w:sz w:val="20"/>
                <w:szCs w:val="20"/>
              </w:rPr>
            </w:pPr>
            <w:r>
              <w:rPr>
                <w:sz w:val="20"/>
                <w:szCs w:val="20"/>
              </w:rPr>
              <w:t>V8</w:t>
            </w:r>
          </w:p>
        </w:tc>
        <w:tc>
          <w:tcPr>
            <w:tcW w:w="1597" w:type="dxa"/>
            <w:tcBorders>
              <w:top w:val="single" w:sz="4" w:space="0" w:color="auto"/>
              <w:left w:val="single" w:sz="4" w:space="0" w:color="auto"/>
              <w:bottom w:val="single" w:sz="4" w:space="0" w:color="auto"/>
              <w:right w:val="single" w:sz="4" w:space="0" w:color="auto"/>
            </w:tcBorders>
          </w:tcPr>
          <w:p w14:paraId="35E81438" w14:textId="3791F9E7" w:rsidR="007228E3" w:rsidRDefault="007228E3">
            <w:pPr>
              <w:spacing w:after="0" w:line="240" w:lineRule="auto"/>
              <w:rPr>
                <w:sz w:val="20"/>
                <w:szCs w:val="20"/>
              </w:rPr>
            </w:pPr>
            <w:r>
              <w:rPr>
                <w:sz w:val="20"/>
                <w:szCs w:val="20"/>
              </w:rPr>
              <w:t>2</w:t>
            </w:r>
            <w:r w:rsidR="005D62A2">
              <w:rPr>
                <w:sz w:val="20"/>
                <w:szCs w:val="20"/>
              </w:rPr>
              <w:t>4</w:t>
            </w:r>
            <w:r>
              <w:rPr>
                <w:sz w:val="20"/>
                <w:szCs w:val="20"/>
              </w:rPr>
              <w:t>/06/2020</w:t>
            </w:r>
          </w:p>
        </w:tc>
        <w:tc>
          <w:tcPr>
            <w:tcW w:w="1985" w:type="dxa"/>
            <w:tcBorders>
              <w:top w:val="single" w:sz="4" w:space="0" w:color="auto"/>
              <w:left w:val="single" w:sz="4" w:space="0" w:color="auto"/>
              <w:bottom w:val="single" w:sz="4" w:space="0" w:color="auto"/>
              <w:right w:val="single" w:sz="4" w:space="0" w:color="auto"/>
            </w:tcBorders>
          </w:tcPr>
          <w:p w14:paraId="235C784B" w14:textId="24938AAA" w:rsidR="007228E3" w:rsidRDefault="007228E3" w:rsidP="00667764">
            <w:pPr>
              <w:spacing w:after="0" w:line="240" w:lineRule="auto"/>
              <w:rPr>
                <w:sz w:val="20"/>
                <w:szCs w:val="20"/>
              </w:rPr>
            </w:pPr>
            <w:r>
              <w:rPr>
                <w:sz w:val="20"/>
                <w:szCs w:val="20"/>
              </w:rPr>
              <w:t>Deb Smith</w:t>
            </w:r>
          </w:p>
        </w:tc>
        <w:tc>
          <w:tcPr>
            <w:tcW w:w="4195" w:type="dxa"/>
            <w:tcBorders>
              <w:top w:val="single" w:sz="4" w:space="0" w:color="auto"/>
              <w:left w:val="single" w:sz="4" w:space="0" w:color="auto"/>
              <w:bottom w:val="single" w:sz="4" w:space="0" w:color="auto"/>
              <w:right w:val="single" w:sz="4" w:space="0" w:color="auto"/>
            </w:tcBorders>
          </w:tcPr>
          <w:p w14:paraId="69EE82C9" w14:textId="77777777" w:rsidR="007228E3" w:rsidRDefault="007228E3" w:rsidP="00667764">
            <w:pPr>
              <w:spacing w:after="0" w:line="240" w:lineRule="auto"/>
              <w:rPr>
                <w:sz w:val="20"/>
                <w:szCs w:val="20"/>
              </w:rPr>
            </w:pPr>
            <w:r>
              <w:rPr>
                <w:sz w:val="20"/>
                <w:szCs w:val="20"/>
              </w:rPr>
              <w:t xml:space="preserve">Version control introduced </w:t>
            </w:r>
          </w:p>
          <w:p w14:paraId="2D7FA7D2" w14:textId="7A3979C9" w:rsidR="009700F0" w:rsidRDefault="007228E3" w:rsidP="00C453C7">
            <w:pPr>
              <w:spacing w:after="0" w:line="240" w:lineRule="auto"/>
              <w:jc w:val="left"/>
              <w:rPr>
                <w:sz w:val="20"/>
                <w:szCs w:val="20"/>
              </w:rPr>
            </w:pPr>
            <w:r>
              <w:rPr>
                <w:sz w:val="20"/>
                <w:szCs w:val="20"/>
              </w:rPr>
              <w:t>Feedback from Steering Committee incorporated</w:t>
            </w:r>
          </w:p>
        </w:tc>
      </w:tr>
      <w:tr w:rsidR="00FA3DA0" w:rsidRPr="00754539" w14:paraId="46599A57" w14:textId="77777777" w:rsidTr="00667764">
        <w:tc>
          <w:tcPr>
            <w:tcW w:w="1233" w:type="dxa"/>
            <w:tcBorders>
              <w:top w:val="single" w:sz="4" w:space="0" w:color="auto"/>
              <w:left w:val="single" w:sz="4" w:space="0" w:color="auto"/>
              <w:bottom w:val="single" w:sz="4" w:space="0" w:color="auto"/>
              <w:right w:val="single" w:sz="4" w:space="0" w:color="auto"/>
            </w:tcBorders>
          </w:tcPr>
          <w:p w14:paraId="1EBC34D9" w14:textId="64E099FF" w:rsidR="00FA3DA0" w:rsidRDefault="00FA3DA0" w:rsidP="00667764">
            <w:pPr>
              <w:spacing w:line="240" w:lineRule="auto"/>
              <w:rPr>
                <w:sz w:val="20"/>
                <w:szCs w:val="20"/>
              </w:rPr>
            </w:pPr>
            <w:r>
              <w:rPr>
                <w:sz w:val="20"/>
                <w:szCs w:val="20"/>
              </w:rPr>
              <w:t>V9</w:t>
            </w:r>
          </w:p>
        </w:tc>
        <w:tc>
          <w:tcPr>
            <w:tcW w:w="1597" w:type="dxa"/>
            <w:tcBorders>
              <w:top w:val="single" w:sz="4" w:space="0" w:color="auto"/>
              <w:left w:val="single" w:sz="4" w:space="0" w:color="auto"/>
              <w:bottom w:val="single" w:sz="4" w:space="0" w:color="auto"/>
              <w:right w:val="single" w:sz="4" w:space="0" w:color="auto"/>
            </w:tcBorders>
          </w:tcPr>
          <w:p w14:paraId="3544375C" w14:textId="1780B12B" w:rsidR="00FA3DA0" w:rsidRDefault="00FA3DA0">
            <w:pPr>
              <w:spacing w:line="240" w:lineRule="auto"/>
              <w:rPr>
                <w:sz w:val="20"/>
                <w:szCs w:val="20"/>
              </w:rPr>
            </w:pPr>
            <w:r>
              <w:rPr>
                <w:sz w:val="20"/>
                <w:szCs w:val="20"/>
              </w:rPr>
              <w:t>01/10/2021</w:t>
            </w:r>
          </w:p>
        </w:tc>
        <w:tc>
          <w:tcPr>
            <w:tcW w:w="1985" w:type="dxa"/>
            <w:tcBorders>
              <w:top w:val="single" w:sz="4" w:space="0" w:color="auto"/>
              <w:left w:val="single" w:sz="4" w:space="0" w:color="auto"/>
              <w:bottom w:val="single" w:sz="4" w:space="0" w:color="auto"/>
              <w:right w:val="single" w:sz="4" w:space="0" w:color="auto"/>
            </w:tcBorders>
          </w:tcPr>
          <w:p w14:paraId="150C85B0" w14:textId="2B4DF9B5" w:rsidR="00FA3DA0" w:rsidRDefault="00FA3DA0" w:rsidP="00667764">
            <w:pPr>
              <w:spacing w:line="240" w:lineRule="auto"/>
              <w:rPr>
                <w:sz w:val="20"/>
                <w:szCs w:val="20"/>
              </w:rPr>
            </w:pPr>
            <w:r>
              <w:rPr>
                <w:sz w:val="20"/>
                <w:szCs w:val="20"/>
              </w:rPr>
              <w:t>H</w:t>
            </w:r>
            <w:r w:rsidR="00EB3B42">
              <w:rPr>
                <w:sz w:val="20"/>
                <w:szCs w:val="20"/>
              </w:rPr>
              <w:t xml:space="preserve"> </w:t>
            </w:r>
            <w:proofErr w:type="spellStart"/>
            <w:r>
              <w:rPr>
                <w:sz w:val="20"/>
                <w:szCs w:val="20"/>
              </w:rPr>
              <w:t>Loller</w:t>
            </w:r>
            <w:proofErr w:type="spellEnd"/>
            <w:r w:rsidR="00EB3B42">
              <w:rPr>
                <w:sz w:val="20"/>
                <w:szCs w:val="20"/>
              </w:rPr>
              <w:t xml:space="preserve">, S </w:t>
            </w:r>
            <w:proofErr w:type="spellStart"/>
            <w:r w:rsidR="00EB3B42">
              <w:rPr>
                <w:sz w:val="20"/>
                <w:szCs w:val="20"/>
              </w:rPr>
              <w:t>Couzos</w:t>
            </w:r>
            <w:proofErr w:type="spellEnd"/>
            <w:r w:rsidR="00EB3B42">
              <w:rPr>
                <w:sz w:val="20"/>
                <w:szCs w:val="20"/>
              </w:rPr>
              <w:t>, M Tremlett</w:t>
            </w:r>
          </w:p>
        </w:tc>
        <w:tc>
          <w:tcPr>
            <w:tcW w:w="4195" w:type="dxa"/>
            <w:tcBorders>
              <w:top w:val="single" w:sz="4" w:space="0" w:color="auto"/>
              <w:left w:val="single" w:sz="4" w:space="0" w:color="auto"/>
              <w:bottom w:val="single" w:sz="4" w:space="0" w:color="auto"/>
              <w:right w:val="single" w:sz="4" w:space="0" w:color="auto"/>
            </w:tcBorders>
          </w:tcPr>
          <w:p w14:paraId="1C716C6F" w14:textId="7FDE9535" w:rsidR="00FA3DA0" w:rsidRDefault="00FA3DA0" w:rsidP="00667764">
            <w:pPr>
              <w:spacing w:line="240" w:lineRule="auto"/>
              <w:rPr>
                <w:sz w:val="20"/>
                <w:szCs w:val="20"/>
              </w:rPr>
            </w:pPr>
            <w:r>
              <w:rPr>
                <w:sz w:val="20"/>
                <w:szCs w:val="20"/>
              </w:rPr>
              <w:t>Public Summary</w:t>
            </w:r>
            <w:r w:rsidR="00D55B1D">
              <w:rPr>
                <w:sz w:val="20"/>
                <w:szCs w:val="20"/>
              </w:rPr>
              <w:t xml:space="preserve"> </w:t>
            </w:r>
          </w:p>
        </w:tc>
      </w:tr>
    </w:tbl>
    <w:p w14:paraId="793F3947" w14:textId="77777777" w:rsidR="007625DF" w:rsidRDefault="007625DF" w:rsidP="007625DF">
      <w:pPr>
        <w:rPr>
          <w:rFonts w:cstheme="minorHAnsi"/>
          <w:b/>
          <w:bCs/>
        </w:rPr>
      </w:pPr>
    </w:p>
    <w:p w14:paraId="09854FB5" w14:textId="77777777" w:rsidR="00767A2A" w:rsidRDefault="00767A2A" w:rsidP="007625DF">
      <w:pPr>
        <w:rPr>
          <w:rFonts w:cstheme="minorHAnsi"/>
          <w:b/>
          <w:bCs/>
        </w:rPr>
      </w:pPr>
    </w:p>
    <w:p w14:paraId="5A4F906B" w14:textId="77777777" w:rsidR="00767A2A" w:rsidRDefault="00767A2A" w:rsidP="007625DF">
      <w:pPr>
        <w:rPr>
          <w:rFonts w:cstheme="minorHAnsi"/>
          <w:b/>
          <w:bCs/>
        </w:rPr>
      </w:pPr>
    </w:p>
    <w:p w14:paraId="3DB642CA" w14:textId="77777777" w:rsidR="00767A2A" w:rsidRDefault="00767A2A" w:rsidP="007625DF">
      <w:pPr>
        <w:rPr>
          <w:rFonts w:cstheme="minorHAnsi"/>
          <w:b/>
          <w:bCs/>
        </w:rPr>
      </w:pPr>
    </w:p>
    <w:p w14:paraId="142D0C0A" w14:textId="77777777" w:rsidR="00767A2A" w:rsidRDefault="00767A2A" w:rsidP="007625DF">
      <w:pPr>
        <w:rPr>
          <w:rFonts w:cstheme="minorHAnsi"/>
          <w:b/>
          <w:bCs/>
        </w:rPr>
      </w:pPr>
    </w:p>
    <w:p w14:paraId="1F338824" w14:textId="77777777" w:rsidR="00767A2A" w:rsidRDefault="00767A2A" w:rsidP="007625DF">
      <w:pPr>
        <w:rPr>
          <w:rFonts w:cstheme="minorHAnsi"/>
          <w:b/>
          <w:bCs/>
        </w:rPr>
      </w:pPr>
    </w:p>
    <w:p w14:paraId="0F24F39F" w14:textId="77777777" w:rsidR="007625DF" w:rsidRPr="00CE4D69" w:rsidRDefault="007625DF" w:rsidP="00CA778E">
      <w:pPr>
        <w:spacing w:line="240" w:lineRule="auto"/>
        <w:rPr>
          <w:rFonts w:cstheme="minorHAnsi"/>
          <w:sz w:val="20"/>
          <w:szCs w:val="20"/>
        </w:rPr>
      </w:pPr>
      <w:r w:rsidRPr="00CE4D69">
        <w:rPr>
          <w:rFonts w:cstheme="minorHAnsi"/>
          <w:i/>
          <w:iCs/>
          <w:color w:val="010202"/>
          <w:sz w:val="20"/>
          <w:szCs w:val="20"/>
        </w:rPr>
        <w:t xml:space="preserve">Integrating Pharmacists within Aboriginal Community Controlled Health Services </w:t>
      </w:r>
      <w:r w:rsidRPr="00CE4D69">
        <w:rPr>
          <w:rFonts w:cstheme="minorHAnsi"/>
          <w:color w:val="010202"/>
          <w:sz w:val="20"/>
          <w:szCs w:val="20"/>
        </w:rPr>
        <w:t xml:space="preserve">(ACCHSs) </w:t>
      </w:r>
      <w:r w:rsidRPr="00CE4D69">
        <w:rPr>
          <w:rFonts w:cstheme="minorHAnsi"/>
          <w:i/>
          <w:iCs/>
          <w:color w:val="010202"/>
          <w:sz w:val="20"/>
          <w:szCs w:val="20"/>
        </w:rPr>
        <w:t>to improve Chronic Disease Management</w:t>
      </w:r>
      <w:r w:rsidRPr="00CE4D69">
        <w:rPr>
          <w:rFonts w:cstheme="minorHAnsi"/>
          <w:color w:val="010202"/>
          <w:sz w:val="20"/>
          <w:szCs w:val="20"/>
        </w:rPr>
        <w:t xml:space="preserve"> (IPAC)</w:t>
      </w:r>
      <w:r w:rsidRPr="00CE4D69">
        <w:rPr>
          <w:rFonts w:cstheme="minorHAnsi"/>
          <w:sz w:val="20"/>
          <w:szCs w:val="20"/>
        </w:rPr>
        <w:t xml:space="preserve"> Project.</w:t>
      </w:r>
    </w:p>
    <w:p w14:paraId="17A2C85C" w14:textId="77777777" w:rsidR="007625DF" w:rsidRPr="00CE4D69" w:rsidRDefault="007625DF" w:rsidP="00CA778E">
      <w:pPr>
        <w:spacing w:line="240" w:lineRule="auto"/>
        <w:rPr>
          <w:rFonts w:cstheme="minorHAnsi"/>
          <w:sz w:val="20"/>
          <w:szCs w:val="20"/>
        </w:rPr>
      </w:pPr>
    </w:p>
    <w:p w14:paraId="2A71E7A3" w14:textId="77777777" w:rsidR="007625DF" w:rsidRDefault="007625DF" w:rsidP="00CA778E">
      <w:pPr>
        <w:spacing w:line="240" w:lineRule="auto"/>
        <w:rPr>
          <w:rFonts w:cstheme="minorHAnsi"/>
          <w:b/>
          <w:bCs/>
          <w:sz w:val="20"/>
          <w:szCs w:val="20"/>
        </w:rPr>
      </w:pPr>
    </w:p>
    <w:p w14:paraId="6ED01368" w14:textId="77777777" w:rsidR="00036E69" w:rsidRDefault="00036E69" w:rsidP="00CA778E">
      <w:pPr>
        <w:spacing w:line="240" w:lineRule="auto"/>
        <w:rPr>
          <w:rFonts w:cstheme="minorHAnsi"/>
          <w:b/>
          <w:bCs/>
          <w:sz w:val="20"/>
          <w:szCs w:val="20"/>
        </w:rPr>
      </w:pPr>
    </w:p>
    <w:p w14:paraId="3F8569A7" w14:textId="77777777" w:rsidR="00036E69" w:rsidRPr="00036E69" w:rsidRDefault="00036E69" w:rsidP="00CA778E">
      <w:pPr>
        <w:spacing w:line="240" w:lineRule="auto"/>
        <w:rPr>
          <w:rFonts w:cstheme="minorHAnsi"/>
          <w:b/>
          <w:sz w:val="20"/>
          <w:szCs w:val="20"/>
        </w:rPr>
      </w:pPr>
      <w:r w:rsidRPr="00036E69">
        <w:rPr>
          <w:rFonts w:cstheme="minorHAnsi"/>
          <w:b/>
          <w:sz w:val="20"/>
          <w:szCs w:val="20"/>
        </w:rPr>
        <w:t xml:space="preserve">Authors: </w:t>
      </w:r>
    </w:p>
    <w:p w14:paraId="7C3302A8" w14:textId="40981DC4" w:rsidR="00036E69" w:rsidRPr="00036E69" w:rsidRDefault="00036E69" w:rsidP="00CA778E">
      <w:pPr>
        <w:spacing w:line="240" w:lineRule="auto"/>
        <w:rPr>
          <w:rFonts w:cstheme="minorHAnsi"/>
          <w:sz w:val="20"/>
          <w:szCs w:val="20"/>
        </w:rPr>
      </w:pPr>
      <w:proofErr w:type="spellStart"/>
      <w:r>
        <w:rPr>
          <w:rFonts w:cstheme="minorHAnsi"/>
          <w:sz w:val="20"/>
          <w:szCs w:val="20"/>
        </w:rPr>
        <w:t>Couzos</w:t>
      </w:r>
      <w:proofErr w:type="spellEnd"/>
      <w:r>
        <w:rPr>
          <w:rFonts w:cstheme="minorHAnsi"/>
          <w:sz w:val="20"/>
          <w:szCs w:val="20"/>
        </w:rPr>
        <w:t xml:space="preserve"> S, </w:t>
      </w:r>
      <w:r w:rsidR="009406D2">
        <w:rPr>
          <w:rFonts w:cstheme="minorHAnsi"/>
          <w:sz w:val="20"/>
          <w:szCs w:val="20"/>
        </w:rPr>
        <w:t xml:space="preserve">Smith D, </w:t>
      </w:r>
      <w:r w:rsidR="002B6A99" w:rsidRPr="00036E69">
        <w:rPr>
          <w:rFonts w:cstheme="minorHAnsi"/>
          <w:sz w:val="20"/>
          <w:szCs w:val="20"/>
        </w:rPr>
        <w:t>Tremlett M,</w:t>
      </w:r>
      <w:r w:rsidR="002B6A99">
        <w:rPr>
          <w:rFonts w:cstheme="minorHAnsi"/>
          <w:sz w:val="20"/>
          <w:szCs w:val="20"/>
        </w:rPr>
        <w:t xml:space="preserve"> </w:t>
      </w:r>
      <w:r w:rsidR="002B6A99" w:rsidRPr="00036E69">
        <w:rPr>
          <w:rFonts w:cstheme="minorHAnsi"/>
          <w:sz w:val="20"/>
          <w:szCs w:val="20"/>
        </w:rPr>
        <w:t xml:space="preserve">Loller H, </w:t>
      </w:r>
      <w:r w:rsidRPr="00036E69">
        <w:rPr>
          <w:rFonts w:cstheme="minorHAnsi"/>
          <w:sz w:val="20"/>
          <w:szCs w:val="20"/>
        </w:rPr>
        <w:t xml:space="preserve">Stephens M, Nugent A, Vaughan F, </w:t>
      </w:r>
      <w:r w:rsidR="002B6A99" w:rsidRPr="00036E69">
        <w:rPr>
          <w:rFonts w:cstheme="minorHAnsi"/>
          <w:sz w:val="20"/>
          <w:szCs w:val="20"/>
        </w:rPr>
        <w:t xml:space="preserve">Hendrie D, </w:t>
      </w:r>
      <w:proofErr w:type="spellStart"/>
      <w:r w:rsidRPr="00036E69">
        <w:rPr>
          <w:rFonts w:cstheme="minorHAnsi"/>
          <w:sz w:val="20"/>
          <w:szCs w:val="20"/>
        </w:rPr>
        <w:t>Buttner</w:t>
      </w:r>
      <w:proofErr w:type="spellEnd"/>
      <w:r w:rsidRPr="00036E69">
        <w:rPr>
          <w:rFonts w:cstheme="minorHAnsi"/>
          <w:sz w:val="20"/>
          <w:szCs w:val="20"/>
        </w:rPr>
        <w:t xml:space="preserve"> P, Biros E.</w:t>
      </w:r>
    </w:p>
    <w:p w14:paraId="01DFE969" w14:textId="77777777" w:rsidR="00B35E36" w:rsidRDefault="00B35E36" w:rsidP="00B35E36">
      <w:pPr>
        <w:spacing w:line="240" w:lineRule="auto"/>
        <w:rPr>
          <w:rFonts w:cstheme="minorHAnsi"/>
          <w:b/>
          <w:sz w:val="20"/>
          <w:szCs w:val="20"/>
        </w:rPr>
      </w:pPr>
    </w:p>
    <w:p w14:paraId="3042BE40" w14:textId="77777777" w:rsidR="00B35E36" w:rsidRDefault="00B35E36" w:rsidP="00B35E36">
      <w:pPr>
        <w:spacing w:line="240" w:lineRule="auto"/>
        <w:rPr>
          <w:rFonts w:cstheme="minorHAnsi"/>
          <w:b/>
          <w:sz w:val="20"/>
          <w:szCs w:val="20"/>
        </w:rPr>
      </w:pPr>
      <w:r w:rsidRPr="004F700C">
        <w:rPr>
          <w:rFonts w:cstheme="minorHAnsi"/>
          <w:b/>
          <w:sz w:val="20"/>
          <w:szCs w:val="20"/>
        </w:rPr>
        <w:t>Correspondence:</w:t>
      </w:r>
    </w:p>
    <w:p w14:paraId="1FC9BDCC" w14:textId="0B89731F" w:rsidR="00B35E36" w:rsidRPr="00B35E36" w:rsidRDefault="00B35E36" w:rsidP="00B35E36">
      <w:pPr>
        <w:spacing w:line="240" w:lineRule="auto"/>
        <w:rPr>
          <w:rFonts w:cstheme="minorHAnsi"/>
          <w:bCs/>
          <w:sz w:val="20"/>
          <w:szCs w:val="20"/>
        </w:rPr>
      </w:pPr>
      <w:r w:rsidRPr="00B35E36">
        <w:rPr>
          <w:rFonts w:cstheme="minorHAnsi"/>
          <w:bCs/>
          <w:sz w:val="20"/>
          <w:szCs w:val="20"/>
        </w:rPr>
        <w:t xml:space="preserve">Associate Professor Sophia </w:t>
      </w:r>
      <w:proofErr w:type="spellStart"/>
      <w:r w:rsidRPr="00B35E36">
        <w:rPr>
          <w:rFonts w:cstheme="minorHAnsi"/>
          <w:bCs/>
          <w:sz w:val="20"/>
          <w:szCs w:val="20"/>
        </w:rPr>
        <w:t>Couzos</w:t>
      </w:r>
      <w:proofErr w:type="spellEnd"/>
    </w:p>
    <w:p w14:paraId="1982ED3D" w14:textId="77777777" w:rsidR="00B35E36" w:rsidRPr="00B35E36" w:rsidRDefault="00B35E36" w:rsidP="00B35E36">
      <w:pPr>
        <w:spacing w:line="240" w:lineRule="auto"/>
        <w:rPr>
          <w:rFonts w:cstheme="minorHAnsi"/>
          <w:bCs/>
          <w:sz w:val="20"/>
          <w:szCs w:val="20"/>
        </w:rPr>
      </w:pPr>
      <w:r w:rsidRPr="00B35E36">
        <w:rPr>
          <w:rFonts w:cstheme="minorHAnsi"/>
          <w:bCs/>
          <w:sz w:val="20"/>
          <w:szCs w:val="20"/>
        </w:rPr>
        <w:t>General Practice and Rural Medicine</w:t>
      </w:r>
    </w:p>
    <w:p w14:paraId="4BF9E2D0" w14:textId="4ED4047E" w:rsidR="00036E69" w:rsidRPr="00B35E36" w:rsidRDefault="00B35E36" w:rsidP="00B35E36">
      <w:pPr>
        <w:spacing w:line="240" w:lineRule="auto"/>
        <w:rPr>
          <w:rFonts w:cstheme="minorHAnsi"/>
          <w:bCs/>
          <w:sz w:val="20"/>
          <w:szCs w:val="20"/>
        </w:rPr>
      </w:pPr>
      <w:r w:rsidRPr="00B35E36">
        <w:rPr>
          <w:rFonts w:cstheme="minorHAnsi"/>
          <w:bCs/>
          <w:sz w:val="20"/>
          <w:szCs w:val="20"/>
        </w:rPr>
        <w:t>College of Medicine and Dentistry, James Cook University, Townsville, Queensland, 4811, Australia</w:t>
      </w:r>
    </w:p>
    <w:p w14:paraId="690FCBD7" w14:textId="77777777" w:rsidR="00B35E36" w:rsidRDefault="00B35E36" w:rsidP="00CA778E">
      <w:pPr>
        <w:spacing w:line="240" w:lineRule="auto"/>
        <w:rPr>
          <w:rFonts w:cstheme="minorHAnsi"/>
          <w:b/>
          <w:bCs/>
          <w:sz w:val="20"/>
          <w:szCs w:val="20"/>
        </w:rPr>
      </w:pPr>
    </w:p>
    <w:p w14:paraId="4C7F2219" w14:textId="77777777" w:rsidR="007625DF" w:rsidRDefault="007625DF" w:rsidP="00CA778E">
      <w:pPr>
        <w:spacing w:line="240" w:lineRule="auto"/>
        <w:rPr>
          <w:rFonts w:cstheme="minorHAnsi"/>
          <w:b/>
          <w:bCs/>
          <w:sz w:val="20"/>
          <w:szCs w:val="20"/>
        </w:rPr>
      </w:pPr>
      <w:r>
        <w:rPr>
          <w:rFonts w:cstheme="minorHAnsi"/>
          <w:b/>
          <w:bCs/>
          <w:sz w:val="20"/>
          <w:szCs w:val="20"/>
        </w:rPr>
        <w:t>Acknowledgements:</w:t>
      </w:r>
    </w:p>
    <w:p w14:paraId="5DEF02BB" w14:textId="05B96210" w:rsidR="00B35E36" w:rsidRPr="00B35E36" w:rsidRDefault="00B35E36" w:rsidP="00CA778E">
      <w:pPr>
        <w:spacing w:line="240" w:lineRule="auto"/>
        <w:rPr>
          <w:rFonts w:asciiTheme="majorHAnsi" w:hAnsiTheme="majorHAnsi" w:cstheme="majorHAnsi"/>
          <w:sz w:val="20"/>
          <w:szCs w:val="20"/>
        </w:rPr>
      </w:pPr>
      <w:r w:rsidRPr="00B35E36">
        <w:rPr>
          <w:rFonts w:asciiTheme="majorHAnsi" w:hAnsiTheme="majorHAnsi" w:cstheme="majorHAnsi"/>
          <w:sz w:val="20"/>
          <w:szCs w:val="20"/>
        </w:rPr>
        <w:t>The authors acknowledge and respect the past, present, and future Traditional Custodians and Elders of the land on which we work and the continuation of Aboriginal and Torres Strait Islander peoples' cultural, spiritual, and educational practices.</w:t>
      </w:r>
    </w:p>
    <w:p w14:paraId="7F15BD56" w14:textId="77777777" w:rsidR="00B35E36" w:rsidRPr="00B35E36" w:rsidRDefault="00B35E36" w:rsidP="00CA778E">
      <w:pPr>
        <w:spacing w:line="240" w:lineRule="auto"/>
        <w:rPr>
          <w:rFonts w:asciiTheme="majorHAnsi" w:hAnsiTheme="majorHAnsi" w:cstheme="majorHAnsi"/>
          <w:sz w:val="20"/>
          <w:szCs w:val="20"/>
        </w:rPr>
      </w:pPr>
    </w:p>
    <w:p w14:paraId="61D2A2B9" w14:textId="0BF80003" w:rsidR="00B35E36" w:rsidRPr="00B35E36" w:rsidRDefault="00036E69" w:rsidP="00B35E36">
      <w:pPr>
        <w:spacing w:line="240" w:lineRule="auto"/>
        <w:rPr>
          <w:rFonts w:cstheme="minorHAnsi"/>
          <w:sz w:val="20"/>
          <w:szCs w:val="20"/>
        </w:rPr>
      </w:pPr>
      <w:r w:rsidRPr="00B35E36">
        <w:rPr>
          <w:rFonts w:cstheme="minorHAnsi"/>
          <w:sz w:val="20"/>
          <w:szCs w:val="20"/>
        </w:rPr>
        <w:t>The authors</w:t>
      </w:r>
      <w:r w:rsidR="00B35E36" w:rsidRPr="00B35E36">
        <w:rPr>
          <w:rFonts w:cstheme="minorHAnsi"/>
          <w:sz w:val="20"/>
          <w:szCs w:val="20"/>
        </w:rPr>
        <w:t xml:space="preserve"> also </w:t>
      </w:r>
      <w:r w:rsidR="007625DF" w:rsidRPr="00B35E36">
        <w:rPr>
          <w:rFonts w:cstheme="minorHAnsi"/>
          <w:sz w:val="20"/>
          <w:szCs w:val="20"/>
        </w:rPr>
        <w:t>wish to acknowledge the Australian Government as the funding body supporting the implementation of the IPAC Project, under the Sixth Community Pharmacy Agreement (6CPA), with funding allocated for a Pharmacy Trial Program (PTP).</w:t>
      </w:r>
    </w:p>
    <w:p w14:paraId="36FD70C2" w14:textId="77777777" w:rsidR="00B35E36" w:rsidRPr="00B35E36" w:rsidRDefault="00B35E36" w:rsidP="00CA778E">
      <w:pPr>
        <w:widowControl/>
        <w:spacing w:line="240" w:lineRule="auto"/>
        <w:rPr>
          <w:rFonts w:cstheme="minorHAnsi"/>
          <w:sz w:val="20"/>
          <w:szCs w:val="20"/>
        </w:rPr>
      </w:pPr>
    </w:p>
    <w:p w14:paraId="6C630DF4" w14:textId="647FD40B" w:rsidR="00B35E36" w:rsidRPr="00B35E36" w:rsidRDefault="00B35E36" w:rsidP="00CA778E">
      <w:pPr>
        <w:widowControl/>
        <w:spacing w:line="240" w:lineRule="auto"/>
        <w:rPr>
          <w:rFonts w:cstheme="minorHAnsi"/>
          <w:sz w:val="20"/>
          <w:szCs w:val="20"/>
        </w:rPr>
      </w:pPr>
      <w:r w:rsidRPr="00B35E36">
        <w:rPr>
          <w:rFonts w:cstheme="minorHAnsi"/>
          <w:sz w:val="20"/>
          <w:szCs w:val="20"/>
        </w:rPr>
        <w:t xml:space="preserve">The authors also acknowledge the IPAC Evaluation Team members, the Affiliates of the National Aboriginal Community Controlled </w:t>
      </w:r>
      <w:proofErr w:type="spellStart"/>
      <w:r w:rsidRPr="00B35E36">
        <w:rPr>
          <w:rFonts w:cstheme="minorHAnsi"/>
          <w:sz w:val="20"/>
          <w:szCs w:val="20"/>
        </w:rPr>
        <w:t>Organisation</w:t>
      </w:r>
      <w:proofErr w:type="spellEnd"/>
      <w:r w:rsidRPr="00B35E36">
        <w:rPr>
          <w:rFonts w:cstheme="minorHAnsi"/>
          <w:sz w:val="20"/>
          <w:szCs w:val="20"/>
        </w:rPr>
        <w:t>, the participating ACCHSs, IPAC pharmacists, and the IPAC Steering Committee members. Finally, the authors would like to thank all patient participants and their families, without whom the IPAC project would not be possible.</w:t>
      </w:r>
    </w:p>
    <w:p w14:paraId="70BDAC12" w14:textId="77777777" w:rsidR="002653C1" w:rsidRDefault="002653C1">
      <w:pPr>
        <w:widowControl/>
        <w:rPr>
          <w:rFonts w:ascii="Arial" w:eastAsia="Arial Unicode MS" w:hAnsi="Arial" w:cs="Times New Roman"/>
          <w:b/>
          <w:color w:val="002C5F"/>
          <w:sz w:val="36"/>
          <w:szCs w:val="44"/>
          <w:lang w:val="en-AU"/>
        </w:rPr>
      </w:pPr>
      <w:r>
        <w:br w:type="page"/>
      </w:r>
    </w:p>
    <w:p w14:paraId="303A7DBB" w14:textId="039F86CE" w:rsidR="002823C5" w:rsidRPr="00BF1EA1" w:rsidRDefault="002823C5" w:rsidP="00FC12A1">
      <w:pPr>
        <w:pStyle w:val="Heading1"/>
        <w:rPr>
          <w:rStyle w:val="Hyperlink"/>
          <w:rFonts w:asciiTheme="majorHAnsi" w:hAnsiTheme="majorHAnsi"/>
          <w:i w:val="0"/>
          <w:sz w:val="32"/>
        </w:rPr>
      </w:pPr>
      <w:bookmarkStart w:id="4" w:name="_Toc85103760"/>
      <w:r w:rsidRPr="00BF1EA1">
        <w:rPr>
          <w:rStyle w:val="Hyperlink"/>
          <w:rFonts w:asciiTheme="majorHAnsi" w:hAnsiTheme="majorHAnsi"/>
          <w:i w:val="0"/>
          <w:sz w:val="32"/>
        </w:rPr>
        <w:lastRenderedPageBreak/>
        <w:t>Contents</w:t>
      </w:r>
      <w:bookmarkEnd w:id="4"/>
    </w:p>
    <w:p w14:paraId="4AF58A0B" w14:textId="77777777" w:rsidR="002823C5" w:rsidRPr="001300D2" w:rsidRDefault="002823C5" w:rsidP="004A0405">
      <w:pPr>
        <w:pStyle w:val="BodyText"/>
        <w:spacing w:after="60"/>
        <w:rPr>
          <w:rFonts w:asciiTheme="majorHAnsi" w:hAnsiTheme="majorHAnsi" w:cstheme="majorHAnsi"/>
          <w:sz w:val="22"/>
          <w:szCs w:val="22"/>
        </w:rPr>
      </w:pPr>
    </w:p>
    <w:p w14:paraId="2F87DF23" w14:textId="7E994FE9" w:rsidR="00EB3B42" w:rsidRDefault="002823C5">
      <w:pPr>
        <w:pStyle w:val="TOC1"/>
        <w:rPr>
          <w:rFonts w:asciiTheme="minorHAnsi" w:eastAsiaTheme="minorEastAsia" w:hAnsiTheme="minorHAnsi" w:cstheme="minorBidi"/>
          <w:b w:val="0"/>
          <w:noProof/>
          <w:color w:val="auto"/>
          <w:szCs w:val="22"/>
          <w:lang w:eastAsia="en-AU"/>
        </w:rPr>
      </w:pPr>
      <w:r w:rsidRPr="001300D2">
        <w:rPr>
          <w:rStyle w:val="Hyperlink"/>
          <w:rFonts w:asciiTheme="majorHAnsi" w:hAnsiTheme="majorHAnsi" w:cstheme="majorHAnsi"/>
          <w:sz w:val="22"/>
          <w:szCs w:val="22"/>
        </w:rPr>
        <w:fldChar w:fldCharType="begin"/>
      </w:r>
      <w:r w:rsidRPr="001300D2">
        <w:rPr>
          <w:rStyle w:val="Hyperlink"/>
          <w:rFonts w:asciiTheme="majorHAnsi" w:hAnsiTheme="majorHAnsi" w:cstheme="majorHAnsi"/>
          <w:sz w:val="22"/>
          <w:szCs w:val="22"/>
        </w:rPr>
        <w:instrText xml:space="preserve"> TOC \o "1-3" \h \z \u </w:instrText>
      </w:r>
      <w:r w:rsidRPr="001300D2">
        <w:rPr>
          <w:rStyle w:val="Hyperlink"/>
          <w:rFonts w:asciiTheme="majorHAnsi" w:hAnsiTheme="majorHAnsi" w:cstheme="majorHAnsi"/>
          <w:sz w:val="22"/>
          <w:szCs w:val="22"/>
        </w:rPr>
        <w:fldChar w:fldCharType="separate"/>
      </w:r>
      <w:hyperlink w:anchor="_Toc85103760" w:history="1">
        <w:r w:rsidR="00EB3B42" w:rsidRPr="005550F9">
          <w:rPr>
            <w:rStyle w:val="Hyperlink"/>
            <w:noProof/>
          </w:rPr>
          <w:t>Contents</w:t>
        </w:r>
        <w:r w:rsidR="00EB3B42">
          <w:rPr>
            <w:noProof/>
            <w:webHidden/>
          </w:rPr>
          <w:tab/>
        </w:r>
        <w:r w:rsidR="00EB3B42">
          <w:rPr>
            <w:noProof/>
            <w:webHidden/>
          </w:rPr>
          <w:fldChar w:fldCharType="begin"/>
        </w:r>
        <w:r w:rsidR="00EB3B42">
          <w:rPr>
            <w:noProof/>
            <w:webHidden/>
          </w:rPr>
          <w:instrText xml:space="preserve"> PAGEREF _Toc85103760 \h </w:instrText>
        </w:r>
        <w:r w:rsidR="00EB3B42">
          <w:rPr>
            <w:noProof/>
            <w:webHidden/>
          </w:rPr>
        </w:r>
        <w:r w:rsidR="00EB3B42">
          <w:rPr>
            <w:noProof/>
            <w:webHidden/>
          </w:rPr>
          <w:fldChar w:fldCharType="separate"/>
        </w:r>
        <w:r w:rsidR="00D133B3">
          <w:rPr>
            <w:noProof/>
            <w:webHidden/>
          </w:rPr>
          <w:t>3</w:t>
        </w:r>
        <w:r w:rsidR="00EB3B42">
          <w:rPr>
            <w:noProof/>
            <w:webHidden/>
          </w:rPr>
          <w:fldChar w:fldCharType="end"/>
        </w:r>
      </w:hyperlink>
    </w:p>
    <w:p w14:paraId="0A88011C" w14:textId="39D8F87F" w:rsidR="00EB3B42" w:rsidRDefault="00113C44">
      <w:pPr>
        <w:pStyle w:val="TOC1"/>
        <w:rPr>
          <w:rFonts w:asciiTheme="minorHAnsi" w:eastAsiaTheme="minorEastAsia" w:hAnsiTheme="minorHAnsi" w:cstheme="minorBidi"/>
          <w:b w:val="0"/>
          <w:noProof/>
          <w:color w:val="auto"/>
          <w:szCs w:val="22"/>
          <w:lang w:eastAsia="en-AU"/>
        </w:rPr>
      </w:pPr>
      <w:hyperlink w:anchor="_Toc85103761" w:history="1">
        <w:r w:rsidR="00EB3B42" w:rsidRPr="005550F9">
          <w:rPr>
            <w:rStyle w:val="Hyperlink"/>
            <w:noProof/>
          </w:rPr>
          <w:t>Tables</w:t>
        </w:r>
        <w:r w:rsidR="00EB3B42">
          <w:rPr>
            <w:noProof/>
            <w:webHidden/>
          </w:rPr>
          <w:tab/>
        </w:r>
        <w:r w:rsidR="00EB3B42">
          <w:rPr>
            <w:noProof/>
            <w:webHidden/>
          </w:rPr>
          <w:fldChar w:fldCharType="begin"/>
        </w:r>
        <w:r w:rsidR="00EB3B42">
          <w:rPr>
            <w:noProof/>
            <w:webHidden/>
          </w:rPr>
          <w:instrText xml:space="preserve"> PAGEREF _Toc85103761 \h </w:instrText>
        </w:r>
        <w:r w:rsidR="00EB3B42">
          <w:rPr>
            <w:noProof/>
            <w:webHidden/>
          </w:rPr>
        </w:r>
        <w:r w:rsidR="00EB3B42">
          <w:rPr>
            <w:noProof/>
            <w:webHidden/>
          </w:rPr>
          <w:fldChar w:fldCharType="separate"/>
        </w:r>
        <w:r w:rsidR="00D133B3">
          <w:rPr>
            <w:noProof/>
            <w:webHidden/>
          </w:rPr>
          <w:t>3</w:t>
        </w:r>
        <w:r w:rsidR="00EB3B42">
          <w:rPr>
            <w:noProof/>
            <w:webHidden/>
          </w:rPr>
          <w:fldChar w:fldCharType="end"/>
        </w:r>
      </w:hyperlink>
    </w:p>
    <w:p w14:paraId="1E9F35EA" w14:textId="54ED39F4" w:rsidR="00EB3B42" w:rsidRDefault="00113C44">
      <w:pPr>
        <w:pStyle w:val="TOC1"/>
        <w:rPr>
          <w:rFonts w:asciiTheme="minorHAnsi" w:eastAsiaTheme="minorEastAsia" w:hAnsiTheme="minorHAnsi" w:cstheme="minorBidi"/>
          <w:b w:val="0"/>
          <w:noProof/>
          <w:color w:val="auto"/>
          <w:szCs w:val="22"/>
          <w:lang w:eastAsia="en-AU"/>
        </w:rPr>
      </w:pPr>
      <w:hyperlink w:anchor="_Toc85103762" w:history="1">
        <w:r w:rsidR="00EB3B42" w:rsidRPr="005550F9">
          <w:rPr>
            <w:rStyle w:val="Hyperlink"/>
            <w:noProof/>
          </w:rPr>
          <w:t>Overview</w:t>
        </w:r>
        <w:r w:rsidR="00EB3B42">
          <w:rPr>
            <w:noProof/>
            <w:webHidden/>
          </w:rPr>
          <w:tab/>
        </w:r>
        <w:r w:rsidR="00EB3B42">
          <w:rPr>
            <w:noProof/>
            <w:webHidden/>
          </w:rPr>
          <w:fldChar w:fldCharType="begin"/>
        </w:r>
        <w:r w:rsidR="00EB3B42">
          <w:rPr>
            <w:noProof/>
            <w:webHidden/>
          </w:rPr>
          <w:instrText xml:space="preserve"> PAGEREF _Toc85103762 \h </w:instrText>
        </w:r>
        <w:r w:rsidR="00EB3B42">
          <w:rPr>
            <w:noProof/>
            <w:webHidden/>
          </w:rPr>
        </w:r>
        <w:r w:rsidR="00EB3B42">
          <w:rPr>
            <w:noProof/>
            <w:webHidden/>
          </w:rPr>
          <w:fldChar w:fldCharType="separate"/>
        </w:r>
        <w:r w:rsidR="00D133B3">
          <w:rPr>
            <w:noProof/>
            <w:webHidden/>
          </w:rPr>
          <w:t>4</w:t>
        </w:r>
        <w:r w:rsidR="00EB3B42">
          <w:rPr>
            <w:noProof/>
            <w:webHidden/>
          </w:rPr>
          <w:fldChar w:fldCharType="end"/>
        </w:r>
      </w:hyperlink>
    </w:p>
    <w:p w14:paraId="5CE401F6" w14:textId="2BFA0E47" w:rsidR="00EB3B42" w:rsidRDefault="00113C44">
      <w:pPr>
        <w:pStyle w:val="TOC1"/>
        <w:rPr>
          <w:rFonts w:asciiTheme="minorHAnsi" w:eastAsiaTheme="minorEastAsia" w:hAnsiTheme="minorHAnsi" w:cstheme="minorBidi"/>
          <w:b w:val="0"/>
          <w:noProof/>
          <w:color w:val="auto"/>
          <w:szCs w:val="22"/>
          <w:lang w:eastAsia="en-AU"/>
        </w:rPr>
      </w:pPr>
      <w:hyperlink w:anchor="_Toc85103763" w:history="1">
        <w:r w:rsidR="00EB3B42" w:rsidRPr="005550F9">
          <w:rPr>
            <w:rStyle w:val="Hyperlink"/>
            <w:noProof/>
          </w:rPr>
          <w:t>Background</w:t>
        </w:r>
        <w:r w:rsidR="00EB3B42">
          <w:rPr>
            <w:noProof/>
            <w:webHidden/>
          </w:rPr>
          <w:tab/>
        </w:r>
        <w:r w:rsidR="00EB3B42">
          <w:rPr>
            <w:noProof/>
            <w:webHidden/>
          </w:rPr>
          <w:fldChar w:fldCharType="begin"/>
        </w:r>
        <w:r w:rsidR="00EB3B42">
          <w:rPr>
            <w:noProof/>
            <w:webHidden/>
          </w:rPr>
          <w:instrText xml:space="preserve"> PAGEREF _Toc85103763 \h </w:instrText>
        </w:r>
        <w:r w:rsidR="00EB3B42">
          <w:rPr>
            <w:noProof/>
            <w:webHidden/>
          </w:rPr>
        </w:r>
        <w:r w:rsidR="00EB3B42">
          <w:rPr>
            <w:noProof/>
            <w:webHidden/>
          </w:rPr>
          <w:fldChar w:fldCharType="separate"/>
        </w:r>
        <w:r w:rsidR="00D133B3">
          <w:rPr>
            <w:noProof/>
            <w:webHidden/>
          </w:rPr>
          <w:t>4</w:t>
        </w:r>
        <w:r w:rsidR="00EB3B42">
          <w:rPr>
            <w:noProof/>
            <w:webHidden/>
          </w:rPr>
          <w:fldChar w:fldCharType="end"/>
        </w:r>
      </w:hyperlink>
    </w:p>
    <w:p w14:paraId="322C1DCC" w14:textId="01E7020F" w:rsidR="00EB3B42" w:rsidRDefault="00113C44">
      <w:pPr>
        <w:pStyle w:val="TOC1"/>
        <w:rPr>
          <w:rFonts w:asciiTheme="minorHAnsi" w:eastAsiaTheme="minorEastAsia" w:hAnsiTheme="minorHAnsi" w:cstheme="minorBidi"/>
          <w:b w:val="0"/>
          <w:noProof/>
          <w:color w:val="auto"/>
          <w:szCs w:val="22"/>
          <w:lang w:eastAsia="en-AU"/>
        </w:rPr>
      </w:pPr>
      <w:hyperlink w:anchor="_Toc85103764" w:history="1">
        <w:r w:rsidR="00EB3B42" w:rsidRPr="005550F9">
          <w:rPr>
            <w:rStyle w:val="Hyperlink"/>
            <w:noProof/>
          </w:rPr>
          <w:t>Methodology</w:t>
        </w:r>
        <w:r w:rsidR="00EB3B42">
          <w:rPr>
            <w:noProof/>
            <w:webHidden/>
          </w:rPr>
          <w:tab/>
        </w:r>
        <w:r w:rsidR="00EB3B42">
          <w:rPr>
            <w:noProof/>
            <w:webHidden/>
          </w:rPr>
          <w:fldChar w:fldCharType="begin"/>
        </w:r>
        <w:r w:rsidR="00EB3B42">
          <w:rPr>
            <w:noProof/>
            <w:webHidden/>
          </w:rPr>
          <w:instrText xml:space="preserve"> PAGEREF _Toc85103764 \h </w:instrText>
        </w:r>
        <w:r w:rsidR="00EB3B42">
          <w:rPr>
            <w:noProof/>
            <w:webHidden/>
          </w:rPr>
        </w:r>
        <w:r w:rsidR="00EB3B42">
          <w:rPr>
            <w:noProof/>
            <w:webHidden/>
          </w:rPr>
          <w:fldChar w:fldCharType="separate"/>
        </w:r>
        <w:r w:rsidR="00D133B3">
          <w:rPr>
            <w:noProof/>
            <w:webHidden/>
          </w:rPr>
          <w:t>5</w:t>
        </w:r>
        <w:r w:rsidR="00EB3B42">
          <w:rPr>
            <w:noProof/>
            <w:webHidden/>
          </w:rPr>
          <w:fldChar w:fldCharType="end"/>
        </w:r>
      </w:hyperlink>
    </w:p>
    <w:p w14:paraId="617FF65F" w14:textId="2E7F07A1" w:rsidR="00EB3B42" w:rsidRDefault="00113C44">
      <w:pPr>
        <w:pStyle w:val="TOC2"/>
        <w:rPr>
          <w:rFonts w:asciiTheme="minorHAnsi" w:eastAsiaTheme="minorEastAsia" w:hAnsiTheme="minorHAnsi" w:cstheme="minorBidi"/>
          <w:noProof/>
          <w:color w:val="auto"/>
          <w:szCs w:val="22"/>
          <w:lang w:eastAsia="en-AU"/>
        </w:rPr>
      </w:pPr>
      <w:hyperlink w:anchor="_Toc85103765" w:history="1">
        <w:r w:rsidR="00EB3B42" w:rsidRPr="005550F9">
          <w:rPr>
            <w:rStyle w:val="Hyperlink"/>
            <w:noProof/>
          </w:rPr>
          <w:t>Project Governance</w:t>
        </w:r>
        <w:r w:rsidR="00EB3B42">
          <w:rPr>
            <w:noProof/>
            <w:webHidden/>
          </w:rPr>
          <w:tab/>
        </w:r>
        <w:r w:rsidR="00EB3B42">
          <w:rPr>
            <w:noProof/>
            <w:webHidden/>
          </w:rPr>
          <w:fldChar w:fldCharType="begin"/>
        </w:r>
        <w:r w:rsidR="00EB3B42">
          <w:rPr>
            <w:noProof/>
            <w:webHidden/>
          </w:rPr>
          <w:instrText xml:space="preserve"> PAGEREF _Toc85103765 \h </w:instrText>
        </w:r>
        <w:r w:rsidR="00EB3B42">
          <w:rPr>
            <w:noProof/>
            <w:webHidden/>
          </w:rPr>
        </w:r>
        <w:r w:rsidR="00EB3B42">
          <w:rPr>
            <w:noProof/>
            <w:webHidden/>
          </w:rPr>
          <w:fldChar w:fldCharType="separate"/>
        </w:r>
        <w:r w:rsidR="00D133B3">
          <w:rPr>
            <w:noProof/>
            <w:webHidden/>
          </w:rPr>
          <w:t>6</w:t>
        </w:r>
        <w:r w:rsidR="00EB3B42">
          <w:rPr>
            <w:noProof/>
            <w:webHidden/>
          </w:rPr>
          <w:fldChar w:fldCharType="end"/>
        </w:r>
      </w:hyperlink>
    </w:p>
    <w:p w14:paraId="051B7D7F" w14:textId="76104A41" w:rsidR="00EB3B42" w:rsidRDefault="00113C44">
      <w:pPr>
        <w:pStyle w:val="TOC2"/>
        <w:rPr>
          <w:rFonts w:asciiTheme="minorHAnsi" w:eastAsiaTheme="minorEastAsia" w:hAnsiTheme="minorHAnsi" w:cstheme="minorBidi"/>
          <w:noProof/>
          <w:color w:val="auto"/>
          <w:szCs w:val="22"/>
          <w:lang w:eastAsia="en-AU"/>
        </w:rPr>
      </w:pPr>
      <w:hyperlink w:anchor="_Toc85103766" w:history="1">
        <w:r w:rsidR="00EB3B42" w:rsidRPr="005550F9">
          <w:rPr>
            <w:rStyle w:val="Hyperlink"/>
            <w:noProof/>
          </w:rPr>
          <w:t>ACCHS Recruitment and Support</w:t>
        </w:r>
        <w:r w:rsidR="00EB3B42">
          <w:rPr>
            <w:noProof/>
            <w:webHidden/>
          </w:rPr>
          <w:tab/>
        </w:r>
        <w:r w:rsidR="00EB3B42">
          <w:rPr>
            <w:noProof/>
            <w:webHidden/>
          </w:rPr>
          <w:fldChar w:fldCharType="begin"/>
        </w:r>
        <w:r w:rsidR="00EB3B42">
          <w:rPr>
            <w:noProof/>
            <w:webHidden/>
          </w:rPr>
          <w:instrText xml:space="preserve"> PAGEREF _Toc85103766 \h </w:instrText>
        </w:r>
        <w:r w:rsidR="00EB3B42">
          <w:rPr>
            <w:noProof/>
            <w:webHidden/>
          </w:rPr>
        </w:r>
        <w:r w:rsidR="00EB3B42">
          <w:rPr>
            <w:noProof/>
            <w:webHidden/>
          </w:rPr>
          <w:fldChar w:fldCharType="separate"/>
        </w:r>
        <w:r w:rsidR="00D133B3">
          <w:rPr>
            <w:noProof/>
            <w:webHidden/>
          </w:rPr>
          <w:t>6</w:t>
        </w:r>
        <w:r w:rsidR="00EB3B42">
          <w:rPr>
            <w:noProof/>
            <w:webHidden/>
          </w:rPr>
          <w:fldChar w:fldCharType="end"/>
        </w:r>
      </w:hyperlink>
    </w:p>
    <w:p w14:paraId="0AAA2298" w14:textId="42E01B8D" w:rsidR="00EB3B42" w:rsidRDefault="00113C44">
      <w:pPr>
        <w:pStyle w:val="TOC2"/>
        <w:rPr>
          <w:rFonts w:asciiTheme="minorHAnsi" w:eastAsiaTheme="minorEastAsia" w:hAnsiTheme="minorHAnsi" w:cstheme="minorBidi"/>
          <w:noProof/>
          <w:color w:val="auto"/>
          <w:szCs w:val="22"/>
          <w:lang w:eastAsia="en-AU"/>
        </w:rPr>
      </w:pPr>
      <w:hyperlink w:anchor="_Toc85103767" w:history="1">
        <w:r w:rsidR="00EB3B42" w:rsidRPr="005550F9">
          <w:rPr>
            <w:rStyle w:val="Hyperlink"/>
            <w:noProof/>
          </w:rPr>
          <w:t>Pharmacist Recruitment</w:t>
        </w:r>
        <w:r w:rsidR="00EB3B42">
          <w:rPr>
            <w:noProof/>
            <w:webHidden/>
          </w:rPr>
          <w:tab/>
        </w:r>
        <w:r w:rsidR="00EB3B42">
          <w:rPr>
            <w:noProof/>
            <w:webHidden/>
          </w:rPr>
          <w:fldChar w:fldCharType="begin"/>
        </w:r>
        <w:r w:rsidR="00EB3B42">
          <w:rPr>
            <w:noProof/>
            <w:webHidden/>
          </w:rPr>
          <w:instrText xml:space="preserve"> PAGEREF _Toc85103767 \h </w:instrText>
        </w:r>
        <w:r w:rsidR="00EB3B42">
          <w:rPr>
            <w:noProof/>
            <w:webHidden/>
          </w:rPr>
        </w:r>
        <w:r w:rsidR="00EB3B42">
          <w:rPr>
            <w:noProof/>
            <w:webHidden/>
          </w:rPr>
          <w:fldChar w:fldCharType="separate"/>
        </w:r>
        <w:r w:rsidR="00D133B3">
          <w:rPr>
            <w:noProof/>
            <w:webHidden/>
          </w:rPr>
          <w:t>7</w:t>
        </w:r>
        <w:r w:rsidR="00EB3B42">
          <w:rPr>
            <w:noProof/>
            <w:webHidden/>
          </w:rPr>
          <w:fldChar w:fldCharType="end"/>
        </w:r>
      </w:hyperlink>
    </w:p>
    <w:p w14:paraId="3BFDD033" w14:textId="1C28FE03" w:rsidR="00EB3B42" w:rsidRDefault="00113C44">
      <w:pPr>
        <w:pStyle w:val="TOC2"/>
        <w:rPr>
          <w:rFonts w:asciiTheme="minorHAnsi" w:eastAsiaTheme="minorEastAsia" w:hAnsiTheme="minorHAnsi" w:cstheme="minorBidi"/>
          <w:noProof/>
          <w:color w:val="auto"/>
          <w:szCs w:val="22"/>
          <w:lang w:eastAsia="en-AU"/>
        </w:rPr>
      </w:pPr>
      <w:hyperlink w:anchor="_Toc85103768" w:history="1">
        <w:r w:rsidR="00EB3B42" w:rsidRPr="005550F9">
          <w:rPr>
            <w:rStyle w:val="Hyperlink"/>
            <w:noProof/>
          </w:rPr>
          <w:t>Participant recruitment</w:t>
        </w:r>
        <w:r w:rsidR="00EB3B42">
          <w:rPr>
            <w:noProof/>
            <w:webHidden/>
          </w:rPr>
          <w:tab/>
        </w:r>
        <w:r w:rsidR="00EB3B42">
          <w:rPr>
            <w:noProof/>
            <w:webHidden/>
          </w:rPr>
          <w:fldChar w:fldCharType="begin"/>
        </w:r>
        <w:r w:rsidR="00EB3B42">
          <w:rPr>
            <w:noProof/>
            <w:webHidden/>
          </w:rPr>
          <w:instrText xml:space="preserve"> PAGEREF _Toc85103768 \h </w:instrText>
        </w:r>
        <w:r w:rsidR="00EB3B42">
          <w:rPr>
            <w:noProof/>
            <w:webHidden/>
          </w:rPr>
        </w:r>
        <w:r w:rsidR="00EB3B42">
          <w:rPr>
            <w:noProof/>
            <w:webHidden/>
          </w:rPr>
          <w:fldChar w:fldCharType="separate"/>
        </w:r>
        <w:r w:rsidR="00D133B3">
          <w:rPr>
            <w:noProof/>
            <w:webHidden/>
          </w:rPr>
          <w:t>8</w:t>
        </w:r>
        <w:r w:rsidR="00EB3B42">
          <w:rPr>
            <w:noProof/>
            <w:webHidden/>
          </w:rPr>
          <w:fldChar w:fldCharType="end"/>
        </w:r>
      </w:hyperlink>
    </w:p>
    <w:p w14:paraId="13290A19" w14:textId="488FB6D1" w:rsidR="00EB3B42" w:rsidRDefault="00113C44">
      <w:pPr>
        <w:pStyle w:val="TOC2"/>
        <w:rPr>
          <w:rFonts w:asciiTheme="minorHAnsi" w:eastAsiaTheme="minorEastAsia" w:hAnsiTheme="minorHAnsi" w:cstheme="minorBidi"/>
          <w:noProof/>
          <w:color w:val="auto"/>
          <w:szCs w:val="22"/>
          <w:lang w:eastAsia="en-AU"/>
        </w:rPr>
      </w:pPr>
      <w:hyperlink w:anchor="_Toc85103769" w:history="1">
        <w:r w:rsidR="00EB3B42" w:rsidRPr="005550F9">
          <w:rPr>
            <w:rStyle w:val="Hyperlink"/>
            <w:noProof/>
          </w:rPr>
          <w:t>Pharmacist roles</w:t>
        </w:r>
        <w:r w:rsidR="00EB3B42">
          <w:rPr>
            <w:noProof/>
            <w:webHidden/>
          </w:rPr>
          <w:tab/>
        </w:r>
        <w:r w:rsidR="00EB3B42">
          <w:rPr>
            <w:noProof/>
            <w:webHidden/>
          </w:rPr>
          <w:fldChar w:fldCharType="begin"/>
        </w:r>
        <w:r w:rsidR="00EB3B42">
          <w:rPr>
            <w:noProof/>
            <w:webHidden/>
          </w:rPr>
          <w:instrText xml:space="preserve"> PAGEREF _Toc85103769 \h </w:instrText>
        </w:r>
        <w:r w:rsidR="00EB3B42">
          <w:rPr>
            <w:noProof/>
            <w:webHidden/>
          </w:rPr>
        </w:r>
        <w:r w:rsidR="00EB3B42">
          <w:rPr>
            <w:noProof/>
            <w:webHidden/>
          </w:rPr>
          <w:fldChar w:fldCharType="separate"/>
        </w:r>
        <w:r w:rsidR="00D133B3">
          <w:rPr>
            <w:noProof/>
            <w:webHidden/>
          </w:rPr>
          <w:t>8</w:t>
        </w:r>
        <w:r w:rsidR="00EB3B42">
          <w:rPr>
            <w:noProof/>
            <w:webHidden/>
          </w:rPr>
          <w:fldChar w:fldCharType="end"/>
        </w:r>
      </w:hyperlink>
    </w:p>
    <w:p w14:paraId="28752532" w14:textId="63EB7FF6" w:rsidR="00EB3B42" w:rsidRDefault="00113C44">
      <w:pPr>
        <w:pStyle w:val="TOC2"/>
        <w:rPr>
          <w:rFonts w:asciiTheme="minorHAnsi" w:eastAsiaTheme="minorEastAsia" w:hAnsiTheme="minorHAnsi" w:cstheme="minorBidi"/>
          <w:noProof/>
          <w:color w:val="auto"/>
          <w:szCs w:val="22"/>
          <w:lang w:eastAsia="en-AU"/>
        </w:rPr>
      </w:pPr>
      <w:hyperlink w:anchor="_Toc85103770" w:history="1">
        <w:r w:rsidR="00EB3B42" w:rsidRPr="005550F9">
          <w:rPr>
            <w:rStyle w:val="Hyperlink"/>
            <w:noProof/>
          </w:rPr>
          <w:t>Integration model</w:t>
        </w:r>
        <w:r w:rsidR="00EB3B42">
          <w:rPr>
            <w:noProof/>
            <w:webHidden/>
          </w:rPr>
          <w:tab/>
        </w:r>
        <w:r w:rsidR="00EB3B42">
          <w:rPr>
            <w:noProof/>
            <w:webHidden/>
          </w:rPr>
          <w:fldChar w:fldCharType="begin"/>
        </w:r>
        <w:r w:rsidR="00EB3B42">
          <w:rPr>
            <w:noProof/>
            <w:webHidden/>
          </w:rPr>
          <w:instrText xml:space="preserve"> PAGEREF _Toc85103770 \h </w:instrText>
        </w:r>
        <w:r w:rsidR="00EB3B42">
          <w:rPr>
            <w:noProof/>
            <w:webHidden/>
          </w:rPr>
        </w:r>
        <w:r w:rsidR="00EB3B42">
          <w:rPr>
            <w:noProof/>
            <w:webHidden/>
          </w:rPr>
          <w:fldChar w:fldCharType="separate"/>
        </w:r>
        <w:r w:rsidR="00D133B3">
          <w:rPr>
            <w:noProof/>
            <w:webHidden/>
          </w:rPr>
          <w:t>8</w:t>
        </w:r>
        <w:r w:rsidR="00EB3B42">
          <w:rPr>
            <w:noProof/>
            <w:webHidden/>
          </w:rPr>
          <w:fldChar w:fldCharType="end"/>
        </w:r>
      </w:hyperlink>
    </w:p>
    <w:p w14:paraId="3120A6E9" w14:textId="71145C9C" w:rsidR="00EB3B42" w:rsidRDefault="00113C44">
      <w:pPr>
        <w:pStyle w:val="TOC2"/>
        <w:rPr>
          <w:rFonts w:asciiTheme="minorHAnsi" w:eastAsiaTheme="minorEastAsia" w:hAnsiTheme="minorHAnsi" w:cstheme="minorBidi"/>
          <w:noProof/>
          <w:color w:val="auto"/>
          <w:szCs w:val="22"/>
          <w:lang w:eastAsia="en-AU"/>
        </w:rPr>
      </w:pPr>
      <w:hyperlink w:anchor="_Toc85103771" w:history="1">
        <w:r w:rsidR="00EB3B42" w:rsidRPr="005550F9">
          <w:rPr>
            <w:rStyle w:val="Hyperlink"/>
            <w:noProof/>
          </w:rPr>
          <w:t>Ethics approval</w:t>
        </w:r>
        <w:r w:rsidR="00EB3B42">
          <w:rPr>
            <w:noProof/>
            <w:webHidden/>
          </w:rPr>
          <w:tab/>
        </w:r>
        <w:r w:rsidR="00EB3B42">
          <w:rPr>
            <w:noProof/>
            <w:webHidden/>
          </w:rPr>
          <w:fldChar w:fldCharType="begin"/>
        </w:r>
        <w:r w:rsidR="00EB3B42">
          <w:rPr>
            <w:noProof/>
            <w:webHidden/>
          </w:rPr>
          <w:instrText xml:space="preserve"> PAGEREF _Toc85103771 \h </w:instrText>
        </w:r>
        <w:r w:rsidR="00EB3B42">
          <w:rPr>
            <w:noProof/>
            <w:webHidden/>
          </w:rPr>
        </w:r>
        <w:r w:rsidR="00EB3B42">
          <w:rPr>
            <w:noProof/>
            <w:webHidden/>
          </w:rPr>
          <w:fldChar w:fldCharType="separate"/>
        </w:r>
        <w:r w:rsidR="00D133B3">
          <w:rPr>
            <w:noProof/>
            <w:webHidden/>
          </w:rPr>
          <w:t>9</w:t>
        </w:r>
        <w:r w:rsidR="00EB3B42">
          <w:rPr>
            <w:noProof/>
            <w:webHidden/>
          </w:rPr>
          <w:fldChar w:fldCharType="end"/>
        </w:r>
      </w:hyperlink>
    </w:p>
    <w:p w14:paraId="4CB017E1" w14:textId="515CCCD4" w:rsidR="00EB3B42" w:rsidRDefault="00113C44">
      <w:pPr>
        <w:pStyle w:val="TOC1"/>
        <w:rPr>
          <w:rFonts w:asciiTheme="minorHAnsi" w:eastAsiaTheme="minorEastAsia" w:hAnsiTheme="minorHAnsi" w:cstheme="minorBidi"/>
          <w:b w:val="0"/>
          <w:noProof/>
          <w:color w:val="auto"/>
          <w:szCs w:val="22"/>
          <w:lang w:eastAsia="en-AU"/>
        </w:rPr>
      </w:pPr>
      <w:hyperlink w:anchor="_Toc85103772" w:history="1">
        <w:r w:rsidR="00EB3B42" w:rsidRPr="005550F9">
          <w:rPr>
            <w:rStyle w:val="Hyperlink"/>
            <w:noProof/>
          </w:rPr>
          <w:t>Results</w:t>
        </w:r>
        <w:r w:rsidR="00EB3B42">
          <w:rPr>
            <w:noProof/>
            <w:webHidden/>
          </w:rPr>
          <w:tab/>
        </w:r>
        <w:r w:rsidR="00EB3B42">
          <w:rPr>
            <w:noProof/>
            <w:webHidden/>
          </w:rPr>
          <w:fldChar w:fldCharType="begin"/>
        </w:r>
        <w:r w:rsidR="00EB3B42">
          <w:rPr>
            <w:noProof/>
            <w:webHidden/>
          </w:rPr>
          <w:instrText xml:space="preserve"> PAGEREF _Toc85103772 \h </w:instrText>
        </w:r>
        <w:r w:rsidR="00EB3B42">
          <w:rPr>
            <w:noProof/>
            <w:webHidden/>
          </w:rPr>
        </w:r>
        <w:r w:rsidR="00EB3B42">
          <w:rPr>
            <w:noProof/>
            <w:webHidden/>
          </w:rPr>
          <w:fldChar w:fldCharType="separate"/>
        </w:r>
        <w:r w:rsidR="00D133B3">
          <w:rPr>
            <w:noProof/>
            <w:webHidden/>
          </w:rPr>
          <w:t>10</w:t>
        </w:r>
        <w:r w:rsidR="00EB3B42">
          <w:rPr>
            <w:noProof/>
            <w:webHidden/>
          </w:rPr>
          <w:fldChar w:fldCharType="end"/>
        </w:r>
      </w:hyperlink>
    </w:p>
    <w:p w14:paraId="1A90E769" w14:textId="35827060" w:rsidR="00EB3B42" w:rsidRDefault="00113C44">
      <w:pPr>
        <w:pStyle w:val="TOC3"/>
        <w:rPr>
          <w:rFonts w:asciiTheme="minorHAnsi" w:eastAsiaTheme="minorEastAsia" w:hAnsiTheme="minorHAnsi" w:cstheme="minorBidi"/>
          <w:noProof/>
          <w:color w:val="auto"/>
          <w:szCs w:val="22"/>
          <w:lang w:eastAsia="en-AU"/>
        </w:rPr>
      </w:pPr>
      <w:hyperlink w:anchor="_Toc85103773" w:history="1">
        <w:r w:rsidR="00EB3B42" w:rsidRPr="005550F9">
          <w:rPr>
            <w:rStyle w:val="Hyperlink"/>
            <w:noProof/>
          </w:rPr>
          <w:t>Clinical endpoints</w:t>
        </w:r>
        <w:r w:rsidR="00EB3B42">
          <w:rPr>
            <w:noProof/>
            <w:webHidden/>
          </w:rPr>
          <w:tab/>
        </w:r>
        <w:r w:rsidR="00EB3B42">
          <w:rPr>
            <w:noProof/>
            <w:webHidden/>
          </w:rPr>
          <w:fldChar w:fldCharType="begin"/>
        </w:r>
        <w:r w:rsidR="00EB3B42">
          <w:rPr>
            <w:noProof/>
            <w:webHidden/>
          </w:rPr>
          <w:instrText xml:space="preserve"> PAGEREF _Toc85103773 \h </w:instrText>
        </w:r>
        <w:r w:rsidR="00EB3B42">
          <w:rPr>
            <w:noProof/>
            <w:webHidden/>
          </w:rPr>
        </w:r>
        <w:r w:rsidR="00EB3B42">
          <w:rPr>
            <w:noProof/>
            <w:webHidden/>
          </w:rPr>
          <w:fldChar w:fldCharType="separate"/>
        </w:r>
        <w:r w:rsidR="00D133B3">
          <w:rPr>
            <w:noProof/>
            <w:webHidden/>
          </w:rPr>
          <w:t>11</w:t>
        </w:r>
        <w:r w:rsidR="00EB3B42">
          <w:rPr>
            <w:noProof/>
            <w:webHidden/>
          </w:rPr>
          <w:fldChar w:fldCharType="end"/>
        </w:r>
      </w:hyperlink>
    </w:p>
    <w:p w14:paraId="440A645C" w14:textId="5B772389" w:rsidR="00EB3B42" w:rsidRDefault="00113C44">
      <w:pPr>
        <w:pStyle w:val="TOC3"/>
        <w:rPr>
          <w:rFonts w:asciiTheme="minorHAnsi" w:eastAsiaTheme="minorEastAsia" w:hAnsiTheme="minorHAnsi" w:cstheme="minorBidi"/>
          <w:noProof/>
          <w:color w:val="auto"/>
          <w:szCs w:val="22"/>
          <w:lang w:eastAsia="en-AU"/>
        </w:rPr>
      </w:pPr>
      <w:hyperlink w:anchor="_Toc85103774" w:history="1">
        <w:r w:rsidR="00EB3B42" w:rsidRPr="005550F9">
          <w:rPr>
            <w:rStyle w:val="Hyperlink"/>
            <w:noProof/>
          </w:rPr>
          <w:t>Medication Appropriateness Index (MAI)</w:t>
        </w:r>
        <w:r w:rsidR="00EB3B42">
          <w:rPr>
            <w:noProof/>
            <w:webHidden/>
          </w:rPr>
          <w:tab/>
        </w:r>
        <w:r w:rsidR="00EB3B42">
          <w:rPr>
            <w:noProof/>
            <w:webHidden/>
          </w:rPr>
          <w:fldChar w:fldCharType="begin"/>
        </w:r>
        <w:r w:rsidR="00EB3B42">
          <w:rPr>
            <w:noProof/>
            <w:webHidden/>
          </w:rPr>
          <w:instrText xml:space="preserve"> PAGEREF _Toc85103774 \h </w:instrText>
        </w:r>
        <w:r w:rsidR="00EB3B42">
          <w:rPr>
            <w:noProof/>
            <w:webHidden/>
          </w:rPr>
        </w:r>
        <w:r w:rsidR="00EB3B42">
          <w:rPr>
            <w:noProof/>
            <w:webHidden/>
          </w:rPr>
          <w:fldChar w:fldCharType="separate"/>
        </w:r>
        <w:r w:rsidR="00D133B3">
          <w:rPr>
            <w:noProof/>
            <w:webHidden/>
          </w:rPr>
          <w:t>12</w:t>
        </w:r>
        <w:r w:rsidR="00EB3B42">
          <w:rPr>
            <w:noProof/>
            <w:webHidden/>
          </w:rPr>
          <w:fldChar w:fldCharType="end"/>
        </w:r>
      </w:hyperlink>
    </w:p>
    <w:p w14:paraId="5DB9069F" w14:textId="4F22924A" w:rsidR="00EB3B42" w:rsidRDefault="00113C44">
      <w:pPr>
        <w:pStyle w:val="TOC3"/>
        <w:rPr>
          <w:rFonts w:asciiTheme="minorHAnsi" w:eastAsiaTheme="minorEastAsia" w:hAnsiTheme="minorHAnsi" w:cstheme="minorBidi"/>
          <w:noProof/>
          <w:color w:val="auto"/>
          <w:szCs w:val="22"/>
          <w:lang w:eastAsia="en-AU"/>
        </w:rPr>
      </w:pPr>
      <w:hyperlink w:anchor="_Toc85103775" w:history="1">
        <w:r w:rsidR="00EB3B42" w:rsidRPr="005550F9">
          <w:rPr>
            <w:rStyle w:val="Hyperlink"/>
            <w:noProof/>
          </w:rPr>
          <w:t>Assessment of medication underutilisation (AoU)</w:t>
        </w:r>
        <w:r w:rsidR="00EB3B42">
          <w:rPr>
            <w:noProof/>
            <w:webHidden/>
          </w:rPr>
          <w:tab/>
        </w:r>
        <w:r w:rsidR="00EB3B42">
          <w:rPr>
            <w:noProof/>
            <w:webHidden/>
          </w:rPr>
          <w:fldChar w:fldCharType="begin"/>
        </w:r>
        <w:r w:rsidR="00EB3B42">
          <w:rPr>
            <w:noProof/>
            <w:webHidden/>
          </w:rPr>
          <w:instrText xml:space="preserve"> PAGEREF _Toc85103775 \h </w:instrText>
        </w:r>
        <w:r w:rsidR="00EB3B42">
          <w:rPr>
            <w:noProof/>
            <w:webHidden/>
          </w:rPr>
        </w:r>
        <w:r w:rsidR="00EB3B42">
          <w:rPr>
            <w:noProof/>
            <w:webHidden/>
          </w:rPr>
          <w:fldChar w:fldCharType="separate"/>
        </w:r>
        <w:r w:rsidR="00D133B3">
          <w:rPr>
            <w:noProof/>
            <w:webHidden/>
          </w:rPr>
          <w:t>12</w:t>
        </w:r>
        <w:r w:rsidR="00EB3B42">
          <w:rPr>
            <w:noProof/>
            <w:webHidden/>
          </w:rPr>
          <w:fldChar w:fldCharType="end"/>
        </w:r>
      </w:hyperlink>
    </w:p>
    <w:p w14:paraId="1E3FDC81" w14:textId="1674DC5D" w:rsidR="00EB3B42" w:rsidRDefault="00113C44">
      <w:pPr>
        <w:pStyle w:val="TOC3"/>
        <w:rPr>
          <w:rFonts w:asciiTheme="minorHAnsi" w:eastAsiaTheme="minorEastAsia" w:hAnsiTheme="minorHAnsi" w:cstheme="minorBidi"/>
          <w:noProof/>
          <w:color w:val="auto"/>
          <w:szCs w:val="22"/>
          <w:lang w:eastAsia="en-AU"/>
        </w:rPr>
      </w:pPr>
      <w:hyperlink w:anchor="_Toc85103776" w:history="1">
        <w:r w:rsidR="00EB3B42" w:rsidRPr="005550F9">
          <w:rPr>
            <w:rStyle w:val="Hyperlink"/>
            <w:noProof/>
          </w:rPr>
          <w:t>Self-assessed medication adherence and health status</w:t>
        </w:r>
        <w:r w:rsidR="00EB3B42">
          <w:rPr>
            <w:noProof/>
            <w:webHidden/>
          </w:rPr>
          <w:tab/>
        </w:r>
        <w:r w:rsidR="00EB3B42">
          <w:rPr>
            <w:noProof/>
            <w:webHidden/>
          </w:rPr>
          <w:fldChar w:fldCharType="begin"/>
        </w:r>
        <w:r w:rsidR="00EB3B42">
          <w:rPr>
            <w:noProof/>
            <w:webHidden/>
          </w:rPr>
          <w:instrText xml:space="preserve"> PAGEREF _Toc85103776 \h </w:instrText>
        </w:r>
        <w:r w:rsidR="00EB3B42">
          <w:rPr>
            <w:noProof/>
            <w:webHidden/>
          </w:rPr>
        </w:r>
        <w:r w:rsidR="00EB3B42">
          <w:rPr>
            <w:noProof/>
            <w:webHidden/>
          </w:rPr>
          <w:fldChar w:fldCharType="separate"/>
        </w:r>
        <w:r w:rsidR="00D133B3">
          <w:rPr>
            <w:noProof/>
            <w:webHidden/>
          </w:rPr>
          <w:t>12</w:t>
        </w:r>
        <w:r w:rsidR="00EB3B42">
          <w:rPr>
            <w:noProof/>
            <w:webHidden/>
          </w:rPr>
          <w:fldChar w:fldCharType="end"/>
        </w:r>
      </w:hyperlink>
    </w:p>
    <w:p w14:paraId="12FAF311" w14:textId="775EA9C3" w:rsidR="00EB3B42" w:rsidRDefault="00113C44">
      <w:pPr>
        <w:pStyle w:val="TOC3"/>
        <w:rPr>
          <w:rFonts w:asciiTheme="minorHAnsi" w:eastAsiaTheme="minorEastAsia" w:hAnsiTheme="minorHAnsi" w:cstheme="minorBidi"/>
          <w:noProof/>
          <w:color w:val="auto"/>
          <w:szCs w:val="22"/>
          <w:lang w:eastAsia="en-AU"/>
        </w:rPr>
      </w:pPr>
      <w:hyperlink w:anchor="_Toc85103777" w:history="1">
        <w:r w:rsidR="00EB3B42" w:rsidRPr="005550F9">
          <w:rPr>
            <w:rStyle w:val="Hyperlink"/>
            <w:noProof/>
          </w:rPr>
          <w:t>Medication Management Reviews</w:t>
        </w:r>
        <w:r w:rsidR="00EB3B42">
          <w:rPr>
            <w:noProof/>
            <w:webHidden/>
          </w:rPr>
          <w:tab/>
        </w:r>
        <w:r w:rsidR="00EB3B42">
          <w:rPr>
            <w:noProof/>
            <w:webHidden/>
          </w:rPr>
          <w:fldChar w:fldCharType="begin"/>
        </w:r>
        <w:r w:rsidR="00EB3B42">
          <w:rPr>
            <w:noProof/>
            <w:webHidden/>
          </w:rPr>
          <w:instrText xml:space="preserve"> PAGEREF _Toc85103777 \h </w:instrText>
        </w:r>
        <w:r w:rsidR="00EB3B42">
          <w:rPr>
            <w:noProof/>
            <w:webHidden/>
          </w:rPr>
        </w:r>
        <w:r w:rsidR="00EB3B42">
          <w:rPr>
            <w:noProof/>
            <w:webHidden/>
          </w:rPr>
          <w:fldChar w:fldCharType="separate"/>
        </w:r>
        <w:r w:rsidR="00D133B3">
          <w:rPr>
            <w:noProof/>
            <w:webHidden/>
          </w:rPr>
          <w:t>13</w:t>
        </w:r>
        <w:r w:rsidR="00EB3B42">
          <w:rPr>
            <w:noProof/>
            <w:webHidden/>
          </w:rPr>
          <w:fldChar w:fldCharType="end"/>
        </w:r>
      </w:hyperlink>
    </w:p>
    <w:p w14:paraId="404BA17A" w14:textId="713D9A61" w:rsidR="00EB3B42" w:rsidRDefault="00113C44">
      <w:pPr>
        <w:pStyle w:val="TOC3"/>
        <w:rPr>
          <w:rFonts w:asciiTheme="minorHAnsi" w:eastAsiaTheme="minorEastAsia" w:hAnsiTheme="minorHAnsi" w:cstheme="minorBidi"/>
          <w:noProof/>
          <w:color w:val="auto"/>
          <w:szCs w:val="22"/>
          <w:lang w:eastAsia="en-AU"/>
        </w:rPr>
      </w:pPr>
      <w:hyperlink w:anchor="_Toc85103778" w:history="1">
        <w:r w:rsidR="00EB3B42" w:rsidRPr="005550F9">
          <w:rPr>
            <w:rStyle w:val="Hyperlink"/>
            <w:noProof/>
          </w:rPr>
          <w:t>Economic analysis</w:t>
        </w:r>
        <w:r w:rsidR="00EB3B42">
          <w:rPr>
            <w:noProof/>
            <w:webHidden/>
          </w:rPr>
          <w:tab/>
        </w:r>
        <w:r w:rsidR="00EB3B42">
          <w:rPr>
            <w:noProof/>
            <w:webHidden/>
          </w:rPr>
          <w:fldChar w:fldCharType="begin"/>
        </w:r>
        <w:r w:rsidR="00EB3B42">
          <w:rPr>
            <w:noProof/>
            <w:webHidden/>
          </w:rPr>
          <w:instrText xml:space="preserve"> PAGEREF _Toc85103778 \h </w:instrText>
        </w:r>
        <w:r w:rsidR="00EB3B42">
          <w:rPr>
            <w:noProof/>
            <w:webHidden/>
          </w:rPr>
        </w:r>
        <w:r w:rsidR="00EB3B42">
          <w:rPr>
            <w:noProof/>
            <w:webHidden/>
          </w:rPr>
          <w:fldChar w:fldCharType="separate"/>
        </w:r>
        <w:r w:rsidR="00D133B3">
          <w:rPr>
            <w:noProof/>
            <w:webHidden/>
          </w:rPr>
          <w:t>13</w:t>
        </w:r>
        <w:r w:rsidR="00EB3B42">
          <w:rPr>
            <w:noProof/>
            <w:webHidden/>
          </w:rPr>
          <w:fldChar w:fldCharType="end"/>
        </w:r>
      </w:hyperlink>
    </w:p>
    <w:p w14:paraId="307E980B" w14:textId="50EF78FA" w:rsidR="00EB3B42" w:rsidRDefault="00113C44">
      <w:pPr>
        <w:pStyle w:val="TOC3"/>
        <w:rPr>
          <w:rFonts w:asciiTheme="minorHAnsi" w:eastAsiaTheme="minorEastAsia" w:hAnsiTheme="minorHAnsi" w:cstheme="minorBidi"/>
          <w:noProof/>
          <w:color w:val="auto"/>
          <w:szCs w:val="22"/>
          <w:lang w:eastAsia="en-AU"/>
        </w:rPr>
      </w:pPr>
      <w:hyperlink w:anchor="_Toc85103779" w:history="1">
        <w:r w:rsidR="00EB3B42" w:rsidRPr="005550F9">
          <w:rPr>
            <w:rStyle w:val="Hyperlink"/>
            <w:noProof/>
          </w:rPr>
          <w:t>Qualitative Evaluation</w:t>
        </w:r>
        <w:r w:rsidR="00EB3B42">
          <w:rPr>
            <w:noProof/>
            <w:webHidden/>
          </w:rPr>
          <w:tab/>
        </w:r>
        <w:r w:rsidR="00EB3B42">
          <w:rPr>
            <w:noProof/>
            <w:webHidden/>
          </w:rPr>
          <w:fldChar w:fldCharType="begin"/>
        </w:r>
        <w:r w:rsidR="00EB3B42">
          <w:rPr>
            <w:noProof/>
            <w:webHidden/>
          </w:rPr>
          <w:instrText xml:space="preserve"> PAGEREF _Toc85103779 \h </w:instrText>
        </w:r>
        <w:r w:rsidR="00EB3B42">
          <w:rPr>
            <w:noProof/>
            <w:webHidden/>
          </w:rPr>
        </w:r>
        <w:r w:rsidR="00EB3B42">
          <w:rPr>
            <w:noProof/>
            <w:webHidden/>
          </w:rPr>
          <w:fldChar w:fldCharType="separate"/>
        </w:r>
        <w:r w:rsidR="00D133B3">
          <w:rPr>
            <w:noProof/>
            <w:webHidden/>
          </w:rPr>
          <w:t>14</w:t>
        </w:r>
        <w:r w:rsidR="00EB3B42">
          <w:rPr>
            <w:noProof/>
            <w:webHidden/>
          </w:rPr>
          <w:fldChar w:fldCharType="end"/>
        </w:r>
      </w:hyperlink>
    </w:p>
    <w:p w14:paraId="039BA5DB" w14:textId="5562FC20" w:rsidR="00EB3B42" w:rsidRDefault="00113C44">
      <w:pPr>
        <w:pStyle w:val="TOC1"/>
        <w:rPr>
          <w:rFonts w:asciiTheme="minorHAnsi" w:eastAsiaTheme="minorEastAsia" w:hAnsiTheme="minorHAnsi" w:cstheme="minorBidi"/>
          <w:b w:val="0"/>
          <w:noProof/>
          <w:color w:val="auto"/>
          <w:szCs w:val="22"/>
          <w:lang w:eastAsia="en-AU"/>
        </w:rPr>
      </w:pPr>
      <w:hyperlink w:anchor="_Toc85103780" w:history="1">
        <w:r w:rsidR="00EB3B42" w:rsidRPr="005550F9">
          <w:rPr>
            <w:rStyle w:val="Hyperlink"/>
            <w:noProof/>
          </w:rPr>
          <w:t>Discussion</w:t>
        </w:r>
        <w:r w:rsidR="00EB3B42">
          <w:rPr>
            <w:noProof/>
            <w:webHidden/>
          </w:rPr>
          <w:tab/>
        </w:r>
        <w:r w:rsidR="00EB3B42">
          <w:rPr>
            <w:noProof/>
            <w:webHidden/>
          </w:rPr>
          <w:fldChar w:fldCharType="begin"/>
        </w:r>
        <w:r w:rsidR="00EB3B42">
          <w:rPr>
            <w:noProof/>
            <w:webHidden/>
          </w:rPr>
          <w:instrText xml:space="preserve"> PAGEREF _Toc85103780 \h </w:instrText>
        </w:r>
        <w:r w:rsidR="00EB3B42">
          <w:rPr>
            <w:noProof/>
            <w:webHidden/>
          </w:rPr>
        </w:r>
        <w:r w:rsidR="00EB3B42">
          <w:rPr>
            <w:noProof/>
            <w:webHidden/>
          </w:rPr>
          <w:fldChar w:fldCharType="separate"/>
        </w:r>
        <w:r w:rsidR="00D133B3">
          <w:rPr>
            <w:noProof/>
            <w:webHidden/>
          </w:rPr>
          <w:t>15</w:t>
        </w:r>
        <w:r w:rsidR="00EB3B42">
          <w:rPr>
            <w:noProof/>
            <w:webHidden/>
          </w:rPr>
          <w:fldChar w:fldCharType="end"/>
        </w:r>
      </w:hyperlink>
    </w:p>
    <w:p w14:paraId="05367D75" w14:textId="314DD977" w:rsidR="00EB3B42" w:rsidRDefault="00113C44">
      <w:pPr>
        <w:pStyle w:val="TOC1"/>
        <w:rPr>
          <w:rFonts w:asciiTheme="minorHAnsi" w:eastAsiaTheme="minorEastAsia" w:hAnsiTheme="minorHAnsi" w:cstheme="minorBidi"/>
          <w:b w:val="0"/>
          <w:noProof/>
          <w:color w:val="auto"/>
          <w:szCs w:val="22"/>
          <w:lang w:eastAsia="en-AU"/>
        </w:rPr>
      </w:pPr>
      <w:hyperlink w:anchor="_Toc85103781" w:history="1">
        <w:r w:rsidR="00EB3B42" w:rsidRPr="005550F9">
          <w:rPr>
            <w:rStyle w:val="Hyperlink"/>
            <w:noProof/>
          </w:rPr>
          <w:t>Conclusion and Recommendations</w:t>
        </w:r>
        <w:r w:rsidR="00EB3B42">
          <w:rPr>
            <w:noProof/>
            <w:webHidden/>
          </w:rPr>
          <w:tab/>
        </w:r>
        <w:r w:rsidR="00EB3B42">
          <w:rPr>
            <w:noProof/>
            <w:webHidden/>
          </w:rPr>
          <w:fldChar w:fldCharType="begin"/>
        </w:r>
        <w:r w:rsidR="00EB3B42">
          <w:rPr>
            <w:noProof/>
            <w:webHidden/>
          </w:rPr>
          <w:instrText xml:space="preserve"> PAGEREF _Toc85103781 \h </w:instrText>
        </w:r>
        <w:r w:rsidR="00EB3B42">
          <w:rPr>
            <w:noProof/>
            <w:webHidden/>
          </w:rPr>
        </w:r>
        <w:r w:rsidR="00EB3B42">
          <w:rPr>
            <w:noProof/>
            <w:webHidden/>
          </w:rPr>
          <w:fldChar w:fldCharType="separate"/>
        </w:r>
        <w:r w:rsidR="00D133B3">
          <w:rPr>
            <w:noProof/>
            <w:webHidden/>
          </w:rPr>
          <w:t>17</w:t>
        </w:r>
        <w:r w:rsidR="00EB3B42">
          <w:rPr>
            <w:noProof/>
            <w:webHidden/>
          </w:rPr>
          <w:fldChar w:fldCharType="end"/>
        </w:r>
      </w:hyperlink>
    </w:p>
    <w:p w14:paraId="16779C24" w14:textId="1741B235" w:rsidR="00EB3B42" w:rsidRDefault="00113C44">
      <w:pPr>
        <w:pStyle w:val="TOC1"/>
        <w:rPr>
          <w:rFonts w:asciiTheme="minorHAnsi" w:eastAsiaTheme="minorEastAsia" w:hAnsiTheme="minorHAnsi" w:cstheme="minorBidi"/>
          <w:b w:val="0"/>
          <w:noProof/>
          <w:color w:val="auto"/>
          <w:szCs w:val="22"/>
          <w:lang w:eastAsia="en-AU"/>
        </w:rPr>
      </w:pPr>
      <w:hyperlink w:anchor="_Toc85103782" w:history="1">
        <w:r w:rsidR="00EB3B42" w:rsidRPr="005550F9">
          <w:rPr>
            <w:rStyle w:val="Hyperlink"/>
            <w:noProof/>
          </w:rPr>
          <w:t>References</w:t>
        </w:r>
        <w:r w:rsidR="00EB3B42">
          <w:rPr>
            <w:noProof/>
            <w:webHidden/>
          </w:rPr>
          <w:tab/>
        </w:r>
        <w:r w:rsidR="00EB3B42">
          <w:rPr>
            <w:noProof/>
            <w:webHidden/>
          </w:rPr>
          <w:fldChar w:fldCharType="begin"/>
        </w:r>
        <w:r w:rsidR="00EB3B42">
          <w:rPr>
            <w:noProof/>
            <w:webHidden/>
          </w:rPr>
          <w:instrText xml:space="preserve"> PAGEREF _Toc85103782 \h </w:instrText>
        </w:r>
        <w:r w:rsidR="00EB3B42">
          <w:rPr>
            <w:noProof/>
            <w:webHidden/>
          </w:rPr>
        </w:r>
        <w:r w:rsidR="00EB3B42">
          <w:rPr>
            <w:noProof/>
            <w:webHidden/>
          </w:rPr>
          <w:fldChar w:fldCharType="separate"/>
        </w:r>
        <w:r w:rsidR="00D133B3">
          <w:rPr>
            <w:noProof/>
            <w:webHidden/>
          </w:rPr>
          <w:t>19</w:t>
        </w:r>
        <w:r w:rsidR="00EB3B42">
          <w:rPr>
            <w:noProof/>
            <w:webHidden/>
          </w:rPr>
          <w:fldChar w:fldCharType="end"/>
        </w:r>
      </w:hyperlink>
    </w:p>
    <w:p w14:paraId="24DC98BD" w14:textId="1497C747" w:rsidR="008D3005" w:rsidRPr="008B7C4A" w:rsidRDefault="002823C5" w:rsidP="008B7C4A">
      <w:pPr>
        <w:pStyle w:val="TOC1"/>
        <w:tabs>
          <w:tab w:val="clear" w:pos="9072"/>
          <w:tab w:val="right" w:leader="dot" w:pos="9498"/>
        </w:tabs>
        <w:rPr>
          <w:rStyle w:val="Hyperlink"/>
          <w:rFonts w:asciiTheme="majorHAnsi" w:hAnsiTheme="majorHAnsi" w:cstheme="majorHAnsi"/>
          <w:sz w:val="22"/>
          <w:szCs w:val="22"/>
        </w:rPr>
      </w:pPr>
      <w:r w:rsidRPr="001300D2">
        <w:rPr>
          <w:rStyle w:val="Hyperlink"/>
          <w:rFonts w:asciiTheme="majorHAnsi" w:hAnsiTheme="majorHAnsi" w:cstheme="majorHAnsi"/>
          <w:sz w:val="22"/>
          <w:szCs w:val="22"/>
        </w:rPr>
        <w:fldChar w:fldCharType="end"/>
      </w:r>
    </w:p>
    <w:p w14:paraId="2E20B668" w14:textId="77777777" w:rsidR="001428A4" w:rsidRPr="008B7C4A" w:rsidRDefault="001428A4" w:rsidP="008B7C4A">
      <w:pPr>
        <w:pStyle w:val="BodyText"/>
        <w:tabs>
          <w:tab w:val="right" w:leader="dot" w:pos="9498"/>
        </w:tabs>
        <w:rPr>
          <w:rFonts w:asciiTheme="majorHAnsi" w:hAnsiTheme="majorHAnsi" w:cstheme="majorHAnsi"/>
          <w:sz w:val="22"/>
          <w:szCs w:val="22"/>
        </w:rPr>
      </w:pPr>
    </w:p>
    <w:p w14:paraId="167A8215" w14:textId="38C802F4" w:rsidR="0082142E" w:rsidRDefault="0082142E" w:rsidP="00FC12A1">
      <w:pPr>
        <w:pStyle w:val="Heading1"/>
      </w:pPr>
      <w:bookmarkStart w:id="5" w:name="_Toc85103761"/>
      <w:r>
        <w:t>Tables</w:t>
      </w:r>
      <w:bookmarkEnd w:id="5"/>
    </w:p>
    <w:p w14:paraId="3F4089E7" w14:textId="77777777" w:rsidR="00BF1EA1" w:rsidRDefault="00BF1EA1" w:rsidP="00BF1EA1">
      <w:pPr>
        <w:pStyle w:val="TOC1"/>
        <w:tabs>
          <w:tab w:val="clear" w:pos="567"/>
          <w:tab w:val="left" w:pos="1276"/>
        </w:tabs>
      </w:pPr>
    </w:p>
    <w:p w14:paraId="1EC1E4F9" w14:textId="2939CB57" w:rsidR="00EB3B42" w:rsidRDefault="00B3462F">
      <w:pPr>
        <w:pStyle w:val="TOC1"/>
        <w:rPr>
          <w:rFonts w:asciiTheme="minorHAnsi" w:eastAsiaTheme="minorEastAsia" w:hAnsiTheme="minorHAnsi" w:cstheme="minorBidi"/>
          <w:b w:val="0"/>
          <w:noProof/>
          <w:color w:val="auto"/>
          <w:szCs w:val="22"/>
          <w:lang w:eastAsia="en-AU"/>
        </w:rPr>
      </w:pPr>
      <w:r w:rsidRPr="0079297C">
        <w:rPr>
          <w:rFonts w:cstheme="majorHAnsi"/>
          <w:b w:val="0"/>
          <w:szCs w:val="22"/>
        </w:rPr>
        <w:fldChar w:fldCharType="begin"/>
      </w:r>
      <w:r w:rsidRPr="0079297C">
        <w:rPr>
          <w:rFonts w:cstheme="majorHAnsi"/>
          <w:b w:val="0"/>
          <w:szCs w:val="22"/>
        </w:rPr>
        <w:instrText xml:space="preserve"> TOC \h \z \t "TOC Heading,1,Version Control Log,1,Table Paragraph,1" </w:instrText>
      </w:r>
      <w:r w:rsidRPr="0079297C">
        <w:rPr>
          <w:rFonts w:cstheme="majorHAnsi"/>
          <w:b w:val="0"/>
          <w:szCs w:val="22"/>
        </w:rPr>
        <w:fldChar w:fldCharType="separate"/>
      </w:r>
      <w:hyperlink w:anchor="_Toc85103783" w:history="1">
        <w:r w:rsidR="00EB3B42" w:rsidRPr="00B0209A">
          <w:rPr>
            <w:rStyle w:val="Hyperlink"/>
            <w:noProof/>
            <w:lang w:bidi="en-AU"/>
          </w:rPr>
          <w:t>Table 1.  Distribution of ACCHSs by setting and jurisdiction.</w:t>
        </w:r>
        <w:r w:rsidR="00EB3B42">
          <w:rPr>
            <w:noProof/>
            <w:webHidden/>
          </w:rPr>
          <w:tab/>
        </w:r>
        <w:r w:rsidR="00EB3B42">
          <w:rPr>
            <w:noProof/>
            <w:webHidden/>
          </w:rPr>
          <w:fldChar w:fldCharType="begin"/>
        </w:r>
        <w:r w:rsidR="00EB3B42">
          <w:rPr>
            <w:noProof/>
            <w:webHidden/>
          </w:rPr>
          <w:instrText xml:space="preserve"> PAGEREF _Toc85103783 \h </w:instrText>
        </w:r>
        <w:r w:rsidR="00EB3B42">
          <w:rPr>
            <w:noProof/>
            <w:webHidden/>
          </w:rPr>
        </w:r>
        <w:r w:rsidR="00EB3B42">
          <w:rPr>
            <w:noProof/>
            <w:webHidden/>
          </w:rPr>
          <w:fldChar w:fldCharType="separate"/>
        </w:r>
        <w:r w:rsidR="00D133B3">
          <w:rPr>
            <w:noProof/>
            <w:webHidden/>
          </w:rPr>
          <w:t>10</w:t>
        </w:r>
        <w:r w:rsidR="00EB3B42">
          <w:rPr>
            <w:noProof/>
            <w:webHidden/>
          </w:rPr>
          <w:fldChar w:fldCharType="end"/>
        </w:r>
      </w:hyperlink>
    </w:p>
    <w:p w14:paraId="0F79F755" w14:textId="47AAD5C7" w:rsidR="00EB3B42" w:rsidRDefault="00113C44">
      <w:pPr>
        <w:pStyle w:val="TOC1"/>
        <w:rPr>
          <w:rFonts w:asciiTheme="minorHAnsi" w:eastAsiaTheme="minorEastAsia" w:hAnsiTheme="minorHAnsi" w:cstheme="minorBidi"/>
          <w:b w:val="0"/>
          <w:noProof/>
          <w:color w:val="auto"/>
          <w:szCs w:val="22"/>
          <w:lang w:eastAsia="en-AU"/>
        </w:rPr>
      </w:pPr>
      <w:hyperlink w:anchor="_Toc85103784" w:history="1">
        <w:r w:rsidR="00EB3B42" w:rsidRPr="00B0209A">
          <w:rPr>
            <w:rStyle w:val="Hyperlink"/>
            <w:noProof/>
            <w:lang w:bidi="en-AU"/>
          </w:rPr>
          <w:t>Table 2. Number of ACCHSs and pharmacists via employment method throughout the implementation phase, by jurisdiction.</w:t>
        </w:r>
        <w:r w:rsidR="00EB3B42">
          <w:rPr>
            <w:noProof/>
            <w:webHidden/>
          </w:rPr>
          <w:tab/>
        </w:r>
        <w:r w:rsidR="00EB3B42">
          <w:rPr>
            <w:noProof/>
            <w:webHidden/>
          </w:rPr>
          <w:fldChar w:fldCharType="begin"/>
        </w:r>
        <w:r w:rsidR="00EB3B42">
          <w:rPr>
            <w:noProof/>
            <w:webHidden/>
          </w:rPr>
          <w:instrText xml:space="preserve"> PAGEREF _Toc85103784 \h </w:instrText>
        </w:r>
        <w:r w:rsidR="00EB3B42">
          <w:rPr>
            <w:noProof/>
            <w:webHidden/>
          </w:rPr>
        </w:r>
        <w:r w:rsidR="00EB3B42">
          <w:rPr>
            <w:noProof/>
            <w:webHidden/>
          </w:rPr>
          <w:fldChar w:fldCharType="separate"/>
        </w:r>
        <w:r w:rsidR="00D133B3">
          <w:rPr>
            <w:noProof/>
            <w:webHidden/>
          </w:rPr>
          <w:t>10</w:t>
        </w:r>
        <w:r w:rsidR="00EB3B42">
          <w:rPr>
            <w:noProof/>
            <w:webHidden/>
          </w:rPr>
          <w:fldChar w:fldCharType="end"/>
        </w:r>
      </w:hyperlink>
    </w:p>
    <w:p w14:paraId="5512274F" w14:textId="1F7F5763" w:rsidR="00EB3B42" w:rsidRDefault="00113C44">
      <w:pPr>
        <w:pStyle w:val="TOC1"/>
        <w:rPr>
          <w:rFonts w:asciiTheme="minorHAnsi" w:eastAsiaTheme="minorEastAsia" w:hAnsiTheme="minorHAnsi" w:cstheme="minorBidi"/>
          <w:b w:val="0"/>
          <w:noProof/>
          <w:color w:val="auto"/>
          <w:szCs w:val="22"/>
          <w:lang w:eastAsia="en-AU"/>
        </w:rPr>
      </w:pPr>
      <w:hyperlink w:anchor="_Toc85103785" w:history="1">
        <w:r w:rsidR="00EB3B42" w:rsidRPr="00B0209A">
          <w:rPr>
            <w:rStyle w:val="Hyperlink"/>
            <w:noProof/>
            <w:lang w:bidi="en-AU"/>
          </w:rPr>
          <w:t>Table 3. Overview of pharmacist activity included in analysis from 02/08/2018 to 31/10/2019.</w:t>
        </w:r>
        <w:r w:rsidR="00EB3B42">
          <w:rPr>
            <w:noProof/>
            <w:webHidden/>
          </w:rPr>
          <w:tab/>
        </w:r>
        <w:r w:rsidR="00EB3B42">
          <w:rPr>
            <w:noProof/>
            <w:webHidden/>
          </w:rPr>
          <w:fldChar w:fldCharType="begin"/>
        </w:r>
        <w:r w:rsidR="00EB3B42">
          <w:rPr>
            <w:noProof/>
            <w:webHidden/>
          </w:rPr>
          <w:instrText xml:space="preserve"> PAGEREF _Toc85103785 \h </w:instrText>
        </w:r>
        <w:r w:rsidR="00EB3B42">
          <w:rPr>
            <w:noProof/>
            <w:webHidden/>
          </w:rPr>
        </w:r>
        <w:r w:rsidR="00EB3B42">
          <w:rPr>
            <w:noProof/>
            <w:webHidden/>
          </w:rPr>
          <w:fldChar w:fldCharType="separate"/>
        </w:r>
        <w:r w:rsidR="00D133B3">
          <w:rPr>
            <w:noProof/>
            <w:webHidden/>
          </w:rPr>
          <w:t>11</w:t>
        </w:r>
        <w:r w:rsidR="00EB3B42">
          <w:rPr>
            <w:noProof/>
            <w:webHidden/>
          </w:rPr>
          <w:fldChar w:fldCharType="end"/>
        </w:r>
      </w:hyperlink>
    </w:p>
    <w:p w14:paraId="347ADAB7" w14:textId="33823F84" w:rsidR="00EB3B42" w:rsidRDefault="00113C44">
      <w:pPr>
        <w:pStyle w:val="TOC1"/>
        <w:rPr>
          <w:rFonts w:asciiTheme="minorHAnsi" w:eastAsiaTheme="minorEastAsia" w:hAnsiTheme="minorHAnsi" w:cstheme="minorBidi"/>
          <w:b w:val="0"/>
          <w:noProof/>
          <w:color w:val="auto"/>
          <w:szCs w:val="22"/>
          <w:lang w:eastAsia="en-AU"/>
        </w:rPr>
      </w:pPr>
      <w:hyperlink w:anchor="_Toc85103786" w:history="1">
        <w:r w:rsidR="00EB3B42" w:rsidRPr="00B0209A">
          <w:rPr>
            <w:rStyle w:val="Hyperlink"/>
            <w:noProof/>
            <w:lang w:bidi="en-AU"/>
          </w:rPr>
          <w:t>Table 4. Statistically significant improvements in clinical endpoints for cost-consequence analysis.</w:t>
        </w:r>
        <w:r w:rsidR="00EB3B42">
          <w:rPr>
            <w:noProof/>
            <w:webHidden/>
          </w:rPr>
          <w:tab/>
        </w:r>
        <w:r w:rsidR="00EB3B42">
          <w:rPr>
            <w:noProof/>
            <w:webHidden/>
          </w:rPr>
          <w:fldChar w:fldCharType="begin"/>
        </w:r>
        <w:r w:rsidR="00EB3B42">
          <w:rPr>
            <w:noProof/>
            <w:webHidden/>
          </w:rPr>
          <w:instrText xml:space="preserve"> PAGEREF _Toc85103786 \h </w:instrText>
        </w:r>
        <w:r w:rsidR="00EB3B42">
          <w:rPr>
            <w:noProof/>
            <w:webHidden/>
          </w:rPr>
        </w:r>
        <w:r w:rsidR="00EB3B42">
          <w:rPr>
            <w:noProof/>
            <w:webHidden/>
          </w:rPr>
          <w:fldChar w:fldCharType="separate"/>
        </w:r>
        <w:r w:rsidR="00D133B3">
          <w:rPr>
            <w:noProof/>
            <w:webHidden/>
          </w:rPr>
          <w:t>13</w:t>
        </w:r>
        <w:r w:rsidR="00EB3B42">
          <w:rPr>
            <w:noProof/>
            <w:webHidden/>
          </w:rPr>
          <w:fldChar w:fldCharType="end"/>
        </w:r>
      </w:hyperlink>
    </w:p>
    <w:p w14:paraId="140A3D3C" w14:textId="05356899" w:rsidR="001428A4" w:rsidRDefault="00B3462F" w:rsidP="00BF1EA1">
      <w:pPr>
        <w:pStyle w:val="BodyText"/>
        <w:tabs>
          <w:tab w:val="right" w:leader="dot" w:pos="9639"/>
        </w:tabs>
      </w:pPr>
      <w:r w:rsidRPr="0079297C">
        <w:rPr>
          <w:rFonts w:asciiTheme="majorHAnsi" w:hAnsiTheme="majorHAnsi" w:cstheme="majorHAnsi"/>
          <w:sz w:val="22"/>
          <w:szCs w:val="22"/>
        </w:rPr>
        <w:fldChar w:fldCharType="end"/>
      </w:r>
    </w:p>
    <w:p w14:paraId="65E288AA" w14:textId="7835B73B" w:rsidR="00BF1EA1" w:rsidRDefault="00BF1EA1" w:rsidP="0082142E">
      <w:pPr>
        <w:pStyle w:val="BodyText"/>
      </w:pPr>
    </w:p>
    <w:p w14:paraId="3FC34F44" w14:textId="7D2AF874" w:rsidR="00BF1EA1" w:rsidRPr="00BF1EA1" w:rsidRDefault="00BF1EA1" w:rsidP="00985A34">
      <w:pPr>
        <w:pStyle w:val="TOC1"/>
        <w:rPr>
          <w:rFonts w:cstheme="majorHAnsi"/>
          <w:szCs w:val="22"/>
        </w:rPr>
      </w:pPr>
      <w:r w:rsidRPr="00BF1EA1">
        <w:rPr>
          <w:rFonts w:cstheme="majorHAnsi"/>
          <w:b w:val="0"/>
          <w:szCs w:val="22"/>
        </w:rPr>
        <w:fldChar w:fldCharType="begin"/>
      </w:r>
      <w:r w:rsidRPr="00BF1EA1">
        <w:rPr>
          <w:rFonts w:cstheme="majorHAnsi"/>
          <w:b w:val="0"/>
          <w:szCs w:val="22"/>
        </w:rPr>
        <w:instrText xml:space="preserve"> TOC \f \h \z \t "Title,1" </w:instrText>
      </w:r>
      <w:r w:rsidRPr="00BF1EA1">
        <w:rPr>
          <w:rFonts w:cstheme="majorHAnsi"/>
          <w:b w:val="0"/>
          <w:szCs w:val="22"/>
        </w:rPr>
        <w:fldChar w:fldCharType="end"/>
      </w:r>
    </w:p>
    <w:p w14:paraId="333E46D0" w14:textId="43B4485A" w:rsidR="00995BB3" w:rsidRPr="0082142E" w:rsidRDefault="00050115" w:rsidP="00B5671B">
      <w:pPr>
        <w:pStyle w:val="BodyText"/>
        <w:spacing w:after="60" w:line="240" w:lineRule="auto"/>
        <w:rPr>
          <w:rFonts w:asciiTheme="majorHAnsi" w:hAnsiTheme="majorHAnsi" w:cstheme="majorHAnsi"/>
          <w:i/>
          <w:sz w:val="22"/>
          <w:szCs w:val="22"/>
        </w:rPr>
      </w:pPr>
      <w:r w:rsidRPr="0082142E">
        <w:rPr>
          <w:rStyle w:val="Hyperlink"/>
          <w:rFonts w:asciiTheme="majorHAnsi" w:hAnsiTheme="majorHAnsi" w:cstheme="majorHAnsi"/>
          <w:sz w:val="22"/>
          <w:szCs w:val="22"/>
        </w:rPr>
        <w:br w:type="page"/>
      </w:r>
    </w:p>
    <w:p w14:paraId="635EBFDB" w14:textId="77777777" w:rsidR="004D375B" w:rsidRDefault="004D375B" w:rsidP="00FC12A1">
      <w:pPr>
        <w:pStyle w:val="Heading1"/>
      </w:pPr>
      <w:bookmarkStart w:id="6" w:name="_Toc85103762"/>
      <w:bookmarkStart w:id="7" w:name="_Toc35946582"/>
      <w:bookmarkStart w:id="8" w:name="_Toc40350074"/>
      <w:bookmarkStart w:id="9" w:name="_Toc40441056"/>
      <w:bookmarkStart w:id="10" w:name="_Toc41315601"/>
      <w:r>
        <w:lastRenderedPageBreak/>
        <w:t>Overview</w:t>
      </w:r>
      <w:bookmarkEnd w:id="6"/>
    </w:p>
    <w:p w14:paraId="286F46AB" w14:textId="7A3F022D" w:rsidR="004D375B" w:rsidRDefault="004D375B" w:rsidP="002D0773">
      <w:r w:rsidRPr="00CB088F">
        <w:t xml:space="preserve">The </w:t>
      </w:r>
      <w:r w:rsidR="00CB088F" w:rsidRPr="004D5FCC">
        <w:rPr>
          <w:rFonts w:cstheme="minorHAnsi"/>
          <w:iCs/>
          <w:color w:val="010202"/>
        </w:rPr>
        <w:t xml:space="preserve">Integrating Pharmacists within Aboriginal Community Controlled Health Services </w:t>
      </w:r>
      <w:r w:rsidR="00CB088F" w:rsidRPr="004D5FCC">
        <w:rPr>
          <w:rFonts w:cstheme="minorHAnsi"/>
          <w:color w:val="010202"/>
        </w:rPr>
        <w:t xml:space="preserve">(ACCHSs) </w:t>
      </w:r>
      <w:r w:rsidR="00CB088F" w:rsidRPr="004D5FCC">
        <w:rPr>
          <w:rFonts w:cstheme="minorHAnsi"/>
          <w:iCs/>
          <w:color w:val="010202"/>
        </w:rPr>
        <w:t>to improve Chronic Disease Management</w:t>
      </w:r>
      <w:r w:rsidR="00CB088F" w:rsidRPr="004D5FCC">
        <w:rPr>
          <w:rFonts w:cstheme="minorHAnsi"/>
          <w:color w:val="010202"/>
        </w:rPr>
        <w:t xml:space="preserve"> (IPAC)</w:t>
      </w:r>
      <w:r w:rsidR="00CB088F" w:rsidRPr="004D5FCC">
        <w:rPr>
          <w:rFonts w:cstheme="minorHAnsi"/>
        </w:rPr>
        <w:t xml:space="preserve"> </w:t>
      </w:r>
      <w:r w:rsidR="00E450F2">
        <w:rPr>
          <w:rFonts w:cstheme="minorHAnsi"/>
        </w:rPr>
        <w:t>Trial</w:t>
      </w:r>
      <w:r w:rsidR="00E450F2" w:rsidRPr="00CB088F">
        <w:t xml:space="preserve"> </w:t>
      </w:r>
      <w:r w:rsidRPr="00CB088F">
        <w:t xml:space="preserve">provided evidence that pharmacists </w:t>
      </w:r>
      <w:r w:rsidR="00A03DAA" w:rsidRPr="00CB088F">
        <w:t xml:space="preserve">integrated </w:t>
      </w:r>
      <w:r w:rsidR="00A03DAA">
        <w:t>with</w:t>
      </w:r>
      <w:r w:rsidRPr="00CB088F">
        <w:t xml:space="preserve">in ACCHSs </w:t>
      </w:r>
      <w:r w:rsidR="00A03DAA">
        <w:t xml:space="preserve">enhanced service provision and </w:t>
      </w:r>
      <w:r w:rsidRPr="00CB088F">
        <w:t xml:space="preserve">significantly improved quality of care </w:t>
      </w:r>
      <w:r w:rsidR="00E450F2">
        <w:t xml:space="preserve">and health </w:t>
      </w:r>
      <w:r w:rsidRPr="00CB088F">
        <w:t>outcomes for adult Aboriginal and Torres Strait Islander patients with chronic disease.</w:t>
      </w:r>
      <w:r w:rsidR="00CB088F" w:rsidRPr="00CB088F">
        <w:t xml:space="preserve">  The IPAC </w:t>
      </w:r>
      <w:r w:rsidR="00E450F2">
        <w:t>trial</w:t>
      </w:r>
      <w:r w:rsidR="00E450F2" w:rsidRPr="00CB088F">
        <w:t xml:space="preserve"> </w:t>
      </w:r>
      <w:r w:rsidR="00CB088F" w:rsidRPr="00CB088F">
        <w:t xml:space="preserve">delivered significant benefits to patients, health services staff, and other stakeholders across the 18 ACCHSs </w:t>
      </w:r>
      <w:r w:rsidR="00E450F2">
        <w:t xml:space="preserve">that </w:t>
      </w:r>
      <w:r w:rsidR="00CB088F" w:rsidRPr="00CB088F">
        <w:t>participat</w:t>
      </w:r>
      <w:r w:rsidR="00E450F2">
        <w:t>ed.</w:t>
      </w:r>
      <w:r w:rsidR="00CB088F" w:rsidRPr="00CB088F">
        <w:t xml:space="preserve">  </w:t>
      </w:r>
      <w:r w:rsidR="00920F28">
        <w:t xml:space="preserve">This application seeks support for </w:t>
      </w:r>
      <w:r w:rsidR="00D771EC">
        <w:t xml:space="preserve">a nationwide </w:t>
      </w:r>
      <w:r w:rsidR="000D7586">
        <w:t xml:space="preserve">program </w:t>
      </w:r>
      <w:r w:rsidR="00912A3F">
        <w:t xml:space="preserve">roll-out </w:t>
      </w:r>
      <w:r w:rsidR="00917806">
        <w:t xml:space="preserve">for </w:t>
      </w:r>
      <w:r w:rsidR="004D5FCC">
        <w:t>ACCHS</w:t>
      </w:r>
      <w:r w:rsidR="00912A3F">
        <w:t xml:space="preserve"> with</w:t>
      </w:r>
      <w:r w:rsidR="001D7E10">
        <w:t xml:space="preserve"> funding </w:t>
      </w:r>
      <w:r w:rsidR="00AD2BB0">
        <w:t xml:space="preserve">for services </w:t>
      </w:r>
      <w:r w:rsidR="004D5FCC">
        <w:t>to employ a pharmacist</w:t>
      </w:r>
      <w:r w:rsidR="000D7586">
        <w:t>(s)</w:t>
      </w:r>
      <w:r w:rsidR="00221C37">
        <w:t xml:space="preserve"> integrated within the service setting</w:t>
      </w:r>
      <w:r w:rsidR="00B43BD5">
        <w:t xml:space="preserve">, starting from a threshold employment level of </w:t>
      </w:r>
      <w:r w:rsidR="004D5FCC">
        <w:t xml:space="preserve">0.2 </w:t>
      </w:r>
      <w:r w:rsidR="00B43BD5">
        <w:t>full-time equivalent (</w:t>
      </w:r>
      <w:r w:rsidR="004D5FCC">
        <w:t>FTE</w:t>
      </w:r>
      <w:r w:rsidR="00B43BD5">
        <w:t xml:space="preserve">), increasing proportionately </w:t>
      </w:r>
      <w:r w:rsidR="00D674E9">
        <w:t xml:space="preserve">according </w:t>
      </w:r>
      <w:r w:rsidR="00B43BD5">
        <w:t xml:space="preserve">to </w:t>
      </w:r>
      <w:r w:rsidR="00762637">
        <w:t>service size</w:t>
      </w:r>
      <w:r w:rsidR="000D7586">
        <w:t xml:space="preserve">, </w:t>
      </w:r>
      <w:r w:rsidR="00B43BD5">
        <w:t xml:space="preserve">with </w:t>
      </w:r>
      <w:r w:rsidR="004D5FCC">
        <w:t xml:space="preserve">additional remote loadings </w:t>
      </w:r>
      <w:r w:rsidR="000D7586">
        <w:t xml:space="preserve">as </w:t>
      </w:r>
      <w:r w:rsidR="004D5FCC">
        <w:t>appropriate</w:t>
      </w:r>
      <w:r w:rsidR="006B7B7E">
        <w:t>.</w:t>
      </w:r>
    </w:p>
    <w:p w14:paraId="1843F6BF" w14:textId="77777777" w:rsidR="00113D22" w:rsidRDefault="00113D22" w:rsidP="002D0773"/>
    <w:p w14:paraId="772F7366" w14:textId="44F315BE" w:rsidR="00BC5E48" w:rsidRDefault="00BC5E48" w:rsidP="00FC12A1">
      <w:pPr>
        <w:pStyle w:val="Heading1"/>
      </w:pPr>
      <w:bookmarkStart w:id="11" w:name="_Toc85103763"/>
      <w:r>
        <w:t>Background</w:t>
      </w:r>
      <w:bookmarkEnd w:id="7"/>
      <w:bookmarkEnd w:id="8"/>
      <w:bookmarkEnd w:id="9"/>
      <w:bookmarkEnd w:id="10"/>
      <w:bookmarkEnd w:id="11"/>
    </w:p>
    <w:p w14:paraId="726B0816" w14:textId="77777777" w:rsidR="00847BA5" w:rsidRPr="00321884" w:rsidRDefault="00847BA5" w:rsidP="00321884"/>
    <w:p w14:paraId="0F2233E6" w14:textId="0DA8707C" w:rsidR="00321884" w:rsidRPr="00321884" w:rsidRDefault="00321884" w:rsidP="00DA22EF">
      <w:r w:rsidRPr="00321884">
        <w:t>In Australia, Aboriginal peoples and Torres Strait Islanders are five times more likely to die from chronic disease before the age of 75 years (premature mortality) than other Australians (2011-15).</w:t>
      </w:r>
      <w:r w:rsidRPr="00321884">
        <w:rPr>
          <w:rStyle w:val="EndnoteReference"/>
          <w:rFonts w:asciiTheme="majorHAnsi" w:hAnsiTheme="majorHAnsi" w:cstheme="majorHAnsi"/>
        </w:rPr>
        <w:endnoteReference w:id="2"/>
      </w:r>
      <w:r w:rsidRPr="00321884">
        <w:t xml:space="preserve"> This profound health disparity has generated many policies and programs to encourage better chronic disease prevention and management within primary healthcare services. Yet, despite their higher burden of disease, medication </w:t>
      </w:r>
      <w:proofErr w:type="spellStart"/>
      <w:r w:rsidRPr="00321884">
        <w:t>underutilisation</w:t>
      </w:r>
      <w:proofErr w:type="spellEnd"/>
      <w:r w:rsidRPr="00321884">
        <w:t>, and inappropriate use of medications by Aboriginal peoples and Torres Strait Islanders persists when assessed within primary health care settings.</w:t>
      </w:r>
      <w:r w:rsidRPr="00321884">
        <w:rPr>
          <w:rStyle w:val="EndnoteReference"/>
          <w:rFonts w:asciiTheme="majorHAnsi" w:hAnsiTheme="majorHAnsi" w:cstheme="majorHAnsi"/>
        </w:rPr>
        <w:endnoteReference w:id="3"/>
      </w:r>
      <w:r w:rsidRPr="00321884">
        <w:t xml:space="preserve"> </w:t>
      </w:r>
      <w:r w:rsidRPr="00321884">
        <w:rPr>
          <w:rStyle w:val="EndnoteReference"/>
          <w:rFonts w:asciiTheme="majorHAnsi" w:hAnsiTheme="majorHAnsi" w:cstheme="majorHAnsi"/>
        </w:rPr>
        <w:endnoteReference w:id="4"/>
      </w:r>
      <w:r w:rsidRPr="00321884">
        <w:t xml:space="preserve">  </w:t>
      </w:r>
    </w:p>
    <w:p w14:paraId="2E2DB46E" w14:textId="77777777" w:rsidR="00321884" w:rsidRPr="00321884" w:rsidRDefault="00321884" w:rsidP="00DA22EF"/>
    <w:p w14:paraId="2A6FAA71" w14:textId="6F1F353D" w:rsidR="00321884" w:rsidRPr="00321884" w:rsidRDefault="00321884" w:rsidP="00DA22EF">
      <w:r w:rsidRPr="00321884">
        <w:rPr>
          <w:color w:val="010202"/>
        </w:rPr>
        <w:t>Increasingly, studies are reporting tha</w:t>
      </w:r>
      <w:r w:rsidR="00FA3DA0">
        <w:rPr>
          <w:color w:val="010202"/>
        </w:rPr>
        <w:t>t the addition of pharmacists within primary</w:t>
      </w:r>
      <w:r w:rsidRPr="00321884">
        <w:rPr>
          <w:color w:val="010202"/>
        </w:rPr>
        <w:t xml:space="preserve"> healthcare teams enhances quality prescribing,</w:t>
      </w:r>
      <w:r w:rsidRPr="00321884">
        <w:rPr>
          <w:rStyle w:val="EndnoteReference"/>
          <w:rFonts w:asciiTheme="majorHAnsi" w:hAnsiTheme="majorHAnsi" w:cstheme="majorHAnsi"/>
          <w:color w:val="010202"/>
        </w:rPr>
        <w:endnoteReference w:id="5"/>
      </w:r>
      <w:r w:rsidRPr="00321884">
        <w:rPr>
          <w:color w:val="010202"/>
        </w:rPr>
        <w:t xml:space="preserve"> biomedical outcomes,</w:t>
      </w:r>
      <w:r w:rsidRPr="00321884">
        <w:rPr>
          <w:rStyle w:val="EndnoteReference"/>
          <w:rFonts w:asciiTheme="majorHAnsi" w:hAnsiTheme="majorHAnsi" w:cstheme="majorHAnsi"/>
          <w:color w:val="010202"/>
        </w:rPr>
        <w:endnoteReference w:id="6"/>
      </w:r>
      <w:r w:rsidRPr="00321884">
        <w:rPr>
          <w:color w:val="010202"/>
        </w:rPr>
        <w:t xml:space="preserve"> </w:t>
      </w:r>
      <w:r w:rsidRPr="00321884">
        <w:rPr>
          <w:rStyle w:val="EndnoteReference"/>
          <w:rFonts w:asciiTheme="majorHAnsi" w:hAnsiTheme="majorHAnsi" w:cstheme="majorHAnsi"/>
          <w:color w:val="010202"/>
        </w:rPr>
        <w:endnoteReference w:id="7"/>
      </w:r>
      <w:r w:rsidRPr="00321884">
        <w:rPr>
          <w:color w:val="010202"/>
        </w:rPr>
        <w:t xml:space="preserve"> and reduces </w:t>
      </w:r>
      <w:proofErr w:type="spellStart"/>
      <w:r w:rsidRPr="00321884">
        <w:rPr>
          <w:color w:val="010202"/>
        </w:rPr>
        <w:t>hospitalisation</w:t>
      </w:r>
      <w:proofErr w:type="spellEnd"/>
      <w:r w:rsidRPr="00321884">
        <w:rPr>
          <w:color w:val="010202"/>
        </w:rPr>
        <w:t>.</w:t>
      </w:r>
      <w:r w:rsidRPr="00321884">
        <w:rPr>
          <w:rStyle w:val="EndnoteReference"/>
          <w:rFonts w:asciiTheme="majorHAnsi" w:hAnsiTheme="majorHAnsi" w:cstheme="majorHAnsi"/>
          <w:color w:val="010202"/>
        </w:rPr>
        <w:endnoteReference w:id="8"/>
      </w:r>
      <w:r w:rsidRPr="00321884">
        <w:rPr>
          <w:color w:val="010202"/>
        </w:rPr>
        <w:t xml:space="preserve"> </w:t>
      </w:r>
      <w:r w:rsidRPr="00321884">
        <w:rPr>
          <w:rStyle w:val="EndnoteReference"/>
          <w:rFonts w:asciiTheme="majorHAnsi" w:hAnsiTheme="majorHAnsi" w:cstheme="majorHAnsi"/>
          <w:color w:val="010202"/>
        </w:rPr>
        <w:endnoteReference w:id="9"/>
      </w:r>
      <w:r w:rsidRPr="00321884">
        <w:rPr>
          <w:color w:val="010202"/>
        </w:rPr>
        <w:t xml:space="preserve">  </w:t>
      </w:r>
      <w:r w:rsidRPr="00321884">
        <w:rPr>
          <w:lang w:val="en-GB"/>
        </w:rPr>
        <w:t>C</w:t>
      </w:r>
      <w:r w:rsidRPr="00321884">
        <w:t xml:space="preserve">o-location of pharmacists within general practice </w:t>
      </w:r>
      <w:r w:rsidR="004925B9">
        <w:t>has been demonstrated</w:t>
      </w:r>
      <w:r w:rsidR="004925B9" w:rsidRPr="00321884">
        <w:t xml:space="preserve"> </w:t>
      </w:r>
      <w:r w:rsidRPr="00321884">
        <w:t>to enable greater communication, collaboration and relationship building among health professionals.</w:t>
      </w:r>
      <w:r w:rsidRPr="00321884">
        <w:rPr>
          <w:rStyle w:val="EndnoteReference"/>
          <w:rFonts w:asciiTheme="majorHAnsi" w:hAnsiTheme="majorHAnsi" w:cstheme="majorHAnsi"/>
        </w:rPr>
        <w:endnoteReference w:id="10"/>
      </w:r>
      <w:r w:rsidRPr="00321884">
        <w:t xml:space="preserve"> However, the impact of integrated pharmacists</w:t>
      </w:r>
      <w:r w:rsidRPr="00321884">
        <w:rPr>
          <w:lang w:val="en-GB"/>
        </w:rPr>
        <w:t xml:space="preserve"> on health outcomes for patients with chronic disease</w:t>
      </w:r>
      <w:r>
        <w:rPr>
          <w:lang w:val="en-GB"/>
        </w:rPr>
        <w:t>,</w:t>
      </w:r>
      <w:r w:rsidRPr="00321884">
        <w:rPr>
          <w:lang w:val="en-GB"/>
        </w:rPr>
        <w:t xml:space="preserve"> in Aboriginal health settings</w:t>
      </w:r>
      <w:r w:rsidR="000032EC">
        <w:rPr>
          <w:lang w:val="en-GB"/>
        </w:rPr>
        <w:t>,</w:t>
      </w:r>
      <w:r w:rsidRPr="00321884">
        <w:rPr>
          <w:lang w:val="en-GB"/>
        </w:rPr>
        <w:t xml:space="preserve"> </w:t>
      </w:r>
      <w:r w:rsidR="009406D2">
        <w:rPr>
          <w:lang w:val="en-GB"/>
        </w:rPr>
        <w:t>has needed</w:t>
      </w:r>
      <w:r w:rsidR="009406D2" w:rsidRPr="00321884">
        <w:rPr>
          <w:lang w:val="en-GB"/>
        </w:rPr>
        <w:t xml:space="preserve"> </w:t>
      </w:r>
      <w:r w:rsidRPr="00321884">
        <w:rPr>
          <w:lang w:val="en-GB"/>
        </w:rPr>
        <w:t>further investigation.</w:t>
      </w:r>
    </w:p>
    <w:p w14:paraId="18EA79A9" w14:textId="77777777" w:rsidR="00321884" w:rsidRPr="00321884" w:rsidRDefault="00321884" w:rsidP="00DA22EF"/>
    <w:p w14:paraId="7649FC3E" w14:textId="10639DF1" w:rsidR="00321884" w:rsidRDefault="00321884" w:rsidP="00DA22EF">
      <w:pPr>
        <w:rPr>
          <w:rFonts w:cstheme="minorHAnsi"/>
          <w:lang w:val="en-GB"/>
        </w:rPr>
      </w:pPr>
      <w:r w:rsidRPr="00321884">
        <w:rPr>
          <w:color w:val="010202"/>
        </w:rPr>
        <w:t xml:space="preserve">The project explored if integrating a registered pharmacist as part of the primary health care (PHC) team within ACCHSs (the intervention) led to improvements in the quality of the care received by Aboriginal and Torres Strait Islander peoples with chronic diseases, when compared with prior (usual) </w:t>
      </w:r>
      <w:r w:rsidRPr="00D55B1D">
        <w:rPr>
          <w:color w:val="010202"/>
        </w:rPr>
        <w:t>care.</w:t>
      </w:r>
      <w:r w:rsidRPr="00346145">
        <w:rPr>
          <w:color w:val="010202"/>
        </w:rPr>
        <w:t xml:space="preserve"> </w:t>
      </w:r>
      <w:r w:rsidR="0094025C" w:rsidRPr="00346145">
        <w:rPr>
          <w:rFonts w:cstheme="minorHAnsi"/>
          <w:color w:val="010202"/>
        </w:rPr>
        <w:t>It</w:t>
      </w:r>
      <w:r w:rsidR="0094025C">
        <w:rPr>
          <w:rFonts w:cstheme="minorHAnsi"/>
          <w:color w:val="010202"/>
        </w:rPr>
        <w:t xml:space="preserve"> was anticipated that </w:t>
      </w:r>
      <w:r w:rsidR="0094025C" w:rsidRPr="00A553E5">
        <w:rPr>
          <w:rFonts w:cstheme="minorHAnsi"/>
          <w:lang w:val="en-GB"/>
        </w:rPr>
        <w:t xml:space="preserve">pharmacists </w:t>
      </w:r>
      <w:r w:rsidR="0094025C">
        <w:rPr>
          <w:rFonts w:cstheme="minorHAnsi"/>
          <w:lang w:val="en-GB"/>
        </w:rPr>
        <w:t>integrated within these settings would</w:t>
      </w:r>
      <w:r w:rsidR="0094025C" w:rsidRPr="00A553E5">
        <w:rPr>
          <w:rFonts w:cstheme="minorHAnsi"/>
          <w:lang w:val="en-GB"/>
        </w:rPr>
        <w:t xml:space="preserve"> facilitate increased access to medication-related expertise and assessments, which when coupled with increased engagement with participants, staff and other stakeholders, </w:t>
      </w:r>
      <w:r w:rsidR="0094025C">
        <w:rPr>
          <w:rFonts w:cstheme="minorHAnsi"/>
          <w:lang w:val="en-GB"/>
        </w:rPr>
        <w:t>would</w:t>
      </w:r>
      <w:r w:rsidR="0094025C" w:rsidRPr="00A553E5">
        <w:rPr>
          <w:rFonts w:cstheme="minorHAnsi"/>
          <w:lang w:val="en-GB"/>
        </w:rPr>
        <w:t xml:space="preserve"> result in improved services</w:t>
      </w:r>
      <w:r w:rsidR="0094025C">
        <w:rPr>
          <w:rFonts w:cstheme="minorHAnsi"/>
          <w:lang w:val="en-GB"/>
        </w:rPr>
        <w:t xml:space="preserve"> and </w:t>
      </w:r>
      <w:r w:rsidR="0094025C" w:rsidRPr="00A553E5">
        <w:rPr>
          <w:rFonts w:cstheme="minorHAnsi"/>
          <w:lang w:val="en-GB"/>
        </w:rPr>
        <w:t>quality use of medicines</w:t>
      </w:r>
      <w:r w:rsidR="0094025C">
        <w:rPr>
          <w:rFonts w:cstheme="minorHAnsi"/>
          <w:lang w:val="en-GB"/>
        </w:rPr>
        <w:t xml:space="preserve"> as outlined in the proposed theory of change for the IPAC </w:t>
      </w:r>
      <w:r w:rsidR="0094025C" w:rsidRPr="00346145">
        <w:rPr>
          <w:rFonts w:cstheme="minorHAnsi"/>
          <w:lang w:val="en-GB"/>
        </w:rPr>
        <w:t xml:space="preserve">Project </w:t>
      </w:r>
      <w:r w:rsidR="0068261D" w:rsidRPr="00346145">
        <w:rPr>
          <w:rFonts w:cstheme="minorHAnsi"/>
          <w:lang w:val="en-GB"/>
        </w:rPr>
        <w:t>(Appendix 3</w:t>
      </w:r>
      <w:r w:rsidR="0094025C" w:rsidRPr="00346145">
        <w:rPr>
          <w:rFonts w:cstheme="minorHAnsi"/>
          <w:lang w:val="en-GB"/>
        </w:rPr>
        <w:t>).</w:t>
      </w:r>
    </w:p>
    <w:p w14:paraId="2A6C4FF3" w14:textId="77777777" w:rsidR="00113D22" w:rsidRPr="00321884" w:rsidRDefault="00113D22" w:rsidP="00DA22EF">
      <w:pPr>
        <w:rPr>
          <w:color w:val="010202"/>
        </w:rPr>
      </w:pPr>
    </w:p>
    <w:p w14:paraId="5295692A" w14:textId="77777777" w:rsidR="000032EC" w:rsidRPr="00302DE4" w:rsidRDefault="000032EC" w:rsidP="00DA22EF">
      <w:bookmarkStart w:id="12" w:name="_Toc35513584"/>
      <w:bookmarkStart w:id="13" w:name="_Toc35946587"/>
    </w:p>
    <w:p w14:paraId="48F04B4C" w14:textId="77777777" w:rsidR="006947B4" w:rsidRDefault="006947B4" w:rsidP="00FC12A1">
      <w:pPr>
        <w:pStyle w:val="Heading1"/>
        <w:rPr>
          <w:rFonts w:eastAsiaTheme="majorEastAsia" w:cstheme="majorBidi"/>
          <w:sz w:val="24"/>
        </w:rPr>
      </w:pPr>
      <w:bookmarkStart w:id="14" w:name="_Toc40350076"/>
      <w:bookmarkStart w:id="15" w:name="_Toc40441058"/>
      <w:bookmarkStart w:id="16" w:name="_Toc41315602"/>
      <w:bookmarkStart w:id="17" w:name="_Toc85103764"/>
      <w:r>
        <w:lastRenderedPageBreak/>
        <w:t>Methodology</w:t>
      </w:r>
      <w:bookmarkEnd w:id="12"/>
      <w:bookmarkEnd w:id="13"/>
      <w:bookmarkEnd w:id="14"/>
      <w:bookmarkEnd w:id="15"/>
      <w:bookmarkEnd w:id="16"/>
      <w:bookmarkEnd w:id="17"/>
    </w:p>
    <w:p w14:paraId="458570AF" w14:textId="77777777" w:rsidR="00303A2D" w:rsidRDefault="00303A2D" w:rsidP="00DA22EF"/>
    <w:p w14:paraId="2B40CDC1" w14:textId="3343957F" w:rsidR="00FF4727" w:rsidRDefault="006947B4" w:rsidP="00DA22EF">
      <w:pPr>
        <w:rPr>
          <w:lang w:val="en-GB"/>
        </w:rPr>
      </w:pPr>
      <w:r>
        <w:t xml:space="preserve">The IPAC </w:t>
      </w:r>
      <w:r w:rsidR="00D21B8E">
        <w:t xml:space="preserve">trial </w:t>
      </w:r>
      <w:r>
        <w:t xml:space="preserve">was a pragmatic, non-randomized, prospective, pre and post quasi-experimental study (Trial Registration Number and Register: ACTRN12618002002268) implemented in three jurisdictions: Victoria, </w:t>
      </w:r>
      <w:proofErr w:type="gramStart"/>
      <w:r>
        <w:t>Queensland</w:t>
      </w:r>
      <w:proofErr w:type="gramEnd"/>
      <w:r>
        <w:t xml:space="preserve"> and the Northern Territory. </w:t>
      </w:r>
      <w:r w:rsidR="002D3EC5">
        <w:t xml:space="preserve"> </w:t>
      </w:r>
    </w:p>
    <w:p w14:paraId="70223954" w14:textId="77777777" w:rsidR="00FF4727" w:rsidRPr="00302DE4" w:rsidRDefault="00FF4727" w:rsidP="00DA22EF">
      <w:pPr>
        <w:rPr>
          <w:lang w:val="en-GB"/>
        </w:rPr>
      </w:pPr>
    </w:p>
    <w:p w14:paraId="6BFE5202" w14:textId="40C8CF9E" w:rsidR="00EA4A28" w:rsidRDefault="00EA4A28" w:rsidP="00DA22EF">
      <w:r>
        <w:t>The project adhered to community-based participa</w:t>
      </w:r>
      <w:r w:rsidR="00FA3DA0">
        <w:t>tory research (CBPR) principles</w:t>
      </w:r>
      <w:r w:rsidR="005C54C8">
        <w:t>.</w:t>
      </w:r>
      <w:r>
        <w:rPr>
          <w:rStyle w:val="EndnoteReference"/>
          <w:rFonts w:cstheme="minorHAnsi"/>
        </w:rPr>
        <w:endnoteReference w:id="11"/>
      </w:r>
      <w:r w:rsidR="005C54C8">
        <w:t xml:space="preserve">  </w:t>
      </w:r>
      <w:r>
        <w:t xml:space="preserve">This approach ensured clear benefits to project sites, </w:t>
      </w:r>
      <w:proofErr w:type="gramStart"/>
      <w:r>
        <w:t>acceptability</w:t>
      </w:r>
      <w:proofErr w:type="gramEnd"/>
      <w:r>
        <w:t xml:space="preserve"> and sustainability of the intervention within ACCHSs, and ultimately, transferability to other</w:t>
      </w:r>
      <w:r w:rsidR="002D0773">
        <w:t xml:space="preserve"> Primary Health Care</w:t>
      </w:r>
      <w:r>
        <w:t xml:space="preserve"> </w:t>
      </w:r>
      <w:r w:rsidR="002D0773">
        <w:t>(</w:t>
      </w:r>
      <w:r>
        <w:t>PHC</w:t>
      </w:r>
      <w:r w:rsidR="002D0773">
        <w:t>)</w:t>
      </w:r>
      <w:r>
        <w:t xml:space="preserve"> services. For this reason, study outcomes </w:t>
      </w:r>
      <w:r w:rsidR="004D2AC3">
        <w:t>were</w:t>
      </w:r>
      <w:r>
        <w:t xml:space="preserve"> compared before and after the intervention without the use of control sites, for within-subject comparisons (with repeated measures). The project </w:t>
      </w:r>
      <w:r w:rsidR="00F07FF3">
        <w:t>assessed</w:t>
      </w:r>
      <w:r>
        <w:t xml:space="preserve"> </w:t>
      </w:r>
      <w:r w:rsidR="00F07FF3">
        <w:t xml:space="preserve">any </w:t>
      </w:r>
      <w:r>
        <w:t>changes in study sites that occur</w:t>
      </w:r>
      <w:r w:rsidR="00F07FF3">
        <w:t>red</w:t>
      </w:r>
      <w:r>
        <w:t xml:space="preserve"> pre to post intervention through serial health systems assessments and qualitative methods.</w:t>
      </w:r>
    </w:p>
    <w:p w14:paraId="2CC9B305" w14:textId="77777777" w:rsidR="00C75EF5" w:rsidRDefault="00C75EF5" w:rsidP="00DA22EF"/>
    <w:p w14:paraId="23CA771B" w14:textId="6B38ABDE" w:rsidR="004D2901" w:rsidRDefault="00F07FF3" w:rsidP="00DA22EF">
      <w:pPr>
        <w:rPr>
          <w:lang w:val="en-GB"/>
        </w:rPr>
      </w:pPr>
      <w:r w:rsidRPr="00302DE4">
        <w:rPr>
          <w:lang w:val="en-GB"/>
        </w:rPr>
        <w:t xml:space="preserve">ACCHSs in geographically diverse settings </w:t>
      </w:r>
      <w:r>
        <w:rPr>
          <w:lang w:val="en-GB"/>
        </w:rPr>
        <w:t>in the three jurisdictions</w:t>
      </w:r>
      <w:r w:rsidRPr="00302DE4">
        <w:rPr>
          <w:lang w:val="en-GB"/>
        </w:rPr>
        <w:t xml:space="preserve"> that met the established site eligibility criteria </w:t>
      </w:r>
      <w:r>
        <w:rPr>
          <w:lang w:val="en-GB"/>
        </w:rPr>
        <w:t xml:space="preserve">were invited </w:t>
      </w:r>
      <w:r w:rsidRPr="00302DE4">
        <w:rPr>
          <w:lang w:val="en-GB"/>
        </w:rPr>
        <w:t xml:space="preserve">to participate </w:t>
      </w:r>
      <w:r>
        <w:rPr>
          <w:lang w:val="en-GB"/>
        </w:rPr>
        <w:t xml:space="preserve">in the </w:t>
      </w:r>
      <w:r w:rsidRPr="00302DE4">
        <w:rPr>
          <w:lang w:val="en-GB"/>
        </w:rPr>
        <w:t>project</w:t>
      </w:r>
      <w:r w:rsidRPr="000D61F8">
        <w:rPr>
          <w:lang w:val="en-GB"/>
        </w:rPr>
        <w:t>. Each service was offered a</w:t>
      </w:r>
      <w:r w:rsidR="00E87E3C" w:rsidRPr="000D61F8">
        <w:rPr>
          <w:lang w:val="en-GB"/>
        </w:rPr>
        <w:t>n</w:t>
      </w:r>
      <w:r w:rsidRPr="000D61F8">
        <w:rPr>
          <w:lang w:val="en-GB"/>
        </w:rPr>
        <w:t xml:space="preserve"> </w:t>
      </w:r>
      <w:r w:rsidR="00E87E3C" w:rsidRPr="000D61F8">
        <w:rPr>
          <w:lang w:val="en-GB"/>
        </w:rPr>
        <w:t xml:space="preserve">integrated </w:t>
      </w:r>
      <w:r w:rsidRPr="000D61F8">
        <w:rPr>
          <w:lang w:val="en-GB"/>
        </w:rPr>
        <w:t xml:space="preserve">pharmacist (aggregated 0.57 FTE for </w:t>
      </w:r>
      <w:r w:rsidR="000D61F8" w:rsidRPr="000D61F8">
        <w:rPr>
          <w:lang w:val="en-GB"/>
        </w:rPr>
        <w:t xml:space="preserve">up to </w:t>
      </w:r>
      <w:r w:rsidRPr="000D61F8">
        <w:rPr>
          <w:lang w:val="en-GB"/>
        </w:rPr>
        <w:t>15 months duration) under a service agreement with the PSA.</w:t>
      </w:r>
      <w:r w:rsidRPr="00302DE4">
        <w:rPr>
          <w:lang w:val="en-GB"/>
        </w:rPr>
        <w:t xml:space="preserve"> </w:t>
      </w:r>
    </w:p>
    <w:p w14:paraId="294810FD" w14:textId="77777777" w:rsidR="004D2901" w:rsidRDefault="004D2901" w:rsidP="00DA22EF">
      <w:pPr>
        <w:rPr>
          <w:lang w:val="en-GB"/>
        </w:rPr>
      </w:pPr>
    </w:p>
    <w:p w14:paraId="4CC08D01" w14:textId="0DE1CF97" w:rsidR="006947B4" w:rsidRDefault="006947B4" w:rsidP="001353B7">
      <w:r>
        <w:t>The pharmacist intervention involved delivery of ten core roles</w:t>
      </w:r>
      <w:r w:rsidR="0011491D">
        <w:t xml:space="preserve">, </w:t>
      </w:r>
      <w:r w:rsidR="00D35460">
        <w:t xml:space="preserve">which were </w:t>
      </w:r>
      <w:r w:rsidR="00E96010">
        <w:t xml:space="preserve">classified as </w:t>
      </w:r>
      <w:r w:rsidR="00D35460">
        <w:t xml:space="preserve">either </w:t>
      </w:r>
      <w:r w:rsidR="00690823">
        <w:t>patient-</w:t>
      </w:r>
      <w:r w:rsidR="003F776F">
        <w:t>related</w:t>
      </w:r>
      <w:r w:rsidR="000F74E5">
        <w:t xml:space="preserve"> </w:t>
      </w:r>
      <w:r w:rsidR="00B53D0F">
        <w:t xml:space="preserve">roles </w:t>
      </w:r>
      <w:r w:rsidR="000F74E5">
        <w:t xml:space="preserve">or </w:t>
      </w:r>
      <w:r w:rsidR="00B53D0F">
        <w:t xml:space="preserve">as systems and </w:t>
      </w:r>
      <w:r w:rsidR="00351A07">
        <w:t xml:space="preserve">health </w:t>
      </w:r>
      <w:r w:rsidR="00B53D0F">
        <w:t>practitioner-</w:t>
      </w:r>
      <w:r w:rsidR="003F776F">
        <w:t>level</w:t>
      </w:r>
      <w:r w:rsidR="00B53D0F">
        <w:t xml:space="preserve"> roles</w:t>
      </w:r>
      <w:r>
        <w:t>.</w:t>
      </w:r>
      <w:r w:rsidR="00B43E2B">
        <w:rPr>
          <w:rFonts w:cstheme="minorHAnsi"/>
        </w:rPr>
        <w:t xml:space="preserve">  </w:t>
      </w:r>
      <w:r w:rsidRPr="00346145">
        <w:t>Activities</w:t>
      </w:r>
      <w:r>
        <w:t xml:space="preserve"> targeting patients included the assessment of medication management through medication reviews, medication adherence and appropriateness, medication-related problems, improving patient medication knowledge and giving preventive health advice. </w:t>
      </w:r>
      <w:r w:rsidR="00741626">
        <w:rPr>
          <w:rFonts w:asciiTheme="majorHAnsi" w:hAnsiTheme="majorHAnsi" w:cstheme="majorHAnsi"/>
          <w:color w:val="010202"/>
        </w:rPr>
        <w:t xml:space="preserve">Medication management reviews comprised either a Home Medicines Review (HMR) or a non-HMR which was </w:t>
      </w:r>
      <w:r w:rsidR="00741626" w:rsidRPr="00990A3C">
        <w:rPr>
          <w:rFonts w:asciiTheme="majorHAnsi" w:hAnsiTheme="majorHAnsi" w:cstheme="majorHAnsi"/>
        </w:rPr>
        <w:t xml:space="preserve">defined as a comprehensive medication management review comprising some or all </w:t>
      </w:r>
      <w:r w:rsidR="00741626">
        <w:rPr>
          <w:rFonts w:asciiTheme="majorHAnsi" w:hAnsiTheme="majorHAnsi" w:cstheme="majorHAnsi"/>
        </w:rPr>
        <w:t xml:space="preserve">of </w:t>
      </w:r>
      <w:r w:rsidR="00741626" w:rsidRPr="00990A3C">
        <w:rPr>
          <w:rFonts w:asciiTheme="majorHAnsi" w:hAnsiTheme="majorHAnsi" w:cstheme="majorHAnsi"/>
        </w:rPr>
        <w:t>the elements of a HMR, but not fulfilling all relevant HMR criteria</w:t>
      </w:r>
      <w:r w:rsidR="00741626">
        <w:rPr>
          <w:rFonts w:asciiTheme="majorHAnsi" w:hAnsiTheme="majorHAnsi" w:cstheme="majorHAnsi"/>
        </w:rPr>
        <w:t xml:space="preserve"> stipulated by the Medicare Benefits Schedule (MBS). </w:t>
      </w:r>
      <w:r>
        <w:t xml:space="preserve">Pharmacists at each ACCHS undertook an audit of medication appropriateness and an assessment of </w:t>
      </w:r>
      <w:proofErr w:type="spellStart"/>
      <w:r>
        <w:t>underutilisation</w:t>
      </w:r>
      <w:proofErr w:type="spellEnd"/>
      <w:r>
        <w:t xml:space="preserve">, for a sample of participants at the rate of 30 participants per one full time equivalent (FTE) </w:t>
      </w:r>
      <w:r w:rsidR="00CC4FBB">
        <w:t xml:space="preserve">integrated pharmacist </w:t>
      </w:r>
      <w:r>
        <w:t>pro rata.  Pharmacists also provided patient education and preventive health activities.</w:t>
      </w:r>
    </w:p>
    <w:p w14:paraId="11EE4A10" w14:textId="77777777" w:rsidR="006947B4" w:rsidRDefault="006947B4" w:rsidP="00DA22EF"/>
    <w:p w14:paraId="7D9C1476" w14:textId="012C155E" w:rsidR="006947B4" w:rsidRDefault="006947B4" w:rsidP="00DA22EF">
      <w:pPr>
        <w:rPr>
          <w:color w:val="010202"/>
        </w:rPr>
      </w:pPr>
      <w:r>
        <w:t xml:space="preserve">Activities targeting health professionals and systems included </w:t>
      </w:r>
      <w:r>
        <w:rPr>
          <w:rFonts w:eastAsia="MS ??"/>
          <w:color w:val="000000"/>
        </w:rPr>
        <w:t xml:space="preserve">conducting education sessions, responding to medication-related queries, reviewing prescribing and mentoring new prescribers, participating in case conferences, undertaking drug </w:t>
      </w:r>
      <w:proofErr w:type="spellStart"/>
      <w:r>
        <w:rPr>
          <w:rFonts w:eastAsia="MS ??"/>
          <w:color w:val="000000"/>
        </w:rPr>
        <w:t>utilisation</w:t>
      </w:r>
      <w:proofErr w:type="spellEnd"/>
      <w:r>
        <w:rPr>
          <w:rFonts w:eastAsia="MS ??"/>
          <w:color w:val="000000"/>
        </w:rPr>
        <w:t xml:space="preserve"> reviews,</w:t>
      </w:r>
      <w:r>
        <w:t xml:space="preserve"> and liaising with community pharmacies and other stakeholders</w:t>
      </w:r>
      <w:r>
        <w:rPr>
          <w:rFonts w:eastAsia="MS ??"/>
          <w:color w:val="000000"/>
        </w:rPr>
        <w:t xml:space="preserve"> to ensure continuity of care and transitional care</w:t>
      </w:r>
      <w:r>
        <w:t xml:space="preserve"> that supported patients discharged from hospital</w:t>
      </w:r>
      <w:r>
        <w:rPr>
          <w:rFonts w:eastAsia="MS ??"/>
          <w:color w:val="000000"/>
        </w:rPr>
        <w:t>.</w:t>
      </w:r>
      <w:r>
        <w:rPr>
          <w:color w:val="010202"/>
        </w:rPr>
        <w:t xml:space="preserve"> </w:t>
      </w:r>
      <w:r w:rsidR="0094025C">
        <w:rPr>
          <w:color w:val="010202"/>
        </w:rPr>
        <w:t xml:space="preserve"> </w:t>
      </w:r>
    </w:p>
    <w:p w14:paraId="67C9EC19" w14:textId="77777777" w:rsidR="006947B4" w:rsidRDefault="006947B4" w:rsidP="00DA22EF">
      <w:pPr>
        <w:rPr>
          <w:lang w:val="en-AU"/>
        </w:rPr>
      </w:pPr>
    </w:p>
    <w:p w14:paraId="48737763" w14:textId="031D5072" w:rsidR="004D2901" w:rsidRDefault="000D61F8" w:rsidP="00422FBB">
      <w:pPr>
        <w:widowControl/>
        <w:contextualSpacing/>
      </w:pPr>
      <w:r w:rsidRPr="000D61F8">
        <w:rPr>
          <w:lang w:val="en-GB"/>
        </w:rPr>
        <w:lastRenderedPageBreak/>
        <w:t>Primary expected outcomes include</w:t>
      </w:r>
      <w:r w:rsidR="00CD6592">
        <w:rPr>
          <w:lang w:val="en-GB"/>
        </w:rPr>
        <w:t>d</w:t>
      </w:r>
      <w:r w:rsidRPr="000D61F8">
        <w:rPr>
          <w:lang w:val="en-GB"/>
        </w:rPr>
        <w:t xml:space="preserve"> improvements in </w:t>
      </w:r>
      <w:r w:rsidR="00A64FA5">
        <w:rPr>
          <w:lang w:val="en-GB"/>
        </w:rPr>
        <w:t>clinical endpoints</w:t>
      </w:r>
      <w:r w:rsidRPr="000D61F8">
        <w:rPr>
          <w:lang w:val="en-GB"/>
        </w:rPr>
        <w:t xml:space="preserve"> (glycated haemoglobin, systolic and diastolic blood pressure, lipids, cardiovascular risk, </w:t>
      </w:r>
      <w:proofErr w:type="spellStart"/>
      <w:r w:rsidRPr="000D61F8">
        <w:rPr>
          <w:lang w:val="en-GB"/>
        </w:rPr>
        <w:t>albumin</w:t>
      </w:r>
      <w:r w:rsidR="00CD6592">
        <w:rPr>
          <w:lang w:val="en-GB"/>
        </w:rPr>
        <w:t>:</w:t>
      </w:r>
      <w:r w:rsidRPr="000D61F8">
        <w:rPr>
          <w:lang w:val="en-GB"/>
        </w:rPr>
        <w:t>creatinine</w:t>
      </w:r>
      <w:proofErr w:type="spellEnd"/>
      <w:r w:rsidRPr="000D61F8">
        <w:rPr>
          <w:lang w:val="en-GB"/>
        </w:rPr>
        <w:t xml:space="preserve"> ratio) from baseline to end of study. Expected secondary outcomes include</w:t>
      </w:r>
      <w:r w:rsidR="00CD6592">
        <w:rPr>
          <w:lang w:val="en-GB"/>
        </w:rPr>
        <w:t>d</w:t>
      </w:r>
      <w:r w:rsidRPr="000D61F8">
        <w:rPr>
          <w:lang w:val="en-GB"/>
        </w:rPr>
        <w:t xml:space="preserve"> improvements in estimated glomerular filtration rate, prescribing indices </w:t>
      </w:r>
      <w:r w:rsidR="00BC19F5">
        <w:rPr>
          <w:lang w:val="en-GB"/>
        </w:rPr>
        <w:t>[</w:t>
      </w:r>
      <w:r w:rsidR="00494CA3">
        <w:rPr>
          <w:lang w:val="en-GB"/>
        </w:rPr>
        <w:t xml:space="preserve">medication </w:t>
      </w:r>
      <w:r w:rsidRPr="000D61F8">
        <w:rPr>
          <w:lang w:val="en-GB"/>
        </w:rPr>
        <w:t>appropriateness</w:t>
      </w:r>
      <w:r w:rsidR="00494CA3">
        <w:rPr>
          <w:lang w:val="en-GB"/>
        </w:rPr>
        <w:t xml:space="preserve"> index</w:t>
      </w:r>
      <w:r w:rsidR="00BC19F5">
        <w:rPr>
          <w:lang w:val="en-GB"/>
        </w:rPr>
        <w:t xml:space="preserve"> (MAI)</w:t>
      </w:r>
      <w:r w:rsidRPr="000D61F8">
        <w:rPr>
          <w:lang w:val="en-GB"/>
        </w:rPr>
        <w:t xml:space="preserve">, </w:t>
      </w:r>
      <w:r w:rsidR="00494CA3">
        <w:rPr>
          <w:lang w:val="en-GB"/>
        </w:rPr>
        <w:t xml:space="preserve">measures of medication </w:t>
      </w:r>
      <w:r w:rsidRPr="000D61F8">
        <w:rPr>
          <w:lang w:val="en-GB"/>
        </w:rPr>
        <w:t>overuse</w:t>
      </w:r>
      <w:r w:rsidR="00BC19F5">
        <w:rPr>
          <w:lang w:val="en-GB"/>
        </w:rPr>
        <w:t xml:space="preserve"> defined by the MAI,</w:t>
      </w:r>
      <w:r w:rsidRPr="000D61F8">
        <w:rPr>
          <w:lang w:val="en-GB"/>
        </w:rPr>
        <w:t xml:space="preserve"> and underuse</w:t>
      </w:r>
      <w:r w:rsidR="00BC19F5">
        <w:rPr>
          <w:lang w:val="en-GB"/>
        </w:rPr>
        <w:t xml:space="preserve"> defined as potential prescribing omissions based on clinical practice guidelines</w:t>
      </w:r>
      <w:r w:rsidR="008636E8">
        <w:rPr>
          <w:lang w:val="en-GB"/>
        </w:rPr>
        <w:t>]</w:t>
      </w:r>
      <w:r w:rsidRPr="000D61F8">
        <w:rPr>
          <w:lang w:val="en-GB"/>
        </w:rPr>
        <w:t xml:space="preserve">, </w:t>
      </w:r>
      <w:r w:rsidR="008636E8">
        <w:rPr>
          <w:lang w:val="en-GB"/>
        </w:rPr>
        <w:t xml:space="preserve">self-reported measures of </w:t>
      </w:r>
      <w:r w:rsidRPr="000D61F8">
        <w:rPr>
          <w:lang w:val="en-GB"/>
        </w:rPr>
        <w:t>medication adherence, self-assessed health</w:t>
      </w:r>
      <w:r w:rsidR="00494CA3">
        <w:rPr>
          <w:lang w:val="en-GB"/>
        </w:rPr>
        <w:t xml:space="preserve"> status</w:t>
      </w:r>
      <w:r w:rsidRPr="000D61F8">
        <w:rPr>
          <w:lang w:val="en-GB"/>
        </w:rPr>
        <w:t>, and health service utilisation indices</w:t>
      </w:r>
      <w:r w:rsidR="00744CEA">
        <w:rPr>
          <w:lang w:val="en-GB"/>
        </w:rPr>
        <w:t xml:space="preserve"> such as Medicare Benefits </w:t>
      </w:r>
      <w:r w:rsidR="009704C5">
        <w:rPr>
          <w:lang w:val="en-GB"/>
        </w:rPr>
        <w:t>Schedule</w:t>
      </w:r>
      <w:r w:rsidR="00744CEA">
        <w:rPr>
          <w:lang w:val="en-GB"/>
        </w:rPr>
        <w:t xml:space="preserve"> claims</w:t>
      </w:r>
      <w:r w:rsidRPr="000D61F8">
        <w:rPr>
          <w:lang w:val="en-GB"/>
        </w:rPr>
        <w:t xml:space="preserve">. A qualitative assessment of stakeholder and patient perceptions </w:t>
      </w:r>
      <w:r w:rsidR="00ED1BFC">
        <w:rPr>
          <w:lang w:val="en-GB"/>
        </w:rPr>
        <w:t xml:space="preserve">was </w:t>
      </w:r>
      <w:r w:rsidR="001D4176">
        <w:rPr>
          <w:lang w:val="en-GB"/>
        </w:rPr>
        <w:t xml:space="preserve">also </w:t>
      </w:r>
      <w:r w:rsidR="00ED1BFC">
        <w:rPr>
          <w:lang w:val="en-GB"/>
        </w:rPr>
        <w:t xml:space="preserve">undertaken. Economic analysis included a cost-consequences analysis </w:t>
      </w:r>
      <w:r w:rsidRPr="000D61F8">
        <w:rPr>
          <w:lang w:val="en-GB"/>
        </w:rPr>
        <w:t xml:space="preserve">and a </w:t>
      </w:r>
      <w:r>
        <w:rPr>
          <w:lang w:val="en-GB"/>
        </w:rPr>
        <w:t>cost-effectiveness analysis.</w:t>
      </w:r>
      <w:r w:rsidR="00912287">
        <w:rPr>
          <w:lang w:val="en-GB"/>
        </w:rPr>
        <w:t xml:space="preserve"> </w:t>
      </w:r>
      <w:r w:rsidR="00ED1BFC">
        <w:rPr>
          <w:lang w:val="en-GB"/>
        </w:rPr>
        <w:t>A costs-consequence analysis was undertaken due to the</w:t>
      </w:r>
      <w:r w:rsidR="00ED1BFC" w:rsidRPr="005C54C8">
        <w:t xml:space="preserve"> complex </w:t>
      </w:r>
      <w:r w:rsidR="00ED1BFC">
        <w:t xml:space="preserve">nature of the </w:t>
      </w:r>
      <w:r w:rsidR="00ED1BFC" w:rsidRPr="005C54C8">
        <w:t>intervention</w:t>
      </w:r>
      <w:r w:rsidR="00ED1BFC">
        <w:t xml:space="preserve"> </w:t>
      </w:r>
      <w:r w:rsidR="001D4176">
        <w:t xml:space="preserve">and </w:t>
      </w:r>
      <w:r w:rsidR="00ED1BFC" w:rsidRPr="005C54C8">
        <w:t xml:space="preserve">multiple </w:t>
      </w:r>
      <w:r w:rsidR="00ED1BFC">
        <w:t>outcome measures</w:t>
      </w:r>
      <w:r w:rsidR="00ED1BFC" w:rsidRPr="005C54C8">
        <w:t xml:space="preserve"> that are difficult to measure in a common unit</w:t>
      </w:r>
      <w:r w:rsidR="00ED1BFC">
        <w:t>.</w:t>
      </w:r>
      <w:r w:rsidR="00ED1BFC" w:rsidRPr="005C54C8">
        <w:t xml:space="preserve"> </w:t>
      </w:r>
      <w:r w:rsidR="00912287">
        <w:t>The cost-effectiveness analysis was undertaken for: (</w:t>
      </w:r>
      <w:proofErr w:type="spellStart"/>
      <w:r w:rsidR="00912287">
        <w:t>i</w:t>
      </w:r>
      <w:proofErr w:type="spellEnd"/>
      <w:r w:rsidR="00912287">
        <w:t xml:space="preserve">) participants with a clinical diagnosis of T2DM with pre- and post-measures of HbA1c and (ii) participants selected for MAI assessments at baseline and at the end of the study, with potential prescribing omissions used as the relevant outcome measure. </w:t>
      </w:r>
      <w:r w:rsidR="00E35D9A" w:rsidRPr="00E35D9A">
        <w:t xml:space="preserve"> </w:t>
      </w:r>
      <w:r w:rsidR="00E35D9A">
        <w:t>A cost-utility analysis was undertaken for participants with a clinical diagnosis of T2DM, and with pre and post-measures of HbA1c, with changes in HbA1c during the trial period being mapped to lifetime quality of life changes based on the findings of a systematic review.</w:t>
      </w:r>
      <w:r w:rsidR="00E35D9A">
        <w:rPr>
          <w:rStyle w:val="EndnoteReference"/>
        </w:rPr>
        <w:endnoteReference w:id="12"/>
      </w:r>
      <w:r w:rsidR="00E35D9A">
        <w:t xml:space="preserve">  </w:t>
      </w:r>
    </w:p>
    <w:p w14:paraId="7CB654B0" w14:textId="77777777" w:rsidR="00422FBB" w:rsidRDefault="00422FBB" w:rsidP="00422FBB">
      <w:pPr>
        <w:widowControl/>
        <w:contextualSpacing/>
        <w:rPr>
          <w:lang w:val="en-GB"/>
        </w:rPr>
      </w:pPr>
    </w:p>
    <w:p w14:paraId="2AE72015" w14:textId="6866176A" w:rsidR="00C75EF5" w:rsidRDefault="00C75EF5" w:rsidP="00FC12A1">
      <w:pPr>
        <w:pStyle w:val="Heading2"/>
      </w:pPr>
      <w:bookmarkStart w:id="18" w:name="_Toc41315603"/>
      <w:bookmarkStart w:id="19" w:name="_Toc85103765"/>
      <w:bookmarkStart w:id="20" w:name="_Toc35513597"/>
      <w:bookmarkStart w:id="21" w:name="_Toc35946588"/>
      <w:r>
        <w:t>Project Governance</w:t>
      </w:r>
      <w:bookmarkEnd w:id="18"/>
      <w:bookmarkEnd w:id="19"/>
    </w:p>
    <w:p w14:paraId="6B3C10D7" w14:textId="77777777" w:rsidR="00113D22" w:rsidRPr="00113D22" w:rsidRDefault="00113D22" w:rsidP="00695705">
      <w:pPr>
        <w:pStyle w:val="BodyText"/>
      </w:pPr>
    </w:p>
    <w:p w14:paraId="009FFA18" w14:textId="636A63E0" w:rsidR="00282727" w:rsidRDefault="00EA6069" w:rsidP="00422FBB">
      <w:r>
        <w:t>The IPAC project wa</w:t>
      </w:r>
      <w:r w:rsidRPr="00302DE4">
        <w:t xml:space="preserve">s </w:t>
      </w:r>
      <w:r>
        <w:t xml:space="preserve">conducted through </w:t>
      </w:r>
      <w:r w:rsidRPr="00302DE4">
        <w:t xml:space="preserve">a partnership between the Pharmaceutical Society of Australia (PSA), </w:t>
      </w:r>
      <w:r>
        <w:t xml:space="preserve">the National Aboriginal Community Controlled Health </w:t>
      </w:r>
      <w:proofErr w:type="spellStart"/>
      <w:r>
        <w:t>Organisation</w:t>
      </w:r>
      <w:proofErr w:type="spellEnd"/>
      <w:r>
        <w:t xml:space="preserve"> (</w:t>
      </w:r>
      <w:r w:rsidRPr="00302DE4">
        <w:t>NACCHO</w:t>
      </w:r>
      <w:r>
        <w:t>)</w:t>
      </w:r>
      <w:r w:rsidRPr="00302DE4">
        <w:t xml:space="preserve">, and James Cook University </w:t>
      </w:r>
      <w:r>
        <w:t xml:space="preserve">(JCU) </w:t>
      </w:r>
      <w:r w:rsidRPr="00302DE4">
        <w:t>College of Medicine and Dentistry, guided by a Memorandum of Understanding that outline</w:t>
      </w:r>
      <w:r>
        <w:t>d</w:t>
      </w:r>
      <w:r w:rsidRPr="00302DE4">
        <w:t xml:space="preserve"> communication and governance processes</w:t>
      </w:r>
      <w:r w:rsidR="00CA448C">
        <w:t xml:space="preserve"> which were grounded in Aboriginal and Torres Strait Islander leadership and self-determination</w:t>
      </w:r>
      <w:r w:rsidRPr="00302DE4">
        <w:t xml:space="preserve">. </w:t>
      </w:r>
    </w:p>
    <w:p w14:paraId="2596226E" w14:textId="77777777" w:rsidR="00422FBB" w:rsidRDefault="00422FBB" w:rsidP="00422FBB"/>
    <w:p w14:paraId="5AF25699" w14:textId="6141DE20" w:rsidR="00962514" w:rsidRDefault="00962514" w:rsidP="00FC12A1">
      <w:pPr>
        <w:pStyle w:val="Heading2"/>
      </w:pPr>
      <w:bookmarkStart w:id="22" w:name="_Toc35946589"/>
      <w:bookmarkStart w:id="23" w:name="_Toc40350078"/>
      <w:bookmarkStart w:id="24" w:name="_Toc40441060"/>
      <w:bookmarkStart w:id="25" w:name="_Toc41315605"/>
      <w:bookmarkStart w:id="26" w:name="_Toc85103766"/>
      <w:bookmarkEnd w:id="20"/>
      <w:bookmarkEnd w:id="21"/>
      <w:r w:rsidRPr="002A09C7">
        <w:t xml:space="preserve">ACCHS </w:t>
      </w:r>
      <w:bookmarkEnd w:id="22"/>
      <w:bookmarkEnd w:id="23"/>
      <w:bookmarkEnd w:id="24"/>
      <w:r w:rsidR="00220AFA">
        <w:t>Recruitment</w:t>
      </w:r>
      <w:bookmarkEnd w:id="25"/>
      <w:r w:rsidR="00EF3700">
        <w:t xml:space="preserve"> and Support</w:t>
      </w:r>
      <w:bookmarkEnd w:id="26"/>
    </w:p>
    <w:p w14:paraId="7A5EF57F" w14:textId="77777777" w:rsidR="00113D22" w:rsidRPr="00113D22" w:rsidRDefault="00113D22" w:rsidP="00695705">
      <w:pPr>
        <w:pStyle w:val="BodyText"/>
      </w:pPr>
    </w:p>
    <w:p w14:paraId="28869811" w14:textId="595A3C23" w:rsidR="009D41E7" w:rsidRPr="006760F0" w:rsidRDefault="0094025C" w:rsidP="006760F0">
      <w:bookmarkStart w:id="27" w:name="_Toc35946590"/>
      <w:r w:rsidRPr="006760F0">
        <w:t>NACCHO conducted a two-phase Expression of Interest (EOI) site recruitment strategy for the IPAC Project</w:t>
      </w:r>
      <w:r w:rsidR="00DA641B" w:rsidRPr="006760F0">
        <w:t xml:space="preserve">. </w:t>
      </w:r>
      <w:r w:rsidR="005F16A5" w:rsidRPr="006760F0">
        <w:t>ACCHS p</w:t>
      </w:r>
      <w:r w:rsidRPr="006760F0">
        <w:t xml:space="preserve">articipation required a formal agreement outlining the requirements of each party to the agreement, consent </w:t>
      </w:r>
      <w:r w:rsidR="00DA641B" w:rsidRPr="006760F0">
        <w:t>for</w:t>
      </w:r>
      <w:r w:rsidRPr="006760F0">
        <w:t xml:space="preserve"> ACCHS </w:t>
      </w:r>
      <w:r w:rsidR="00DA641B" w:rsidRPr="006760F0">
        <w:t xml:space="preserve">participation </w:t>
      </w:r>
      <w:r w:rsidRPr="006760F0">
        <w:t>in the IPAC Project and consent to install the GRHANITE</w:t>
      </w:r>
      <w:r w:rsidRPr="006760F0">
        <w:rPr>
          <w:vertAlign w:val="superscript"/>
        </w:rPr>
        <w:t>TM</w:t>
      </w:r>
      <w:r w:rsidRPr="006760F0">
        <w:t xml:space="preserve"> software to enable extraction of deidentified patient specific data. </w:t>
      </w:r>
    </w:p>
    <w:p w14:paraId="3BA20E38" w14:textId="4902C54C" w:rsidR="009D41E7" w:rsidRDefault="007C4010" w:rsidP="00DA22EF">
      <w:r w:rsidRPr="005C54C8">
        <w:t xml:space="preserve">ACCHSs were required to meet site inclusion criteria for the project reported </w:t>
      </w:r>
      <w:r>
        <w:t>elsewhere</w:t>
      </w:r>
      <w:r w:rsidRPr="005C54C8">
        <w:t>.</w:t>
      </w:r>
      <w:r w:rsidR="002D0773">
        <w:rPr>
          <w:rStyle w:val="EndnoteReference"/>
        </w:rPr>
        <w:endnoteReference w:id="13"/>
      </w:r>
      <w:r w:rsidRPr="005C54C8">
        <w:t xml:space="preserve"> </w:t>
      </w:r>
      <w:r w:rsidR="002D0773">
        <w:t xml:space="preserve"> </w:t>
      </w:r>
      <w:r w:rsidRPr="005C54C8">
        <w:t xml:space="preserve">For example, ACCHS </w:t>
      </w:r>
      <w:r w:rsidR="006517FA">
        <w:t xml:space="preserve">were required to </w:t>
      </w:r>
      <w:r w:rsidRPr="005C54C8">
        <w:t>have the physical space to support clinical consultations between the patient and pharmacist, to have a GP prescriber employed within the service, and pharmacist access to patient medical records (clinical information systems) and team-based care.</w:t>
      </w:r>
    </w:p>
    <w:p w14:paraId="27056A58" w14:textId="77777777" w:rsidR="00962514" w:rsidRDefault="00962514" w:rsidP="00FC12A1">
      <w:pPr>
        <w:pStyle w:val="Heading2"/>
      </w:pPr>
      <w:bookmarkStart w:id="28" w:name="_Toc40350079"/>
      <w:bookmarkStart w:id="29" w:name="_Toc40441061"/>
      <w:bookmarkStart w:id="30" w:name="_Toc41315606"/>
      <w:bookmarkStart w:id="31" w:name="_Toc85103767"/>
      <w:r w:rsidRPr="002A09C7">
        <w:lastRenderedPageBreak/>
        <w:t>Pharmacist Recruitment</w:t>
      </w:r>
      <w:bookmarkEnd w:id="27"/>
      <w:bookmarkEnd w:id="28"/>
      <w:bookmarkEnd w:id="29"/>
      <w:bookmarkEnd w:id="30"/>
      <w:bookmarkEnd w:id="31"/>
    </w:p>
    <w:p w14:paraId="742E788F" w14:textId="77777777" w:rsidR="00113D22" w:rsidRPr="00113D22" w:rsidRDefault="00113D22" w:rsidP="00695705">
      <w:pPr>
        <w:pStyle w:val="BodyText"/>
      </w:pPr>
    </w:p>
    <w:p w14:paraId="4CD83B34" w14:textId="79535AB6" w:rsidR="00122CE9" w:rsidRDefault="007557D6" w:rsidP="00E543B6">
      <w:pPr>
        <w:spacing w:after="120"/>
      </w:pPr>
      <w:r w:rsidRPr="00985A34">
        <w:t>Integrated pharmacists were selected for the IPAC trial with skills aligned to the expected scope of practice and core roles. Placements within ACCHS</w:t>
      </w:r>
      <w:r w:rsidR="00113D22">
        <w:t>s</w:t>
      </w:r>
      <w:r w:rsidRPr="00985A34">
        <w:t xml:space="preserve"> were influenced by the needs, capacity, and preparedness of ACCHSs that was assessed by NACCHO. Local community pharmacies were approached first to see if they </w:t>
      </w:r>
      <w:r w:rsidR="0040443A">
        <w:t>were able</w:t>
      </w:r>
      <w:r w:rsidRPr="005C54C8">
        <w:t xml:space="preserve"> to </w:t>
      </w:r>
      <w:r w:rsidR="0040443A">
        <w:t>offer</w:t>
      </w:r>
      <w:r w:rsidRPr="005C54C8">
        <w:t xml:space="preserve"> a pharmacist to work within the ACCHS. If community pharmacies were unable to nominate a pharmacist, or if this nomination was not accepted by the ACCHS in line with principles of self-determination,</w:t>
      </w:r>
      <w:r w:rsidR="00FC12A1">
        <w:t xml:space="preserve"> the ACCHS </w:t>
      </w:r>
      <w:r w:rsidR="00003531">
        <w:t xml:space="preserve">had the option to </w:t>
      </w:r>
      <w:r w:rsidR="00FC12A1">
        <w:t>nominate an alternate pharmacist</w:t>
      </w:r>
      <w:r w:rsidR="00553239">
        <w:t xml:space="preserve">. Where a pharmacist could not be identified by this process, </w:t>
      </w:r>
      <w:r w:rsidR="00FC12A1">
        <w:t xml:space="preserve">PSA </w:t>
      </w:r>
      <w:proofErr w:type="spellStart"/>
      <w:r w:rsidR="00FC12A1">
        <w:t>u</w:t>
      </w:r>
      <w:r w:rsidR="00003531">
        <w:t>tilised</w:t>
      </w:r>
      <w:proofErr w:type="spellEnd"/>
      <w:r w:rsidR="00FC12A1">
        <w:t xml:space="preserve"> a recruitment process involving </w:t>
      </w:r>
      <w:r w:rsidR="003F0A5B">
        <w:t xml:space="preserve">an Expression of Interest through pharmacist networks and advertising through employment platforms.  </w:t>
      </w:r>
      <w:r w:rsidR="00122CE9">
        <w:t>Pharmacists were engaged via a subcontract through community pharmacy or an employment contract with the PSA.</w:t>
      </w:r>
    </w:p>
    <w:p w14:paraId="4C3B5270" w14:textId="7C1A5F80" w:rsidR="007557D6" w:rsidRDefault="009F5B3C" w:rsidP="00E543B6">
      <w:pPr>
        <w:spacing w:after="120"/>
      </w:pPr>
      <w:r w:rsidRPr="005C54C8">
        <w:t xml:space="preserve">Respecting the principles of self-determination </w:t>
      </w:r>
      <w:r>
        <w:t>enabled the</w:t>
      </w:r>
      <w:r w:rsidRPr="005C54C8">
        <w:t xml:space="preserve"> ACCHSs </w:t>
      </w:r>
      <w:r>
        <w:t xml:space="preserve">to </w:t>
      </w:r>
      <w:r w:rsidRPr="005C54C8">
        <w:t>have control of pharmacist recruitment to ensure their ‘fitness for the service’ with respect to suitable skills and cultural safety.</w:t>
      </w:r>
      <w:r w:rsidR="00E543B6">
        <w:t xml:space="preserve"> </w:t>
      </w:r>
      <w:r w:rsidR="00122CE9">
        <w:t xml:space="preserve">Each ACCHS was responsible for making the final decision on the appointment of the pharmacist.  </w:t>
      </w:r>
      <w:r w:rsidR="007557D6" w:rsidRPr="005C54C8">
        <w:t>Analysis was not undertaken to compare outcomes arising from differential models of integrated pharmacist employment.</w:t>
      </w:r>
    </w:p>
    <w:p w14:paraId="43049470" w14:textId="755296BD" w:rsidR="005428A5" w:rsidRDefault="00A91F41" w:rsidP="005428A5">
      <w:r>
        <w:t>T</w:t>
      </w:r>
      <w:r w:rsidR="002C6EDF">
        <w:t xml:space="preserve">he project team </w:t>
      </w:r>
      <w:r w:rsidR="002C6EDF" w:rsidRPr="002D0773">
        <w:t xml:space="preserve">allocated </w:t>
      </w:r>
      <w:r w:rsidR="00003531" w:rsidRPr="002D0773">
        <w:t xml:space="preserve">a baseline of </w:t>
      </w:r>
      <w:r w:rsidR="002C6EDF" w:rsidRPr="002D0773">
        <w:t>0.</w:t>
      </w:r>
      <w:r w:rsidR="002C6EDF">
        <w:t>2 FTE to each ACCHS</w:t>
      </w:r>
      <w:r>
        <w:t xml:space="preserve"> (total 4.0 FTE) regardless of </w:t>
      </w:r>
      <w:r w:rsidR="00851D21">
        <w:t>service size,</w:t>
      </w:r>
      <w:r w:rsidR="00B1776D">
        <w:t xml:space="preserve"> </w:t>
      </w:r>
      <w:r w:rsidR="002A2C62">
        <w:t xml:space="preserve">to </w:t>
      </w:r>
      <w:r w:rsidR="00113D22">
        <w:t xml:space="preserve">contribute to </w:t>
      </w:r>
      <w:r w:rsidR="002A2C62">
        <w:t xml:space="preserve">delivery </w:t>
      </w:r>
      <w:r>
        <w:t xml:space="preserve">of core systems and health practitioner-level roles. </w:t>
      </w:r>
      <w:r w:rsidR="002C6EDF">
        <w:t xml:space="preserve"> </w:t>
      </w:r>
      <w:r>
        <w:t>T</w:t>
      </w:r>
      <w:r w:rsidR="003F0A5B">
        <w:t>he remain</w:t>
      </w:r>
      <w:r w:rsidR="002C6EDF">
        <w:t>der</w:t>
      </w:r>
      <w:r w:rsidR="003F0A5B">
        <w:t xml:space="preserve"> of the FTE</w:t>
      </w:r>
      <w:r w:rsidR="002A2C62">
        <w:t xml:space="preserve"> </w:t>
      </w:r>
      <w:r>
        <w:t>was ap</w:t>
      </w:r>
      <w:r w:rsidR="003F0A5B">
        <w:t xml:space="preserve">portioned relative to </w:t>
      </w:r>
      <w:r w:rsidR="00B1776D">
        <w:t xml:space="preserve">the </w:t>
      </w:r>
      <w:r w:rsidR="00851D21">
        <w:t xml:space="preserve">available </w:t>
      </w:r>
      <w:r w:rsidR="00B1776D">
        <w:t>FTE remaining and the total active p</w:t>
      </w:r>
      <w:r w:rsidR="003F0A5B">
        <w:t>atient numbers</w:t>
      </w:r>
      <w:r w:rsidR="00B1776D">
        <w:t xml:space="preserve"> </w:t>
      </w:r>
      <w:r>
        <w:t xml:space="preserve">of each ACCHS </w:t>
      </w:r>
      <w:r w:rsidR="00B1776D">
        <w:t>as reported via the ACCHS EOI process</w:t>
      </w:r>
      <w:r w:rsidR="002C6EDF">
        <w:t xml:space="preserve">. </w:t>
      </w:r>
      <w:r w:rsidR="002A2C62">
        <w:t xml:space="preserve"> </w:t>
      </w:r>
      <w:r>
        <w:t>Across the participating sites, t</w:t>
      </w:r>
      <w:r w:rsidR="002A2C62">
        <w:t xml:space="preserve">he </w:t>
      </w:r>
      <w:r>
        <w:t xml:space="preserve">resulting </w:t>
      </w:r>
      <w:r w:rsidR="002A2C62">
        <w:t xml:space="preserve">FTE equated to 1 FTE per 8295 active patients.  </w:t>
      </w:r>
      <w:r w:rsidR="002C6EDF">
        <w:t xml:space="preserve"> In circumstances where the ACCHS </w:t>
      </w:r>
      <w:r w:rsidR="00BE3318">
        <w:t xml:space="preserve">had limited availability of a consultation room, </w:t>
      </w:r>
      <w:r w:rsidR="00B1776D">
        <w:t xml:space="preserve"> or the pharmacist had limi</w:t>
      </w:r>
      <w:r w:rsidR="002A2C62">
        <w:t xml:space="preserve">ted hours available due to existing alternate employment arrangements, </w:t>
      </w:r>
      <w:r w:rsidR="00B1776D">
        <w:t xml:space="preserve"> there was a minor adjustment </w:t>
      </w:r>
      <w:r w:rsidR="002A2C62">
        <w:t xml:space="preserve">to the </w:t>
      </w:r>
      <w:r w:rsidR="00B1776D">
        <w:t>algorithm applied</w:t>
      </w:r>
      <w:r w:rsidR="002A2C62">
        <w:t xml:space="preserve"> to arrive at an FTE agreeable to the ACCHS and  pharmacist</w:t>
      </w:r>
      <w:r w:rsidR="00B1776D">
        <w:t xml:space="preserve">.  </w:t>
      </w:r>
      <w:r w:rsidR="005428A5">
        <w:t xml:space="preserve">Pharmacist FTE was reallocated throughout the project </w:t>
      </w:r>
      <w:r w:rsidR="00113D22">
        <w:t xml:space="preserve">in response to </w:t>
      </w:r>
      <w:r w:rsidR="005428A5">
        <w:t xml:space="preserve">pharmacist turnover and some ACCHSs not continuing with the intervention.  </w:t>
      </w:r>
      <w:r w:rsidR="005428A5" w:rsidRPr="00D140B8">
        <w:t xml:space="preserve">Reallocation of pharmacist FTE </w:t>
      </w:r>
      <w:r w:rsidR="005428A5">
        <w:t>aimed to</w:t>
      </w:r>
      <w:r w:rsidR="005C54C8">
        <w:t xml:space="preserve"> ensure service provision to enrolled patients</w:t>
      </w:r>
      <w:r w:rsidR="002A2C62">
        <w:t>.</w:t>
      </w:r>
      <w:r w:rsidR="005428A5">
        <w:t xml:space="preserve"> </w:t>
      </w:r>
    </w:p>
    <w:p w14:paraId="3B1AC1BC" w14:textId="77777777" w:rsidR="00133E5C" w:rsidRDefault="00133E5C" w:rsidP="00CF4692"/>
    <w:p w14:paraId="7939416F" w14:textId="20163ABB" w:rsidR="00043CAD" w:rsidRDefault="00043CAD" w:rsidP="00CF4692">
      <w:r w:rsidRPr="005C54C8">
        <w:t>Integrated pharmacists fulfilled the following eligibility criteria: registration with the Australian Health Practitioners Regulation Agency (</w:t>
      </w:r>
      <w:proofErr w:type="spellStart"/>
      <w:r w:rsidRPr="005C54C8">
        <w:t>Ahpra</w:t>
      </w:r>
      <w:proofErr w:type="spellEnd"/>
      <w:r w:rsidRPr="005C54C8">
        <w:t>); more than 2 years’ post-registration experience; and post-graduate clinical qualifications or demonstrated clinical experience. Accreditation to conduct an HMR was preferred, however it was not mandatory for integrated pharmacists.</w:t>
      </w:r>
      <w:r w:rsidR="00002EEB">
        <w:t xml:space="preserve"> </w:t>
      </w:r>
      <w:r w:rsidR="00133E5C" w:rsidRPr="005C54C8">
        <w:t>Pharmacists were trained by the PSA</w:t>
      </w:r>
      <w:r w:rsidR="00640613">
        <w:t xml:space="preserve"> </w:t>
      </w:r>
      <w:r w:rsidR="00133E5C" w:rsidRPr="005C54C8">
        <w:t>to deliver core roles (all within their existing scope of practice). Pharmacists were also provided with ongoing support through regular online communications and mentoring support.</w:t>
      </w:r>
    </w:p>
    <w:p w14:paraId="32631368" w14:textId="77777777" w:rsidR="007C0A41" w:rsidRDefault="007C0A41" w:rsidP="00CF4692"/>
    <w:p w14:paraId="386C9D97" w14:textId="77777777" w:rsidR="00695705" w:rsidRDefault="00695705" w:rsidP="00CF4692"/>
    <w:p w14:paraId="03EA4FE4" w14:textId="0E3DF77F" w:rsidR="006947B4" w:rsidRDefault="006947B4" w:rsidP="00FC12A1">
      <w:pPr>
        <w:pStyle w:val="Heading2"/>
      </w:pPr>
      <w:bookmarkStart w:id="32" w:name="_Toc35513587"/>
      <w:bookmarkStart w:id="33" w:name="_Toc35946592"/>
      <w:bookmarkStart w:id="34" w:name="_Toc40350082"/>
      <w:bookmarkStart w:id="35" w:name="_Toc40441064"/>
      <w:bookmarkStart w:id="36" w:name="_Toc41315607"/>
      <w:bookmarkStart w:id="37" w:name="_Toc85103768"/>
      <w:r>
        <w:lastRenderedPageBreak/>
        <w:t>Pa</w:t>
      </w:r>
      <w:r w:rsidR="003C48E4">
        <w:t>rticipant</w:t>
      </w:r>
      <w:bookmarkEnd w:id="32"/>
      <w:bookmarkEnd w:id="33"/>
      <w:r w:rsidR="00426BE7">
        <w:t xml:space="preserve"> recruitment</w:t>
      </w:r>
      <w:bookmarkEnd w:id="34"/>
      <w:bookmarkEnd w:id="35"/>
      <w:bookmarkEnd w:id="36"/>
      <w:bookmarkEnd w:id="37"/>
    </w:p>
    <w:p w14:paraId="2B0DF2A5" w14:textId="77777777" w:rsidR="00113D22" w:rsidRPr="00695705" w:rsidRDefault="00113D22" w:rsidP="00695705">
      <w:pPr>
        <w:pStyle w:val="BodyText"/>
        <w:rPr>
          <w:rFonts w:eastAsiaTheme="majorEastAsia"/>
        </w:rPr>
      </w:pPr>
    </w:p>
    <w:p w14:paraId="4F079F64" w14:textId="79B509DC" w:rsidR="001B7E10" w:rsidRDefault="001B7E10" w:rsidP="00DA22EF">
      <w:pPr>
        <w:rPr>
          <w:rFonts w:eastAsia="Times New Roman" w:cs="Times New Roman"/>
          <w:lang w:val="en-AU"/>
        </w:rPr>
      </w:pPr>
      <w:bookmarkStart w:id="38" w:name="_Toc35946584"/>
      <w:bookmarkStart w:id="39" w:name="_Toc40350083"/>
      <w:r>
        <w:t xml:space="preserve">Participant inclusion criteria comprised patients with chronic disease who had visited a participating ACCHS at least three times in the past two years relative to the recruitment date into the study (known as ‘active’ or ‘regular’ patients). </w:t>
      </w:r>
      <w:r w:rsidR="00195560">
        <w:t xml:space="preserve">Patients could consent to participate if they </w:t>
      </w:r>
      <w:r>
        <w:t>were aged 18 years and over and had a diagnosis of:</w:t>
      </w:r>
    </w:p>
    <w:p w14:paraId="727A96B1" w14:textId="77777777" w:rsidR="001B7E10" w:rsidRDefault="001B7E10" w:rsidP="00DA22EF">
      <w:pPr>
        <w:pStyle w:val="ListParagraph"/>
        <w:numPr>
          <w:ilvl w:val="0"/>
          <w:numId w:val="20"/>
        </w:numPr>
      </w:pPr>
      <w:r>
        <w:t xml:space="preserve">Cardiovascular (CV) disease (coronary heart disease, stroke, hypertension, </w:t>
      </w:r>
      <w:proofErr w:type="spellStart"/>
      <w:r>
        <w:t>dyslipidaemia</w:t>
      </w:r>
      <w:proofErr w:type="spellEnd"/>
      <w:r>
        <w:t xml:space="preserve"> and any other CV disease),</w:t>
      </w:r>
    </w:p>
    <w:p w14:paraId="63F3FC8F" w14:textId="77777777" w:rsidR="001B7E10" w:rsidRDefault="001B7E10" w:rsidP="00DA22EF">
      <w:pPr>
        <w:pStyle w:val="ListParagraph"/>
        <w:numPr>
          <w:ilvl w:val="0"/>
          <w:numId w:val="20"/>
        </w:numPr>
      </w:pPr>
      <w:r>
        <w:t>Type 2 diabetes mellitus,</w:t>
      </w:r>
    </w:p>
    <w:p w14:paraId="222CE852" w14:textId="77777777" w:rsidR="001B7E10" w:rsidRDefault="001B7E10" w:rsidP="00DA22EF">
      <w:pPr>
        <w:pStyle w:val="ListParagraph"/>
        <w:numPr>
          <w:ilvl w:val="0"/>
          <w:numId w:val="20"/>
        </w:numPr>
      </w:pPr>
      <w:r>
        <w:t>Chronic kidney disease, or</w:t>
      </w:r>
    </w:p>
    <w:p w14:paraId="2FD95A9F" w14:textId="77777777" w:rsidR="001B7E10" w:rsidRDefault="001B7E10" w:rsidP="00DA22EF">
      <w:pPr>
        <w:pStyle w:val="ListParagraph"/>
        <w:numPr>
          <w:ilvl w:val="0"/>
          <w:numId w:val="20"/>
        </w:numPr>
      </w:pPr>
      <w:r>
        <w:t>Other chronic conditions and at high risk of developing medication-related problems (e.g. polypharmacy).</w:t>
      </w:r>
    </w:p>
    <w:p w14:paraId="40764E84" w14:textId="77777777" w:rsidR="001B7E10" w:rsidRDefault="001B7E10" w:rsidP="00DA22EF"/>
    <w:p w14:paraId="4117410E" w14:textId="3B1CC584" w:rsidR="00764ABD" w:rsidRDefault="001B7E10" w:rsidP="002D0773">
      <w:r>
        <w:t>Convenience sampling kept wi</w:t>
      </w:r>
      <w:r w:rsidR="00FA3DA0">
        <w:t>th the pragmatic project design</w:t>
      </w:r>
      <w:r w:rsidRPr="00C37469">
        <w:t>.</w:t>
      </w:r>
      <w:r>
        <w:t xml:space="preserve"> Referral and consent processes were developed in consultation with each ACCHS to ensure they were culturally appropriate for the individual site. The </w:t>
      </w:r>
      <w:r w:rsidR="00CA448C">
        <w:t xml:space="preserve">integrated </w:t>
      </w:r>
      <w:r w:rsidR="00C37469">
        <w:t>p</w:t>
      </w:r>
      <w:r>
        <w:t>harmacist recorded consent in the ACCHS’ clinical information system (CIS). Participants were able to withdraw from the study at any time.</w:t>
      </w:r>
    </w:p>
    <w:p w14:paraId="54B05162" w14:textId="77777777" w:rsidR="00695705" w:rsidRDefault="00695705" w:rsidP="002D0773"/>
    <w:p w14:paraId="1A5257AC" w14:textId="08E48036" w:rsidR="00B336C7" w:rsidRDefault="00764ABD" w:rsidP="00FC12A1">
      <w:pPr>
        <w:pStyle w:val="Heading2"/>
      </w:pPr>
      <w:bookmarkStart w:id="40" w:name="_Toc85103769"/>
      <w:r>
        <w:t>Pharmacist roles</w:t>
      </w:r>
      <w:bookmarkEnd w:id="40"/>
    </w:p>
    <w:p w14:paraId="1AF9A44E" w14:textId="77777777" w:rsidR="00113D22" w:rsidRPr="00113D22" w:rsidRDefault="00113D22" w:rsidP="00695705">
      <w:pPr>
        <w:pStyle w:val="BodyText"/>
      </w:pPr>
    </w:p>
    <w:p w14:paraId="5375D85F" w14:textId="374F2BED" w:rsidR="00764ABD" w:rsidRDefault="00764ABD" w:rsidP="005C5554">
      <w:r w:rsidRPr="005C5554">
        <w:t xml:space="preserve">Integrated pharmacists functioned within existing and usual primary health care service delivery systems and focused on pre-determined core roles that included providing medication management reviews; assessing participant adherence and medication appropriateness; providing medicines information and education and training; collaborating with healthcare teams; delivering preventive care; liaising with stakeholders and developing stakeholder liaison plans; providing transitional care; and undertaking a drug </w:t>
      </w:r>
      <w:proofErr w:type="spellStart"/>
      <w:r w:rsidRPr="005C5554">
        <w:t>utilisation</w:t>
      </w:r>
      <w:proofErr w:type="spellEnd"/>
      <w:r w:rsidRPr="005C5554">
        <w:t xml:space="preserve"> review. Pharmacists’ worked with ACCHSs to apply the roles to their individual setting to ensure the intervention was </w:t>
      </w:r>
      <w:r w:rsidR="00142ECD">
        <w:t>context specific</w:t>
      </w:r>
      <w:r w:rsidRPr="005C5554">
        <w:t>.</w:t>
      </w:r>
    </w:p>
    <w:p w14:paraId="37F37176" w14:textId="77777777" w:rsidR="00113D22" w:rsidRDefault="00113D22" w:rsidP="005C5554"/>
    <w:p w14:paraId="5A5E89D8" w14:textId="45B18793" w:rsidR="00764ABD" w:rsidRDefault="00B71F5F" w:rsidP="00FC12A1">
      <w:pPr>
        <w:pStyle w:val="Heading2"/>
      </w:pPr>
      <w:bookmarkStart w:id="41" w:name="_Toc85103770"/>
      <w:bookmarkEnd w:id="38"/>
      <w:bookmarkEnd w:id="39"/>
      <w:r>
        <w:t>Integration model</w:t>
      </w:r>
      <w:bookmarkEnd w:id="41"/>
    </w:p>
    <w:p w14:paraId="76211089" w14:textId="77777777" w:rsidR="00113D22" w:rsidRPr="00113D22" w:rsidRDefault="00113D22" w:rsidP="00695705">
      <w:pPr>
        <w:pStyle w:val="BodyText"/>
      </w:pPr>
    </w:p>
    <w:p w14:paraId="46AAE63F" w14:textId="0C79BA63" w:rsidR="00B71F5F" w:rsidRDefault="00B71F5F" w:rsidP="005C5554">
      <w:r w:rsidRPr="005C5554">
        <w:t>Pharmacists were integrated within ACCHSs with identified positions and core roles; had shared access to clinical information systems; provided continuous clinical care to patients, particularly on-site within the clinic setting; received administrative and other supports from primary health care staff; and adhered to the governance, cultural, and clinical protocols within ACCHSs as part of their shared vision.</w:t>
      </w:r>
    </w:p>
    <w:p w14:paraId="04B2B84E" w14:textId="77777777" w:rsidR="00B71F5F" w:rsidRPr="00B71F5F" w:rsidRDefault="00B71F5F" w:rsidP="005C5554">
      <w:pPr>
        <w:pStyle w:val="BodyText"/>
      </w:pPr>
    </w:p>
    <w:p w14:paraId="1F75BE23" w14:textId="192277E7" w:rsidR="00B336C7" w:rsidRDefault="00B336C7" w:rsidP="00FC12A1">
      <w:pPr>
        <w:pStyle w:val="Heading2"/>
      </w:pPr>
      <w:bookmarkStart w:id="42" w:name="_Toc85103771"/>
      <w:r w:rsidRPr="00B61DAC">
        <w:lastRenderedPageBreak/>
        <w:t>Ethics approval</w:t>
      </w:r>
      <w:bookmarkEnd w:id="42"/>
    </w:p>
    <w:p w14:paraId="71C04CE8" w14:textId="77777777" w:rsidR="00113D22" w:rsidRPr="00113D22" w:rsidRDefault="00113D22" w:rsidP="00695705">
      <w:pPr>
        <w:pStyle w:val="BodyText"/>
      </w:pPr>
    </w:p>
    <w:p w14:paraId="030C0216" w14:textId="77777777" w:rsidR="00B336C7" w:rsidRDefault="00B336C7" w:rsidP="00282727">
      <w:r>
        <w:t>Ethics approval for the project was received from four ethics committees in the three jurisdictions including St Vincent’s Hospital Melbourne (SVHM) Human Research Ethics Committee (HREC), Victoria (HREC/17/SVHM/280), James Cook University HREC (mutual recognition of SVHM HREC, approval HREC/H7348), Menzies School of Health Research (HREC/2018-3072) and the Central Australian HREC (HREC/CA-18-3085).</w:t>
      </w:r>
    </w:p>
    <w:p w14:paraId="07D78C33" w14:textId="77777777" w:rsidR="006947B4" w:rsidRDefault="001A0960" w:rsidP="00DA22EF">
      <w:pPr>
        <w:widowControl/>
        <w:rPr>
          <w:rFonts w:cstheme="minorHAnsi"/>
        </w:rPr>
      </w:pPr>
      <w:r>
        <w:br w:type="page"/>
      </w:r>
    </w:p>
    <w:p w14:paraId="35B7F4EC" w14:textId="77777777" w:rsidR="00CE04F1" w:rsidRDefault="00CE04F1" w:rsidP="00FC12A1">
      <w:pPr>
        <w:pStyle w:val="Heading1"/>
      </w:pPr>
      <w:bookmarkStart w:id="43" w:name="_Toc40350110"/>
      <w:bookmarkStart w:id="44" w:name="_Toc40441092"/>
      <w:bookmarkStart w:id="45" w:name="_Toc41315634"/>
      <w:bookmarkStart w:id="46" w:name="_Toc85103772"/>
      <w:r>
        <w:lastRenderedPageBreak/>
        <w:t>Results</w:t>
      </w:r>
      <w:bookmarkEnd w:id="43"/>
      <w:bookmarkEnd w:id="44"/>
      <w:bookmarkEnd w:id="45"/>
      <w:bookmarkEnd w:id="46"/>
    </w:p>
    <w:p w14:paraId="6D3BDEB8" w14:textId="77777777" w:rsidR="007327B5" w:rsidRDefault="007327B5" w:rsidP="00DA22EF">
      <w:pPr>
        <w:rPr>
          <w:rFonts w:asciiTheme="majorHAnsi" w:hAnsiTheme="majorHAnsi" w:cstheme="majorHAnsi"/>
        </w:rPr>
      </w:pPr>
    </w:p>
    <w:p w14:paraId="17B7A1AB" w14:textId="4124DB0D" w:rsidR="001D04BE" w:rsidRDefault="002D3EC5" w:rsidP="001D04BE">
      <w:r>
        <w:t>Registered pharmacists were integrated within the primary healthcare teams of 18 ACCHSs for up to 15-months from 2</w:t>
      </w:r>
      <w:r>
        <w:rPr>
          <w:vertAlign w:val="superscript"/>
        </w:rPr>
        <w:t>nd</w:t>
      </w:r>
      <w:r>
        <w:t xml:space="preserve"> August 2018 to 31</w:t>
      </w:r>
      <w:r>
        <w:rPr>
          <w:vertAlign w:val="superscript"/>
        </w:rPr>
        <w:t>st</w:t>
      </w:r>
      <w:r>
        <w:t xml:space="preserve"> October 2019. </w:t>
      </w:r>
      <w:r w:rsidR="001D04BE">
        <w:t>Initially, t</w:t>
      </w:r>
      <w:r w:rsidR="001D04BE" w:rsidRPr="006760F0">
        <w:t>wenty ACCHSs commenced delivering the pharmacist intervention</w:t>
      </w:r>
      <w:r w:rsidR="001D04BE">
        <w:t xml:space="preserve">, but one </w:t>
      </w:r>
      <w:r w:rsidR="001D04BE" w:rsidRPr="006760F0">
        <w:t>ACCHS withdrew due to the unexpected workload placed on other staff due to the pharmacist’s recommendations and activities, in an already busy period where staff shortages were ongoing.  Another ACCHS chose to discontinue with the intervention after 6 months of activity, when their pharmacist resigned for personal reasons</w:t>
      </w:r>
      <w:r w:rsidR="001D04BE">
        <w:t>; t</w:t>
      </w:r>
      <w:r w:rsidR="001D04BE" w:rsidRPr="006760F0">
        <w:t xml:space="preserve">here were </w:t>
      </w:r>
      <w:r w:rsidR="001D04BE">
        <w:t>insufficient</w:t>
      </w:r>
      <w:r w:rsidR="001D04BE" w:rsidRPr="006760F0">
        <w:t xml:space="preserve"> patient numbers at the ACCHS </w:t>
      </w:r>
      <w:r w:rsidR="001D04BE">
        <w:t>to warrant</w:t>
      </w:r>
      <w:r w:rsidR="001D04BE" w:rsidRPr="006760F0">
        <w:t xml:space="preserve"> re-recruitment </w:t>
      </w:r>
      <w:r w:rsidR="001D04BE">
        <w:t>of a pharmacist</w:t>
      </w:r>
      <w:r w:rsidR="001D04BE" w:rsidRPr="006760F0">
        <w:t xml:space="preserve"> for the remaining project duration.</w:t>
      </w:r>
      <w:r w:rsidR="001D04BE">
        <w:t xml:space="preserve"> Eighteen ACCHSs completed the intervention and were well distributed across urban, </w:t>
      </w:r>
      <w:proofErr w:type="gramStart"/>
      <w:r w:rsidR="001D04BE">
        <w:t>regional</w:t>
      </w:r>
      <w:proofErr w:type="gramEnd"/>
      <w:r w:rsidR="001D04BE">
        <w:t xml:space="preserve"> and remote settings (Table 1).</w:t>
      </w:r>
    </w:p>
    <w:p w14:paraId="7AC1DD55" w14:textId="77777777" w:rsidR="001D04BE" w:rsidRDefault="001D04BE" w:rsidP="001D04BE">
      <w:pPr>
        <w:widowControl/>
        <w:spacing w:line="240" w:lineRule="auto"/>
        <w:jc w:val="left"/>
      </w:pPr>
    </w:p>
    <w:p w14:paraId="7A54F944" w14:textId="77777777" w:rsidR="001D04BE" w:rsidRDefault="001D04BE" w:rsidP="001D04BE">
      <w:pPr>
        <w:pStyle w:val="TableParagraph"/>
      </w:pPr>
      <w:bookmarkStart w:id="47" w:name="_Toc85103783"/>
      <w:r>
        <w:t>Table 1.  Distribution of ACCHSs by setting and jurisdiction.</w:t>
      </w:r>
      <w:bookmarkEnd w:id="47"/>
    </w:p>
    <w:tbl>
      <w:tblPr>
        <w:tblW w:w="5000" w:type="pct"/>
        <w:tblCellMar>
          <w:left w:w="0" w:type="dxa"/>
          <w:right w:w="0" w:type="dxa"/>
        </w:tblCellMar>
        <w:tblLook w:val="04A0" w:firstRow="1" w:lastRow="0" w:firstColumn="1" w:lastColumn="0" w:noHBand="0" w:noVBand="1"/>
      </w:tblPr>
      <w:tblGrid>
        <w:gridCol w:w="2400"/>
        <w:gridCol w:w="1804"/>
        <w:gridCol w:w="1805"/>
        <w:gridCol w:w="1805"/>
        <w:gridCol w:w="1805"/>
      </w:tblGrid>
      <w:tr w:rsidR="001D04BE" w14:paraId="444EE0FB" w14:textId="77777777" w:rsidTr="005C54C8">
        <w:trPr>
          <w:trHeight w:val="320"/>
        </w:trPr>
        <w:tc>
          <w:tcPr>
            <w:tcW w:w="1248"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EB9B6B" w14:textId="77777777" w:rsidR="001D04BE" w:rsidRDefault="001D04BE" w:rsidP="005C54C8">
            <w:pPr>
              <w:rPr>
                <w:rFonts w:cs="Calibri"/>
                <w:color w:val="000000"/>
                <w:sz w:val="24"/>
                <w:szCs w:val="24"/>
                <w:lang w:val="en-AU" w:eastAsia="en-AU"/>
              </w:rPr>
            </w:pPr>
            <w:r>
              <w:rPr>
                <w:color w:val="000000"/>
                <w:sz w:val="24"/>
                <w:szCs w:val="24"/>
                <w:lang w:eastAsia="en-AU"/>
              </w:rPr>
              <w:t> </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B61922" w14:textId="77777777" w:rsidR="001D04BE" w:rsidRDefault="001D04BE" w:rsidP="005C54C8">
            <w:pPr>
              <w:jc w:val="center"/>
              <w:rPr>
                <w:color w:val="000000"/>
                <w:sz w:val="24"/>
                <w:szCs w:val="24"/>
                <w:lang w:eastAsia="en-AU"/>
              </w:rPr>
            </w:pPr>
            <w:r>
              <w:rPr>
                <w:color w:val="000000"/>
                <w:sz w:val="24"/>
                <w:szCs w:val="24"/>
                <w:lang w:eastAsia="en-AU"/>
              </w:rPr>
              <w:t>Urban</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EF0F35" w14:textId="77777777" w:rsidR="001D04BE" w:rsidRDefault="001D04BE" w:rsidP="005C54C8">
            <w:pPr>
              <w:jc w:val="center"/>
              <w:rPr>
                <w:color w:val="000000"/>
                <w:sz w:val="24"/>
                <w:szCs w:val="24"/>
                <w:lang w:eastAsia="en-AU"/>
              </w:rPr>
            </w:pPr>
            <w:r>
              <w:rPr>
                <w:color w:val="000000"/>
                <w:sz w:val="24"/>
                <w:szCs w:val="24"/>
                <w:lang w:eastAsia="en-AU"/>
              </w:rPr>
              <w:t>Regional</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B2746C8" w14:textId="77777777" w:rsidR="001D04BE" w:rsidRDefault="001D04BE" w:rsidP="005C54C8">
            <w:pPr>
              <w:jc w:val="center"/>
              <w:rPr>
                <w:color w:val="000000"/>
                <w:sz w:val="24"/>
                <w:szCs w:val="24"/>
                <w:lang w:eastAsia="en-AU"/>
              </w:rPr>
            </w:pPr>
            <w:r>
              <w:rPr>
                <w:color w:val="000000"/>
                <w:sz w:val="24"/>
                <w:szCs w:val="24"/>
                <w:lang w:eastAsia="en-AU"/>
              </w:rPr>
              <w:t>Remote</w:t>
            </w:r>
          </w:p>
        </w:tc>
        <w:tc>
          <w:tcPr>
            <w:tcW w:w="938"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CD36177" w14:textId="77777777" w:rsidR="001D04BE" w:rsidRDefault="001D04BE" w:rsidP="005C54C8">
            <w:pPr>
              <w:jc w:val="center"/>
              <w:rPr>
                <w:b/>
                <w:bCs/>
                <w:color w:val="000000"/>
                <w:sz w:val="24"/>
                <w:szCs w:val="24"/>
                <w:lang w:eastAsia="en-AU"/>
              </w:rPr>
            </w:pPr>
            <w:r>
              <w:rPr>
                <w:b/>
                <w:bCs/>
                <w:color w:val="000000"/>
                <w:sz w:val="24"/>
                <w:szCs w:val="24"/>
                <w:lang w:eastAsia="en-AU"/>
              </w:rPr>
              <w:t>Total</w:t>
            </w:r>
          </w:p>
        </w:tc>
      </w:tr>
      <w:tr w:rsidR="001D04BE" w14:paraId="4CB19F25" w14:textId="77777777" w:rsidTr="005C54C8">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19D35A" w14:textId="77777777" w:rsidR="001D04BE" w:rsidRPr="00752E49" w:rsidRDefault="001D04BE" w:rsidP="005C54C8">
            <w:pPr>
              <w:rPr>
                <w:color w:val="000000"/>
                <w:sz w:val="24"/>
                <w:szCs w:val="24"/>
                <w:lang w:eastAsia="en-AU"/>
              </w:rPr>
            </w:pPr>
            <w:r w:rsidRPr="00752E49">
              <w:rPr>
                <w:color w:val="000000"/>
                <w:sz w:val="24"/>
                <w:szCs w:val="24"/>
                <w:lang w:eastAsia="en-AU"/>
              </w:rPr>
              <w:t>Northern Territory</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CDF92F" w14:textId="77777777" w:rsidR="001D04BE" w:rsidRPr="00752E49" w:rsidRDefault="001D04BE" w:rsidP="005C54C8">
            <w:pPr>
              <w:jc w:val="center"/>
              <w:rPr>
                <w:color w:val="000000"/>
                <w:sz w:val="24"/>
                <w:szCs w:val="24"/>
                <w:lang w:eastAsia="en-AU"/>
              </w:rPr>
            </w:pPr>
            <w:r>
              <w:rPr>
                <w:color w:val="000000"/>
                <w:sz w:val="24"/>
                <w:szCs w:val="24"/>
                <w:lang w:eastAsia="en-AU"/>
              </w:rPr>
              <w:t>0</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D89F1" w14:textId="77777777" w:rsidR="001D04BE" w:rsidRPr="00752E49" w:rsidRDefault="001D04BE" w:rsidP="005C54C8">
            <w:pPr>
              <w:jc w:val="center"/>
              <w:rPr>
                <w:color w:val="000000"/>
                <w:sz w:val="24"/>
                <w:szCs w:val="24"/>
                <w:lang w:eastAsia="en-AU"/>
              </w:rPr>
            </w:pPr>
            <w:r w:rsidRPr="00752E49">
              <w:rPr>
                <w:color w:val="000000"/>
                <w:sz w:val="24"/>
                <w:szCs w:val="24"/>
                <w:lang w:eastAsia="en-AU"/>
              </w:rPr>
              <w:t>1</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1C4C9" w14:textId="77777777" w:rsidR="001D04BE" w:rsidRPr="00752E49" w:rsidRDefault="001D04BE" w:rsidP="005C54C8">
            <w:pPr>
              <w:jc w:val="center"/>
              <w:rPr>
                <w:color w:val="000000"/>
                <w:sz w:val="24"/>
                <w:szCs w:val="24"/>
                <w:lang w:eastAsia="en-AU"/>
              </w:rPr>
            </w:pPr>
            <w:r>
              <w:rPr>
                <w:color w:val="000000"/>
                <w:sz w:val="24"/>
                <w:szCs w:val="24"/>
                <w:lang w:eastAsia="en-AU"/>
              </w:rPr>
              <w:t>4</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E70B84" w14:textId="77777777" w:rsidR="001D04BE" w:rsidRPr="00752E49" w:rsidRDefault="001D04BE" w:rsidP="005C54C8">
            <w:pPr>
              <w:jc w:val="center"/>
              <w:rPr>
                <w:bCs/>
                <w:color w:val="000000"/>
                <w:sz w:val="24"/>
                <w:szCs w:val="24"/>
                <w:lang w:eastAsia="en-AU"/>
              </w:rPr>
            </w:pPr>
            <w:r>
              <w:rPr>
                <w:bCs/>
                <w:color w:val="000000"/>
                <w:sz w:val="24"/>
                <w:szCs w:val="24"/>
                <w:lang w:eastAsia="en-AU"/>
              </w:rPr>
              <w:t>5</w:t>
            </w:r>
          </w:p>
        </w:tc>
      </w:tr>
      <w:tr w:rsidR="001D04BE" w14:paraId="357F28AC" w14:textId="77777777" w:rsidTr="005C54C8">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332043" w14:textId="77777777" w:rsidR="001D04BE" w:rsidRPr="00752E49" w:rsidRDefault="001D04BE" w:rsidP="005C54C8">
            <w:pPr>
              <w:rPr>
                <w:bCs/>
                <w:color w:val="000000"/>
                <w:sz w:val="24"/>
                <w:szCs w:val="24"/>
                <w:lang w:eastAsia="en-AU"/>
              </w:rPr>
            </w:pPr>
            <w:r w:rsidRPr="00752E49">
              <w:rPr>
                <w:bCs/>
                <w:color w:val="000000"/>
                <w:sz w:val="24"/>
                <w:szCs w:val="24"/>
                <w:lang w:eastAsia="en-AU"/>
              </w:rPr>
              <w:t>Queensland</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6991AB" w14:textId="77777777" w:rsidR="001D04BE" w:rsidRPr="00752E49" w:rsidRDefault="001D04BE" w:rsidP="005C54C8">
            <w:pPr>
              <w:jc w:val="center"/>
              <w:rPr>
                <w:bCs/>
                <w:color w:val="000000"/>
                <w:sz w:val="24"/>
                <w:szCs w:val="24"/>
                <w:lang w:eastAsia="en-AU"/>
              </w:rPr>
            </w:pPr>
            <w:r w:rsidRPr="00752E49">
              <w:rPr>
                <w:bCs/>
                <w:color w:val="000000"/>
                <w:sz w:val="24"/>
                <w:szCs w:val="24"/>
                <w:lang w:eastAsia="en-AU"/>
              </w:rPr>
              <w:t>3</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6131A" w14:textId="77777777" w:rsidR="001D04BE" w:rsidRPr="00752E49" w:rsidRDefault="001D04BE" w:rsidP="005C54C8">
            <w:pPr>
              <w:jc w:val="center"/>
              <w:rPr>
                <w:bCs/>
                <w:color w:val="000000"/>
                <w:sz w:val="24"/>
                <w:szCs w:val="24"/>
                <w:lang w:eastAsia="en-AU"/>
              </w:rPr>
            </w:pPr>
            <w:r w:rsidRPr="00752E49">
              <w:rPr>
                <w:bCs/>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17BF50" w14:textId="77777777" w:rsidR="001D04BE" w:rsidRPr="00752E49" w:rsidRDefault="001D04BE" w:rsidP="005C54C8">
            <w:pPr>
              <w:jc w:val="center"/>
              <w:rPr>
                <w:bCs/>
                <w:color w:val="000000"/>
                <w:sz w:val="24"/>
                <w:szCs w:val="24"/>
                <w:lang w:eastAsia="en-AU"/>
              </w:rPr>
            </w:pPr>
            <w:r w:rsidRPr="00752E49">
              <w:rPr>
                <w:bCs/>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1324FF" w14:textId="77777777" w:rsidR="001D04BE" w:rsidRPr="00752E49" w:rsidRDefault="001D04BE" w:rsidP="005C54C8">
            <w:pPr>
              <w:jc w:val="center"/>
              <w:rPr>
                <w:bCs/>
                <w:color w:val="000000"/>
                <w:sz w:val="24"/>
                <w:szCs w:val="24"/>
                <w:lang w:eastAsia="en-AU"/>
              </w:rPr>
            </w:pPr>
            <w:r w:rsidRPr="00752E49">
              <w:rPr>
                <w:bCs/>
                <w:color w:val="000000"/>
                <w:sz w:val="24"/>
                <w:szCs w:val="24"/>
                <w:lang w:eastAsia="en-AU"/>
              </w:rPr>
              <w:t>7</w:t>
            </w:r>
          </w:p>
        </w:tc>
      </w:tr>
      <w:tr w:rsidR="001D04BE" w14:paraId="01796D9C" w14:textId="77777777" w:rsidTr="005C54C8">
        <w:trPr>
          <w:trHeight w:val="32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4826D3" w14:textId="77777777" w:rsidR="001D04BE" w:rsidRPr="00752E49" w:rsidRDefault="001D04BE" w:rsidP="005C54C8">
            <w:pPr>
              <w:rPr>
                <w:color w:val="000000"/>
                <w:sz w:val="24"/>
                <w:szCs w:val="24"/>
                <w:lang w:eastAsia="en-AU"/>
              </w:rPr>
            </w:pPr>
            <w:r w:rsidRPr="00752E49">
              <w:rPr>
                <w:color w:val="000000"/>
                <w:sz w:val="24"/>
                <w:szCs w:val="24"/>
                <w:lang w:eastAsia="en-AU"/>
              </w:rPr>
              <w:t>Victoria</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064C69" w14:textId="77777777" w:rsidR="001D04BE" w:rsidRPr="00752E49" w:rsidRDefault="001D04BE" w:rsidP="005C54C8">
            <w:pPr>
              <w:jc w:val="center"/>
              <w:rPr>
                <w:color w:val="000000"/>
                <w:sz w:val="24"/>
                <w:szCs w:val="24"/>
                <w:lang w:eastAsia="en-AU"/>
              </w:rPr>
            </w:pPr>
            <w:r>
              <w:rPr>
                <w:color w:val="000000"/>
                <w:sz w:val="24"/>
                <w:szCs w:val="24"/>
                <w:lang w:eastAsia="en-AU"/>
              </w:rPr>
              <w:t>2</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E373B" w14:textId="77777777" w:rsidR="001D04BE" w:rsidRPr="00752E49" w:rsidRDefault="001D04BE" w:rsidP="005C54C8">
            <w:pPr>
              <w:jc w:val="center"/>
              <w:rPr>
                <w:color w:val="000000"/>
                <w:sz w:val="24"/>
                <w:szCs w:val="24"/>
                <w:lang w:eastAsia="en-AU"/>
              </w:rPr>
            </w:pPr>
            <w:r w:rsidRPr="00752E49">
              <w:rPr>
                <w:color w:val="000000"/>
                <w:sz w:val="24"/>
                <w:szCs w:val="24"/>
                <w:lang w:eastAsia="en-AU"/>
              </w:rPr>
              <w:t>4</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89993E" w14:textId="77777777" w:rsidR="001D04BE" w:rsidRPr="00752E49" w:rsidRDefault="001D04BE" w:rsidP="005C54C8">
            <w:pPr>
              <w:jc w:val="center"/>
              <w:rPr>
                <w:color w:val="000000"/>
                <w:sz w:val="24"/>
                <w:szCs w:val="24"/>
                <w:lang w:eastAsia="en-AU"/>
              </w:rPr>
            </w:pPr>
            <w:r w:rsidRPr="00752E49">
              <w:rPr>
                <w:color w:val="000000"/>
                <w:sz w:val="24"/>
                <w:szCs w:val="24"/>
                <w:lang w:eastAsia="en-AU"/>
              </w:rPr>
              <w:t>0</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C8ABF3" w14:textId="77777777" w:rsidR="001D04BE" w:rsidRPr="00752E49" w:rsidRDefault="001D04BE" w:rsidP="005C54C8">
            <w:pPr>
              <w:jc w:val="center"/>
              <w:rPr>
                <w:bCs/>
                <w:color w:val="000000"/>
                <w:sz w:val="24"/>
                <w:szCs w:val="24"/>
                <w:lang w:eastAsia="en-AU"/>
              </w:rPr>
            </w:pPr>
            <w:r>
              <w:rPr>
                <w:bCs/>
                <w:color w:val="000000"/>
                <w:sz w:val="24"/>
                <w:szCs w:val="24"/>
                <w:lang w:eastAsia="en-AU"/>
              </w:rPr>
              <w:t>6</w:t>
            </w:r>
          </w:p>
        </w:tc>
      </w:tr>
      <w:tr w:rsidR="001D04BE" w14:paraId="188A77DF" w14:textId="77777777" w:rsidTr="005C54C8">
        <w:trPr>
          <w:trHeight w:val="300"/>
        </w:trPr>
        <w:tc>
          <w:tcPr>
            <w:tcW w:w="1248"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6EB577" w14:textId="77777777" w:rsidR="001D04BE" w:rsidRDefault="001D04BE" w:rsidP="005C54C8">
            <w:pPr>
              <w:rPr>
                <w:b/>
                <w:bCs/>
                <w:color w:val="000000"/>
                <w:sz w:val="24"/>
                <w:szCs w:val="24"/>
                <w:lang w:eastAsia="en-AU"/>
              </w:rPr>
            </w:pPr>
            <w:r>
              <w:rPr>
                <w:b/>
                <w:bCs/>
                <w:color w:val="000000"/>
                <w:sz w:val="24"/>
                <w:szCs w:val="24"/>
                <w:lang w:eastAsia="en-AU"/>
              </w:rPr>
              <w:t>Total</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346E1F" w14:textId="77777777" w:rsidR="001D04BE" w:rsidRDefault="001D04BE" w:rsidP="005C54C8">
            <w:pPr>
              <w:jc w:val="center"/>
              <w:rPr>
                <w:b/>
                <w:bCs/>
                <w:color w:val="000000"/>
                <w:sz w:val="24"/>
                <w:szCs w:val="24"/>
                <w:lang w:eastAsia="en-AU"/>
              </w:rPr>
            </w:pPr>
            <w:r>
              <w:rPr>
                <w:b/>
                <w:bCs/>
                <w:color w:val="000000"/>
                <w:sz w:val="24"/>
                <w:szCs w:val="24"/>
                <w:lang w:eastAsia="en-AU"/>
              </w:rPr>
              <w:t>5</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718314" w14:textId="77777777" w:rsidR="001D04BE" w:rsidRDefault="001D04BE" w:rsidP="005C54C8">
            <w:pPr>
              <w:jc w:val="center"/>
              <w:rPr>
                <w:b/>
                <w:bCs/>
                <w:color w:val="000000"/>
                <w:sz w:val="24"/>
                <w:szCs w:val="24"/>
                <w:lang w:eastAsia="en-AU"/>
              </w:rPr>
            </w:pPr>
            <w:r>
              <w:rPr>
                <w:b/>
                <w:bCs/>
                <w:color w:val="000000"/>
                <w:sz w:val="24"/>
                <w:szCs w:val="24"/>
                <w:lang w:eastAsia="en-AU"/>
              </w:rPr>
              <w:t>7</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BE500A" w14:textId="77777777" w:rsidR="001D04BE" w:rsidRDefault="001D04BE" w:rsidP="005C54C8">
            <w:pPr>
              <w:jc w:val="center"/>
              <w:rPr>
                <w:b/>
                <w:bCs/>
                <w:color w:val="000000"/>
                <w:sz w:val="24"/>
                <w:szCs w:val="24"/>
                <w:lang w:eastAsia="en-AU"/>
              </w:rPr>
            </w:pPr>
            <w:r>
              <w:rPr>
                <w:b/>
                <w:bCs/>
                <w:color w:val="000000"/>
                <w:sz w:val="24"/>
                <w:szCs w:val="24"/>
                <w:lang w:eastAsia="en-AU"/>
              </w:rPr>
              <w:t>6</w:t>
            </w:r>
          </w:p>
        </w:tc>
        <w:tc>
          <w:tcPr>
            <w:tcW w:w="93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1144D6" w14:textId="77777777" w:rsidR="001D04BE" w:rsidRDefault="001D04BE" w:rsidP="005C54C8">
            <w:pPr>
              <w:jc w:val="center"/>
              <w:rPr>
                <w:b/>
                <w:bCs/>
                <w:color w:val="000000"/>
                <w:sz w:val="24"/>
                <w:szCs w:val="24"/>
                <w:lang w:eastAsia="en-AU"/>
              </w:rPr>
            </w:pPr>
            <w:r>
              <w:rPr>
                <w:b/>
                <w:bCs/>
                <w:color w:val="000000"/>
                <w:sz w:val="24"/>
                <w:szCs w:val="24"/>
                <w:lang w:eastAsia="en-AU"/>
              </w:rPr>
              <w:t>18</w:t>
            </w:r>
          </w:p>
        </w:tc>
      </w:tr>
    </w:tbl>
    <w:p w14:paraId="13256D59" w14:textId="77777777" w:rsidR="001D04BE" w:rsidRPr="006760F0" w:rsidRDefault="001D04BE" w:rsidP="001D04BE"/>
    <w:p w14:paraId="0F7082A3" w14:textId="333AB683" w:rsidR="001D04BE" w:rsidRDefault="005428A5" w:rsidP="001D04BE">
      <w:pPr>
        <w:rPr>
          <w:rFonts w:asciiTheme="majorHAnsi" w:hAnsiTheme="majorHAnsi" w:cstheme="majorHAnsi"/>
        </w:rPr>
      </w:pPr>
      <w:r>
        <w:t xml:space="preserve">A total of </w:t>
      </w:r>
      <w:r w:rsidRPr="00435F89">
        <w:t xml:space="preserve">26 </w:t>
      </w:r>
      <w:r>
        <w:t xml:space="preserve">(equivalent to 12.3 full time equivalent) </w:t>
      </w:r>
      <w:r w:rsidRPr="00435F89">
        <w:t>pharmacists</w:t>
      </w:r>
      <w:r>
        <w:t xml:space="preserve"> were involved in delivering integrated services in participating ACCHSs</w:t>
      </w:r>
      <w:r w:rsidR="00C92ED7">
        <w:t xml:space="preserve"> (Table 2)</w:t>
      </w:r>
      <w:r>
        <w:t xml:space="preserve">. </w:t>
      </w:r>
    </w:p>
    <w:p w14:paraId="20CFF755" w14:textId="77777777" w:rsidR="002A608C" w:rsidRDefault="002A608C" w:rsidP="00E07BBA"/>
    <w:p w14:paraId="2E0AA9F8" w14:textId="77777777" w:rsidR="00E07BBA" w:rsidRPr="003F03B1" w:rsidRDefault="00E07BBA" w:rsidP="00E07BBA">
      <w:pPr>
        <w:pStyle w:val="TableParagraph"/>
      </w:pPr>
      <w:bookmarkStart w:id="48" w:name="_Toc85103784"/>
      <w:r w:rsidRPr="003F03B1">
        <w:t xml:space="preserve">Table </w:t>
      </w:r>
      <w:r>
        <w:t>2</w:t>
      </w:r>
      <w:r w:rsidRPr="003F03B1">
        <w:t xml:space="preserve">. </w:t>
      </w:r>
      <w:r>
        <w:t xml:space="preserve">Number of </w:t>
      </w:r>
      <w:r w:rsidRPr="003F03B1">
        <w:t>ACCHS</w:t>
      </w:r>
      <w:r>
        <w:t>s</w:t>
      </w:r>
      <w:r w:rsidRPr="003F03B1">
        <w:t xml:space="preserve"> and pharmacists via employment method </w:t>
      </w:r>
      <w:r>
        <w:t>throughout the implementation</w:t>
      </w:r>
      <w:r w:rsidRPr="003F03B1">
        <w:t xml:space="preserve"> phase</w:t>
      </w:r>
      <w:r>
        <w:t>, by jurisdiction.</w:t>
      </w:r>
      <w:bookmarkEnd w:id="48"/>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928"/>
        <w:gridCol w:w="1487"/>
        <w:gridCol w:w="1487"/>
        <w:gridCol w:w="1487"/>
        <w:gridCol w:w="1487"/>
        <w:gridCol w:w="1487"/>
      </w:tblGrid>
      <w:tr w:rsidR="00E07BBA" w:rsidRPr="009A5860" w14:paraId="63EE3434" w14:textId="77777777" w:rsidTr="005C54C8">
        <w:trPr>
          <w:trHeight w:val="712"/>
        </w:trPr>
        <w:tc>
          <w:tcPr>
            <w:tcW w:w="1928" w:type="dxa"/>
            <w:shd w:val="clear" w:color="auto" w:fill="auto"/>
            <w:noWrap/>
            <w:hideMark/>
          </w:tcPr>
          <w:p w14:paraId="6A2754B3" w14:textId="77777777" w:rsidR="00E07BBA" w:rsidRPr="003F03B1" w:rsidRDefault="00E07BBA" w:rsidP="005C54C8">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States</w:t>
            </w:r>
          </w:p>
        </w:tc>
        <w:tc>
          <w:tcPr>
            <w:tcW w:w="1487" w:type="dxa"/>
            <w:shd w:val="clear" w:color="auto" w:fill="auto"/>
            <w:hideMark/>
          </w:tcPr>
          <w:p w14:paraId="01E94D6B"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Final number of ACCHSs involved</w:t>
            </w:r>
          </w:p>
        </w:tc>
        <w:tc>
          <w:tcPr>
            <w:tcW w:w="1487" w:type="dxa"/>
            <w:shd w:val="clear" w:color="auto" w:fill="auto"/>
            <w:hideMark/>
          </w:tcPr>
          <w:p w14:paraId="6E4BB50B"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FTE Allocated</w:t>
            </w:r>
          </w:p>
        </w:tc>
        <w:tc>
          <w:tcPr>
            <w:tcW w:w="1487" w:type="dxa"/>
            <w:shd w:val="clear" w:color="auto" w:fill="auto"/>
            <w:noWrap/>
            <w:hideMark/>
          </w:tcPr>
          <w:p w14:paraId="696D6985"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Pharmacists</w:t>
            </w:r>
          </w:p>
        </w:tc>
        <w:tc>
          <w:tcPr>
            <w:tcW w:w="1487" w:type="dxa"/>
            <w:shd w:val="clear" w:color="auto" w:fill="auto"/>
            <w:noWrap/>
            <w:hideMark/>
          </w:tcPr>
          <w:p w14:paraId="25761445"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PSA employed</w:t>
            </w:r>
          </w:p>
        </w:tc>
        <w:tc>
          <w:tcPr>
            <w:tcW w:w="1487" w:type="dxa"/>
            <w:shd w:val="clear" w:color="auto" w:fill="auto"/>
            <w:noWrap/>
            <w:hideMark/>
          </w:tcPr>
          <w:p w14:paraId="3DF465B2"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Community pharmacy subcontracted pharmacists</w:t>
            </w:r>
          </w:p>
        </w:tc>
      </w:tr>
      <w:tr w:rsidR="00E07BBA" w:rsidRPr="009A5860" w14:paraId="1269D160" w14:textId="77777777" w:rsidTr="005C54C8">
        <w:trPr>
          <w:trHeight w:val="356"/>
        </w:trPr>
        <w:tc>
          <w:tcPr>
            <w:tcW w:w="1928" w:type="dxa"/>
            <w:shd w:val="clear" w:color="auto" w:fill="auto"/>
            <w:noWrap/>
            <w:hideMark/>
          </w:tcPr>
          <w:p w14:paraId="4455A73A" w14:textId="77777777" w:rsidR="00E07BBA" w:rsidRPr="003F03B1" w:rsidRDefault="00E07BBA" w:rsidP="005C54C8">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Northern Territory</w:t>
            </w:r>
          </w:p>
        </w:tc>
        <w:tc>
          <w:tcPr>
            <w:tcW w:w="1487" w:type="dxa"/>
            <w:shd w:val="clear" w:color="auto" w:fill="auto"/>
            <w:noWrap/>
            <w:hideMark/>
          </w:tcPr>
          <w:p w14:paraId="24FD2AF9"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5</w:t>
            </w:r>
          </w:p>
        </w:tc>
        <w:tc>
          <w:tcPr>
            <w:tcW w:w="1487" w:type="dxa"/>
            <w:shd w:val="clear" w:color="auto" w:fill="auto"/>
            <w:noWrap/>
            <w:hideMark/>
          </w:tcPr>
          <w:p w14:paraId="1F665033"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4.6</w:t>
            </w:r>
          </w:p>
        </w:tc>
        <w:tc>
          <w:tcPr>
            <w:tcW w:w="1487" w:type="dxa"/>
            <w:shd w:val="clear" w:color="auto" w:fill="auto"/>
            <w:noWrap/>
            <w:hideMark/>
          </w:tcPr>
          <w:p w14:paraId="331F81C8"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E63BBF">
              <w:rPr>
                <w:rFonts w:eastAsia="Times New Roman" w:cs="Calibri"/>
                <w:color w:val="000000"/>
                <w:sz w:val="20"/>
                <w:szCs w:val="20"/>
                <w:lang w:val="en-AU" w:eastAsia="en-AU"/>
              </w:rPr>
              <w:t>8</w:t>
            </w:r>
          </w:p>
        </w:tc>
        <w:tc>
          <w:tcPr>
            <w:tcW w:w="1487" w:type="dxa"/>
            <w:shd w:val="clear" w:color="auto" w:fill="auto"/>
            <w:noWrap/>
            <w:hideMark/>
          </w:tcPr>
          <w:p w14:paraId="5AC2938C"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3</w:t>
            </w:r>
          </w:p>
        </w:tc>
        <w:tc>
          <w:tcPr>
            <w:tcW w:w="1487" w:type="dxa"/>
            <w:shd w:val="clear" w:color="auto" w:fill="auto"/>
            <w:noWrap/>
            <w:hideMark/>
          </w:tcPr>
          <w:p w14:paraId="75A33D0B"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5</w:t>
            </w:r>
          </w:p>
        </w:tc>
      </w:tr>
      <w:tr w:rsidR="00E07BBA" w:rsidRPr="009A5860" w14:paraId="480A0FCA" w14:textId="77777777" w:rsidTr="005C54C8">
        <w:trPr>
          <w:trHeight w:val="356"/>
        </w:trPr>
        <w:tc>
          <w:tcPr>
            <w:tcW w:w="1928" w:type="dxa"/>
            <w:shd w:val="clear" w:color="auto" w:fill="auto"/>
            <w:noWrap/>
            <w:hideMark/>
          </w:tcPr>
          <w:p w14:paraId="00920574" w14:textId="77777777" w:rsidR="00E07BBA" w:rsidRPr="003F03B1" w:rsidRDefault="00E07BBA" w:rsidP="005C54C8">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Queensland</w:t>
            </w:r>
          </w:p>
        </w:tc>
        <w:tc>
          <w:tcPr>
            <w:tcW w:w="1487" w:type="dxa"/>
            <w:shd w:val="clear" w:color="auto" w:fill="auto"/>
            <w:noWrap/>
            <w:hideMark/>
          </w:tcPr>
          <w:p w14:paraId="7CE7E1BE"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7</w:t>
            </w:r>
          </w:p>
        </w:tc>
        <w:tc>
          <w:tcPr>
            <w:tcW w:w="1487" w:type="dxa"/>
            <w:shd w:val="clear" w:color="auto" w:fill="auto"/>
            <w:noWrap/>
            <w:hideMark/>
          </w:tcPr>
          <w:p w14:paraId="66CC357A"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5.1</w:t>
            </w:r>
          </w:p>
        </w:tc>
        <w:tc>
          <w:tcPr>
            <w:tcW w:w="1487" w:type="dxa"/>
            <w:shd w:val="clear" w:color="auto" w:fill="auto"/>
            <w:noWrap/>
            <w:hideMark/>
          </w:tcPr>
          <w:p w14:paraId="432C6DA6"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9</w:t>
            </w:r>
          </w:p>
        </w:tc>
        <w:tc>
          <w:tcPr>
            <w:tcW w:w="1487" w:type="dxa"/>
            <w:shd w:val="clear" w:color="auto" w:fill="auto"/>
            <w:noWrap/>
            <w:hideMark/>
          </w:tcPr>
          <w:p w14:paraId="1A775B77"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7</w:t>
            </w:r>
          </w:p>
        </w:tc>
        <w:tc>
          <w:tcPr>
            <w:tcW w:w="1487" w:type="dxa"/>
            <w:shd w:val="clear" w:color="auto" w:fill="auto"/>
            <w:noWrap/>
            <w:hideMark/>
          </w:tcPr>
          <w:p w14:paraId="6FFC95C1"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2</w:t>
            </w:r>
          </w:p>
        </w:tc>
      </w:tr>
      <w:tr w:rsidR="00E07BBA" w:rsidRPr="009A5860" w14:paraId="2B648E84" w14:textId="77777777" w:rsidTr="005C54C8">
        <w:trPr>
          <w:trHeight w:val="356"/>
        </w:trPr>
        <w:tc>
          <w:tcPr>
            <w:tcW w:w="1928" w:type="dxa"/>
            <w:shd w:val="clear" w:color="auto" w:fill="auto"/>
            <w:noWrap/>
            <w:hideMark/>
          </w:tcPr>
          <w:p w14:paraId="450C89D4" w14:textId="77777777" w:rsidR="00E07BBA" w:rsidRPr="003F03B1" w:rsidRDefault="00E07BBA" w:rsidP="005C54C8">
            <w:pPr>
              <w:widowControl/>
              <w:spacing w:line="240" w:lineRule="auto"/>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Victoria</w:t>
            </w:r>
          </w:p>
        </w:tc>
        <w:tc>
          <w:tcPr>
            <w:tcW w:w="1487" w:type="dxa"/>
            <w:shd w:val="clear" w:color="auto" w:fill="auto"/>
            <w:noWrap/>
            <w:hideMark/>
          </w:tcPr>
          <w:p w14:paraId="0D1074DE"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6</w:t>
            </w:r>
          </w:p>
        </w:tc>
        <w:tc>
          <w:tcPr>
            <w:tcW w:w="1487" w:type="dxa"/>
            <w:shd w:val="clear" w:color="auto" w:fill="auto"/>
            <w:noWrap/>
            <w:hideMark/>
          </w:tcPr>
          <w:p w14:paraId="4B601CE0"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2.6</w:t>
            </w:r>
          </w:p>
        </w:tc>
        <w:tc>
          <w:tcPr>
            <w:tcW w:w="1487" w:type="dxa"/>
            <w:shd w:val="clear" w:color="auto" w:fill="auto"/>
            <w:noWrap/>
            <w:hideMark/>
          </w:tcPr>
          <w:p w14:paraId="41408801"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E63BBF">
              <w:rPr>
                <w:rFonts w:eastAsia="Times New Roman" w:cs="Calibri"/>
                <w:color w:val="000000"/>
                <w:sz w:val="20"/>
                <w:szCs w:val="20"/>
                <w:lang w:val="en-AU" w:eastAsia="en-AU"/>
              </w:rPr>
              <w:t>9</w:t>
            </w:r>
          </w:p>
        </w:tc>
        <w:tc>
          <w:tcPr>
            <w:tcW w:w="1487" w:type="dxa"/>
            <w:shd w:val="clear" w:color="auto" w:fill="auto"/>
            <w:noWrap/>
            <w:hideMark/>
          </w:tcPr>
          <w:p w14:paraId="63AE64E7"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Pr>
                <w:rFonts w:eastAsia="Times New Roman" w:cs="Calibri"/>
                <w:color w:val="000000"/>
                <w:sz w:val="20"/>
                <w:szCs w:val="20"/>
                <w:lang w:val="en-AU" w:eastAsia="en-AU"/>
              </w:rPr>
              <w:t>9</w:t>
            </w:r>
          </w:p>
        </w:tc>
        <w:tc>
          <w:tcPr>
            <w:tcW w:w="1487" w:type="dxa"/>
            <w:shd w:val="clear" w:color="auto" w:fill="auto"/>
            <w:noWrap/>
            <w:hideMark/>
          </w:tcPr>
          <w:p w14:paraId="3461EA41" w14:textId="77777777" w:rsidR="00E07BBA" w:rsidRPr="003F03B1" w:rsidRDefault="00E07BBA" w:rsidP="005C54C8">
            <w:pPr>
              <w:widowControl/>
              <w:spacing w:line="240" w:lineRule="auto"/>
              <w:jc w:val="center"/>
              <w:rPr>
                <w:rFonts w:eastAsia="Times New Roman" w:cs="Calibri"/>
                <w:color w:val="000000"/>
                <w:sz w:val="20"/>
                <w:szCs w:val="20"/>
                <w:lang w:val="en-AU" w:eastAsia="en-AU"/>
              </w:rPr>
            </w:pPr>
            <w:r w:rsidRPr="003F03B1">
              <w:rPr>
                <w:rFonts w:eastAsia="Times New Roman" w:cs="Calibri"/>
                <w:color w:val="000000"/>
                <w:sz w:val="20"/>
                <w:szCs w:val="20"/>
                <w:lang w:val="en-AU" w:eastAsia="en-AU"/>
              </w:rPr>
              <w:t>0</w:t>
            </w:r>
          </w:p>
        </w:tc>
      </w:tr>
      <w:tr w:rsidR="00E07BBA" w:rsidRPr="009A5860" w14:paraId="739AF125" w14:textId="77777777" w:rsidTr="005C54C8">
        <w:trPr>
          <w:trHeight w:val="356"/>
        </w:trPr>
        <w:tc>
          <w:tcPr>
            <w:tcW w:w="1928" w:type="dxa"/>
            <w:shd w:val="clear" w:color="auto" w:fill="auto"/>
            <w:noWrap/>
            <w:hideMark/>
          </w:tcPr>
          <w:p w14:paraId="4BBC1BB2" w14:textId="77777777" w:rsidR="00E07BBA" w:rsidRPr="003F03B1" w:rsidRDefault="00E07BBA" w:rsidP="005C54C8">
            <w:pPr>
              <w:widowControl/>
              <w:spacing w:line="240" w:lineRule="auto"/>
              <w:rPr>
                <w:rFonts w:eastAsia="Times New Roman" w:cs="Calibri"/>
                <w:b/>
                <w:bCs/>
                <w:color w:val="000000"/>
                <w:sz w:val="20"/>
                <w:szCs w:val="20"/>
                <w:lang w:val="en-AU" w:eastAsia="en-AU"/>
              </w:rPr>
            </w:pPr>
            <w:r>
              <w:rPr>
                <w:rFonts w:eastAsia="Times New Roman" w:cs="Calibri"/>
                <w:b/>
                <w:bCs/>
                <w:color w:val="000000"/>
                <w:sz w:val="20"/>
                <w:szCs w:val="20"/>
                <w:lang w:val="en-AU" w:eastAsia="en-AU"/>
              </w:rPr>
              <w:t>Total</w:t>
            </w:r>
          </w:p>
        </w:tc>
        <w:tc>
          <w:tcPr>
            <w:tcW w:w="1487" w:type="dxa"/>
            <w:shd w:val="clear" w:color="auto" w:fill="auto"/>
            <w:hideMark/>
          </w:tcPr>
          <w:p w14:paraId="0A7F48EB"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18</w:t>
            </w:r>
          </w:p>
        </w:tc>
        <w:tc>
          <w:tcPr>
            <w:tcW w:w="1487" w:type="dxa"/>
            <w:shd w:val="clear" w:color="auto" w:fill="auto"/>
            <w:hideMark/>
          </w:tcPr>
          <w:p w14:paraId="501D1D43"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03B1">
              <w:rPr>
                <w:rFonts w:eastAsia="Times New Roman" w:cs="Calibri"/>
                <w:b/>
                <w:bCs/>
                <w:color w:val="000000"/>
                <w:sz w:val="20"/>
                <w:szCs w:val="20"/>
                <w:lang w:val="en-AU" w:eastAsia="en-AU"/>
              </w:rPr>
              <w:t>12.3</w:t>
            </w:r>
          </w:p>
        </w:tc>
        <w:tc>
          <w:tcPr>
            <w:tcW w:w="1487" w:type="dxa"/>
            <w:shd w:val="clear" w:color="auto" w:fill="auto"/>
            <w:hideMark/>
          </w:tcPr>
          <w:p w14:paraId="07F86E88"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sidRPr="003F49C5">
              <w:rPr>
                <w:rFonts w:eastAsia="Times New Roman" w:cs="Calibri"/>
                <w:b/>
                <w:bCs/>
                <w:color w:val="000000"/>
                <w:sz w:val="20"/>
                <w:szCs w:val="20"/>
                <w:lang w:val="en-AU" w:eastAsia="en-AU"/>
              </w:rPr>
              <w:t>2</w:t>
            </w:r>
            <w:r w:rsidRPr="00E63BBF">
              <w:rPr>
                <w:rFonts w:eastAsia="Times New Roman" w:cs="Calibri"/>
                <w:b/>
                <w:bCs/>
                <w:color w:val="000000"/>
                <w:sz w:val="20"/>
                <w:szCs w:val="20"/>
                <w:lang w:val="en-AU" w:eastAsia="en-AU"/>
              </w:rPr>
              <w:t>6</w:t>
            </w:r>
          </w:p>
        </w:tc>
        <w:tc>
          <w:tcPr>
            <w:tcW w:w="1487" w:type="dxa"/>
            <w:shd w:val="clear" w:color="auto" w:fill="auto"/>
            <w:hideMark/>
          </w:tcPr>
          <w:p w14:paraId="60B50D0E"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19</w:t>
            </w:r>
          </w:p>
        </w:tc>
        <w:tc>
          <w:tcPr>
            <w:tcW w:w="1487" w:type="dxa"/>
            <w:shd w:val="clear" w:color="auto" w:fill="auto"/>
            <w:hideMark/>
          </w:tcPr>
          <w:p w14:paraId="1CC2AE07" w14:textId="77777777" w:rsidR="00E07BBA" w:rsidRPr="003F03B1" w:rsidRDefault="00E07BBA" w:rsidP="005C54C8">
            <w:pPr>
              <w:widowControl/>
              <w:spacing w:line="240" w:lineRule="auto"/>
              <w:jc w:val="center"/>
              <w:rPr>
                <w:rFonts w:eastAsia="Times New Roman" w:cs="Calibri"/>
                <w:b/>
                <w:bCs/>
                <w:color w:val="000000"/>
                <w:sz w:val="20"/>
                <w:szCs w:val="20"/>
                <w:lang w:val="en-AU" w:eastAsia="en-AU"/>
              </w:rPr>
            </w:pPr>
            <w:r>
              <w:rPr>
                <w:rFonts w:eastAsia="Times New Roman" w:cs="Calibri"/>
                <w:b/>
                <w:bCs/>
                <w:color w:val="000000"/>
                <w:sz w:val="20"/>
                <w:szCs w:val="20"/>
                <w:lang w:val="en-AU" w:eastAsia="en-AU"/>
              </w:rPr>
              <w:t>7</w:t>
            </w:r>
          </w:p>
        </w:tc>
      </w:tr>
    </w:tbl>
    <w:p w14:paraId="1A2217E6" w14:textId="77777777" w:rsidR="00E07BBA" w:rsidRDefault="00E07BBA" w:rsidP="00E07BBA">
      <w:pPr>
        <w:pStyle w:val="ListParagraph"/>
        <w:ind w:left="0"/>
        <w:rPr>
          <w:rFonts w:asciiTheme="majorHAnsi" w:eastAsia="Times New Roman" w:hAnsiTheme="majorHAnsi" w:cstheme="majorHAnsi"/>
          <w:b/>
          <w:sz w:val="20"/>
          <w:szCs w:val="20"/>
        </w:rPr>
      </w:pPr>
    </w:p>
    <w:p w14:paraId="1429D9B4" w14:textId="77777777" w:rsidR="002D3EC5" w:rsidRPr="00E96691" w:rsidRDefault="002D3EC5" w:rsidP="00DA22EF">
      <w:pPr>
        <w:rPr>
          <w:rFonts w:asciiTheme="majorHAnsi" w:hAnsiTheme="majorHAnsi" w:cstheme="majorHAnsi"/>
        </w:rPr>
      </w:pPr>
    </w:p>
    <w:p w14:paraId="249185FD" w14:textId="483C5CCD" w:rsidR="00E96691" w:rsidRPr="00E96691" w:rsidRDefault="00E96691" w:rsidP="00DA22EF">
      <w:pPr>
        <w:rPr>
          <w:rFonts w:asciiTheme="majorHAnsi" w:hAnsiTheme="majorHAnsi" w:cstheme="majorHAnsi"/>
        </w:rPr>
      </w:pPr>
      <w:r w:rsidRPr="00E96691">
        <w:rPr>
          <w:rFonts w:asciiTheme="majorHAnsi" w:hAnsiTheme="majorHAnsi" w:cstheme="majorHAnsi"/>
        </w:rPr>
        <w:t xml:space="preserve">A total of 1,733 patients were consented for the project, of which 1,456 had pre and post data </w:t>
      </w:r>
      <w:r w:rsidR="00C43D87">
        <w:rPr>
          <w:rFonts w:asciiTheme="majorHAnsi" w:hAnsiTheme="majorHAnsi" w:cstheme="majorHAnsi"/>
        </w:rPr>
        <w:t>that was</w:t>
      </w:r>
      <w:r w:rsidRPr="00E96691">
        <w:rPr>
          <w:rFonts w:asciiTheme="majorHAnsi" w:hAnsiTheme="majorHAnsi" w:cstheme="majorHAnsi"/>
        </w:rPr>
        <w:t xml:space="preserve"> included for analysis</w:t>
      </w:r>
      <w:r w:rsidR="0087143D">
        <w:rPr>
          <w:rFonts w:asciiTheme="majorHAnsi" w:hAnsiTheme="majorHAnsi" w:cstheme="majorHAnsi"/>
        </w:rPr>
        <w:t xml:space="preserve"> of </w:t>
      </w:r>
      <w:r w:rsidR="00220D51">
        <w:rPr>
          <w:rFonts w:asciiTheme="majorHAnsi" w:hAnsiTheme="majorHAnsi" w:cstheme="majorHAnsi"/>
        </w:rPr>
        <w:t>participant outcomes</w:t>
      </w:r>
      <w:r w:rsidRPr="00E96691">
        <w:rPr>
          <w:rFonts w:asciiTheme="majorHAnsi" w:hAnsiTheme="majorHAnsi" w:cstheme="majorHAnsi"/>
        </w:rPr>
        <w:t xml:space="preserve">.  An overview of </w:t>
      </w:r>
      <w:r w:rsidR="0087143D">
        <w:rPr>
          <w:rFonts w:asciiTheme="majorHAnsi" w:hAnsiTheme="majorHAnsi" w:cstheme="majorHAnsi"/>
        </w:rPr>
        <w:t xml:space="preserve">all </w:t>
      </w:r>
      <w:r w:rsidRPr="00E96691">
        <w:rPr>
          <w:rFonts w:asciiTheme="majorHAnsi" w:hAnsiTheme="majorHAnsi" w:cstheme="majorHAnsi"/>
        </w:rPr>
        <w:t xml:space="preserve">pharmacist activity is presented in Table </w:t>
      </w:r>
      <w:r w:rsidR="003B3B6F">
        <w:rPr>
          <w:rFonts w:asciiTheme="majorHAnsi" w:hAnsiTheme="majorHAnsi" w:cstheme="majorHAnsi"/>
        </w:rPr>
        <w:t>3</w:t>
      </w:r>
      <w:r w:rsidRPr="00E96691">
        <w:rPr>
          <w:rFonts w:asciiTheme="majorHAnsi" w:hAnsiTheme="majorHAnsi" w:cstheme="majorHAnsi"/>
        </w:rPr>
        <w:t>.</w:t>
      </w:r>
    </w:p>
    <w:p w14:paraId="7DCE0C34" w14:textId="77777777" w:rsidR="00E96691" w:rsidRDefault="00E96691" w:rsidP="00DA22EF">
      <w:pPr>
        <w:rPr>
          <w:rFonts w:asciiTheme="majorHAnsi" w:hAnsiTheme="majorHAnsi" w:cstheme="majorHAnsi"/>
        </w:rPr>
      </w:pPr>
    </w:p>
    <w:p w14:paraId="74C86C98" w14:textId="77777777" w:rsidR="00A91F41" w:rsidRPr="00E96691" w:rsidRDefault="00A91F41" w:rsidP="00DA22EF">
      <w:pPr>
        <w:rPr>
          <w:rFonts w:asciiTheme="majorHAnsi" w:hAnsiTheme="majorHAnsi" w:cstheme="majorHAnsi"/>
        </w:rPr>
      </w:pPr>
    </w:p>
    <w:p w14:paraId="64B72A2A" w14:textId="101DD627" w:rsidR="00E96691" w:rsidRDefault="00E96691" w:rsidP="0082142E">
      <w:pPr>
        <w:pStyle w:val="TableParagraph"/>
      </w:pPr>
      <w:bookmarkStart w:id="49" w:name="_Toc85103785"/>
      <w:r w:rsidRPr="00E96691">
        <w:lastRenderedPageBreak/>
        <w:t xml:space="preserve">Table </w:t>
      </w:r>
      <w:r w:rsidR="004D375B">
        <w:t>3</w:t>
      </w:r>
      <w:r w:rsidR="0082142E">
        <w:t>.</w:t>
      </w:r>
      <w:r w:rsidRPr="00E96691">
        <w:t xml:space="preserve"> Overview of pharmacist activity included in </w:t>
      </w:r>
      <w:r w:rsidRPr="00656F80">
        <w:t>analysis</w:t>
      </w:r>
      <w:r w:rsidR="00656F80" w:rsidRPr="00656F80">
        <w:t xml:space="preserve"> from 02/08/2018 to 31/10/2019</w:t>
      </w:r>
      <w:r w:rsidR="004D375B">
        <w:t>.</w:t>
      </w:r>
      <w:bookmarkEnd w:id="49"/>
    </w:p>
    <w:tbl>
      <w:tblPr>
        <w:tblW w:w="4858" w:type="pct"/>
        <w:tblCellMar>
          <w:left w:w="0" w:type="dxa"/>
          <w:right w:w="0" w:type="dxa"/>
        </w:tblCellMar>
        <w:tblLook w:val="04A0" w:firstRow="1" w:lastRow="0" w:firstColumn="1" w:lastColumn="0" w:noHBand="0" w:noVBand="1"/>
      </w:tblPr>
      <w:tblGrid>
        <w:gridCol w:w="8213"/>
        <w:gridCol w:w="1133"/>
      </w:tblGrid>
      <w:tr w:rsidR="00E96691" w:rsidRPr="00E96691" w14:paraId="49585F7F" w14:textId="77777777" w:rsidTr="000D61F8">
        <w:trPr>
          <w:trHeight w:val="57"/>
        </w:trPr>
        <w:tc>
          <w:tcPr>
            <w:tcW w:w="4394" w:type="pct"/>
            <w:tcBorders>
              <w:top w:val="single" w:sz="8" w:space="0" w:color="000000"/>
              <w:left w:val="single" w:sz="8" w:space="0" w:color="000000"/>
              <w:bottom w:val="single" w:sz="8" w:space="0" w:color="000000"/>
              <w:right w:val="single" w:sz="8" w:space="0" w:color="000000"/>
            </w:tcBorders>
            <w:shd w:val="clear" w:color="auto" w:fill="A5A5A5"/>
            <w:tcMar>
              <w:top w:w="15" w:type="dxa"/>
              <w:left w:w="144" w:type="dxa"/>
              <w:bottom w:w="0" w:type="dxa"/>
              <w:right w:w="144" w:type="dxa"/>
            </w:tcMar>
            <w:hideMark/>
          </w:tcPr>
          <w:p w14:paraId="6DADEC3B"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Pharmacist Core Role</w:t>
            </w:r>
          </w:p>
        </w:tc>
        <w:tc>
          <w:tcPr>
            <w:tcW w:w="606" w:type="pct"/>
            <w:tcBorders>
              <w:top w:val="single" w:sz="8" w:space="0" w:color="000000"/>
              <w:left w:val="nil"/>
              <w:bottom w:val="single" w:sz="8" w:space="0" w:color="000000"/>
              <w:right w:val="single" w:sz="8" w:space="0" w:color="000000"/>
            </w:tcBorders>
            <w:shd w:val="clear" w:color="auto" w:fill="A5A5A5"/>
            <w:hideMark/>
          </w:tcPr>
          <w:p w14:paraId="444C9762" w14:textId="77777777" w:rsidR="00E96691" w:rsidRPr="009402E0" w:rsidRDefault="00E96691" w:rsidP="001135FE">
            <w:pPr>
              <w:jc w:val="center"/>
              <w:rPr>
                <w:rFonts w:asciiTheme="majorHAnsi" w:hAnsiTheme="majorHAnsi" w:cstheme="majorHAnsi"/>
                <w:color w:val="000000"/>
                <w:lang w:eastAsia="en-AU"/>
              </w:rPr>
            </w:pPr>
            <w:r w:rsidRPr="009402E0">
              <w:rPr>
                <w:rFonts w:asciiTheme="majorHAnsi" w:hAnsiTheme="majorHAnsi" w:cstheme="majorHAnsi"/>
                <w:color w:val="000000"/>
                <w:lang w:eastAsia="en-AU"/>
              </w:rPr>
              <w:t>Number of activities</w:t>
            </w:r>
          </w:p>
        </w:tc>
      </w:tr>
      <w:tr w:rsidR="00E96691" w:rsidRPr="00E96691" w14:paraId="0ED5CC6E"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5E545D42" w14:textId="43A1511C"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Self-reported medication adherence survey </w:t>
            </w:r>
          </w:p>
        </w:tc>
        <w:tc>
          <w:tcPr>
            <w:tcW w:w="606" w:type="pct"/>
            <w:tcBorders>
              <w:top w:val="nil"/>
              <w:left w:val="nil"/>
              <w:bottom w:val="single" w:sz="8" w:space="0" w:color="000000"/>
              <w:right w:val="single" w:sz="8" w:space="0" w:color="000000"/>
            </w:tcBorders>
          </w:tcPr>
          <w:p w14:paraId="658A89D0"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2,759</w:t>
            </w:r>
          </w:p>
        </w:tc>
      </w:tr>
      <w:tr w:rsidR="00E96691" w:rsidRPr="00E96691" w14:paraId="266C1D17"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3B103F99" w14:textId="4D5E0A5A"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Medication Appropriateness Index (MAI) Audits / Assessments of </w:t>
            </w:r>
            <w:proofErr w:type="spellStart"/>
            <w:r w:rsidRPr="009402E0">
              <w:rPr>
                <w:rFonts w:asciiTheme="majorHAnsi" w:hAnsiTheme="majorHAnsi" w:cstheme="majorHAnsi"/>
                <w:color w:val="000000"/>
                <w:lang w:eastAsia="en-AU"/>
              </w:rPr>
              <w:t>Underutilisation</w:t>
            </w:r>
            <w:proofErr w:type="spellEnd"/>
            <w:r w:rsidR="001135FE">
              <w:rPr>
                <w:rFonts w:asciiTheme="majorHAnsi" w:hAnsiTheme="majorHAnsi" w:cstheme="majorHAnsi"/>
                <w:color w:val="000000"/>
                <w:lang w:eastAsia="en-AU"/>
              </w:rPr>
              <w:t xml:space="preserve"> (</w:t>
            </w:r>
            <w:proofErr w:type="spellStart"/>
            <w:r w:rsidR="001135FE">
              <w:rPr>
                <w:rFonts w:asciiTheme="majorHAnsi" w:hAnsiTheme="majorHAnsi" w:cstheme="majorHAnsi"/>
                <w:color w:val="000000"/>
                <w:lang w:eastAsia="en-AU"/>
              </w:rPr>
              <w:t>AoU</w:t>
            </w:r>
            <w:proofErr w:type="spellEnd"/>
            <w:r w:rsidR="001135FE">
              <w:rPr>
                <w:rFonts w:asciiTheme="majorHAnsi" w:hAnsiTheme="majorHAnsi" w:cstheme="majorHAnsi"/>
                <w:color w:val="000000"/>
                <w:lang w:eastAsia="en-AU"/>
              </w:rPr>
              <w:t>)</w:t>
            </w:r>
          </w:p>
        </w:tc>
        <w:tc>
          <w:tcPr>
            <w:tcW w:w="606" w:type="pct"/>
            <w:tcBorders>
              <w:top w:val="nil"/>
              <w:left w:val="nil"/>
              <w:bottom w:val="single" w:sz="8" w:space="0" w:color="000000"/>
              <w:right w:val="single" w:sz="8" w:space="0" w:color="000000"/>
            </w:tcBorders>
          </w:tcPr>
          <w:p w14:paraId="7964ADCA"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789</w:t>
            </w:r>
          </w:p>
        </w:tc>
      </w:tr>
      <w:tr w:rsidR="00E96691" w:rsidRPr="00E96691" w14:paraId="78212A5D"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CA4B4D4"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Home Medicines Reviews (HMRs)</w:t>
            </w:r>
          </w:p>
        </w:tc>
        <w:tc>
          <w:tcPr>
            <w:tcW w:w="606" w:type="pct"/>
            <w:tcBorders>
              <w:top w:val="nil"/>
              <w:left w:val="nil"/>
              <w:bottom w:val="single" w:sz="8" w:space="0" w:color="000000"/>
              <w:right w:val="single" w:sz="8" w:space="0" w:color="000000"/>
            </w:tcBorders>
            <w:hideMark/>
          </w:tcPr>
          <w:p w14:paraId="75B9E8B4"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639</w:t>
            </w:r>
          </w:p>
        </w:tc>
      </w:tr>
      <w:tr w:rsidR="00E96691" w:rsidRPr="00E96691" w14:paraId="4A3A6E79"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B631E0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Non-HMRs</w:t>
            </w:r>
          </w:p>
        </w:tc>
        <w:tc>
          <w:tcPr>
            <w:tcW w:w="606" w:type="pct"/>
            <w:tcBorders>
              <w:top w:val="nil"/>
              <w:left w:val="nil"/>
              <w:bottom w:val="single" w:sz="8" w:space="0" w:color="000000"/>
              <w:right w:val="single" w:sz="8" w:space="0" w:color="000000"/>
            </w:tcBorders>
            <w:hideMark/>
          </w:tcPr>
          <w:p w14:paraId="1484EB10"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757</w:t>
            </w:r>
          </w:p>
        </w:tc>
      </w:tr>
      <w:tr w:rsidR="00E96691" w:rsidRPr="00E96691" w14:paraId="643C5A7B"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3EACF17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Follow-up to a HMR or Non-HMR</w:t>
            </w:r>
          </w:p>
        </w:tc>
        <w:tc>
          <w:tcPr>
            <w:tcW w:w="606" w:type="pct"/>
            <w:tcBorders>
              <w:top w:val="nil"/>
              <w:left w:val="nil"/>
              <w:bottom w:val="single" w:sz="8" w:space="0" w:color="000000"/>
              <w:right w:val="single" w:sz="8" w:space="0" w:color="000000"/>
            </w:tcBorders>
            <w:hideMark/>
          </w:tcPr>
          <w:p w14:paraId="0BB9714D"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1,548</w:t>
            </w:r>
          </w:p>
        </w:tc>
      </w:tr>
      <w:tr w:rsidR="00E96691" w:rsidRPr="00E96691" w14:paraId="68189350"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7A6813C5" w14:textId="5CC63521"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Team Based Collaboration (1,082 related </w:t>
            </w:r>
            <w:r w:rsidR="001135FE">
              <w:rPr>
                <w:rFonts w:asciiTheme="majorHAnsi" w:hAnsiTheme="majorHAnsi" w:cstheme="majorHAnsi"/>
                <w:color w:val="000000"/>
                <w:lang w:eastAsia="en-AU"/>
              </w:rPr>
              <w:t xml:space="preserve">directly </w:t>
            </w:r>
            <w:r w:rsidRPr="009402E0">
              <w:rPr>
                <w:rFonts w:asciiTheme="majorHAnsi" w:hAnsiTheme="majorHAnsi" w:cstheme="majorHAnsi"/>
                <w:color w:val="000000"/>
                <w:lang w:eastAsia="en-AU"/>
              </w:rPr>
              <w:t>to IPAC participants)</w:t>
            </w:r>
          </w:p>
        </w:tc>
        <w:tc>
          <w:tcPr>
            <w:tcW w:w="606" w:type="pct"/>
            <w:tcBorders>
              <w:top w:val="nil"/>
              <w:left w:val="nil"/>
              <w:bottom w:val="single" w:sz="8" w:space="0" w:color="000000"/>
              <w:right w:val="single" w:sz="8" w:space="0" w:color="000000"/>
            </w:tcBorders>
            <w:hideMark/>
          </w:tcPr>
          <w:p w14:paraId="05CB6CC6"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3,165</w:t>
            </w:r>
          </w:p>
        </w:tc>
      </w:tr>
      <w:tr w:rsidR="00E96691" w:rsidRPr="00E96691" w14:paraId="2A97AEBC"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1D8446C"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Medicines Information</w:t>
            </w:r>
          </w:p>
        </w:tc>
        <w:tc>
          <w:tcPr>
            <w:tcW w:w="606" w:type="pct"/>
            <w:tcBorders>
              <w:top w:val="nil"/>
              <w:left w:val="nil"/>
              <w:bottom w:val="single" w:sz="8" w:space="0" w:color="000000"/>
              <w:right w:val="single" w:sz="8" w:space="0" w:color="000000"/>
            </w:tcBorders>
            <w:hideMark/>
          </w:tcPr>
          <w:p w14:paraId="30C5AD57"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1,715</w:t>
            </w:r>
          </w:p>
        </w:tc>
      </w:tr>
      <w:tr w:rsidR="00E96691" w:rsidRPr="00E96691" w14:paraId="04C5A4B9"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18172AC1"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Education </w:t>
            </w:r>
            <w:r w:rsidR="0087143D">
              <w:rPr>
                <w:rFonts w:asciiTheme="majorHAnsi" w:hAnsiTheme="majorHAnsi" w:cstheme="majorHAnsi"/>
                <w:color w:val="000000"/>
                <w:lang w:eastAsia="en-AU"/>
              </w:rPr>
              <w:t>and</w:t>
            </w:r>
            <w:r w:rsidRPr="009402E0">
              <w:rPr>
                <w:rFonts w:asciiTheme="majorHAnsi" w:hAnsiTheme="majorHAnsi" w:cstheme="majorHAnsi"/>
                <w:color w:val="000000"/>
                <w:lang w:eastAsia="en-AU"/>
              </w:rPr>
              <w:t xml:space="preserve"> Training</w:t>
            </w:r>
          </w:p>
        </w:tc>
        <w:tc>
          <w:tcPr>
            <w:tcW w:w="606" w:type="pct"/>
            <w:tcBorders>
              <w:top w:val="nil"/>
              <w:left w:val="nil"/>
              <w:bottom w:val="single" w:sz="8" w:space="0" w:color="000000"/>
              <w:right w:val="single" w:sz="8" w:space="0" w:color="000000"/>
            </w:tcBorders>
            <w:hideMark/>
          </w:tcPr>
          <w:p w14:paraId="4BCFFA64"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358</w:t>
            </w:r>
          </w:p>
        </w:tc>
      </w:tr>
      <w:tr w:rsidR="00E96691" w:rsidRPr="00E96691" w14:paraId="6125B31C"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D4D113E"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 xml:space="preserve">Drug </w:t>
            </w:r>
            <w:proofErr w:type="spellStart"/>
            <w:r w:rsidRPr="009402E0">
              <w:rPr>
                <w:rFonts w:asciiTheme="majorHAnsi" w:hAnsiTheme="majorHAnsi" w:cstheme="majorHAnsi"/>
                <w:color w:val="000000"/>
                <w:lang w:eastAsia="en-AU"/>
              </w:rPr>
              <w:t>Utilisation</w:t>
            </w:r>
            <w:proofErr w:type="spellEnd"/>
            <w:r w:rsidRPr="009402E0">
              <w:rPr>
                <w:rFonts w:asciiTheme="majorHAnsi" w:hAnsiTheme="majorHAnsi" w:cstheme="majorHAnsi"/>
                <w:color w:val="000000"/>
                <w:lang w:eastAsia="en-AU"/>
              </w:rPr>
              <w:t xml:space="preserve"> Reviews</w:t>
            </w:r>
          </w:p>
        </w:tc>
        <w:tc>
          <w:tcPr>
            <w:tcW w:w="606" w:type="pct"/>
            <w:tcBorders>
              <w:top w:val="nil"/>
              <w:left w:val="nil"/>
              <w:bottom w:val="single" w:sz="8" w:space="0" w:color="000000"/>
              <w:right w:val="single" w:sz="8" w:space="0" w:color="000000"/>
            </w:tcBorders>
            <w:hideMark/>
          </w:tcPr>
          <w:p w14:paraId="009B4EAB"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26</w:t>
            </w:r>
          </w:p>
        </w:tc>
      </w:tr>
      <w:tr w:rsidR="00E96691" w:rsidRPr="00E96691" w14:paraId="4217A9A1"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tcPr>
          <w:p w14:paraId="7E5533D4" w14:textId="77777777" w:rsidR="00E96691" w:rsidRPr="009402E0" w:rsidRDefault="00E96691" w:rsidP="00DA22EF">
            <w:pPr>
              <w:rPr>
                <w:rFonts w:asciiTheme="majorHAnsi" w:hAnsiTheme="majorHAnsi" w:cstheme="majorHAnsi"/>
                <w:color w:val="000000"/>
                <w:lang w:eastAsia="en-AU"/>
              </w:rPr>
            </w:pPr>
            <w:r w:rsidRPr="009402E0">
              <w:rPr>
                <w:rFonts w:asciiTheme="majorHAnsi" w:hAnsiTheme="majorHAnsi" w:cstheme="majorHAnsi"/>
                <w:color w:val="000000"/>
                <w:lang w:eastAsia="en-AU"/>
              </w:rPr>
              <w:t>Stakeholder Liaison Plans</w:t>
            </w:r>
          </w:p>
        </w:tc>
        <w:tc>
          <w:tcPr>
            <w:tcW w:w="606" w:type="pct"/>
            <w:tcBorders>
              <w:top w:val="nil"/>
              <w:left w:val="nil"/>
              <w:bottom w:val="single" w:sz="8" w:space="0" w:color="000000"/>
              <w:right w:val="single" w:sz="8" w:space="0" w:color="000000"/>
            </w:tcBorders>
          </w:tcPr>
          <w:p w14:paraId="25B23E95"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47</w:t>
            </w:r>
          </w:p>
        </w:tc>
      </w:tr>
      <w:tr w:rsidR="00E96691" w:rsidRPr="00E96691" w14:paraId="53824376"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20D3549D"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Stakeholder Liaison – Community Pharmacy Contact</w:t>
            </w:r>
          </w:p>
        </w:tc>
        <w:tc>
          <w:tcPr>
            <w:tcW w:w="606" w:type="pct"/>
            <w:tcBorders>
              <w:top w:val="nil"/>
              <w:left w:val="nil"/>
              <w:bottom w:val="single" w:sz="8" w:space="0" w:color="000000"/>
              <w:right w:val="single" w:sz="8" w:space="0" w:color="000000"/>
            </w:tcBorders>
            <w:hideMark/>
          </w:tcPr>
          <w:p w14:paraId="6661DDAE"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3,233</w:t>
            </w:r>
          </w:p>
        </w:tc>
      </w:tr>
      <w:tr w:rsidR="00E96691" w:rsidRPr="00E96691" w14:paraId="29058627" w14:textId="77777777" w:rsidTr="000D61F8">
        <w:trPr>
          <w:trHeight w:val="57"/>
        </w:trPr>
        <w:tc>
          <w:tcPr>
            <w:tcW w:w="4394" w:type="pct"/>
            <w:tcBorders>
              <w:top w:val="nil"/>
              <w:left w:val="single" w:sz="8" w:space="0" w:color="000000"/>
              <w:bottom w:val="single" w:sz="8" w:space="0" w:color="000000"/>
              <w:right w:val="single" w:sz="8" w:space="0" w:color="000000"/>
            </w:tcBorders>
            <w:tcMar>
              <w:top w:w="15" w:type="dxa"/>
              <w:left w:w="144" w:type="dxa"/>
              <w:bottom w:w="0" w:type="dxa"/>
              <w:right w:w="144" w:type="dxa"/>
            </w:tcMar>
            <w:hideMark/>
          </w:tcPr>
          <w:p w14:paraId="4762EB3F" w14:textId="77777777" w:rsidR="00E96691" w:rsidRPr="009402E0" w:rsidRDefault="00E96691" w:rsidP="00DA22EF">
            <w:pPr>
              <w:rPr>
                <w:rFonts w:asciiTheme="majorHAnsi" w:hAnsiTheme="majorHAnsi" w:cstheme="majorHAnsi"/>
                <w:lang w:eastAsia="en-AU"/>
              </w:rPr>
            </w:pPr>
            <w:r w:rsidRPr="009402E0">
              <w:rPr>
                <w:rFonts w:asciiTheme="majorHAnsi" w:hAnsiTheme="majorHAnsi" w:cstheme="majorHAnsi"/>
                <w:color w:val="000000"/>
                <w:lang w:eastAsia="en-AU"/>
              </w:rPr>
              <w:t>Transitional Care</w:t>
            </w:r>
          </w:p>
        </w:tc>
        <w:tc>
          <w:tcPr>
            <w:tcW w:w="606" w:type="pct"/>
            <w:tcBorders>
              <w:top w:val="nil"/>
              <w:left w:val="nil"/>
              <w:bottom w:val="single" w:sz="8" w:space="0" w:color="000000"/>
              <w:right w:val="single" w:sz="8" w:space="0" w:color="000000"/>
            </w:tcBorders>
            <w:hideMark/>
          </w:tcPr>
          <w:p w14:paraId="38E7A083" w14:textId="77777777" w:rsidR="00E96691" w:rsidRPr="009402E0" w:rsidRDefault="00E96691" w:rsidP="00DA22EF">
            <w:pPr>
              <w:jc w:val="right"/>
              <w:rPr>
                <w:rFonts w:asciiTheme="majorHAnsi" w:hAnsiTheme="majorHAnsi" w:cstheme="majorHAnsi"/>
                <w:color w:val="000000"/>
                <w:lang w:eastAsia="en-AU"/>
              </w:rPr>
            </w:pPr>
            <w:r w:rsidRPr="009402E0">
              <w:rPr>
                <w:rFonts w:asciiTheme="majorHAnsi" w:hAnsiTheme="majorHAnsi" w:cstheme="majorHAnsi"/>
                <w:color w:val="000000"/>
                <w:lang w:eastAsia="en-AU"/>
              </w:rPr>
              <w:t>1,901</w:t>
            </w:r>
          </w:p>
        </w:tc>
      </w:tr>
    </w:tbl>
    <w:p w14:paraId="6B077CA9" w14:textId="77777777" w:rsidR="009A5914" w:rsidRPr="009402E0" w:rsidRDefault="009A5914" w:rsidP="00DA22EF">
      <w:pPr>
        <w:widowControl/>
        <w:contextualSpacing/>
        <w:rPr>
          <w:rFonts w:asciiTheme="majorHAnsi" w:hAnsiTheme="majorHAnsi" w:cstheme="majorHAnsi"/>
        </w:rPr>
      </w:pPr>
    </w:p>
    <w:p w14:paraId="194646E0" w14:textId="0B4CF438" w:rsidR="009402E0" w:rsidRPr="009402E0" w:rsidRDefault="009402E0" w:rsidP="00FC12A1">
      <w:pPr>
        <w:pStyle w:val="Heading3"/>
      </w:pPr>
      <w:bookmarkStart w:id="50" w:name="_Toc85103773"/>
      <w:bookmarkStart w:id="51" w:name="_Toc40350112"/>
      <w:bookmarkStart w:id="52" w:name="_Toc40441094"/>
      <w:bookmarkStart w:id="53" w:name="_Toc41315636"/>
      <w:r w:rsidRPr="009402E0">
        <w:t xml:space="preserve">Clinical </w:t>
      </w:r>
      <w:r w:rsidR="000A3FDE">
        <w:t>e</w:t>
      </w:r>
      <w:r w:rsidRPr="009402E0">
        <w:t>ndpoints</w:t>
      </w:r>
      <w:bookmarkEnd w:id="50"/>
      <w:r w:rsidR="003043BD">
        <w:t xml:space="preserve"> </w:t>
      </w:r>
      <w:bookmarkEnd w:id="51"/>
      <w:bookmarkEnd w:id="52"/>
      <w:bookmarkEnd w:id="53"/>
    </w:p>
    <w:p w14:paraId="3819AD02" w14:textId="78E2597D" w:rsidR="009402E0" w:rsidRPr="009402E0" w:rsidRDefault="009402E0" w:rsidP="00DA22EF">
      <w:pPr>
        <w:rPr>
          <w:rFonts w:asciiTheme="majorHAnsi" w:hAnsiTheme="majorHAnsi" w:cstheme="majorHAnsi"/>
        </w:rPr>
      </w:pPr>
      <w:r w:rsidRPr="009402E0">
        <w:rPr>
          <w:rFonts w:asciiTheme="majorHAnsi" w:hAnsiTheme="majorHAnsi" w:cstheme="majorHAnsi"/>
        </w:rPr>
        <w:t xml:space="preserve">Integrated pharmacists embedded into usual care in ACCHSs </w:t>
      </w:r>
      <w:r w:rsidR="00C8359D">
        <w:rPr>
          <w:rFonts w:asciiTheme="majorHAnsi" w:hAnsiTheme="majorHAnsi" w:cstheme="majorHAnsi"/>
        </w:rPr>
        <w:t xml:space="preserve">provided clinically </w:t>
      </w:r>
      <w:r w:rsidR="00C97ACD">
        <w:rPr>
          <w:rFonts w:asciiTheme="majorHAnsi" w:hAnsiTheme="majorHAnsi" w:cstheme="majorHAnsi"/>
        </w:rPr>
        <w:t xml:space="preserve">and statistically </w:t>
      </w:r>
      <w:r w:rsidRPr="009402E0">
        <w:rPr>
          <w:rFonts w:asciiTheme="majorHAnsi" w:hAnsiTheme="majorHAnsi" w:cstheme="majorHAnsi"/>
        </w:rPr>
        <w:t xml:space="preserve">significant </w:t>
      </w:r>
      <w:r w:rsidR="00C8359D" w:rsidRPr="009402E0">
        <w:rPr>
          <w:rFonts w:asciiTheme="majorHAnsi" w:hAnsiTheme="majorHAnsi" w:cstheme="majorHAnsi"/>
        </w:rPr>
        <w:t>improve</w:t>
      </w:r>
      <w:r w:rsidR="00C8359D">
        <w:rPr>
          <w:rFonts w:asciiTheme="majorHAnsi" w:hAnsiTheme="majorHAnsi" w:cstheme="majorHAnsi"/>
        </w:rPr>
        <w:t>ment</w:t>
      </w:r>
      <w:r w:rsidR="00C97ACD">
        <w:rPr>
          <w:rFonts w:asciiTheme="majorHAnsi" w:hAnsiTheme="majorHAnsi" w:cstheme="majorHAnsi"/>
        </w:rPr>
        <w:t>s in</w:t>
      </w:r>
      <w:r w:rsidR="00C8359D" w:rsidRPr="009402E0">
        <w:rPr>
          <w:rFonts w:asciiTheme="majorHAnsi" w:hAnsiTheme="majorHAnsi" w:cstheme="majorHAnsi"/>
        </w:rPr>
        <w:t xml:space="preserve"> </w:t>
      </w:r>
      <w:r w:rsidRPr="009402E0">
        <w:rPr>
          <w:rFonts w:asciiTheme="majorHAnsi" w:hAnsiTheme="majorHAnsi" w:cstheme="majorHAnsi"/>
        </w:rPr>
        <w:t xml:space="preserve">the control of cardiovascular disease (CVD) risk factors, </w:t>
      </w:r>
      <w:proofErr w:type="spellStart"/>
      <w:r w:rsidRPr="009402E0">
        <w:rPr>
          <w:rFonts w:asciiTheme="majorHAnsi" w:hAnsiTheme="majorHAnsi" w:cstheme="majorHAnsi"/>
        </w:rPr>
        <w:t>glycaemic</w:t>
      </w:r>
      <w:proofErr w:type="spellEnd"/>
      <w:r w:rsidRPr="009402E0">
        <w:rPr>
          <w:rFonts w:asciiTheme="majorHAnsi" w:hAnsiTheme="majorHAnsi" w:cstheme="majorHAnsi"/>
        </w:rPr>
        <w:t xml:space="preserve"> control in </w:t>
      </w:r>
      <w:r w:rsidR="007D6C24">
        <w:rPr>
          <w:rFonts w:eastAsia="Times New Roman" w:cstheme="minorHAnsi"/>
          <w:color w:val="000000"/>
          <w:lang w:eastAsia="en-AU"/>
        </w:rPr>
        <w:t>participants</w:t>
      </w:r>
      <w:r w:rsidR="007D6C24" w:rsidRPr="009402E0">
        <w:rPr>
          <w:rFonts w:asciiTheme="majorHAnsi" w:hAnsiTheme="majorHAnsi" w:cstheme="majorHAnsi"/>
        </w:rPr>
        <w:t xml:space="preserve"> </w:t>
      </w:r>
      <w:r w:rsidRPr="009402E0">
        <w:rPr>
          <w:rFonts w:asciiTheme="majorHAnsi" w:hAnsiTheme="majorHAnsi" w:cstheme="majorHAnsi"/>
        </w:rPr>
        <w:t>with T2DM, and reduce</w:t>
      </w:r>
      <w:r w:rsidR="00C44DCA">
        <w:rPr>
          <w:rFonts w:asciiTheme="majorHAnsi" w:hAnsiTheme="majorHAnsi" w:cstheme="majorHAnsi"/>
        </w:rPr>
        <w:t>d</w:t>
      </w:r>
      <w:r w:rsidRPr="009402E0">
        <w:rPr>
          <w:rFonts w:asciiTheme="majorHAnsi" w:hAnsiTheme="majorHAnsi" w:cstheme="majorHAnsi"/>
        </w:rPr>
        <w:t xml:space="preserve"> absolute CVD risk in Aboriginal and Torres Strait islander adults with chronic disease.</w:t>
      </w:r>
      <w:r w:rsidRPr="009402E0">
        <w:rPr>
          <w:rStyle w:val="EndnoteReference"/>
          <w:rFonts w:asciiTheme="majorHAnsi" w:hAnsiTheme="majorHAnsi" w:cstheme="majorHAnsi"/>
        </w:rPr>
        <w:endnoteReference w:id="14"/>
      </w:r>
      <w:r w:rsidRPr="009402E0">
        <w:rPr>
          <w:rFonts w:asciiTheme="majorHAnsi" w:hAnsiTheme="majorHAnsi" w:cstheme="majorHAnsi"/>
        </w:rPr>
        <w:t xml:space="preserve">  Analysis of </w:t>
      </w:r>
      <w:r w:rsidR="00236528">
        <w:rPr>
          <w:rFonts w:asciiTheme="majorHAnsi" w:hAnsiTheme="majorHAnsi" w:cstheme="majorHAnsi"/>
        </w:rPr>
        <w:t xml:space="preserve">the </w:t>
      </w:r>
      <w:r w:rsidR="001C1568">
        <w:rPr>
          <w:rFonts w:asciiTheme="majorHAnsi" w:hAnsiTheme="majorHAnsi" w:cstheme="majorHAnsi"/>
        </w:rPr>
        <w:t xml:space="preserve">1,456 participants </w:t>
      </w:r>
      <w:r w:rsidRPr="009402E0">
        <w:rPr>
          <w:rFonts w:asciiTheme="majorHAnsi" w:hAnsiTheme="majorHAnsi" w:cstheme="majorHAnsi"/>
        </w:rPr>
        <w:t>found:</w:t>
      </w:r>
    </w:p>
    <w:p w14:paraId="4C0EF0F4" w14:textId="168EA1D0" w:rsidR="001C1568" w:rsidRPr="001C1568" w:rsidRDefault="001C1568" w:rsidP="00DA22EF">
      <w:pPr>
        <w:pStyle w:val="ListParagraph"/>
        <w:widowControl/>
        <w:numPr>
          <w:ilvl w:val="0"/>
          <w:numId w:val="11"/>
        </w:numPr>
        <w:autoSpaceDE w:val="0"/>
        <w:autoSpaceDN w:val="0"/>
        <w:adjustRightInd w:val="0"/>
        <w:rPr>
          <w:rFonts w:asciiTheme="majorHAnsi" w:hAnsiTheme="majorHAnsi" w:cstheme="majorHAnsi"/>
        </w:rPr>
      </w:pPr>
      <w:r>
        <w:rPr>
          <w:rFonts w:asciiTheme="majorHAnsi" w:hAnsiTheme="majorHAnsi" w:cstheme="majorHAnsi"/>
        </w:rPr>
        <w:t>M</w:t>
      </w:r>
      <w:r w:rsidRPr="001C1568">
        <w:rPr>
          <w:rFonts w:asciiTheme="majorHAnsi" w:hAnsiTheme="majorHAnsi" w:cstheme="majorHAnsi"/>
        </w:rPr>
        <w:t>ean age of participants</w:t>
      </w:r>
      <w:r w:rsidR="00EA0008">
        <w:rPr>
          <w:rFonts w:asciiTheme="majorHAnsi" w:hAnsiTheme="majorHAnsi" w:cstheme="majorHAnsi"/>
        </w:rPr>
        <w:t xml:space="preserve"> within clinical endpoint</w:t>
      </w:r>
      <w:r w:rsidRPr="001C1568">
        <w:rPr>
          <w:rFonts w:asciiTheme="majorHAnsi" w:hAnsiTheme="majorHAnsi" w:cstheme="majorHAnsi"/>
        </w:rPr>
        <w:t xml:space="preserve"> </w:t>
      </w:r>
      <w:r w:rsidR="00EA0008">
        <w:rPr>
          <w:rFonts w:asciiTheme="majorHAnsi" w:hAnsiTheme="majorHAnsi" w:cstheme="majorHAnsi"/>
        </w:rPr>
        <w:t>groups</w:t>
      </w:r>
      <w:r w:rsidR="001E2ED6">
        <w:rPr>
          <w:rFonts w:asciiTheme="majorHAnsi" w:hAnsiTheme="majorHAnsi" w:cstheme="majorHAnsi"/>
        </w:rPr>
        <w:t>, defined by the availability of outcome measures for each endpoint,</w:t>
      </w:r>
      <w:r w:rsidR="00EA0008">
        <w:rPr>
          <w:rFonts w:asciiTheme="majorHAnsi" w:hAnsiTheme="majorHAnsi" w:cstheme="majorHAnsi"/>
        </w:rPr>
        <w:t xml:space="preserve"> </w:t>
      </w:r>
      <w:r w:rsidRPr="001C1568">
        <w:rPr>
          <w:rFonts w:asciiTheme="majorHAnsi" w:hAnsiTheme="majorHAnsi" w:cstheme="majorHAnsi"/>
        </w:rPr>
        <w:t xml:space="preserve">ranged from </w:t>
      </w:r>
      <w:r w:rsidR="00236528">
        <w:rPr>
          <w:rFonts w:asciiTheme="majorHAnsi" w:hAnsiTheme="majorHAnsi" w:cstheme="majorHAnsi"/>
        </w:rPr>
        <w:t xml:space="preserve">(Redacted) </w:t>
      </w:r>
      <w:r w:rsidRPr="001C1568">
        <w:rPr>
          <w:rFonts w:asciiTheme="majorHAnsi" w:hAnsiTheme="majorHAnsi" w:cstheme="majorHAnsi"/>
        </w:rPr>
        <w:t xml:space="preserve">years, most </w:t>
      </w:r>
      <w:r w:rsidR="00236528">
        <w:rPr>
          <w:rFonts w:asciiTheme="majorHAnsi" w:hAnsiTheme="majorHAnsi" w:cstheme="majorHAnsi"/>
        </w:rPr>
        <w:t xml:space="preserve">(Redacted) </w:t>
      </w:r>
      <w:r w:rsidRPr="001C1568">
        <w:rPr>
          <w:rFonts w:asciiTheme="majorHAnsi" w:hAnsiTheme="majorHAnsi" w:cstheme="majorHAnsi"/>
        </w:rPr>
        <w:t xml:space="preserve">were Aboriginal and/or Torres Strait Islander, </w:t>
      </w:r>
      <w:r w:rsidR="00236528">
        <w:rPr>
          <w:rFonts w:asciiTheme="majorHAnsi" w:hAnsiTheme="majorHAnsi" w:cstheme="majorHAnsi"/>
        </w:rPr>
        <w:t xml:space="preserve">(Redacted) </w:t>
      </w:r>
      <w:r w:rsidRPr="001C1568">
        <w:rPr>
          <w:rFonts w:asciiTheme="majorHAnsi" w:hAnsiTheme="majorHAnsi" w:cstheme="majorHAnsi"/>
        </w:rPr>
        <w:t xml:space="preserve">attended health services located in inner and outer regional locations, </w:t>
      </w:r>
      <w:r w:rsidR="00236528">
        <w:rPr>
          <w:rFonts w:asciiTheme="majorHAnsi" w:hAnsiTheme="majorHAnsi" w:cstheme="majorHAnsi"/>
        </w:rPr>
        <w:t xml:space="preserve">(Redacted) </w:t>
      </w:r>
      <w:r w:rsidRPr="001C1568">
        <w:rPr>
          <w:rFonts w:asciiTheme="majorHAnsi" w:hAnsiTheme="majorHAnsi" w:cstheme="majorHAnsi"/>
        </w:rPr>
        <w:t xml:space="preserve">had T2DM, and </w:t>
      </w:r>
      <w:r w:rsidR="00236528">
        <w:rPr>
          <w:rFonts w:asciiTheme="majorHAnsi" w:hAnsiTheme="majorHAnsi" w:cstheme="majorHAnsi"/>
        </w:rPr>
        <w:t xml:space="preserve">(Redacted) </w:t>
      </w:r>
      <w:r w:rsidRPr="001C1568">
        <w:rPr>
          <w:rFonts w:asciiTheme="majorHAnsi" w:hAnsiTheme="majorHAnsi" w:cstheme="majorHAnsi"/>
        </w:rPr>
        <w:t>had co-morbidity</w:t>
      </w:r>
      <w:r>
        <w:rPr>
          <w:rFonts w:asciiTheme="majorHAnsi" w:hAnsiTheme="majorHAnsi" w:cstheme="majorHAnsi"/>
        </w:rPr>
        <w:t>.</w:t>
      </w:r>
    </w:p>
    <w:p w14:paraId="743EA890" w14:textId="407B0EB9" w:rsidR="009402E0" w:rsidRPr="004D375B" w:rsidRDefault="00FC67B5" w:rsidP="00DA22EF">
      <w:pPr>
        <w:pStyle w:val="ListParagraph"/>
        <w:numPr>
          <w:ilvl w:val="0"/>
          <w:numId w:val="11"/>
        </w:numPr>
        <w:rPr>
          <w:rFonts w:asciiTheme="majorHAnsi" w:hAnsiTheme="majorHAnsi" w:cstheme="majorHAnsi"/>
        </w:rPr>
      </w:pPr>
      <w:r w:rsidRPr="004D375B">
        <w:rPr>
          <w:rFonts w:asciiTheme="majorHAnsi" w:hAnsiTheme="majorHAnsi" w:cstheme="majorHAnsi"/>
        </w:rPr>
        <w:t>Statistically s</w:t>
      </w:r>
      <w:r w:rsidR="009402E0" w:rsidRPr="004D375B">
        <w:rPr>
          <w:rFonts w:asciiTheme="majorHAnsi" w:hAnsiTheme="majorHAnsi" w:cstheme="majorHAnsi"/>
        </w:rPr>
        <w:t xml:space="preserve">ignificant improvement in HbA1c results in participants with T2DM, with </w:t>
      </w:r>
      <w:r w:rsidR="00FA5110" w:rsidRPr="004D375B">
        <w:rPr>
          <w:rFonts w:asciiTheme="majorHAnsi" w:hAnsiTheme="majorHAnsi" w:cstheme="majorHAnsi"/>
        </w:rPr>
        <w:t>a</w:t>
      </w:r>
      <w:r w:rsidR="00FA5110">
        <w:rPr>
          <w:rFonts w:asciiTheme="majorHAnsi" w:hAnsiTheme="majorHAnsi" w:cstheme="majorHAnsi"/>
        </w:rPr>
        <w:t xml:space="preserve"> (Redacted)</w:t>
      </w:r>
      <w:r w:rsidR="009402E0" w:rsidRPr="004D375B">
        <w:rPr>
          <w:rFonts w:asciiTheme="majorHAnsi" w:hAnsiTheme="majorHAnsi" w:cstheme="majorHAnsi"/>
        </w:rPr>
        <w:t xml:space="preserve"> or </w:t>
      </w:r>
      <w:r w:rsidR="00FA5110">
        <w:rPr>
          <w:rFonts w:asciiTheme="majorHAnsi" w:hAnsiTheme="majorHAnsi" w:cstheme="majorHAnsi"/>
        </w:rPr>
        <w:t>(Redacted)</w:t>
      </w:r>
      <w:r w:rsidR="009402E0" w:rsidRPr="004D375B">
        <w:rPr>
          <w:rFonts w:asciiTheme="majorHAnsi" w:hAnsiTheme="majorHAnsi" w:cstheme="majorHAnsi"/>
        </w:rPr>
        <w:t xml:space="preserve"> reduction </w:t>
      </w:r>
      <w:r w:rsidR="00FA5110">
        <w:rPr>
          <w:rFonts w:asciiTheme="majorHAnsi" w:hAnsiTheme="majorHAnsi" w:cstheme="majorHAnsi"/>
        </w:rPr>
        <w:t>(Redacted)</w:t>
      </w:r>
      <w:r w:rsidR="00FA5110" w:rsidRPr="004D375B">
        <w:rPr>
          <w:rFonts w:asciiTheme="majorHAnsi" w:hAnsiTheme="majorHAnsi" w:cstheme="majorHAnsi"/>
        </w:rPr>
        <w:t xml:space="preserve"> </w:t>
      </w:r>
    </w:p>
    <w:p w14:paraId="22D59A0B" w14:textId="48A48728" w:rsidR="009402E0" w:rsidRPr="004D375B" w:rsidRDefault="009402E0" w:rsidP="00DA22EF">
      <w:pPr>
        <w:pStyle w:val="ListParagraph"/>
        <w:numPr>
          <w:ilvl w:val="0"/>
          <w:numId w:val="11"/>
        </w:numPr>
        <w:rPr>
          <w:rFonts w:asciiTheme="majorHAnsi" w:hAnsiTheme="majorHAnsi" w:cstheme="majorHAnsi"/>
        </w:rPr>
      </w:pPr>
      <w:r w:rsidRPr="004D375B">
        <w:rPr>
          <w:rFonts w:asciiTheme="majorHAnsi" w:hAnsiTheme="majorHAnsi" w:cstheme="majorHAnsi"/>
        </w:rPr>
        <w:t>Reductions in diastolic blood pressure</w:t>
      </w:r>
      <w:r w:rsidR="00FA5110">
        <w:rPr>
          <w:rFonts w:asciiTheme="majorHAnsi" w:hAnsiTheme="majorHAnsi" w:cstheme="majorHAnsi"/>
        </w:rPr>
        <w:t xml:space="preserve"> (Redacted)</w:t>
      </w:r>
      <w:r w:rsidRPr="004D375B">
        <w:rPr>
          <w:rFonts w:asciiTheme="majorHAnsi" w:hAnsiTheme="majorHAnsi" w:cstheme="majorHAnsi"/>
        </w:rPr>
        <w:t xml:space="preserve"> total cholesterol </w:t>
      </w:r>
      <w:r w:rsidR="00FA5110">
        <w:rPr>
          <w:rFonts w:asciiTheme="majorHAnsi" w:hAnsiTheme="majorHAnsi" w:cstheme="majorHAnsi"/>
        </w:rPr>
        <w:t>(Redacted</w:t>
      </w:r>
      <w:r w:rsidR="00FA5110" w:rsidRPr="000D7586">
        <w:rPr>
          <w:rFonts w:asciiTheme="majorHAnsi" w:hAnsiTheme="majorHAnsi" w:cstheme="majorHAnsi"/>
        </w:rPr>
        <w:t xml:space="preserve">) </w:t>
      </w:r>
      <w:r w:rsidRPr="000D7586">
        <w:rPr>
          <w:rFonts w:asciiTheme="majorHAnsi" w:hAnsiTheme="majorHAnsi" w:cstheme="majorHAnsi"/>
        </w:rPr>
        <w:t>(</w:t>
      </w:r>
      <w:r w:rsidRPr="004D375B">
        <w:rPr>
          <w:rFonts w:asciiTheme="majorHAnsi" w:hAnsiTheme="majorHAnsi" w:cstheme="majorHAnsi"/>
        </w:rPr>
        <w:t xml:space="preserve">LDL-C </w:t>
      </w:r>
      <w:r w:rsidR="00FA5110">
        <w:rPr>
          <w:rFonts w:asciiTheme="majorHAnsi" w:hAnsiTheme="majorHAnsi" w:cstheme="majorHAnsi"/>
        </w:rPr>
        <w:t>(Redacted)</w:t>
      </w:r>
      <w:r w:rsidRPr="004D375B">
        <w:rPr>
          <w:rFonts w:asciiTheme="majorHAnsi" w:hAnsiTheme="majorHAnsi" w:cstheme="majorHAnsi"/>
        </w:rPr>
        <w:t xml:space="preserve"> and triglyceride levels </w:t>
      </w:r>
      <w:r w:rsidR="00FA5110">
        <w:rPr>
          <w:rFonts w:asciiTheme="majorHAnsi" w:hAnsiTheme="majorHAnsi" w:cstheme="majorHAnsi"/>
        </w:rPr>
        <w:t>(Redacted)</w:t>
      </w:r>
      <w:r w:rsidRPr="004D375B">
        <w:rPr>
          <w:rFonts w:asciiTheme="majorHAnsi" w:hAnsiTheme="majorHAnsi" w:cstheme="majorHAnsi"/>
        </w:rPr>
        <w:t xml:space="preserve"> were significant for all participants.  </w:t>
      </w:r>
    </w:p>
    <w:p w14:paraId="77836A0A" w14:textId="1A55CE70" w:rsidR="009402E0" w:rsidRPr="004D375B" w:rsidRDefault="009402E0" w:rsidP="00DA22EF">
      <w:pPr>
        <w:pStyle w:val="ListParagraph"/>
        <w:numPr>
          <w:ilvl w:val="0"/>
          <w:numId w:val="11"/>
        </w:numPr>
        <w:rPr>
          <w:rFonts w:asciiTheme="majorHAnsi" w:hAnsiTheme="majorHAnsi" w:cstheme="majorHAnsi"/>
        </w:rPr>
      </w:pPr>
      <w:r w:rsidRPr="004D375B">
        <w:rPr>
          <w:rFonts w:asciiTheme="majorHAnsi" w:hAnsiTheme="majorHAnsi" w:cstheme="majorHAnsi"/>
        </w:rPr>
        <w:t xml:space="preserve">Mean calculated absolute 5-year CVD risk was significantly reduced by </w:t>
      </w:r>
      <w:r w:rsidR="00FA5110">
        <w:rPr>
          <w:rFonts w:asciiTheme="majorHAnsi" w:hAnsiTheme="majorHAnsi" w:cstheme="majorHAnsi"/>
        </w:rPr>
        <w:t xml:space="preserve">(Redacted) </w:t>
      </w:r>
    </w:p>
    <w:p w14:paraId="5A9FBFE5" w14:textId="063EDDA3" w:rsidR="00F74BC9" w:rsidRPr="004D375B" w:rsidRDefault="009402E0" w:rsidP="00F74BC9">
      <w:pPr>
        <w:pStyle w:val="ListParagraph"/>
        <w:numPr>
          <w:ilvl w:val="0"/>
          <w:numId w:val="11"/>
        </w:numPr>
      </w:pPr>
      <w:r w:rsidRPr="004D375B">
        <w:t>Mean annual estimated glomerular filtration rate (eGFR) significantly improved with an increase of</w:t>
      </w:r>
      <w:r w:rsidR="00CD7DA9" w:rsidRPr="004D375B">
        <w:t>)</w:t>
      </w:r>
      <w:r w:rsidR="00FA5110" w:rsidRPr="00FA5110">
        <w:rPr>
          <w:rFonts w:asciiTheme="majorHAnsi" w:hAnsiTheme="majorHAnsi" w:cstheme="majorHAnsi"/>
        </w:rPr>
        <w:t xml:space="preserve"> </w:t>
      </w:r>
      <w:r w:rsidR="00FA5110">
        <w:rPr>
          <w:rFonts w:asciiTheme="majorHAnsi" w:hAnsiTheme="majorHAnsi" w:cstheme="majorHAnsi"/>
        </w:rPr>
        <w:t>(Redacted)</w:t>
      </w:r>
      <w:r w:rsidR="00CD7DA9" w:rsidRPr="004D375B">
        <w:t xml:space="preserve"> from baseline</w:t>
      </w:r>
      <w:r w:rsidR="00CD3717" w:rsidRPr="004D375B">
        <w:t>, which is a significant slowing of eGFR decline</w:t>
      </w:r>
      <w:r w:rsidR="00CD7DA9" w:rsidRPr="004D375B">
        <w:t>.</w:t>
      </w:r>
      <w:r w:rsidRPr="004D375B">
        <w:t xml:space="preserve"> </w:t>
      </w:r>
      <w:r w:rsidR="00CD7DA9" w:rsidRPr="004D375B">
        <w:t xml:space="preserve">When participants with less than 6-months of follow-up were excluded, the mean annual eGFR decline was </w:t>
      </w:r>
      <w:r w:rsidR="00FA5110">
        <w:rPr>
          <w:rFonts w:asciiTheme="majorHAnsi" w:hAnsiTheme="majorHAnsi" w:cstheme="majorHAnsi"/>
        </w:rPr>
        <w:t>(Redacted)</w:t>
      </w:r>
      <w:r w:rsidR="00CD7DA9" w:rsidRPr="004D375B">
        <w:t xml:space="preserve"> significantly </w:t>
      </w:r>
      <w:r w:rsidR="00CD3717" w:rsidRPr="004D375B">
        <w:t xml:space="preserve">slower </w:t>
      </w:r>
      <w:r w:rsidR="00CD7DA9" w:rsidRPr="004D375B">
        <w:t xml:space="preserve">than the predicted </w:t>
      </w:r>
      <w:r w:rsidR="00CD3717" w:rsidRPr="004D375B">
        <w:t xml:space="preserve">and expected annual </w:t>
      </w:r>
      <w:r w:rsidR="00CD7DA9" w:rsidRPr="004D375B">
        <w:t>decline of</w:t>
      </w:r>
      <w:r w:rsidR="00FA5110">
        <w:t xml:space="preserve"> </w:t>
      </w:r>
      <w:r w:rsidR="00FA5110">
        <w:rPr>
          <w:rFonts w:asciiTheme="majorHAnsi" w:hAnsiTheme="majorHAnsi" w:cstheme="majorHAnsi"/>
        </w:rPr>
        <w:t>(Redacted)</w:t>
      </w:r>
      <w:r w:rsidR="00CD7DA9" w:rsidRPr="004D375B">
        <w:t xml:space="preserve"> </w:t>
      </w:r>
      <w:r w:rsidR="00CD3717" w:rsidRPr="004D375B">
        <w:t>in the Aboriginal and Torres Strait Islander population</w:t>
      </w:r>
      <w:r w:rsidR="00CD7DA9" w:rsidRPr="004D375B">
        <w:t xml:space="preserve">. </w:t>
      </w:r>
    </w:p>
    <w:p w14:paraId="00983354" w14:textId="374ED2E6" w:rsidR="00F74BC9" w:rsidRPr="004D375B" w:rsidRDefault="00F74BC9" w:rsidP="00F74BC9">
      <w:pPr>
        <w:pStyle w:val="ListParagraph"/>
        <w:numPr>
          <w:ilvl w:val="0"/>
          <w:numId w:val="11"/>
        </w:numPr>
      </w:pPr>
      <w:r w:rsidRPr="004D375B">
        <w:lastRenderedPageBreak/>
        <w:t xml:space="preserve">SBP significantly improved for younger participants </w:t>
      </w:r>
      <w:r w:rsidR="00FA5110">
        <w:rPr>
          <w:rFonts w:asciiTheme="majorHAnsi" w:hAnsiTheme="majorHAnsi" w:cstheme="majorHAnsi"/>
        </w:rPr>
        <w:t>(Redacted)</w:t>
      </w:r>
      <w:r w:rsidRPr="004D375B">
        <w:t>.</w:t>
      </w:r>
    </w:p>
    <w:p w14:paraId="7B8BA06F" w14:textId="4D743319" w:rsidR="009402E0" w:rsidRPr="009402E0" w:rsidRDefault="009402E0" w:rsidP="00FC12A1">
      <w:pPr>
        <w:pStyle w:val="Heading3"/>
      </w:pPr>
      <w:bookmarkStart w:id="54" w:name="_Toc85103774"/>
      <w:bookmarkStart w:id="55" w:name="_Toc40350114"/>
      <w:bookmarkStart w:id="56" w:name="_Toc40441095"/>
      <w:bookmarkStart w:id="57" w:name="_Toc41315637"/>
      <w:r w:rsidRPr="009402E0">
        <w:t>Medication Appropriateness Index (MAI)</w:t>
      </w:r>
      <w:bookmarkEnd w:id="54"/>
      <w:r w:rsidRPr="009402E0">
        <w:t xml:space="preserve"> </w:t>
      </w:r>
      <w:bookmarkEnd w:id="55"/>
      <w:bookmarkEnd w:id="56"/>
      <w:bookmarkEnd w:id="57"/>
    </w:p>
    <w:p w14:paraId="3696C320" w14:textId="20BF6896" w:rsidR="009402E0" w:rsidRPr="009402E0" w:rsidRDefault="009402E0" w:rsidP="00DA22EF">
      <w:pPr>
        <w:widowControl/>
        <w:autoSpaceDE w:val="0"/>
        <w:autoSpaceDN w:val="0"/>
        <w:adjustRightInd w:val="0"/>
        <w:rPr>
          <w:rFonts w:asciiTheme="majorHAnsi" w:hAnsiTheme="majorHAnsi" w:cstheme="majorHAnsi"/>
        </w:rPr>
      </w:pPr>
      <w:r w:rsidRPr="009402E0">
        <w:rPr>
          <w:rFonts w:asciiTheme="majorHAnsi" w:hAnsiTheme="majorHAnsi" w:cstheme="majorHAnsi"/>
          <w:lang w:val="en-AU"/>
        </w:rPr>
        <w:t>Prescribing quality improved significantly for participants following the integrated pharmacist intervention within ACCHSs. Key results included:</w:t>
      </w:r>
    </w:p>
    <w:p w14:paraId="50C885C1" w14:textId="362833A8" w:rsidR="00E530DD" w:rsidRDefault="00E530DD" w:rsidP="00DA22EF">
      <w:pPr>
        <w:pStyle w:val="ListParagraph"/>
        <w:widowControl/>
        <w:numPr>
          <w:ilvl w:val="0"/>
          <w:numId w:val="18"/>
        </w:numPr>
        <w:autoSpaceDE w:val="0"/>
        <w:autoSpaceDN w:val="0"/>
        <w:adjustRightInd w:val="0"/>
        <w:rPr>
          <w:rFonts w:asciiTheme="majorHAnsi" w:hAnsiTheme="majorHAnsi" w:cstheme="majorHAnsi"/>
          <w:lang w:val="en-AU"/>
        </w:rPr>
      </w:pPr>
      <w:r w:rsidRPr="00E530DD">
        <w:rPr>
          <w:rFonts w:asciiTheme="majorHAnsi" w:hAnsiTheme="majorHAnsi" w:cstheme="majorHAnsi"/>
          <w:lang w:val="en-AU"/>
        </w:rPr>
        <w:t xml:space="preserve">357 participants </w:t>
      </w:r>
      <w:r w:rsidR="00253DE2">
        <w:rPr>
          <w:rFonts w:asciiTheme="majorHAnsi" w:hAnsiTheme="majorHAnsi" w:cstheme="majorHAnsi"/>
          <w:lang w:val="en-AU"/>
        </w:rPr>
        <w:t>with</w:t>
      </w:r>
      <w:r w:rsidR="00253DE2" w:rsidRPr="00E530DD">
        <w:rPr>
          <w:rFonts w:asciiTheme="majorHAnsi" w:hAnsiTheme="majorHAnsi" w:cstheme="majorHAnsi"/>
          <w:lang w:val="en-AU"/>
        </w:rPr>
        <w:t xml:space="preserve"> </w:t>
      </w:r>
      <w:r w:rsidRPr="00E530DD">
        <w:rPr>
          <w:rFonts w:asciiTheme="majorHAnsi" w:hAnsiTheme="majorHAnsi" w:cstheme="majorHAnsi"/>
          <w:lang w:val="en-AU"/>
        </w:rPr>
        <w:t xml:space="preserve">paired </w:t>
      </w:r>
      <w:r>
        <w:rPr>
          <w:rFonts w:asciiTheme="majorHAnsi" w:hAnsiTheme="majorHAnsi" w:cstheme="majorHAnsi"/>
          <w:lang w:val="en-AU"/>
        </w:rPr>
        <w:t xml:space="preserve">MAI </w:t>
      </w:r>
      <w:r w:rsidRPr="00E530DD">
        <w:rPr>
          <w:rFonts w:asciiTheme="majorHAnsi" w:hAnsiTheme="majorHAnsi" w:cstheme="majorHAnsi"/>
          <w:lang w:val="en-AU"/>
        </w:rPr>
        <w:t xml:space="preserve">data </w:t>
      </w:r>
      <w:r w:rsidR="00253DE2">
        <w:rPr>
          <w:rFonts w:asciiTheme="majorHAnsi" w:hAnsiTheme="majorHAnsi" w:cstheme="majorHAnsi"/>
          <w:lang w:val="en-AU"/>
        </w:rPr>
        <w:t>(</w:t>
      </w:r>
      <w:r w:rsidR="00D21AED">
        <w:rPr>
          <w:rFonts w:asciiTheme="majorHAnsi" w:hAnsiTheme="majorHAnsi" w:cstheme="majorHAnsi"/>
          <w:lang w:val="en-AU"/>
        </w:rPr>
        <w:t>baseline</w:t>
      </w:r>
      <w:r w:rsidR="00253DE2">
        <w:rPr>
          <w:rFonts w:asciiTheme="majorHAnsi" w:hAnsiTheme="majorHAnsi" w:cstheme="majorHAnsi"/>
          <w:lang w:val="en-AU"/>
        </w:rPr>
        <w:t xml:space="preserve"> and </w:t>
      </w:r>
      <w:r w:rsidR="00D21AED">
        <w:rPr>
          <w:rFonts w:asciiTheme="majorHAnsi" w:hAnsiTheme="majorHAnsi" w:cstheme="majorHAnsi"/>
          <w:lang w:val="en-AU"/>
        </w:rPr>
        <w:t>end of study</w:t>
      </w:r>
      <w:r w:rsidR="00253DE2">
        <w:rPr>
          <w:rFonts w:asciiTheme="majorHAnsi" w:hAnsiTheme="majorHAnsi" w:cstheme="majorHAnsi"/>
          <w:lang w:val="en-AU"/>
        </w:rPr>
        <w:t xml:space="preserve">) </w:t>
      </w:r>
      <w:r>
        <w:rPr>
          <w:rFonts w:asciiTheme="majorHAnsi" w:hAnsiTheme="majorHAnsi" w:cstheme="majorHAnsi"/>
          <w:lang w:val="en-AU"/>
        </w:rPr>
        <w:t xml:space="preserve">included for </w:t>
      </w:r>
      <w:r w:rsidRPr="00E530DD">
        <w:rPr>
          <w:rFonts w:asciiTheme="majorHAnsi" w:hAnsiTheme="majorHAnsi" w:cstheme="majorHAnsi"/>
          <w:lang w:val="en-AU"/>
        </w:rPr>
        <w:t xml:space="preserve">analysis (median </w:t>
      </w:r>
      <w:r w:rsidR="00CA04B1">
        <w:rPr>
          <w:rFonts w:asciiTheme="majorHAnsi" w:hAnsiTheme="majorHAnsi" w:cstheme="majorHAnsi"/>
          <w:lang w:val="en-AU"/>
        </w:rPr>
        <w:t>follow-up</w:t>
      </w:r>
      <w:r w:rsidRPr="00E530DD">
        <w:rPr>
          <w:rFonts w:asciiTheme="majorHAnsi" w:hAnsiTheme="majorHAnsi" w:cstheme="majorHAnsi"/>
          <w:lang w:val="en-AU"/>
        </w:rPr>
        <w:t xml:space="preserve"> of 270 days). </w:t>
      </w:r>
    </w:p>
    <w:p w14:paraId="61066BBF" w14:textId="056620E9" w:rsidR="009402E0" w:rsidRPr="009402E0" w:rsidRDefault="00716C4C" w:rsidP="00DA22EF">
      <w:pPr>
        <w:pStyle w:val="ListParagraph"/>
        <w:widowControl/>
        <w:numPr>
          <w:ilvl w:val="0"/>
          <w:numId w:val="12"/>
        </w:numPr>
        <w:autoSpaceDE w:val="0"/>
        <w:autoSpaceDN w:val="0"/>
        <w:adjustRightInd w:val="0"/>
        <w:rPr>
          <w:rFonts w:asciiTheme="majorHAnsi" w:hAnsiTheme="majorHAnsi" w:cstheme="majorHAnsi"/>
          <w:lang w:val="en-AU"/>
        </w:rPr>
      </w:pPr>
      <w:r>
        <w:rPr>
          <w:rFonts w:asciiTheme="majorHAnsi" w:hAnsiTheme="majorHAnsi" w:cstheme="majorHAnsi"/>
          <w:lang w:val="en-AU"/>
        </w:rPr>
        <w:t>MAI analysis included a</w:t>
      </w:r>
      <w:r w:rsidR="009402E0" w:rsidRPr="009402E0">
        <w:rPr>
          <w:rFonts w:asciiTheme="majorHAnsi" w:hAnsiTheme="majorHAnsi" w:cstheme="majorHAnsi"/>
          <w:lang w:val="en-AU"/>
        </w:rPr>
        <w:t xml:space="preserve"> total of 2,804 and 2,963 medications at baseline and at th</w:t>
      </w:r>
      <w:r w:rsidR="00D55B1D">
        <w:rPr>
          <w:rFonts w:asciiTheme="majorHAnsi" w:hAnsiTheme="majorHAnsi" w:cstheme="majorHAnsi"/>
          <w:lang w:val="en-AU"/>
        </w:rPr>
        <w:t>e end of the study respectively</w:t>
      </w:r>
      <w:r w:rsidR="009402E0" w:rsidRPr="009402E0">
        <w:rPr>
          <w:rFonts w:asciiTheme="majorHAnsi" w:hAnsiTheme="majorHAnsi" w:cstheme="majorHAnsi"/>
          <w:lang w:val="en-AU"/>
        </w:rPr>
        <w:t xml:space="preserve">. </w:t>
      </w:r>
    </w:p>
    <w:p w14:paraId="4E607B11" w14:textId="48D627B5" w:rsidR="009402E0" w:rsidRPr="009402E0" w:rsidRDefault="009402E0" w:rsidP="00DA22EF">
      <w:pPr>
        <w:pStyle w:val="ListParagraph"/>
        <w:widowControl/>
        <w:numPr>
          <w:ilvl w:val="0"/>
          <w:numId w:val="12"/>
        </w:numPr>
        <w:autoSpaceDE w:val="0"/>
        <w:autoSpaceDN w:val="0"/>
        <w:adjustRightInd w:val="0"/>
        <w:rPr>
          <w:rFonts w:asciiTheme="majorHAnsi" w:hAnsiTheme="majorHAnsi" w:cstheme="majorHAnsi"/>
          <w:lang w:val="en-AU"/>
        </w:rPr>
      </w:pPr>
      <w:r w:rsidRPr="009402E0">
        <w:rPr>
          <w:rFonts w:asciiTheme="majorHAnsi" w:hAnsiTheme="majorHAnsi" w:cstheme="majorHAnsi"/>
          <w:lang w:val="en-AU"/>
        </w:rPr>
        <w:t xml:space="preserve">The intervention significantly reduced mean MAI scores per participant </w:t>
      </w:r>
      <w:r w:rsidR="00FA5110">
        <w:rPr>
          <w:rFonts w:asciiTheme="majorHAnsi" w:hAnsiTheme="majorHAnsi" w:cstheme="majorHAnsi"/>
        </w:rPr>
        <w:t>(Redacted)</w:t>
      </w:r>
      <w:r w:rsidR="00716C4C">
        <w:rPr>
          <w:rFonts w:asciiTheme="majorHAnsi" w:hAnsiTheme="majorHAnsi" w:cstheme="majorHAnsi"/>
          <w:lang w:val="en-AU"/>
        </w:rPr>
        <w:t xml:space="preserve">; </w:t>
      </w:r>
      <w:r w:rsidRPr="009402E0">
        <w:rPr>
          <w:rFonts w:asciiTheme="majorHAnsi" w:hAnsiTheme="majorHAnsi" w:cstheme="majorHAnsi"/>
          <w:lang w:val="en-AU"/>
        </w:rPr>
        <w:t>the mean MAI score per individual medication</w:t>
      </w:r>
      <w:r w:rsidR="00FA5110">
        <w:rPr>
          <w:rFonts w:asciiTheme="majorHAnsi" w:hAnsiTheme="majorHAnsi" w:cstheme="majorHAnsi"/>
          <w:lang w:val="en-AU"/>
        </w:rPr>
        <w:t xml:space="preserve"> </w:t>
      </w:r>
      <w:r w:rsidR="00FA5110">
        <w:rPr>
          <w:rFonts w:asciiTheme="majorHAnsi" w:hAnsiTheme="majorHAnsi" w:cstheme="majorHAnsi"/>
        </w:rPr>
        <w:t>(Redacted)</w:t>
      </w:r>
      <w:r w:rsidRPr="009402E0">
        <w:rPr>
          <w:rFonts w:asciiTheme="majorHAnsi" w:hAnsiTheme="majorHAnsi" w:cstheme="majorHAnsi"/>
          <w:lang w:val="en-AU"/>
        </w:rPr>
        <w:t>; the proportion of participants receiving medications rated as inappropriate</w:t>
      </w:r>
      <w:r w:rsidR="00FA5110">
        <w:rPr>
          <w:rFonts w:asciiTheme="majorHAnsi" w:hAnsiTheme="majorHAnsi" w:cstheme="majorHAnsi"/>
          <w:lang w:val="en-AU"/>
        </w:rPr>
        <w:t xml:space="preserve"> </w:t>
      </w:r>
      <w:r w:rsidR="00FA5110">
        <w:rPr>
          <w:rFonts w:asciiTheme="majorHAnsi" w:hAnsiTheme="majorHAnsi" w:cstheme="majorHAnsi"/>
        </w:rPr>
        <w:t>(Redacted)</w:t>
      </w:r>
      <w:r w:rsidR="00716C4C">
        <w:rPr>
          <w:rFonts w:asciiTheme="majorHAnsi" w:hAnsiTheme="majorHAnsi" w:cstheme="majorHAnsi"/>
          <w:lang w:val="en-AU"/>
        </w:rPr>
        <w:t>;</w:t>
      </w:r>
      <w:r w:rsidRPr="009402E0">
        <w:rPr>
          <w:rFonts w:asciiTheme="majorHAnsi" w:hAnsiTheme="majorHAnsi" w:cstheme="majorHAnsi"/>
          <w:lang w:val="en-AU"/>
        </w:rPr>
        <w:t xml:space="preserve"> and the proportion of medications with the following prescribing risks: incorrect dosage, impractical directions, unacceptable therapy duration, drug-disease interactions; and unnecessary medications due to absent clinical indications, or lack of clinical effectiveness (</w:t>
      </w:r>
      <w:r w:rsidR="00363F86">
        <w:rPr>
          <w:rFonts w:asciiTheme="majorHAnsi" w:hAnsiTheme="majorHAnsi" w:cstheme="majorHAnsi"/>
          <w:lang w:val="en-AU"/>
        </w:rPr>
        <w:t>redacted</w:t>
      </w:r>
      <w:r w:rsidRPr="009402E0">
        <w:rPr>
          <w:rFonts w:asciiTheme="majorHAnsi" w:hAnsiTheme="majorHAnsi" w:cstheme="majorHAnsi"/>
          <w:lang w:val="en-AU"/>
        </w:rPr>
        <w:t xml:space="preserve">). </w:t>
      </w:r>
    </w:p>
    <w:p w14:paraId="093C0BDB" w14:textId="77777777" w:rsidR="003043BD" w:rsidRPr="009402E0" w:rsidRDefault="003043BD" w:rsidP="00DA22EF">
      <w:pPr>
        <w:widowControl/>
        <w:contextualSpacing/>
        <w:rPr>
          <w:rFonts w:asciiTheme="majorHAnsi" w:hAnsiTheme="majorHAnsi" w:cstheme="majorHAnsi"/>
        </w:rPr>
      </w:pPr>
    </w:p>
    <w:p w14:paraId="5F9F792B" w14:textId="6120F54C" w:rsidR="009402E0" w:rsidRPr="009402E0" w:rsidRDefault="009402E0" w:rsidP="00FC12A1">
      <w:pPr>
        <w:pStyle w:val="Heading3"/>
      </w:pPr>
      <w:bookmarkStart w:id="58" w:name="_Toc41315638"/>
      <w:bookmarkStart w:id="59" w:name="_Toc85103775"/>
      <w:bookmarkStart w:id="60" w:name="_Toc40350115"/>
      <w:bookmarkStart w:id="61" w:name="_Toc40441096"/>
      <w:r w:rsidRPr="009402E0">
        <w:t xml:space="preserve">Assessment of </w:t>
      </w:r>
      <w:r w:rsidR="009704C5">
        <w:t>medication u</w:t>
      </w:r>
      <w:r w:rsidRPr="009402E0">
        <w:t>nderutilisation</w:t>
      </w:r>
      <w:bookmarkEnd w:id="58"/>
      <w:r w:rsidR="009704C5">
        <w:t xml:space="preserve"> (</w:t>
      </w:r>
      <w:proofErr w:type="spellStart"/>
      <w:r w:rsidR="009704C5">
        <w:t>AoU</w:t>
      </w:r>
      <w:proofErr w:type="spellEnd"/>
      <w:r w:rsidR="009704C5">
        <w:t>)</w:t>
      </w:r>
      <w:bookmarkEnd w:id="59"/>
      <w:r w:rsidRPr="009402E0">
        <w:t xml:space="preserve"> </w:t>
      </w:r>
      <w:bookmarkEnd w:id="60"/>
      <w:bookmarkEnd w:id="61"/>
    </w:p>
    <w:p w14:paraId="03F851B3" w14:textId="0BDFC5D5" w:rsidR="009402E0" w:rsidRDefault="009402E0" w:rsidP="00DA22EF">
      <w:pPr>
        <w:widowControl/>
        <w:autoSpaceDE w:val="0"/>
        <w:autoSpaceDN w:val="0"/>
        <w:adjustRightInd w:val="0"/>
        <w:rPr>
          <w:rFonts w:asciiTheme="majorHAnsi" w:hAnsiTheme="majorHAnsi" w:cstheme="majorHAnsi"/>
          <w:lang w:val="en-AU"/>
        </w:rPr>
      </w:pPr>
      <w:r w:rsidRPr="009402E0">
        <w:rPr>
          <w:rFonts w:asciiTheme="majorHAnsi" w:hAnsiTheme="majorHAnsi" w:cstheme="majorHAnsi"/>
          <w:lang w:val="en-AU"/>
        </w:rPr>
        <w:t>Potential Prescribing Omi</w:t>
      </w:r>
      <w:r w:rsidR="00481CD3">
        <w:rPr>
          <w:rFonts w:asciiTheme="majorHAnsi" w:hAnsiTheme="majorHAnsi" w:cstheme="majorHAnsi"/>
          <w:lang w:val="en-AU"/>
        </w:rPr>
        <w:t>ssions (PPOs) were common in the IPAC</w:t>
      </w:r>
      <w:r w:rsidRPr="009402E0">
        <w:rPr>
          <w:rFonts w:asciiTheme="majorHAnsi" w:hAnsiTheme="majorHAnsi" w:cstheme="majorHAnsi"/>
          <w:lang w:val="en-AU"/>
        </w:rPr>
        <w:t xml:space="preserve"> cohort. Improvements in prescribing quality arising from pharmacists integrated within ACCHSs significantly averted PPOs to high-value pharmacotherapies. Key results</w:t>
      </w:r>
      <w:r w:rsidR="00481CD3">
        <w:rPr>
          <w:rFonts w:asciiTheme="majorHAnsi" w:hAnsiTheme="majorHAnsi" w:cstheme="majorHAnsi"/>
          <w:lang w:val="en-AU"/>
        </w:rPr>
        <w:t xml:space="preserve"> were</w:t>
      </w:r>
      <w:r w:rsidRPr="009402E0">
        <w:rPr>
          <w:rFonts w:asciiTheme="majorHAnsi" w:hAnsiTheme="majorHAnsi" w:cstheme="majorHAnsi"/>
          <w:lang w:val="en-AU"/>
        </w:rPr>
        <w:t>:</w:t>
      </w:r>
    </w:p>
    <w:p w14:paraId="6862E2CB" w14:textId="6F94AC64" w:rsidR="00481CD3" w:rsidRPr="00481CD3" w:rsidRDefault="00481CD3" w:rsidP="00DA22EF">
      <w:pPr>
        <w:pStyle w:val="ListParagraph"/>
        <w:widowControl/>
        <w:numPr>
          <w:ilvl w:val="0"/>
          <w:numId w:val="19"/>
        </w:numPr>
        <w:autoSpaceDE w:val="0"/>
        <w:autoSpaceDN w:val="0"/>
        <w:adjustRightInd w:val="0"/>
        <w:rPr>
          <w:rFonts w:asciiTheme="majorHAnsi" w:hAnsiTheme="majorHAnsi" w:cstheme="majorHAnsi"/>
          <w:lang w:val="en-AU"/>
        </w:rPr>
      </w:pPr>
      <w:r w:rsidRPr="00481CD3">
        <w:rPr>
          <w:rFonts w:asciiTheme="majorHAnsi" w:hAnsiTheme="majorHAnsi" w:cstheme="majorHAnsi"/>
          <w:lang w:val="en-AU"/>
        </w:rPr>
        <w:t xml:space="preserve">353 participants </w:t>
      </w:r>
      <w:r>
        <w:rPr>
          <w:rFonts w:asciiTheme="majorHAnsi" w:hAnsiTheme="majorHAnsi" w:cstheme="majorHAnsi"/>
          <w:lang w:val="en-AU"/>
        </w:rPr>
        <w:t>(from the MAI subset) had</w:t>
      </w:r>
      <w:r w:rsidRPr="00481CD3">
        <w:rPr>
          <w:rFonts w:asciiTheme="majorHAnsi" w:hAnsiTheme="majorHAnsi" w:cstheme="majorHAnsi"/>
          <w:lang w:val="en-AU"/>
        </w:rPr>
        <w:t xml:space="preserve"> paired </w:t>
      </w:r>
      <w:proofErr w:type="spellStart"/>
      <w:r>
        <w:rPr>
          <w:rFonts w:asciiTheme="majorHAnsi" w:hAnsiTheme="majorHAnsi" w:cstheme="majorHAnsi"/>
          <w:lang w:val="en-AU"/>
        </w:rPr>
        <w:t>AoU</w:t>
      </w:r>
      <w:proofErr w:type="spellEnd"/>
      <w:r>
        <w:rPr>
          <w:rFonts w:asciiTheme="majorHAnsi" w:hAnsiTheme="majorHAnsi" w:cstheme="majorHAnsi"/>
          <w:lang w:val="en-AU"/>
        </w:rPr>
        <w:t xml:space="preserve"> </w:t>
      </w:r>
      <w:r w:rsidRPr="00481CD3">
        <w:rPr>
          <w:rFonts w:asciiTheme="majorHAnsi" w:hAnsiTheme="majorHAnsi" w:cstheme="majorHAnsi"/>
          <w:lang w:val="en-AU"/>
        </w:rPr>
        <w:t xml:space="preserve">data </w:t>
      </w:r>
      <w:r>
        <w:rPr>
          <w:rFonts w:asciiTheme="majorHAnsi" w:hAnsiTheme="majorHAnsi" w:cstheme="majorHAnsi"/>
          <w:lang w:val="en-AU"/>
        </w:rPr>
        <w:t xml:space="preserve">and were included in </w:t>
      </w:r>
      <w:r w:rsidRPr="00481CD3">
        <w:rPr>
          <w:rFonts w:asciiTheme="majorHAnsi" w:hAnsiTheme="majorHAnsi" w:cstheme="majorHAnsi"/>
          <w:lang w:val="en-AU"/>
        </w:rPr>
        <w:t xml:space="preserve">analysis (median </w:t>
      </w:r>
      <w:r w:rsidR="00BE3004">
        <w:rPr>
          <w:rFonts w:asciiTheme="majorHAnsi" w:hAnsiTheme="majorHAnsi" w:cstheme="majorHAnsi"/>
          <w:lang w:val="en-AU"/>
        </w:rPr>
        <w:t>follow-up</w:t>
      </w:r>
      <w:r w:rsidR="00BE3004" w:rsidRPr="00481CD3">
        <w:rPr>
          <w:rFonts w:asciiTheme="majorHAnsi" w:hAnsiTheme="majorHAnsi" w:cstheme="majorHAnsi"/>
          <w:lang w:val="en-AU"/>
        </w:rPr>
        <w:t xml:space="preserve"> </w:t>
      </w:r>
      <w:r w:rsidRPr="00481CD3">
        <w:rPr>
          <w:rFonts w:asciiTheme="majorHAnsi" w:hAnsiTheme="majorHAnsi" w:cstheme="majorHAnsi"/>
          <w:lang w:val="en-AU"/>
        </w:rPr>
        <w:t xml:space="preserve">of 266 days). </w:t>
      </w:r>
    </w:p>
    <w:p w14:paraId="7C34BC8A" w14:textId="7C17D75B" w:rsidR="009402E0" w:rsidRPr="009402E0" w:rsidRDefault="009402E0" w:rsidP="00DA22EF">
      <w:pPr>
        <w:pStyle w:val="ListParagraph"/>
        <w:widowControl/>
        <w:numPr>
          <w:ilvl w:val="0"/>
          <w:numId w:val="14"/>
        </w:numPr>
        <w:autoSpaceDE w:val="0"/>
        <w:autoSpaceDN w:val="0"/>
        <w:adjustRightInd w:val="0"/>
        <w:rPr>
          <w:rFonts w:asciiTheme="majorHAnsi" w:hAnsiTheme="majorHAnsi" w:cstheme="majorHAnsi"/>
        </w:rPr>
      </w:pPr>
      <w:r w:rsidRPr="009402E0">
        <w:rPr>
          <w:rFonts w:asciiTheme="majorHAnsi" w:hAnsiTheme="majorHAnsi" w:cstheme="majorHAnsi"/>
          <w:lang w:val="en-AU"/>
        </w:rPr>
        <w:t xml:space="preserve">At baseline, </w:t>
      </w:r>
      <w:r w:rsidR="007A28F2">
        <w:rPr>
          <w:rFonts w:asciiTheme="majorHAnsi" w:hAnsiTheme="majorHAnsi" w:cstheme="majorHAnsi"/>
          <w:lang w:val="en-AU"/>
        </w:rPr>
        <w:t>[Redacted]</w:t>
      </w:r>
      <w:r w:rsidR="007A28F2" w:rsidRPr="009402E0">
        <w:rPr>
          <w:rFonts w:asciiTheme="majorHAnsi" w:hAnsiTheme="majorHAnsi" w:cstheme="majorHAnsi"/>
          <w:lang w:val="en-AU"/>
        </w:rPr>
        <w:t xml:space="preserve"> </w:t>
      </w:r>
      <w:r w:rsidRPr="009402E0">
        <w:rPr>
          <w:rFonts w:asciiTheme="majorHAnsi" w:hAnsiTheme="majorHAnsi" w:cstheme="majorHAnsi"/>
          <w:lang w:val="en-AU"/>
        </w:rPr>
        <w:t xml:space="preserve">of participants had at least one PPO from explicit and implicit criteria, totalling </w:t>
      </w:r>
      <w:r w:rsidR="007C5E44">
        <w:rPr>
          <w:rFonts w:asciiTheme="majorHAnsi" w:hAnsiTheme="majorHAnsi" w:cstheme="majorHAnsi"/>
          <w:lang w:val="en-AU"/>
        </w:rPr>
        <w:t>[Redacted]</w:t>
      </w:r>
      <w:r w:rsidRPr="009402E0">
        <w:rPr>
          <w:rFonts w:asciiTheme="majorHAnsi" w:hAnsiTheme="majorHAnsi" w:cstheme="majorHAnsi"/>
          <w:lang w:val="en-AU"/>
        </w:rPr>
        <w:t xml:space="preserve"> PPOs per participant. </w:t>
      </w:r>
    </w:p>
    <w:p w14:paraId="0E31E7E8" w14:textId="0080CFA7" w:rsidR="00481CD3" w:rsidRPr="00481CD3" w:rsidRDefault="009402E0" w:rsidP="00DA22EF">
      <w:pPr>
        <w:pStyle w:val="ListParagraph"/>
        <w:widowControl/>
        <w:numPr>
          <w:ilvl w:val="0"/>
          <w:numId w:val="14"/>
        </w:numPr>
        <w:autoSpaceDE w:val="0"/>
        <w:autoSpaceDN w:val="0"/>
        <w:adjustRightInd w:val="0"/>
        <w:rPr>
          <w:rFonts w:asciiTheme="majorHAnsi" w:hAnsiTheme="majorHAnsi" w:cstheme="majorHAnsi"/>
        </w:rPr>
      </w:pPr>
      <w:r w:rsidRPr="009402E0">
        <w:rPr>
          <w:rFonts w:asciiTheme="majorHAnsi" w:hAnsiTheme="majorHAnsi" w:cstheme="majorHAnsi"/>
          <w:lang w:val="en-AU"/>
        </w:rPr>
        <w:t>At follow-up (mean 267 days post-baseline), there was a significant</w:t>
      </w:r>
      <w:r w:rsidR="00FA5110">
        <w:rPr>
          <w:rFonts w:asciiTheme="majorHAnsi" w:hAnsiTheme="majorHAnsi" w:cstheme="majorHAnsi"/>
          <w:lang w:val="en-AU"/>
        </w:rPr>
        <w:t xml:space="preserve"> </w:t>
      </w:r>
      <w:r w:rsidR="00FA5110">
        <w:rPr>
          <w:rFonts w:asciiTheme="majorHAnsi" w:hAnsiTheme="majorHAnsi" w:cstheme="majorHAnsi"/>
        </w:rPr>
        <w:t>(Redacted)</w:t>
      </w:r>
      <w:r w:rsidRPr="009402E0">
        <w:rPr>
          <w:rFonts w:asciiTheme="majorHAnsi" w:hAnsiTheme="majorHAnsi" w:cstheme="majorHAnsi"/>
          <w:lang w:val="en-AU"/>
        </w:rPr>
        <w:t xml:space="preserve"> reduction in the number of participants with potential prescription-based medication underutilisation, and a significant relative reduction in the mean number of PPOs per participant</w:t>
      </w:r>
      <w:r w:rsidR="00363F86">
        <w:rPr>
          <w:rFonts w:asciiTheme="majorHAnsi" w:hAnsiTheme="majorHAnsi" w:cstheme="majorHAnsi"/>
          <w:lang w:val="en-AU"/>
        </w:rPr>
        <w:t xml:space="preserve"> </w:t>
      </w:r>
      <w:r w:rsidR="00FA5110">
        <w:rPr>
          <w:rFonts w:asciiTheme="majorHAnsi" w:hAnsiTheme="majorHAnsi" w:cstheme="majorHAnsi"/>
        </w:rPr>
        <w:t>(Redacted</w:t>
      </w:r>
      <w:proofErr w:type="gramStart"/>
      <w:r w:rsidR="00FA5110">
        <w:rPr>
          <w:rFonts w:asciiTheme="majorHAnsi" w:hAnsiTheme="majorHAnsi" w:cstheme="majorHAnsi"/>
        </w:rPr>
        <w:t>)</w:t>
      </w:r>
      <w:r w:rsidR="00FA5110">
        <w:rPr>
          <w:rFonts w:asciiTheme="majorHAnsi" w:hAnsiTheme="majorHAnsi" w:cstheme="majorHAnsi"/>
          <w:lang w:val="en-AU"/>
        </w:rPr>
        <w:t xml:space="preserve"> </w:t>
      </w:r>
      <w:r w:rsidRPr="009402E0">
        <w:rPr>
          <w:rFonts w:asciiTheme="majorHAnsi" w:hAnsiTheme="majorHAnsi" w:cstheme="majorHAnsi"/>
          <w:lang w:val="en-AU"/>
        </w:rPr>
        <w:t>.</w:t>
      </w:r>
      <w:proofErr w:type="gramEnd"/>
      <w:r w:rsidRPr="009402E0">
        <w:rPr>
          <w:rFonts w:asciiTheme="majorHAnsi" w:hAnsiTheme="majorHAnsi" w:cstheme="majorHAnsi"/>
          <w:lang w:val="en-AU"/>
        </w:rPr>
        <w:t xml:space="preserve"> </w:t>
      </w:r>
    </w:p>
    <w:p w14:paraId="2B9A66CE" w14:textId="50AD52B3" w:rsidR="009402E0" w:rsidRPr="00FA3DA0" w:rsidRDefault="009402E0" w:rsidP="00DA22EF">
      <w:pPr>
        <w:pStyle w:val="ListParagraph"/>
        <w:widowControl/>
        <w:numPr>
          <w:ilvl w:val="0"/>
          <w:numId w:val="14"/>
        </w:numPr>
        <w:autoSpaceDE w:val="0"/>
        <w:autoSpaceDN w:val="0"/>
        <w:adjustRightInd w:val="0"/>
        <w:rPr>
          <w:rFonts w:asciiTheme="majorHAnsi" w:hAnsiTheme="majorHAnsi" w:cstheme="majorHAnsi"/>
        </w:rPr>
      </w:pPr>
      <w:r w:rsidRPr="009402E0">
        <w:rPr>
          <w:rFonts w:asciiTheme="majorHAnsi" w:hAnsiTheme="majorHAnsi" w:cstheme="majorHAnsi"/>
          <w:lang w:val="en-AU"/>
        </w:rPr>
        <w:t xml:space="preserve">The PPOs that were averted were for pneumococcal vaccination, BP and/or lipid lowering medication in </w:t>
      </w:r>
      <w:r w:rsidRPr="00C739F4">
        <w:rPr>
          <w:rFonts w:asciiTheme="majorHAnsi" w:hAnsiTheme="majorHAnsi" w:cstheme="majorHAnsi"/>
          <w:lang w:val="en-AU"/>
        </w:rPr>
        <w:t xml:space="preserve">those clinically at high primary CVD risk, </w:t>
      </w:r>
      <w:r w:rsidR="007C5E44">
        <w:rPr>
          <w:rFonts w:asciiTheme="majorHAnsi" w:hAnsiTheme="majorHAnsi" w:cstheme="majorHAnsi"/>
          <w:lang w:val="en-AU"/>
        </w:rPr>
        <w:t>antihypertensives</w:t>
      </w:r>
      <w:r w:rsidRPr="00C739F4">
        <w:rPr>
          <w:rFonts w:asciiTheme="majorHAnsi" w:hAnsiTheme="majorHAnsi" w:cstheme="majorHAnsi"/>
          <w:lang w:val="en-AU"/>
        </w:rPr>
        <w:t xml:space="preserve"> for participants with T2DM and albuminuria, and metformin for those with T2DM.</w:t>
      </w:r>
    </w:p>
    <w:p w14:paraId="61517FE9" w14:textId="77777777" w:rsidR="00FA3DA0" w:rsidRPr="009402E0" w:rsidRDefault="00FA3DA0" w:rsidP="00FA3DA0">
      <w:pPr>
        <w:pStyle w:val="ListParagraph"/>
        <w:widowControl/>
        <w:autoSpaceDE w:val="0"/>
        <w:autoSpaceDN w:val="0"/>
        <w:adjustRightInd w:val="0"/>
        <w:ind w:left="360"/>
        <w:rPr>
          <w:rFonts w:asciiTheme="majorHAnsi" w:hAnsiTheme="majorHAnsi" w:cstheme="majorHAnsi"/>
        </w:rPr>
      </w:pPr>
    </w:p>
    <w:p w14:paraId="1D1680EB" w14:textId="7F6C9BD2" w:rsidR="009402E0" w:rsidRPr="00F61E57" w:rsidRDefault="007C5E44" w:rsidP="00FC12A1">
      <w:pPr>
        <w:pStyle w:val="Heading3"/>
      </w:pPr>
      <w:bookmarkStart w:id="62" w:name="_Toc85103776"/>
      <w:r>
        <w:t>Self-</w:t>
      </w:r>
      <w:r w:rsidR="0005255F">
        <w:t>assessed</w:t>
      </w:r>
      <w:r>
        <w:t xml:space="preserve"> m</w:t>
      </w:r>
      <w:bookmarkStart w:id="63" w:name="_Toc40441098"/>
      <w:bookmarkStart w:id="64" w:name="_Toc41315640"/>
      <w:r w:rsidR="009402E0" w:rsidRPr="00F61E57">
        <w:t xml:space="preserve">edication </w:t>
      </w:r>
      <w:r>
        <w:t>a</w:t>
      </w:r>
      <w:r w:rsidR="009402E0" w:rsidRPr="00F61E57">
        <w:t>dherence</w:t>
      </w:r>
      <w:r w:rsidR="009402E0">
        <w:t xml:space="preserve"> </w:t>
      </w:r>
      <w:r w:rsidR="001116C7">
        <w:t xml:space="preserve">and </w:t>
      </w:r>
      <w:r>
        <w:t>h</w:t>
      </w:r>
      <w:r w:rsidR="001116C7">
        <w:t xml:space="preserve">ealth </w:t>
      </w:r>
      <w:bookmarkEnd w:id="63"/>
      <w:bookmarkEnd w:id="64"/>
      <w:r>
        <w:t>status</w:t>
      </w:r>
      <w:bookmarkEnd w:id="62"/>
    </w:p>
    <w:p w14:paraId="4E5BE413" w14:textId="3590839D" w:rsidR="00703D5D" w:rsidRDefault="00703D5D" w:rsidP="00DA22EF">
      <w:pPr>
        <w:rPr>
          <w:rFonts w:asciiTheme="majorHAnsi" w:hAnsiTheme="majorHAnsi" w:cstheme="majorHAnsi"/>
        </w:rPr>
      </w:pPr>
      <w:r>
        <w:rPr>
          <w:rFonts w:asciiTheme="majorHAnsi" w:hAnsiTheme="majorHAnsi" w:cstheme="majorHAnsi"/>
        </w:rPr>
        <w:t xml:space="preserve">By the end of the study, integrated pharmacists significantly increased the number of participants adherent to their medications from baseline. There were significant improvements in participant self-assessed health status during the same period. </w:t>
      </w:r>
    </w:p>
    <w:p w14:paraId="022F4769" w14:textId="61F4571F" w:rsidR="00703D5D" w:rsidRDefault="00703D5D" w:rsidP="00703D5D">
      <w:pPr>
        <w:pStyle w:val="ListParagraph"/>
        <w:widowControl/>
        <w:numPr>
          <w:ilvl w:val="0"/>
          <w:numId w:val="13"/>
        </w:numPr>
        <w:autoSpaceDE w:val="0"/>
        <w:autoSpaceDN w:val="0"/>
        <w:adjustRightInd w:val="0"/>
        <w:rPr>
          <w:rFonts w:asciiTheme="majorHAnsi" w:hAnsiTheme="majorHAnsi" w:cstheme="majorHAnsi"/>
          <w:lang w:val="en-AU"/>
        </w:rPr>
      </w:pPr>
      <w:r>
        <w:rPr>
          <w:rFonts w:asciiTheme="majorHAnsi" w:hAnsiTheme="majorHAnsi" w:cstheme="majorHAnsi"/>
          <w:lang w:val="en-AU"/>
        </w:rPr>
        <w:t>There were 1,103 p</w:t>
      </w:r>
      <w:r w:rsidR="00832249" w:rsidRPr="003D4461">
        <w:rPr>
          <w:rFonts w:asciiTheme="majorHAnsi" w:hAnsiTheme="majorHAnsi" w:cstheme="majorHAnsi"/>
          <w:lang w:val="en-AU"/>
        </w:rPr>
        <w:t xml:space="preserve">articipants with </w:t>
      </w:r>
      <w:r w:rsidR="0005255F">
        <w:rPr>
          <w:rFonts w:asciiTheme="majorHAnsi" w:hAnsiTheme="majorHAnsi" w:cstheme="majorHAnsi"/>
          <w:lang w:val="en-AU"/>
        </w:rPr>
        <w:t>paired medication adherence assessments (baseline to end of study)</w:t>
      </w:r>
      <w:r w:rsidR="00832249" w:rsidRPr="003D4461">
        <w:rPr>
          <w:rFonts w:asciiTheme="majorHAnsi" w:hAnsiTheme="majorHAnsi" w:cstheme="majorHAnsi"/>
          <w:lang w:val="en-AU"/>
        </w:rPr>
        <w:t xml:space="preserve"> and </w:t>
      </w:r>
      <w:r>
        <w:rPr>
          <w:rFonts w:asciiTheme="majorHAnsi" w:hAnsiTheme="majorHAnsi" w:cstheme="majorHAnsi"/>
          <w:lang w:val="en-AU"/>
        </w:rPr>
        <w:t xml:space="preserve">975 participants with </w:t>
      </w:r>
      <w:r w:rsidR="00832249" w:rsidRPr="003D4461">
        <w:rPr>
          <w:rFonts w:asciiTheme="majorHAnsi" w:hAnsiTheme="majorHAnsi" w:cstheme="majorHAnsi"/>
          <w:lang w:val="en-AU"/>
        </w:rPr>
        <w:t xml:space="preserve">paired </w:t>
      </w:r>
      <w:r w:rsidR="0005255F">
        <w:rPr>
          <w:rFonts w:asciiTheme="majorHAnsi" w:hAnsiTheme="majorHAnsi" w:cstheme="majorHAnsi"/>
          <w:lang w:val="en-AU"/>
        </w:rPr>
        <w:t>self-assessed health status data</w:t>
      </w:r>
      <w:r>
        <w:rPr>
          <w:rFonts w:asciiTheme="majorHAnsi" w:hAnsiTheme="majorHAnsi" w:cstheme="majorHAnsi"/>
          <w:lang w:val="en-AU"/>
        </w:rPr>
        <w:t>.</w:t>
      </w:r>
    </w:p>
    <w:p w14:paraId="3FC4F6F6" w14:textId="381A78AE" w:rsidR="007C43CB" w:rsidRPr="00F74BC9" w:rsidRDefault="007C43CB" w:rsidP="003D4461">
      <w:pPr>
        <w:pStyle w:val="ListParagraph"/>
        <w:widowControl/>
        <w:numPr>
          <w:ilvl w:val="0"/>
          <w:numId w:val="13"/>
        </w:numPr>
        <w:autoSpaceDE w:val="0"/>
        <w:autoSpaceDN w:val="0"/>
        <w:adjustRightInd w:val="0"/>
        <w:rPr>
          <w:rFonts w:asciiTheme="majorHAnsi" w:hAnsiTheme="majorHAnsi" w:cstheme="majorHAnsi"/>
          <w:lang w:val="en-AU"/>
        </w:rPr>
      </w:pPr>
      <w:r w:rsidRPr="003D4461">
        <w:rPr>
          <w:rFonts w:asciiTheme="majorHAnsi" w:hAnsiTheme="majorHAnsi" w:cstheme="majorHAnsi"/>
        </w:rPr>
        <w:lastRenderedPageBreak/>
        <w:t xml:space="preserve">Based on </w:t>
      </w:r>
      <w:r w:rsidR="0005255F">
        <w:rPr>
          <w:rFonts w:asciiTheme="majorHAnsi" w:hAnsiTheme="majorHAnsi" w:cstheme="majorHAnsi"/>
        </w:rPr>
        <w:t>adherence</w:t>
      </w:r>
      <w:r w:rsidR="0005255F" w:rsidRPr="003D4461">
        <w:rPr>
          <w:rFonts w:asciiTheme="majorHAnsi" w:hAnsiTheme="majorHAnsi" w:cstheme="majorHAnsi"/>
        </w:rPr>
        <w:t xml:space="preserve"> </w:t>
      </w:r>
      <w:proofErr w:type="gramStart"/>
      <w:r w:rsidRPr="003D4461">
        <w:rPr>
          <w:rFonts w:asciiTheme="majorHAnsi" w:hAnsiTheme="majorHAnsi" w:cstheme="majorHAnsi"/>
        </w:rPr>
        <w:t>cut-scores</w:t>
      </w:r>
      <w:proofErr w:type="gramEnd"/>
      <w:r w:rsidR="0005255F">
        <w:rPr>
          <w:rFonts w:asciiTheme="majorHAnsi" w:hAnsiTheme="majorHAnsi" w:cstheme="majorHAnsi"/>
        </w:rPr>
        <w:t xml:space="preserve"> for two separate </w:t>
      </w:r>
      <w:r w:rsidR="001005DA">
        <w:rPr>
          <w:rFonts w:asciiTheme="majorHAnsi" w:hAnsiTheme="majorHAnsi" w:cstheme="majorHAnsi"/>
        </w:rPr>
        <w:t xml:space="preserve">self-assessed adherence </w:t>
      </w:r>
      <w:r w:rsidR="0005255F">
        <w:rPr>
          <w:rFonts w:asciiTheme="majorHAnsi" w:hAnsiTheme="majorHAnsi" w:cstheme="majorHAnsi"/>
        </w:rPr>
        <w:t>measures</w:t>
      </w:r>
      <w:r w:rsidRPr="003D4461">
        <w:rPr>
          <w:rFonts w:asciiTheme="majorHAnsi" w:hAnsiTheme="majorHAnsi" w:cstheme="majorHAnsi"/>
        </w:rPr>
        <w:t xml:space="preserve">, 70.8% (781/1103) </w:t>
      </w:r>
      <w:r w:rsidR="0005255F">
        <w:rPr>
          <w:rFonts w:asciiTheme="majorHAnsi" w:hAnsiTheme="majorHAnsi" w:cstheme="majorHAnsi"/>
        </w:rPr>
        <w:t xml:space="preserve">and 73.3% (808/1103) </w:t>
      </w:r>
      <w:r w:rsidRPr="003D4461">
        <w:rPr>
          <w:rFonts w:asciiTheme="majorHAnsi" w:hAnsiTheme="majorHAnsi" w:cstheme="majorHAnsi"/>
        </w:rPr>
        <w:t xml:space="preserve">of participants were adherent at baseline </w:t>
      </w:r>
      <w:r w:rsidR="0005255F">
        <w:rPr>
          <w:rFonts w:asciiTheme="majorHAnsi" w:hAnsiTheme="majorHAnsi" w:cstheme="majorHAnsi"/>
        </w:rPr>
        <w:t>respectively</w:t>
      </w:r>
      <w:r w:rsidR="002D31E0">
        <w:rPr>
          <w:rFonts w:asciiTheme="majorHAnsi" w:hAnsiTheme="majorHAnsi" w:cstheme="majorHAnsi"/>
        </w:rPr>
        <w:t xml:space="preserve">, </w:t>
      </w:r>
      <w:r w:rsidRPr="003D4461">
        <w:rPr>
          <w:rFonts w:asciiTheme="majorHAnsi" w:hAnsiTheme="majorHAnsi" w:cstheme="majorHAnsi"/>
        </w:rPr>
        <w:t xml:space="preserve">and 18% (175/975) had ‘excellent to very good’ </w:t>
      </w:r>
      <w:r w:rsidRPr="00F74BC9">
        <w:rPr>
          <w:rFonts w:asciiTheme="majorHAnsi" w:hAnsiTheme="majorHAnsi" w:cstheme="majorHAnsi"/>
        </w:rPr>
        <w:t xml:space="preserve">health status. </w:t>
      </w:r>
    </w:p>
    <w:p w14:paraId="0B7338E5" w14:textId="13F24E15" w:rsidR="009402E0" w:rsidRPr="00F74BC9" w:rsidRDefault="007C43CB" w:rsidP="00703D5D">
      <w:pPr>
        <w:pStyle w:val="ListParagraph"/>
        <w:widowControl/>
        <w:numPr>
          <w:ilvl w:val="0"/>
          <w:numId w:val="13"/>
        </w:numPr>
        <w:autoSpaceDE w:val="0"/>
        <w:autoSpaceDN w:val="0"/>
        <w:adjustRightInd w:val="0"/>
        <w:rPr>
          <w:rFonts w:asciiTheme="majorHAnsi" w:hAnsiTheme="majorHAnsi"/>
          <w:lang w:val="en-AU"/>
        </w:rPr>
      </w:pPr>
      <w:r w:rsidRPr="00F74BC9">
        <w:rPr>
          <w:rFonts w:asciiTheme="majorHAnsi" w:hAnsiTheme="majorHAnsi"/>
        </w:rPr>
        <w:t xml:space="preserve">There was a </w:t>
      </w:r>
      <w:r w:rsidR="00FA5110">
        <w:rPr>
          <w:rFonts w:asciiTheme="majorHAnsi" w:hAnsiTheme="majorHAnsi" w:cstheme="majorHAnsi"/>
        </w:rPr>
        <w:t>(Redacted)</w:t>
      </w:r>
      <w:r w:rsidR="00363F86">
        <w:rPr>
          <w:rFonts w:asciiTheme="majorHAnsi" w:hAnsiTheme="majorHAnsi" w:cstheme="majorHAnsi"/>
        </w:rPr>
        <w:t xml:space="preserve"> </w:t>
      </w:r>
      <w:r w:rsidRPr="00F74BC9">
        <w:rPr>
          <w:rFonts w:asciiTheme="majorHAnsi" w:hAnsiTheme="majorHAnsi"/>
        </w:rPr>
        <w:t xml:space="preserve">net absolute increase in the number of participants adherent to medications at the end of the study compared with baseline (p&lt;0.001) using </w:t>
      </w:r>
      <w:r w:rsidR="001005DA">
        <w:rPr>
          <w:rFonts w:asciiTheme="majorHAnsi" w:hAnsiTheme="majorHAnsi"/>
        </w:rPr>
        <w:t>both</w:t>
      </w:r>
      <w:r w:rsidRPr="00F74BC9">
        <w:rPr>
          <w:rFonts w:asciiTheme="majorHAnsi" w:hAnsiTheme="majorHAnsi"/>
        </w:rPr>
        <w:t xml:space="preserve"> measures.</w:t>
      </w:r>
    </w:p>
    <w:p w14:paraId="382F5FE1" w14:textId="1F629C8E" w:rsidR="008E7C3D" w:rsidRDefault="007C43CB" w:rsidP="002D0773">
      <w:pPr>
        <w:pStyle w:val="ListParagraph"/>
        <w:widowControl/>
        <w:autoSpaceDE w:val="0"/>
        <w:autoSpaceDN w:val="0"/>
        <w:adjustRightInd w:val="0"/>
        <w:ind w:left="360"/>
        <w:rPr>
          <w:rFonts w:asciiTheme="majorHAnsi" w:hAnsiTheme="majorHAnsi" w:cstheme="majorHAnsi"/>
        </w:rPr>
      </w:pPr>
      <w:r w:rsidRPr="00F74BC9">
        <w:rPr>
          <w:rFonts w:asciiTheme="majorHAnsi" w:hAnsiTheme="majorHAnsi" w:cstheme="majorHAnsi"/>
        </w:rPr>
        <w:t>There was a</w:t>
      </w:r>
      <w:r w:rsidR="00FA5110">
        <w:rPr>
          <w:rFonts w:asciiTheme="majorHAnsi" w:hAnsiTheme="majorHAnsi" w:cstheme="majorHAnsi"/>
        </w:rPr>
        <w:t xml:space="preserve"> (Redacted) </w:t>
      </w:r>
      <w:r w:rsidRPr="00F74BC9">
        <w:rPr>
          <w:rFonts w:asciiTheme="majorHAnsi" w:hAnsiTheme="majorHAnsi" w:cstheme="majorHAnsi"/>
        </w:rPr>
        <w:t>net</w:t>
      </w:r>
      <w:r w:rsidRPr="003D4461">
        <w:rPr>
          <w:rFonts w:asciiTheme="majorHAnsi" w:hAnsiTheme="majorHAnsi" w:cstheme="majorHAnsi"/>
        </w:rPr>
        <w:t xml:space="preserve"> absolute increase in the number of participants with improved self-assessed health status (</w:t>
      </w:r>
      <w:r w:rsidR="00363F86">
        <w:rPr>
          <w:rFonts w:asciiTheme="majorHAnsi" w:hAnsiTheme="majorHAnsi" w:cstheme="majorHAnsi"/>
        </w:rPr>
        <w:t>redacted</w:t>
      </w:r>
      <w:r w:rsidRPr="003D4461">
        <w:rPr>
          <w:rFonts w:asciiTheme="majorHAnsi" w:hAnsiTheme="majorHAnsi" w:cstheme="majorHAnsi"/>
        </w:rPr>
        <w:t xml:space="preserve">).  </w:t>
      </w:r>
    </w:p>
    <w:p w14:paraId="1214BFA4" w14:textId="77777777" w:rsidR="00695705" w:rsidRDefault="00695705" w:rsidP="002D0773">
      <w:pPr>
        <w:pStyle w:val="ListParagraph"/>
        <w:widowControl/>
        <w:autoSpaceDE w:val="0"/>
        <w:autoSpaceDN w:val="0"/>
        <w:adjustRightInd w:val="0"/>
        <w:ind w:left="360"/>
      </w:pPr>
    </w:p>
    <w:p w14:paraId="3856785B" w14:textId="0FB54547" w:rsidR="008E7C3D" w:rsidRPr="005C5554" w:rsidRDefault="008E7C3D" w:rsidP="00FC12A1">
      <w:pPr>
        <w:pStyle w:val="Heading3"/>
      </w:pPr>
      <w:bookmarkStart w:id="65" w:name="_Toc85103777"/>
      <w:r w:rsidRPr="005C5554">
        <w:t>Medication Management Reviews</w:t>
      </w:r>
      <w:bookmarkEnd w:id="65"/>
    </w:p>
    <w:p w14:paraId="069D4518" w14:textId="75EEEF27" w:rsidR="00EA5F00" w:rsidRDefault="00EA5F00" w:rsidP="005C5554">
      <w:r>
        <w:t xml:space="preserve">The intervention </w:t>
      </w:r>
      <w:r w:rsidR="008E7C3D" w:rsidRPr="005C5554">
        <w:t xml:space="preserve">significantly increased access to medication management reviews and follow-up to these reviews for </w:t>
      </w:r>
      <w:r>
        <w:t>participants.</w:t>
      </w:r>
      <w:r w:rsidR="008E7C3D" w:rsidRPr="005C5554">
        <w:t xml:space="preserve">  Participants</w:t>
      </w:r>
      <w:r w:rsidR="00697F73">
        <w:t xml:space="preserve"> </w:t>
      </w:r>
      <w:r w:rsidR="008E7C3D" w:rsidRPr="005C5554">
        <w:t xml:space="preserve">had a </w:t>
      </w:r>
      <w:r>
        <w:t>[Redacted]</w:t>
      </w:r>
      <w:r w:rsidR="008E7C3D" w:rsidRPr="005C5554">
        <w:t xml:space="preserve"> significant increase in HMR access (based on MBS claims) compared with usual care whilst the </w:t>
      </w:r>
      <w:r w:rsidR="00697F73">
        <w:t xml:space="preserve">total </w:t>
      </w:r>
      <w:r w:rsidR="008E7C3D" w:rsidRPr="005C5554">
        <w:t xml:space="preserve">number of HMRs (MBS claims) increased </w:t>
      </w:r>
      <w:r>
        <w:t>[Redacted]</w:t>
      </w:r>
      <w:r w:rsidR="00697F73">
        <w:t xml:space="preserve"> at end of study compared with baseline</w:t>
      </w:r>
      <w:r>
        <w:t>.</w:t>
      </w:r>
    </w:p>
    <w:p w14:paraId="17ED4960" w14:textId="77777777" w:rsidR="00182580" w:rsidRPr="005C5554" w:rsidRDefault="00182580" w:rsidP="002D0773"/>
    <w:p w14:paraId="11350DD3" w14:textId="17BA0608" w:rsidR="003043BD" w:rsidRDefault="003043BD" w:rsidP="00FC12A1">
      <w:pPr>
        <w:pStyle w:val="Heading3"/>
      </w:pPr>
      <w:bookmarkStart w:id="66" w:name="_Toc40350116"/>
      <w:bookmarkStart w:id="67" w:name="_Toc40441099"/>
      <w:bookmarkStart w:id="68" w:name="_Toc41315641"/>
      <w:bookmarkStart w:id="69" w:name="_Toc85103778"/>
      <w:r>
        <w:t xml:space="preserve">Economic </w:t>
      </w:r>
      <w:r w:rsidR="00617E5D">
        <w:t>a</w:t>
      </w:r>
      <w:r>
        <w:t>nalysis</w:t>
      </w:r>
      <w:bookmarkEnd w:id="66"/>
      <w:bookmarkEnd w:id="67"/>
      <w:bookmarkEnd w:id="68"/>
      <w:bookmarkEnd w:id="69"/>
    </w:p>
    <w:p w14:paraId="1DEF5C90" w14:textId="537C6DBC" w:rsidR="006A69BD" w:rsidRPr="0082142E" w:rsidRDefault="001D4176" w:rsidP="006A69BD">
      <w:r>
        <w:t>The</w:t>
      </w:r>
      <w:r w:rsidR="00BF08EE">
        <w:t xml:space="preserve"> c</w:t>
      </w:r>
      <w:r w:rsidR="003E1715">
        <w:t>ost-consequence analysis</w:t>
      </w:r>
      <w:r w:rsidR="00BF08EE">
        <w:t xml:space="preserve"> identified a mean incremental cost </w:t>
      </w:r>
      <w:r>
        <w:t xml:space="preserve">of </w:t>
      </w:r>
      <w:r>
        <w:rPr>
          <w:rFonts w:asciiTheme="majorHAnsi" w:hAnsiTheme="majorHAnsi" w:cstheme="majorHAnsi"/>
        </w:rPr>
        <w:t>(Redacted)</w:t>
      </w:r>
      <w:r>
        <w:t xml:space="preserve"> </w:t>
      </w:r>
      <w:r w:rsidR="00BC1E56">
        <w:t xml:space="preserve">per participant </w:t>
      </w:r>
      <w:r w:rsidR="004D34BF">
        <w:t>estimated from</w:t>
      </w:r>
      <w:r w:rsidR="00BF08EE">
        <w:t xml:space="preserve"> </w:t>
      </w:r>
      <w:r w:rsidR="00BC1E56">
        <w:t xml:space="preserve">net </w:t>
      </w:r>
      <w:r w:rsidR="00BF08EE">
        <w:t>changes in medication use</w:t>
      </w:r>
      <w:r w:rsidR="00BC1E56">
        <w:t>. The incremental</w:t>
      </w:r>
      <w:r w:rsidR="00BF08EE">
        <w:t xml:space="preserve"> cost of medication utilization </w:t>
      </w:r>
      <w:r w:rsidR="001B7A59">
        <w:t xml:space="preserve">was derived by </w:t>
      </w:r>
      <w:r w:rsidR="00BF08EE">
        <w:t>minimiz</w:t>
      </w:r>
      <w:r w:rsidR="001B7A59">
        <w:t>ing</w:t>
      </w:r>
      <w:r w:rsidR="00BF08EE">
        <w:t xml:space="preserve"> the cost of medications that were stopped and maximiz</w:t>
      </w:r>
      <w:r w:rsidR="001B7A59">
        <w:t>ing</w:t>
      </w:r>
      <w:r w:rsidR="00BF08EE">
        <w:t xml:space="preserve"> the cost of new medications that were started</w:t>
      </w:r>
      <w:r w:rsidR="001B7A59">
        <w:t>, per participant</w:t>
      </w:r>
      <w:r w:rsidR="00BF08EE">
        <w:t xml:space="preserve">. </w:t>
      </w:r>
      <w:r>
        <w:t xml:space="preserve">The incremental cost was associated with </w:t>
      </w:r>
      <w:r w:rsidR="00617E5D">
        <w:t xml:space="preserve">statistically significant improvements in clinical endpoints </w:t>
      </w:r>
      <w:r w:rsidR="003E1715">
        <w:t>pre and post-intervention:</w:t>
      </w:r>
      <w:r w:rsidR="006A69BD">
        <w:t xml:space="preserve"> glycated </w:t>
      </w:r>
      <w:proofErr w:type="spellStart"/>
      <w:r w:rsidR="006A69BD">
        <w:t>haemoglobin</w:t>
      </w:r>
      <w:proofErr w:type="spellEnd"/>
      <w:r w:rsidR="006A69BD">
        <w:t xml:space="preserve"> (HbA1c) for participants with a clinical diagnosis of T2DM, diastolic blood pressure (DBP), total cholesterol (TC), low density lipoprotein cholesterol (LDL-C), triglycerides (TG), cardiovascular risk 5-year risk (CVD 5-year risk) and estimated glomerular filtration rate (eGFR</w:t>
      </w:r>
      <w:r w:rsidR="006A69BD" w:rsidRPr="0082142E">
        <w:t xml:space="preserve">) (Table </w:t>
      </w:r>
      <w:r>
        <w:t>4</w:t>
      </w:r>
      <w:r w:rsidR="006A69BD" w:rsidRPr="0082142E">
        <w:t xml:space="preserve">). </w:t>
      </w:r>
    </w:p>
    <w:p w14:paraId="7905D988" w14:textId="77777777" w:rsidR="003E1715" w:rsidRPr="0082142E" w:rsidRDefault="003E1715" w:rsidP="003E1715"/>
    <w:p w14:paraId="707737A8" w14:textId="0E246A27" w:rsidR="003E1715" w:rsidRPr="00B45ADE" w:rsidRDefault="003E1715" w:rsidP="0082142E">
      <w:pPr>
        <w:pStyle w:val="TableParagraph"/>
      </w:pPr>
      <w:bookmarkStart w:id="70" w:name="_Toc85103786"/>
      <w:r w:rsidRPr="0082142E">
        <w:t xml:space="preserve">Table </w:t>
      </w:r>
      <w:r w:rsidR="004D375B">
        <w:t>4</w:t>
      </w:r>
      <w:r w:rsidRPr="0082142E">
        <w:t xml:space="preserve">. </w:t>
      </w:r>
      <w:r w:rsidR="004D3450">
        <w:t>Statistically significant i</w:t>
      </w:r>
      <w:r w:rsidR="0009548A">
        <w:t xml:space="preserve">mprovements in </w:t>
      </w:r>
      <w:r w:rsidR="001F3B5B">
        <w:t>clinical endpoints</w:t>
      </w:r>
      <w:r w:rsidR="0009548A">
        <w:t xml:space="preserve"> </w:t>
      </w:r>
      <w:r w:rsidR="001D4176">
        <w:t>for</w:t>
      </w:r>
      <w:r w:rsidR="0009548A">
        <w:t xml:space="preserve"> </w:t>
      </w:r>
      <w:r w:rsidR="004D3450">
        <w:t>c</w:t>
      </w:r>
      <w:r w:rsidR="004D3450" w:rsidRPr="0082142E">
        <w:t>ost-consequence analysis</w:t>
      </w:r>
      <w:r w:rsidR="0082142E">
        <w:t>.</w:t>
      </w:r>
      <w:bookmarkEnd w:id="70"/>
    </w:p>
    <w:tbl>
      <w:tblPr>
        <w:tblStyle w:val="TableGrid"/>
        <w:tblW w:w="5000" w:type="pct"/>
        <w:tblLook w:val="04A0" w:firstRow="1" w:lastRow="0" w:firstColumn="1" w:lastColumn="0" w:noHBand="0" w:noVBand="1"/>
      </w:tblPr>
      <w:tblGrid>
        <w:gridCol w:w="4966"/>
        <w:gridCol w:w="3307"/>
        <w:gridCol w:w="1356"/>
      </w:tblGrid>
      <w:tr w:rsidR="006A69BD" w14:paraId="3D0BBA11" w14:textId="77777777" w:rsidTr="006A69BD">
        <w:tc>
          <w:tcPr>
            <w:tcW w:w="2579" w:type="pct"/>
          </w:tcPr>
          <w:p w14:paraId="289F0E9C" w14:textId="77777777" w:rsidR="006A69BD" w:rsidRPr="0009775C" w:rsidRDefault="006A69BD" w:rsidP="007B72B5">
            <w:pPr>
              <w:spacing w:after="0" w:line="240" w:lineRule="auto"/>
              <w:jc w:val="left"/>
              <w:rPr>
                <w:sz w:val="18"/>
                <w:szCs w:val="18"/>
              </w:rPr>
            </w:pPr>
            <w:r w:rsidRPr="0009775C">
              <w:rPr>
                <w:sz w:val="18"/>
                <w:szCs w:val="18"/>
              </w:rPr>
              <w:t>Variable</w:t>
            </w:r>
          </w:p>
        </w:tc>
        <w:tc>
          <w:tcPr>
            <w:tcW w:w="1717" w:type="pct"/>
          </w:tcPr>
          <w:p w14:paraId="1A34D940" w14:textId="41066928" w:rsidR="006A69BD" w:rsidRPr="0009775C" w:rsidRDefault="006A69BD" w:rsidP="00693E4D">
            <w:pPr>
              <w:spacing w:after="0" w:line="240" w:lineRule="auto"/>
              <w:ind w:firstLine="60"/>
              <w:jc w:val="center"/>
              <w:rPr>
                <w:sz w:val="18"/>
                <w:szCs w:val="18"/>
              </w:rPr>
            </w:pPr>
            <w:r w:rsidRPr="0009775C">
              <w:rPr>
                <w:sz w:val="18"/>
                <w:szCs w:val="18"/>
              </w:rPr>
              <w:t xml:space="preserve">Mean difference in </w:t>
            </w:r>
            <w:r w:rsidR="004D34BF">
              <w:rPr>
                <w:sz w:val="18"/>
                <w:szCs w:val="18"/>
              </w:rPr>
              <w:t>clinical endpoints</w:t>
            </w:r>
          </w:p>
          <w:p w14:paraId="787F2950" w14:textId="77777777" w:rsidR="006A69BD" w:rsidRPr="0009775C" w:rsidRDefault="006A69BD" w:rsidP="00693E4D">
            <w:pPr>
              <w:spacing w:before="120" w:after="0" w:line="240" w:lineRule="auto"/>
              <w:ind w:firstLine="62"/>
              <w:jc w:val="center"/>
              <w:rPr>
                <w:sz w:val="18"/>
                <w:szCs w:val="18"/>
              </w:rPr>
            </w:pPr>
            <w:r w:rsidRPr="0009775C">
              <w:rPr>
                <w:sz w:val="18"/>
                <w:szCs w:val="18"/>
              </w:rPr>
              <w:t>mean (SD, 95% CI)</w:t>
            </w:r>
          </w:p>
        </w:tc>
        <w:tc>
          <w:tcPr>
            <w:tcW w:w="704" w:type="pct"/>
          </w:tcPr>
          <w:p w14:paraId="4160E3B0" w14:textId="77777777" w:rsidR="006A69BD" w:rsidRPr="0009775C" w:rsidRDefault="006A69BD" w:rsidP="00693E4D">
            <w:pPr>
              <w:spacing w:after="0" w:line="240" w:lineRule="auto"/>
              <w:ind w:firstLine="19"/>
              <w:jc w:val="center"/>
              <w:rPr>
                <w:sz w:val="18"/>
                <w:szCs w:val="18"/>
              </w:rPr>
            </w:pPr>
            <w:r w:rsidRPr="0009775C">
              <w:rPr>
                <w:sz w:val="18"/>
                <w:szCs w:val="18"/>
              </w:rPr>
              <w:t>p-value</w:t>
            </w:r>
          </w:p>
        </w:tc>
      </w:tr>
      <w:tr w:rsidR="006A69BD" w14:paraId="2A4E0E2F" w14:textId="77777777" w:rsidTr="006A69BD">
        <w:tc>
          <w:tcPr>
            <w:tcW w:w="2579" w:type="pct"/>
          </w:tcPr>
          <w:p w14:paraId="24EE1875" w14:textId="77777777" w:rsidR="006A69BD" w:rsidRPr="0009775C" w:rsidRDefault="006A69BD" w:rsidP="00693E4D">
            <w:pPr>
              <w:spacing w:after="0" w:line="240" w:lineRule="auto"/>
              <w:rPr>
                <w:sz w:val="18"/>
                <w:szCs w:val="18"/>
              </w:rPr>
            </w:pPr>
            <w:r w:rsidRPr="0009775C">
              <w:rPr>
                <w:sz w:val="18"/>
                <w:szCs w:val="18"/>
              </w:rPr>
              <w:t xml:space="preserve">HbA1c mmol/mol </w:t>
            </w:r>
            <w:r w:rsidRPr="0009775C">
              <w:rPr>
                <w:i/>
                <w:sz w:val="18"/>
                <w:szCs w:val="18"/>
              </w:rPr>
              <w:t>[% units]</w:t>
            </w:r>
            <w:r w:rsidRPr="0009775C">
              <w:rPr>
                <w:sz w:val="18"/>
                <w:szCs w:val="18"/>
              </w:rPr>
              <w:t xml:space="preserve"> (n=539</w:t>
            </w:r>
            <w:r>
              <w:rPr>
                <w:sz w:val="18"/>
                <w:szCs w:val="18"/>
              </w:rPr>
              <w:t xml:space="preserve"> in T2DM</w:t>
            </w:r>
            <w:r w:rsidRPr="0009775C">
              <w:rPr>
                <w:sz w:val="18"/>
                <w:szCs w:val="18"/>
              </w:rPr>
              <w:t>)</w:t>
            </w:r>
          </w:p>
        </w:tc>
        <w:tc>
          <w:tcPr>
            <w:tcW w:w="1717" w:type="pct"/>
          </w:tcPr>
          <w:p w14:paraId="21533414" w14:textId="545C2BBA" w:rsidR="006A69BD" w:rsidRPr="00FA3DA0" w:rsidRDefault="00FA5110" w:rsidP="00FA5110">
            <w:pPr>
              <w:spacing w:after="0" w:line="240" w:lineRule="auto"/>
              <w:ind w:firstLine="60"/>
              <w:jc w:val="center"/>
              <w:rPr>
                <w:i/>
                <w:sz w:val="18"/>
                <w:szCs w:val="18"/>
                <w:highlight w:val="yellow"/>
              </w:rPr>
            </w:pPr>
            <w:r>
              <w:rPr>
                <w:rFonts w:asciiTheme="majorHAnsi" w:hAnsiTheme="majorHAnsi" w:cstheme="majorHAnsi"/>
              </w:rPr>
              <w:t xml:space="preserve">(Redacted) </w:t>
            </w:r>
          </w:p>
        </w:tc>
        <w:tc>
          <w:tcPr>
            <w:tcW w:w="704" w:type="pct"/>
          </w:tcPr>
          <w:p w14:paraId="1001A61B" w14:textId="26345581" w:rsidR="006A69BD" w:rsidRPr="004D375B" w:rsidRDefault="002D4BF4" w:rsidP="00693E4D">
            <w:pPr>
              <w:spacing w:after="0" w:line="240" w:lineRule="auto"/>
              <w:ind w:firstLine="19"/>
              <w:jc w:val="center"/>
              <w:rPr>
                <w:sz w:val="18"/>
                <w:szCs w:val="18"/>
                <w:highlight w:val="yellow"/>
              </w:rPr>
            </w:pPr>
            <w:r>
              <w:rPr>
                <w:rFonts w:asciiTheme="majorHAnsi" w:hAnsiTheme="majorHAnsi" w:cstheme="majorHAnsi"/>
              </w:rPr>
              <w:t>(Redacted)</w:t>
            </w:r>
          </w:p>
        </w:tc>
      </w:tr>
      <w:tr w:rsidR="006A69BD" w14:paraId="4EC90077" w14:textId="77777777" w:rsidTr="006A69BD">
        <w:tc>
          <w:tcPr>
            <w:tcW w:w="2579" w:type="pct"/>
          </w:tcPr>
          <w:p w14:paraId="0F82F9A5" w14:textId="77777777" w:rsidR="006A69BD" w:rsidRPr="0009775C" w:rsidRDefault="006A69BD" w:rsidP="00693E4D">
            <w:pPr>
              <w:spacing w:after="0" w:line="240" w:lineRule="auto"/>
              <w:rPr>
                <w:sz w:val="18"/>
                <w:szCs w:val="18"/>
              </w:rPr>
            </w:pPr>
            <w:r w:rsidRPr="0009775C">
              <w:rPr>
                <w:sz w:val="18"/>
                <w:szCs w:val="18"/>
              </w:rPr>
              <w:t>DBP, mmHg (n=1045)</w:t>
            </w:r>
          </w:p>
        </w:tc>
        <w:tc>
          <w:tcPr>
            <w:tcW w:w="1717" w:type="pct"/>
          </w:tcPr>
          <w:p w14:paraId="2AD34876" w14:textId="40C0FA59" w:rsidR="006A69BD" w:rsidRPr="00FA3DA0" w:rsidRDefault="00FA5110" w:rsidP="00FA5110">
            <w:pPr>
              <w:spacing w:after="0" w:line="240" w:lineRule="auto"/>
              <w:ind w:firstLine="60"/>
              <w:jc w:val="center"/>
              <w:rPr>
                <w:sz w:val="18"/>
                <w:szCs w:val="18"/>
                <w:highlight w:val="yellow"/>
              </w:rPr>
            </w:pPr>
            <w:r>
              <w:rPr>
                <w:rFonts w:asciiTheme="majorHAnsi" w:hAnsiTheme="majorHAnsi" w:cstheme="majorHAnsi"/>
              </w:rPr>
              <w:t xml:space="preserve">(Redacted) </w:t>
            </w:r>
          </w:p>
        </w:tc>
        <w:tc>
          <w:tcPr>
            <w:tcW w:w="704" w:type="pct"/>
          </w:tcPr>
          <w:p w14:paraId="068F9EBA" w14:textId="2CE9E25D" w:rsidR="006A69BD" w:rsidRPr="004D375B" w:rsidRDefault="002D4BF4" w:rsidP="00693E4D">
            <w:pPr>
              <w:spacing w:after="0" w:line="240" w:lineRule="auto"/>
              <w:ind w:firstLine="19"/>
              <w:jc w:val="center"/>
              <w:rPr>
                <w:sz w:val="18"/>
                <w:szCs w:val="18"/>
                <w:highlight w:val="yellow"/>
              </w:rPr>
            </w:pPr>
            <w:r>
              <w:rPr>
                <w:rFonts w:asciiTheme="majorHAnsi" w:hAnsiTheme="majorHAnsi" w:cstheme="majorHAnsi"/>
              </w:rPr>
              <w:t>(Redacted)</w:t>
            </w:r>
          </w:p>
        </w:tc>
      </w:tr>
      <w:tr w:rsidR="006A69BD" w14:paraId="36033501" w14:textId="77777777" w:rsidTr="006A69BD">
        <w:tc>
          <w:tcPr>
            <w:tcW w:w="2579" w:type="pct"/>
          </w:tcPr>
          <w:p w14:paraId="1023A63B" w14:textId="77777777" w:rsidR="006A69BD" w:rsidRPr="0009775C" w:rsidRDefault="006A69BD" w:rsidP="00693E4D">
            <w:pPr>
              <w:spacing w:after="0" w:line="240" w:lineRule="auto"/>
              <w:rPr>
                <w:sz w:val="18"/>
                <w:szCs w:val="18"/>
              </w:rPr>
            </w:pPr>
            <w:r w:rsidRPr="0009775C">
              <w:rPr>
                <w:sz w:val="18"/>
                <w:szCs w:val="18"/>
              </w:rPr>
              <w:t>TC, mmol/L (n=660)</w:t>
            </w:r>
          </w:p>
        </w:tc>
        <w:tc>
          <w:tcPr>
            <w:tcW w:w="1717" w:type="pct"/>
          </w:tcPr>
          <w:p w14:paraId="7E127CE8" w14:textId="239DE054" w:rsidR="006A69BD" w:rsidRPr="00FA3DA0" w:rsidRDefault="00FA5110" w:rsidP="00FA5110">
            <w:pPr>
              <w:spacing w:after="0" w:line="240" w:lineRule="auto"/>
              <w:ind w:firstLine="60"/>
              <w:jc w:val="center"/>
              <w:rPr>
                <w:sz w:val="18"/>
                <w:szCs w:val="18"/>
                <w:highlight w:val="yellow"/>
              </w:rPr>
            </w:pPr>
            <w:r>
              <w:rPr>
                <w:rFonts w:asciiTheme="majorHAnsi" w:hAnsiTheme="majorHAnsi" w:cstheme="majorHAnsi"/>
              </w:rPr>
              <w:t xml:space="preserve">(Redacted) </w:t>
            </w:r>
          </w:p>
        </w:tc>
        <w:tc>
          <w:tcPr>
            <w:tcW w:w="704" w:type="pct"/>
          </w:tcPr>
          <w:p w14:paraId="264EBF07" w14:textId="5E1F324F" w:rsidR="006A69BD" w:rsidRPr="004D375B" w:rsidRDefault="002D4BF4" w:rsidP="00693E4D">
            <w:pPr>
              <w:spacing w:after="0" w:line="240" w:lineRule="auto"/>
              <w:ind w:firstLine="19"/>
              <w:jc w:val="center"/>
              <w:rPr>
                <w:sz w:val="18"/>
                <w:szCs w:val="18"/>
                <w:highlight w:val="yellow"/>
              </w:rPr>
            </w:pPr>
            <w:r>
              <w:rPr>
                <w:rFonts w:asciiTheme="majorHAnsi" w:hAnsiTheme="majorHAnsi" w:cstheme="majorHAnsi"/>
              </w:rPr>
              <w:t>(Redacted)</w:t>
            </w:r>
          </w:p>
        </w:tc>
      </w:tr>
      <w:tr w:rsidR="006A69BD" w14:paraId="1E3FC62F" w14:textId="77777777" w:rsidTr="006A69BD">
        <w:tc>
          <w:tcPr>
            <w:tcW w:w="2579" w:type="pct"/>
          </w:tcPr>
          <w:p w14:paraId="34152973" w14:textId="77777777" w:rsidR="006A69BD" w:rsidRPr="0009775C" w:rsidRDefault="006A69BD" w:rsidP="00693E4D">
            <w:pPr>
              <w:spacing w:after="0" w:line="240" w:lineRule="auto"/>
              <w:rPr>
                <w:sz w:val="18"/>
                <w:szCs w:val="18"/>
              </w:rPr>
            </w:pPr>
            <w:r w:rsidRPr="0009775C">
              <w:rPr>
                <w:sz w:val="18"/>
                <w:szCs w:val="18"/>
              </w:rPr>
              <w:t>LDL-C mmol/L (n=575)</w:t>
            </w:r>
          </w:p>
        </w:tc>
        <w:tc>
          <w:tcPr>
            <w:tcW w:w="1717" w:type="pct"/>
          </w:tcPr>
          <w:p w14:paraId="0843035E" w14:textId="6DD9E4E0" w:rsidR="006A69BD" w:rsidRPr="00FA3DA0" w:rsidRDefault="00FA5110" w:rsidP="00FA5110">
            <w:pPr>
              <w:spacing w:after="0" w:line="240" w:lineRule="auto"/>
              <w:ind w:firstLine="60"/>
              <w:jc w:val="center"/>
              <w:rPr>
                <w:sz w:val="18"/>
                <w:szCs w:val="18"/>
                <w:highlight w:val="yellow"/>
              </w:rPr>
            </w:pPr>
            <w:r>
              <w:rPr>
                <w:rFonts w:asciiTheme="majorHAnsi" w:hAnsiTheme="majorHAnsi" w:cstheme="majorHAnsi"/>
              </w:rPr>
              <w:t xml:space="preserve">(Redacted) </w:t>
            </w:r>
          </w:p>
        </w:tc>
        <w:tc>
          <w:tcPr>
            <w:tcW w:w="704" w:type="pct"/>
          </w:tcPr>
          <w:p w14:paraId="0DE4D158" w14:textId="1D241A24" w:rsidR="006A69BD" w:rsidRPr="004D375B" w:rsidRDefault="002D4BF4" w:rsidP="00693E4D">
            <w:pPr>
              <w:spacing w:after="0" w:line="240" w:lineRule="auto"/>
              <w:ind w:firstLine="19"/>
              <w:jc w:val="center"/>
              <w:rPr>
                <w:sz w:val="18"/>
                <w:szCs w:val="18"/>
                <w:highlight w:val="yellow"/>
              </w:rPr>
            </w:pPr>
            <w:r>
              <w:rPr>
                <w:rFonts w:asciiTheme="majorHAnsi" w:hAnsiTheme="majorHAnsi" w:cstheme="majorHAnsi"/>
              </w:rPr>
              <w:t>(Redacted)</w:t>
            </w:r>
          </w:p>
        </w:tc>
      </w:tr>
      <w:tr w:rsidR="006A69BD" w14:paraId="1C48B83C" w14:textId="77777777" w:rsidTr="006A69BD">
        <w:tc>
          <w:tcPr>
            <w:tcW w:w="2579" w:type="pct"/>
          </w:tcPr>
          <w:p w14:paraId="0FA2A8CF" w14:textId="77777777" w:rsidR="006A69BD" w:rsidRPr="0009775C" w:rsidRDefault="006A69BD" w:rsidP="00693E4D">
            <w:pPr>
              <w:spacing w:after="0" w:line="240" w:lineRule="auto"/>
              <w:rPr>
                <w:sz w:val="18"/>
                <w:szCs w:val="18"/>
              </w:rPr>
            </w:pPr>
            <w:r w:rsidRPr="0009775C">
              <w:rPr>
                <w:sz w:val="18"/>
                <w:szCs w:val="18"/>
              </w:rPr>
              <w:t>TG mmol/L (n=730)</w:t>
            </w:r>
          </w:p>
        </w:tc>
        <w:tc>
          <w:tcPr>
            <w:tcW w:w="1717" w:type="pct"/>
          </w:tcPr>
          <w:p w14:paraId="2A64720D" w14:textId="0F115849" w:rsidR="006A69BD" w:rsidRPr="00FA3DA0" w:rsidRDefault="00FA5110" w:rsidP="00FA5110">
            <w:pPr>
              <w:spacing w:after="0" w:line="240" w:lineRule="auto"/>
              <w:ind w:firstLine="60"/>
              <w:jc w:val="center"/>
              <w:rPr>
                <w:sz w:val="18"/>
                <w:szCs w:val="18"/>
                <w:highlight w:val="yellow"/>
              </w:rPr>
            </w:pPr>
            <w:r>
              <w:rPr>
                <w:rFonts w:asciiTheme="majorHAnsi" w:hAnsiTheme="majorHAnsi" w:cstheme="majorHAnsi"/>
              </w:rPr>
              <w:t xml:space="preserve">(Redacted) </w:t>
            </w:r>
          </w:p>
        </w:tc>
        <w:tc>
          <w:tcPr>
            <w:tcW w:w="704" w:type="pct"/>
          </w:tcPr>
          <w:p w14:paraId="6A78184A" w14:textId="428B150A" w:rsidR="006A69BD" w:rsidRPr="004D375B" w:rsidRDefault="002D4BF4" w:rsidP="00693E4D">
            <w:pPr>
              <w:spacing w:after="0" w:line="240" w:lineRule="auto"/>
              <w:ind w:firstLine="19"/>
              <w:jc w:val="center"/>
              <w:rPr>
                <w:sz w:val="18"/>
                <w:szCs w:val="18"/>
                <w:highlight w:val="yellow"/>
              </w:rPr>
            </w:pPr>
            <w:r>
              <w:rPr>
                <w:rFonts w:asciiTheme="majorHAnsi" w:hAnsiTheme="majorHAnsi" w:cstheme="majorHAnsi"/>
              </w:rPr>
              <w:t>(Redacted)</w:t>
            </w:r>
          </w:p>
        </w:tc>
      </w:tr>
      <w:tr w:rsidR="006A69BD" w14:paraId="19F61DE9" w14:textId="77777777" w:rsidTr="006A69BD">
        <w:tc>
          <w:tcPr>
            <w:tcW w:w="2579" w:type="pct"/>
          </w:tcPr>
          <w:p w14:paraId="2CD0981C" w14:textId="77777777" w:rsidR="006A69BD" w:rsidRPr="0009775C" w:rsidRDefault="006A69BD" w:rsidP="00693E4D">
            <w:pPr>
              <w:spacing w:after="0" w:line="240" w:lineRule="auto"/>
              <w:rPr>
                <w:sz w:val="18"/>
                <w:szCs w:val="18"/>
              </w:rPr>
            </w:pPr>
            <w:r w:rsidRPr="0009775C">
              <w:rPr>
                <w:sz w:val="18"/>
                <w:szCs w:val="18"/>
              </w:rPr>
              <w:t>CVD 5-year risk % units (n=38)</w:t>
            </w:r>
          </w:p>
        </w:tc>
        <w:tc>
          <w:tcPr>
            <w:tcW w:w="1717" w:type="pct"/>
          </w:tcPr>
          <w:p w14:paraId="0E98E930" w14:textId="267F8551" w:rsidR="006A69BD" w:rsidRPr="00FA3DA0" w:rsidRDefault="00FA5110" w:rsidP="00FA5110">
            <w:pPr>
              <w:spacing w:after="0" w:line="240" w:lineRule="auto"/>
              <w:jc w:val="center"/>
              <w:rPr>
                <w:sz w:val="18"/>
                <w:szCs w:val="18"/>
                <w:highlight w:val="yellow"/>
              </w:rPr>
            </w:pPr>
            <w:r>
              <w:rPr>
                <w:rFonts w:asciiTheme="majorHAnsi" w:hAnsiTheme="majorHAnsi" w:cstheme="majorHAnsi"/>
              </w:rPr>
              <w:t xml:space="preserve">(Redacted) </w:t>
            </w:r>
          </w:p>
        </w:tc>
        <w:tc>
          <w:tcPr>
            <w:tcW w:w="704" w:type="pct"/>
          </w:tcPr>
          <w:p w14:paraId="1B36A21E" w14:textId="3F0FC628" w:rsidR="006A69BD" w:rsidRPr="004D375B" w:rsidRDefault="002D4BF4" w:rsidP="00693E4D">
            <w:pPr>
              <w:spacing w:after="0" w:line="240" w:lineRule="auto"/>
              <w:jc w:val="center"/>
              <w:rPr>
                <w:sz w:val="18"/>
                <w:szCs w:val="18"/>
                <w:highlight w:val="yellow"/>
              </w:rPr>
            </w:pPr>
            <w:r>
              <w:rPr>
                <w:rFonts w:asciiTheme="majorHAnsi" w:hAnsiTheme="majorHAnsi" w:cstheme="majorHAnsi"/>
              </w:rPr>
              <w:t>(Redacted)</w:t>
            </w:r>
          </w:p>
        </w:tc>
      </w:tr>
      <w:tr w:rsidR="006A69BD" w14:paraId="0DF511FD" w14:textId="77777777" w:rsidTr="006A69BD">
        <w:tc>
          <w:tcPr>
            <w:tcW w:w="2579" w:type="pct"/>
          </w:tcPr>
          <w:p w14:paraId="11E6324A" w14:textId="77777777" w:rsidR="006A69BD" w:rsidRPr="0009775C" w:rsidRDefault="006A69BD" w:rsidP="00693E4D">
            <w:pPr>
              <w:spacing w:after="0" w:line="240" w:lineRule="auto"/>
              <w:rPr>
                <w:sz w:val="18"/>
                <w:szCs w:val="18"/>
              </w:rPr>
            </w:pPr>
            <w:r w:rsidRPr="0009775C">
              <w:rPr>
                <w:sz w:val="18"/>
                <w:szCs w:val="18"/>
              </w:rPr>
              <w:t>eGFR (no minimum follow-up time) ml/min/1.73m</w:t>
            </w:r>
            <w:r w:rsidRPr="0009775C">
              <w:rPr>
                <w:sz w:val="18"/>
                <w:szCs w:val="18"/>
                <w:vertAlign w:val="superscript"/>
              </w:rPr>
              <w:t>2</w:t>
            </w:r>
            <w:r w:rsidRPr="0009775C">
              <w:rPr>
                <w:sz w:val="18"/>
                <w:szCs w:val="18"/>
              </w:rPr>
              <w:t xml:space="preserve"> (n=895)</w:t>
            </w:r>
          </w:p>
        </w:tc>
        <w:tc>
          <w:tcPr>
            <w:tcW w:w="1717" w:type="pct"/>
          </w:tcPr>
          <w:p w14:paraId="4887C8EC" w14:textId="5B31C6F8" w:rsidR="006A69BD" w:rsidRPr="00FA3DA0" w:rsidRDefault="00FA5110" w:rsidP="00FA5110">
            <w:pPr>
              <w:spacing w:after="0" w:line="240" w:lineRule="auto"/>
              <w:jc w:val="center"/>
              <w:rPr>
                <w:sz w:val="18"/>
                <w:szCs w:val="18"/>
                <w:highlight w:val="yellow"/>
              </w:rPr>
            </w:pPr>
            <w:r>
              <w:rPr>
                <w:rFonts w:asciiTheme="majorHAnsi" w:hAnsiTheme="majorHAnsi" w:cstheme="majorHAnsi"/>
              </w:rPr>
              <w:t xml:space="preserve">(Redacted) </w:t>
            </w:r>
          </w:p>
        </w:tc>
        <w:tc>
          <w:tcPr>
            <w:tcW w:w="704" w:type="pct"/>
          </w:tcPr>
          <w:p w14:paraId="1C33E56C" w14:textId="7D71BF96" w:rsidR="006A69BD" w:rsidRPr="004D375B" w:rsidRDefault="002D4BF4" w:rsidP="00693E4D">
            <w:pPr>
              <w:spacing w:after="0" w:line="240" w:lineRule="auto"/>
              <w:jc w:val="center"/>
              <w:rPr>
                <w:sz w:val="18"/>
                <w:szCs w:val="18"/>
                <w:highlight w:val="yellow"/>
              </w:rPr>
            </w:pPr>
            <w:r>
              <w:rPr>
                <w:rFonts w:asciiTheme="majorHAnsi" w:hAnsiTheme="majorHAnsi" w:cstheme="majorHAnsi"/>
              </w:rPr>
              <w:t>(Redacted)</w:t>
            </w:r>
          </w:p>
        </w:tc>
      </w:tr>
      <w:tr w:rsidR="006A69BD" w:rsidRPr="0009775C" w14:paraId="5E3CD9A6" w14:textId="77777777" w:rsidTr="006A69BD">
        <w:tc>
          <w:tcPr>
            <w:tcW w:w="2579" w:type="pct"/>
          </w:tcPr>
          <w:p w14:paraId="0DBFE1C4" w14:textId="77777777" w:rsidR="006A69BD" w:rsidRPr="00B45ADE" w:rsidRDefault="006A69BD" w:rsidP="00693E4D">
            <w:pPr>
              <w:spacing w:after="0" w:line="240" w:lineRule="auto"/>
              <w:rPr>
                <w:sz w:val="18"/>
                <w:szCs w:val="18"/>
              </w:rPr>
            </w:pPr>
            <w:r w:rsidRPr="0009775C">
              <w:rPr>
                <w:sz w:val="18"/>
                <w:szCs w:val="18"/>
              </w:rPr>
              <w:t>eGFR (</w:t>
            </w:r>
            <w:r>
              <w:rPr>
                <w:sz w:val="18"/>
                <w:szCs w:val="18"/>
              </w:rPr>
              <w:t>6-month</w:t>
            </w:r>
            <w:r w:rsidRPr="0009775C">
              <w:rPr>
                <w:sz w:val="18"/>
                <w:szCs w:val="18"/>
              </w:rPr>
              <w:t xml:space="preserve"> follow-up time) ml/min/1.73m</w:t>
            </w:r>
            <w:r w:rsidRPr="00B45ADE">
              <w:rPr>
                <w:sz w:val="18"/>
                <w:szCs w:val="18"/>
                <w:vertAlign w:val="superscript"/>
              </w:rPr>
              <w:t>2</w:t>
            </w:r>
            <w:r w:rsidRPr="00B45ADE">
              <w:rPr>
                <w:sz w:val="18"/>
                <w:szCs w:val="18"/>
              </w:rPr>
              <w:t xml:space="preserve"> (n=895)</w:t>
            </w:r>
          </w:p>
        </w:tc>
        <w:tc>
          <w:tcPr>
            <w:tcW w:w="1717" w:type="pct"/>
          </w:tcPr>
          <w:p w14:paraId="0E83997F" w14:textId="0FCFD515" w:rsidR="006A69BD" w:rsidRPr="00FA3DA0" w:rsidRDefault="00FA5110" w:rsidP="00FA5110">
            <w:pPr>
              <w:spacing w:after="0" w:line="240" w:lineRule="auto"/>
              <w:jc w:val="center"/>
              <w:rPr>
                <w:sz w:val="18"/>
                <w:szCs w:val="18"/>
                <w:highlight w:val="yellow"/>
              </w:rPr>
            </w:pPr>
            <w:r>
              <w:rPr>
                <w:rFonts w:asciiTheme="majorHAnsi" w:hAnsiTheme="majorHAnsi" w:cstheme="majorHAnsi"/>
              </w:rPr>
              <w:t xml:space="preserve">(Redacted) </w:t>
            </w:r>
          </w:p>
        </w:tc>
        <w:tc>
          <w:tcPr>
            <w:tcW w:w="704" w:type="pct"/>
          </w:tcPr>
          <w:p w14:paraId="69A446CB" w14:textId="0EE27635" w:rsidR="006A69BD" w:rsidRPr="004D375B" w:rsidRDefault="002D4BF4" w:rsidP="00693E4D">
            <w:pPr>
              <w:spacing w:after="0" w:line="240" w:lineRule="auto"/>
              <w:jc w:val="center"/>
              <w:rPr>
                <w:sz w:val="18"/>
                <w:szCs w:val="18"/>
                <w:highlight w:val="yellow"/>
              </w:rPr>
            </w:pPr>
            <w:r>
              <w:rPr>
                <w:rFonts w:asciiTheme="majorHAnsi" w:hAnsiTheme="majorHAnsi" w:cstheme="majorHAnsi"/>
              </w:rPr>
              <w:t>(Redacted)</w:t>
            </w:r>
          </w:p>
        </w:tc>
      </w:tr>
    </w:tbl>
    <w:p w14:paraId="5F769177" w14:textId="3F4F27E8" w:rsidR="003E1715" w:rsidRDefault="003E1715" w:rsidP="003E1715">
      <w:pPr>
        <w:spacing w:line="240" w:lineRule="auto"/>
        <w:rPr>
          <w:sz w:val="18"/>
          <w:szCs w:val="18"/>
        </w:rPr>
      </w:pPr>
      <w:r>
        <w:rPr>
          <w:sz w:val="18"/>
          <w:szCs w:val="18"/>
        </w:rPr>
        <w:t xml:space="preserve">1. Data pertains to biomedical indices with mean difference that was statistically significant at the 0.05 level, as sourced from clinical endpoint report </w:t>
      </w:r>
      <w:r w:rsidRPr="00EA0D50">
        <w:rPr>
          <w:sz w:val="18"/>
          <w:szCs w:val="18"/>
        </w:rPr>
        <w:t>(</w:t>
      </w:r>
      <w:r w:rsidR="00EA0D50" w:rsidRPr="00EA0D50">
        <w:rPr>
          <w:sz w:val="18"/>
          <w:szCs w:val="18"/>
        </w:rPr>
        <w:t>Appendix 9</w:t>
      </w:r>
      <w:r w:rsidRPr="00EA0D50">
        <w:rPr>
          <w:sz w:val="18"/>
          <w:szCs w:val="18"/>
        </w:rPr>
        <w:t>)</w:t>
      </w:r>
      <w:r>
        <w:rPr>
          <w:sz w:val="18"/>
          <w:szCs w:val="18"/>
        </w:rPr>
        <w:t xml:space="preserve"> and </w:t>
      </w:r>
      <w:r w:rsidR="00B016EC">
        <w:rPr>
          <w:sz w:val="18"/>
          <w:szCs w:val="18"/>
        </w:rPr>
        <w:t>MSAC Assessment Report</w:t>
      </w:r>
      <w:r>
        <w:rPr>
          <w:sz w:val="18"/>
          <w:szCs w:val="18"/>
        </w:rPr>
        <w:t xml:space="preserve">.  </w:t>
      </w:r>
    </w:p>
    <w:p w14:paraId="31BB1489"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 xml:space="preserve">CVD= cardiovascular disease. </w:t>
      </w:r>
    </w:p>
    <w:p w14:paraId="710FA59B"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DBP= diastolic blood pressure</w:t>
      </w:r>
    </w:p>
    <w:p w14:paraId="00512359"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eGFR= estimated glomerular filtration rate</w:t>
      </w:r>
    </w:p>
    <w:p w14:paraId="43C5C082"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lastRenderedPageBreak/>
        <w:t xml:space="preserve">HbA1C= glycated </w:t>
      </w:r>
      <w:proofErr w:type="spellStart"/>
      <w:r w:rsidRPr="00E02031">
        <w:rPr>
          <w:rFonts w:asciiTheme="minorHAnsi" w:hAnsiTheme="minorHAnsi" w:cstheme="minorHAnsi"/>
          <w:color w:val="000000"/>
          <w:sz w:val="16"/>
          <w:szCs w:val="16"/>
        </w:rPr>
        <w:t>haemoglobin</w:t>
      </w:r>
      <w:proofErr w:type="spellEnd"/>
    </w:p>
    <w:p w14:paraId="14771765"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LDL-C= low density lipoprotein cholesterol</w:t>
      </w:r>
    </w:p>
    <w:p w14:paraId="37C9293A"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TC= total cholesterol</w:t>
      </w:r>
    </w:p>
    <w:p w14:paraId="3B3F5E01" w14:textId="77777777" w:rsidR="003E1715" w:rsidRPr="00E02031" w:rsidRDefault="003E1715" w:rsidP="003E1715">
      <w:pPr>
        <w:spacing w:line="240" w:lineRule="auto"/>
        <w:rPr>
          <w:rFonts w:asciiTheme="minorHAnsi" w:hAnsiTheme="minorHAnsi" w:cstheme="minorHAnsi"/>
          <w:color w:val="000000"/>
          <w:sz w:val="16"/>
          <w:szCs w:val="16"/>
        </w:rPr>
      </w:pPr>
      <w:r w:rsidRPr="00E02031">
        <w:rPr>
          <w:rFonts w:asciiTheme="minorHAnsi" w:hAnsiTheme="minorHAnsi" w:cstheme="minorHAnsi"/>
          <w:color w:val="000000"/>
          <w:sz w:val="16"/>
          <w:szCs w:val="16"/>
        </w:rPr>
        <w:t>TG= triglycerides</w:t>
      </w:r>
    </w:p>
    <w:p w14:paraId="09060E3B" w14:textId="77777777" w:rsidR="003E1715" w:rsidRDefault="003E1715" w:rsidP="003E1715">
      <w:pPr>
        <w:spacing w:line="240" w:lineRule="auto"/>
      </w:pPr>
      <w:r w:rsidRPr="000B12C1">
        <w:rPr>
          <w:rFonts w:asciiTheme="minorHAnsi" w:hAnsiTheme="minorHAnsi" w:cstheme="minorHAnsi"/>
          <w:sz w:val="16"/>
          <w:szCs w:val="16"/>
        </w:rPr>
        <w:t>T2DM= type 2 diabetes mellitus</w:t>
      </w:r>
    </w:p>
    <w:p w14:paraId="485C93F2" w14:textId="77777777" w:rsidR="003E1715" w:rsidRPr="0009775C" w:rsidRDefault="003E1715" w:rsidP="003E1715">
      <w:pPr>
        <w:rPr>
          <w:sz w:val="18"/>
          <w:szCs w:val="18"/>
        </w:rPr>
      </w:pPr>
    </w:p>
    <w:p w14:paraId="5973867C" w14:textId="71072C67" w:rsidR="00164471" w:rsidRDefault="00777E6E" w:rsidP="00FC12A1">
      <w:r>
        <w:t xml:space="preserve">For participants with a clinical diagnosis of T2DM, and with pre and post-measures of HbA1c, </w:t>
      </w:r>
      <w:r w:rsidRPr="00F608E6">
        <w:t>costs</w:t>
      </w:r>
      <w:r>
        <w:t xml:space="preserve"> </w:t>
      </w:r>
      <w:r w:rsidRPr="00F608E6">
        <w:t xml:space="preserve">and outcomes for the </w:t>
      </w:r>
      <w:r w:rsidRPr="000740D5">
        <w:t xml:space="preserve">IPAC intervention compared with no IPAC intervention </w:t>
      </w:r>
      <w:r>
        <w:t xml:space="preserve">(the comparator) </w:t>
      </w:r>
      <w:r w:rsidR="00361852">
        <w:t>found</w:t>
      </w:r>
      <w:r w:rsidRPr="000740D5">
        <w:t xml:space="preserve"> </w:t>
      </w:r>
      <w:r w:rsidR="00361852">
        <w:t>t</w:t>
      </w:r>
      <w:r w:rsidRPr="000740D5">
        <w:t xml:space="preserve">he </w:t>
      </w:r>
      <w:r w:rsidR="00361852">
        <w:t>incremental cost effectiveness ratio (</w:t>
      </w:r>
      <w:r w:rsidRPr="000740D5">
        <w:t>ICER</w:t>
      </w:r>
      <w:r w:rsidR="00361852">
        <w:t>)</w:t>
      </w:r>
      <w:r w:rsidRPr="000740D5">
        <w:t xml:space="preserve"> of the IPAC intervention</w:t>
      </w:r>
      <w:r w:rsidR="00361852">
        <w:t>,</w:t>
      </w:r>
      <w:r w:rsidRPr="000740D5">
        <w:t xml:space="preserve"> versus no IPAC intervention </w:t>
      </w:r>
      <w:r>
        <w:t>wa</w:t>
      </w:r>
      <w:r w:rsidRPr="000740D5">
        <w:t xml:space="preserve">s </w:t>
      </w:r>
      <w:r w:rsidR="002D4BF4">
        <w:rPr>
          <w:rFonts w:asciiTheme="majorHAnsi" w:hAnsiTheme="majorHAnsi" w:cstheme="majorHAnsi"/>
        </w:rPr>
        <w:t>(Redacted)</w:t>
      </w:r>
      <w:r w:rsidR="00363F86">
        <w:rPr>
          <w:rFonts w:asciiTheme="majorHAnsi" w:hAnsiTheme="majorHAnsi" w:cstheme="majorHAnsi"/>
        </w:rPr>
        <w:t xml:space="preserve"> </w:t>
      </w:r>
      <w:r w:rsidRPr="000740D5">
        <w:t>per participant with a clinically meaningful reduction in HbA1c</w:t>
      </w:r>
      <w:r>
        <w:t xml:space="preserve"> of at least 0.5%</w:t>
      </w:r>
      <w:r w:rsidRPr="000740D5">
        <w:t>.</w:t>
      </w:r>
      <w:r w:rsidR="005160DD">
        <w:t xml:space="preserve"> </w:t>
      </w:r>
      <w:r w:rsidR="00361852">
        <w:t xml:space="preserve">For the sample of </w:t>
      </w:r>
      <w:r w:rsidR="00361852" w:rsidRPr="00AE16BC">
        <w:t xml:space="preserve">participants </w:t>
      </w:r>
      <w:r w:rsidR="00361852">
        <w:t xml:space="preserve">assessed for the </w:t>
      </w:r>
      <w:proofErr w:type="spellStart"/>
      <w:r w:rsidR="00361852">
        <w:t>underutilisation</w:t>
      </w:r>
      <w:proofErr w:type="spellEnd"/>
      <w:r w:rsidR="00361852">
        <w:t xml:space="preserve"> of medications</w:t>
      </w:r>
      <w:r w:rsidR="00361852" w:rsidRPr="00AE16BC">
        <w:t xml:space="preserve">, </w:t>
      </w:r>
      <w:r w:rsidR="00361852">
        <w:t>t</w:t>
      </w:r>
      <w:r w:rsidR="00361852" w:rsidRPr="00013791">
        <w:t>he</w:t>
      </w:r>
      <w:r w:rsidR="00361852">
        <w:t xml:space="preserve"> </w:t>
      </w:r>
      <w:r w:rsidR="00361852" w:rsidRPr="000740D5">
        <w:t xml:space="preserve">ICER of the IPAC intervention versus </w:t>
      </w:r>
      <w:r w:rsidR="005160DD">
        <w:t>usual care</w:t>
      </w:r>
      <w:r w:rsidR="00361852" w:rsidRPr="000740D5">
        <w:t xml:space="preserve"> </w:t>
      </w:r>
      <w:r w:rsidR="00361852">
        <w:t>wa</w:t>
      </w:r>
      <w:r w:rsidR="00361852" w:rsidRPr="000740D5">
        <w:t>s $</w:t>
      </w:r>
      <w:r w:rsidR="002D4BF4">
        <w:rPr>
          <w:rFonts w:asciiTheme="majorHAnsi" w:hAnsiTheme="majorHAnsi" w:cstheme="majorHAnsi"/>
        </w:rPr>
        <w:t xml:space="preserve">(Redacted) </w:t>
      </w:r>
      <w:r w:rsidR="00361852" w:rsidRPr="000740D5">
        <w:t xml:space="preserve">per </w:t>
      </w:r>
      <w:r w:rsidR="00361852">
        <w:t xml:space="preserve">reduction in the number of </w:t>
      </w:r>
      <w:r w:rsidR="00361852" w:rsidRPr="000740D5">
        <w:t xml:space="preserve">participants with a </w:t>
      </w:r>
      <w:r w:rsidR="00361852">
        <w:t>potential prescribing omission</w:t>
      </w:r>
      <w:r w:rsidR="00361852" w:rsidRPr="000740D5">
        <w:t xml:space="preserve">. </w:t>
      </w:r>
      <w:r w:rsidR="00B246A2">
        <w:t>The</w:t>
      </w:r>
      <w:r w:rsidR="005940D5" w:rsidRPr="00164471">
        <w:t xml:space="preserve"> incremental cost of the IPAC intervention of </w:t>
      </w:r>
      <w:r w:rsidR="002D4BF4">
        <w:rPr>
          <w:rFonts w:asciiTheme="majorHAnsi" w:hAnsiTheme="majorHAnsi" w:cstheme="majorHAnsi"/>
        </w:rPr>
        <w:t>(Redacted)</w:t>
      </w:r>
      <w:r w:rsidR="002D4BF4">
        <w:t xml:space="preserve"> </w:t>
      </w:r>
      <w:r w:rsidR="005940D5" w:rsidRPr="00164471">
        <w:t xml:space="preserve">for participants </w:t>
      </w:r>
      <w:r w:rsidR="00D946B8" w:rsidRPr="00164471">
        <w:t>(n=</w:t>
      </w:r>
      <w:r w:rsidR="001B25B6" w:rsidRPr="00164471">
        <w:t>539</w:t>
      </w:r>
      <w:r w:rsidR="00D946B8" w:rsidRPr="00164471">
        <w:t xml:space="preserve">) </w:t>
      </w:r>
      <w:r w:rsidR="005940D5" w:rsidRPr="00164471">
        <w:t>with a clinical diagnosis of T2DM</w:t>
      </w:r>
      <w:r w:rsidR="00B246A2">
        <w:t xml:space="preserve"> </w:t>
      </w:r>
      <w:r w:rsidR="005940D5" w:rsidRPr="00164471">
        <w:t xml:space="preserve">and with pre and post-measures of HbA1c, suggested an ICER of </w:t>
      </w:r>
      <w:r w:rsidR="002D4BF4">
        <w:rPr>
          <w:rFonts w:asciiTheme="majorHAnsi" w:hAnsiTheme="majorHAnsi" w:cstheme="majorHAnsi"/>
        </w:rPr>
        <w:t xml:space="preserve">(Redacted) </w:t>
      </w:r>
      <w:r w:rsidR="005940D5" w:rsidRPr="00164471">
        <w:t>per QALY, assuming no lifetime costs additional to usual care are required to maintain the reduction in HbA1c.</w:t>
      </w:r>
      <w:r w:rsidR="005940D5">
        <w:t xml:space="preserve"> </w:t>
      </w:r>
    </w:p>
    <w:p w14:paraId="41D388DB" w14:textId="77777777" w:rsidR="003043BD" w:rsidRPr="00D636F8" w:rsidRDefault="003043BD" w:rsidP="00DA22EF"/>
    <w:p w14:paraId="2ECAAB50" w14:textId="082C97A1" w:rsidR="00481CD3" w:rsidRPr="00FA3DA0" w:rsidRDefault="009402E0" w:rsidP="00FC12A1">
      <w:pPr>
        <w:pStyle w:val="Heading3"/>
      </w:pPr>
      <w:bookmarkStart w:id="71" w:name="_Toc40350117"/>
      <w:bookmarkStart w:id="72" w:name="_Toc40441100"/>
      <w:bookmarkStart w:id="73" w:name="_Toc41315642"/>
      <w:bookmarkStart w:id="74" w:name="_Toc85103779"/>
      <w:r w:rsidRPr="00D636F8">
        <w:t>Qualitative Evaluation</w:t>
      </w:r>
      <w:bookmarkEnd w:id="71"/>
      <w:bookmarkEnd w:id="72"/>
      <w:bookmarkEnd w:id="73"/>
      <w:bookmarkEnd w:id="74"/>
    </w:p>
    <w:p w14:paraId="67CA1EC3" w14:textId="5B124406" w:rsidR="00101228" w:rsidRDefault="009402E0" w:rsidP="00101228">
      <w:r w:rsidRPr="00D636F8">
        <w:rPr>
          <w:color w:val="000000" w:themeColor="text1"/>
        </w:rPr>
        <w:t xml:space="preserve">The qualitative evaluation demonstrated overwhelming </w:t>
      </w:r>
      <w:r w:rsidR="00687763">
        <w:rPr>
          <w:color w:val="000000" w:themeColor="text1"/>
        </w:rPr>
        <w:t>stakeholder s</w:t>
      </w:r>
      <w:r w:rsidRPr="00D636F8">
        <w:rPr>
          <w:color w:val="000000" w:themeColor="text1"/>
        </w:rPr>
        <w:t xml:space="preserve">upport for </w:t>
      </w:r>
      <w:r w:rsidR="00687763">
        <w:rPr>
          <w:color w:val="000000" w:themeColor="text1"/>
        </w:rPr>
        <w:t>integrated</w:t>
      </w:r>
      <w:r w:rsidRPr="00D636F8">
        <w:rPr>
          <w:color w:val="000000" w:themeColor="text1"/>
        </w:rPr>
        <w:t xml:space="preserve"> pharmacist</w:t>
      </w:r>
      <w:r w:rsidR="00687763">
        <w:rPr>
          <w:color w:val="000000" w:themeColor="text1"/>
        </w:rPr>
        <w:t>s</w:t>
      </w:r>
      <w:r w:rsidRPr="00D636F8">
        <w:rPr>
          <w:color w:val="000000" w:themeColor="text1"/>
        </w:rPr>
        <w:t xml:space="preserve"> </w:t>
      </w:r>
      <w:r w:rsidR="00687763">
        <w:rPr>
          <w:color w:val="000000" w:themeColor="text1"/>
        </w:rPr>
        <w:t>within</w:t>
      </w:r>
      <w:r w:rsidRPr="00D636F8">
        <w:rPr>
          <w:color w:val="000000" w:themeColor="text1"/>
        </w:rPr>
        <w:t xml:space="preserve"> participating IPAC sites and in ACCHSs more broadly.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reported </w:t>
      </w:r>
      <w:r w:rsidRPr="00D636F8">
        <w:rPr>
          <w:i/>
          <w:color w:val="000000" w:themeColor="text1"/>
        </w:rPr>
        <w:t>‘feeling better’,</w:t>
      </w:r>
      <w:r w:rsidRPr="00D636F8">
        <w:rPr>
          <w:color w:val="000000" w:themeColor="text1"/>
        </w:rPr>
        <w:t xml:space="preserve"> being more involved in decisions about their care, and felt empowered to better manage their health.  </w:t>
      </w:r>
      <w:r w:rsidR="00101228" w:rsidRPr="00B5671B">
        <w:t xml:space="preserve">Upon hearing the integrated pharmacist trial was concluding one patient stated: </w:t>
      </w:r>
      <w:r w:rsidR="00101228" w:rsidRPr="00B5671B">
        <w:rPr>
          <w:i/>
        </w:rPr>
        <w:t>“you get a program and it works and bugger me dead if they don't pull the plug on it.”</w:t>
      </w:r>
    </w:p>
    <w:p w14:paraId="10EEC36B" w14:textId="77777777" w:rsidR="009402E0" w:rsidRPr="00D636F8" w:rsidRDefault="009402E0" w:rsidP="00DA22EF">
      <w:pPr>
        <w:rPr>
          <w:color w:val="000000" w:themeColor="text1"/>
        </w:rPr>
      </w:pPr>
    </w:p>
    <w:p w14:paraId="32CB9B37" w14:textId="0D649D31" w:rsidR="009402E0" w:rsidRPr="00D636F8" w:rsidRDefault="009402E0" w:rsidP="00DA22EF">
      <w:pPr>
        <w:rPr>
          <w:color w:val="000000" w:themeColor="text1"/>
        </w:rPr>
      </w:pPr>
      <w:r w:rsidRPr="00D636F8">
        <w:rPr>
          <w:color w:val="000000" w:themeColor="text1"/>
        </w:rPr>
        <w:t xml:space="preserve">For health services staff, the main benefit with having a pharmacist integrated in their team was access to an </w:t>
      </w:r>
      <w:r w:rsidRPr="00D636F8">
        <w:rPr>
          <w:i/>
          <w:color w:val="000000" w:themeColor="text1"/>
        </w:rPr>
        <w:t>‘in-house medicines expert’</w:t>
      </w:r>
      <w:r w:rsidRPr="00D636F8">
        <w:rPr>
          <w:color w:val="000000" w:themeColor="text1"/>
        </w:rPr>
        <w:t xml:space="preserve"> who provided support and advice informally through </w:t>
      </w:r>
      <w:r w:rsidRPr="00D636F8">
        <w:rPr>
          <w:i/>
          <w:color w:val="000000" w:themeColor="text1"/>
        </w:rPr>
        <w:t>‘corridor conversations’</w:t>
      </w:r>
      <w:r w:rsidRPr="00D636F8">
        <w:rPr>
          <w:color w:val="000000" w:themeColor="text1"/>
        </w:rPr>
        <w:t xml:space="preserve"> as well as formally through </w:t>
      </w:r>
      <w:r w:rsidR="00687763">
        <w:rPr>
          <w:color w:val="000000" w:themeColor="text1"/>
        </w:rPr>
        <w:t>team-based</w:t>
      </w:r>
      <w:r w:rsidR="00397E07">
        <w:rPr>
          <w:color w:val="000000" w:themeColor="text1"/>
        </w:rPr>
        <w:t xml:space="preserve"> collaboration and </w:t>
      </w:r>
      <w:r w:rsidRPr="00D636F8">
        <w:rPr>
          <w:color w:val="000000" w:themeColor="text1"/>
        </w:rPr>
        <w:t xml:space="preserve">medication management reviews.  Recommendations made following medication reviews were perceived to be of high quality and prescriber up-take was reported to be high.  </w:t>
      </w:r>
    </w:p>
    <w:p w14:paraId="480E616D" w14:textId="77777777" w:rsidR="009402E0" w:rsidRPr="00D636F8" w:rsidRDefault="009402E0" w:rsidP="00DA22EF">
      <w:pPr>
        <w:rPr>
          <w:color w:val="000000" w:themeColor="text1"/>
        </w:rPr>
      </w:pPr>
    </w:p>
    <w:p w14:paraId="6ABC6145" w14:textId="553A9127" w:rsidR="009402E0" w:rsidRPr="00D636F8" w:rsidRDefault="009402E0" w:rsidP="00DA22EF">
      <w:pPr>
        <w:rPr>
          <w:color w:val="000000" w:themeColor="text1"/>
        </w:rPr>
      </w:pPr>
      <w:r w:rsidRPr="00D636F8">
        <w:rPr>
          <w:color w:val="000000" w:themeColor="text1"/>
        </w:rPr>
        <w:t>Benefits from the pharmacists’ perspective were the opportunity “</w:t>
      </w:r>
      <w:r w:rsidRPr="00D636F8">
        <w:rPr>
          <w:i/>
          <w:color w:val="000000" w:themeColor="text1"/>
        </w:rPr>
        <w:t xml:space="preserve">to sit down with the patient” </w:t>
      </w:r>
      <w:r w:rsidRPr="00D636F8">
        <w:rPr>
          <w:iCs/>
          <w:color w:val="000000" w:themeColor="text1"/>
        </w:rPr>
        <w:t>and</w:t>
      </w:r>
      <w:r w:rsidRPr="00D636F8">
        <w:rPr>
          <w:i/>
          <w:color w:val="000000" w:themeColor="text1"/>
        </w:rPr>
        <w:t xml:space="preserve"> “spend a bit more time”</w:t>
      </w:r>
      <w:r w:rsidRPr="00D636F8">
        <w:rPr>
          <w:color w:val="000000" w:themeColor="text1"/>
        </w:rPr>
        <w:t xml:space="preserve"> with </w:t>
      </w:r>
      <w:proofErr w:type="gramStart"/>
      <w:r w:rsidRPr="00D636F8">
        <w:rPr>
          <w:color w:val="000000" w:themeColor="text1"/>
        </w:rPr>
        <w:t>them</w:t>
      </w:r>
      <w:r w:rsidR="00F1177E">
        <w:rPr>
          <w:color w:val="000000" w:themeColor="text1"/>
        </w:rPr>
        <w:t>, and</w:t>
      </w:r>
      <w:proofErr w:type="gramEnd"/>
      <w:r w:rsidR="00F1177E">
        <w:rPr>
          <w:color w:val="000000" w:themeColor="text1"/>
        </w:rPr>
        <w:t xml:space="preserve"> being available to see patients opportunistically</w:t>
      </w:r>
      <w:r w:rsidRPr="00D636F8">
        <w:rPr>
          <w:color w:val="000000" w:themeColor="text1"/>
        </w:rPr>
        <w:t>.</w:t>
      </w:r>
      <w:r w:rsidRPr="00D636F8">
        <w:rPr>
          <w:i/>
          <w:color w:val="000000" w:themeColor="text1"/>
        </w:rPr>
        <w:t xml:space="preserve">  </w:t>
      </w:r>
      <w:r w:rsidRPr="00D636F8">
        <w:rPr>
          <w:color w:val="000000" w:themeColor="text1"/>
        </w:rPr>
        <w:t xml:space="preserve">Integrated pharmacists developed meaningful relationships with </w:t>
      </w:r>
      <w:r w:rsidR="004A178E">
        <w:rPr>
          <w:color w:val="000000" w:themeColor="text1"/>
        </w:rPr>
        <w:t>participants</w:t>
      </w:r>
      <w:r w:rsidR="004A178E" w:rsidRPr="00D636F8">
        <w:rPr>
          <w:color w:val="000000" w:themeColor="text1"/>
        </w:rPr>
        <w:t xml:space="preserve"> </w:t>
      </w:r>
      <w:r w:rsidRPr="00D636F8">
        <w:rPr>
          <w:color w:val="000000" w:themeColor="text1"/>
        </w:rPr>
        <w:t xml:space="preserve">and empowered them by developing their health literacy and </w:t>
      </w:r>
      <w:r w:rsidR="00FA3DA0">
        <w:rPr>
          <w:color w:val="000000" w:themeColor="text1"/>
        </w:rPr>
        <w:t>knowledge about their medicines</w:t>
      </w:r>
      <w:r w:rsidRPr="00D636F8">
        <w:rPr>
          <w:color w:val="000000" w:themeColor="text1"/>
        </w:rPr>
        <w:t xml:space="preserve">.  </w:t>
      </w:r>
    </w:p>
    <w:p w14:paraId="57EC89A1" w14:textId="77777777" w:rsidR="009402E0" w:rsidRPr="00D636F8" w:rsidRDefault="009402E0" w:rsidP="00DA22EF">
      <w:pPr>
        <w:rPr>
          <w:color w:val="000000" w:themeColor="text1"/>
        </w:rPr>
      </w:pPr>
    </w:p>
    <w:p w14:paraId="2868BF1B" w14:textId="5BF31E70" w:rsidR="009402E0" w:rsidRDefault="009402E0" w:rsidP="00DA22EF">
      <w:pPr>
        <w:rPr>
          <w:color w:val="000000" w:themeColor="text1"/>
        </w:rPr>
      </w:pPr>
      <w:r w:rsidRPr="00D636F8">
        <w:rPr>
          <w:color w:val="000000" w:themeColor="text1"/>
        </w:rPr>
        <w:t>Integrated pharmacists worked together with community pharmacists to problem solve, access discharge summaries, confirm the patient’s medication history, undertake medication reconciliation by correcting errors and creating current medication lists, and facilitate provisi</w:t>
      </w:r>
      <w:r>
        <w:rPr>
          <w:color w:val="000000" w:themeColor="text1"/>
        </w:rPr>
        <w:t>on of dose administration aids</w:t>
      </w:r>
      <w:r w:rsidRPr="00D636F8">
        <w:rPr>
          <w:color w:val="000000" w:themeColor="text1"/>
        </w:rPr>
        <w:t xml:space="preserve"> for health service patients.  Community pharmacists reported that the integrated pharmacist role was very helpful and useful to them and facilitated communication between the community pharmacy and GPs within the ACCHS.  </w:t>
      </w:r>
    </w:p>
    <w:p w14:paraId="686D3A69" w14:textId="77777777" w:rsidR="006947B4" w:rsidRDefault="00CE04F1" w:rsidP="00FC12A1">
      <w:pPr>
        <w:pStyle w:val="Heading1"/>
      </w:pPr>
      <w:bookmarkStart w:id="75" w:name="_Toc40350118"/>
      <w:bookmarkStart w:id="76" w:name="_Toc40441101"/>
      <w:bookmarkStart w:id="77" w:name="_Toc41315643"/>
      <w:bookmarkStart w:id="78" w:name="_Toc85103780"/>
      <w:r>
        <w:lastRenderedPageBreak/>
        <w:t>Discussion</w:t>
      </w:r>
      <w:bookmarkEnd w:id="75"/>
      <w:bookmarkEnd w:id="76"/>
      <w:bookmarkEnd w:id="77"/>
      <w:bookmarkEnd w:id="78"/>
    </w:p>
    <w:p w14:paraId="4166C6C8" w14:textId="77777777" w:rsidR="00CE04F1" w:rsidRDefault="00CE04F1" w:rsidP="00DA22EF">
      <w:pPr>
        <w:rPr>
          <w:rFonts w:cstheme="minorHAnsi"/>
        </w:rPr>
      </w:pPr>
    </w:p>
    <w:p w14:paraId="5D425EF2" w14:textId="2A7C7C18" w:rsidR="001D294B" w:rsidRPr="005C5554" w:rsidRDefault="001D294B" w:rsidP="00DA22EF">
      <w:pPr>
        <w:rPr>
          <w:rFonts w:asciiTheme="majorHAnsi" w:hAnsiTheme="majorHAnsi" w:cstheme="majorHAnsi"/>
        </w:rPr>
      </w:pPr>
      <w:r w:rsidRPr="005C5554">
        <w:rPr>
          <w:rFonts w:asciiTheme="majorHAnsi" w:hAnsiTheme="majorHAnsi" w:cstheme="majorHAnsi"/>
        </w:rPr>
        <w:t>The IPAC trial used data from 1,456 participants making it one of the largest interventional studies involving individually consented Aboriginal and Torres Strait Islander adults with chronic disease ever conducted in Australia. The trial was a pragmatic, non-randomized, prospective, pre and post quasi-experimental study that was community-based</w:t>
      </w:r>
      <w:r w:rsidR="00877E4A">
        <w:rPr>
          <w:rFonts w:asciiTheme="majorHAnsi" w:hAnsiTheme="majorHAnsi" w:cstheme="majorHAnsi"/>
        </w:rPr>
        <w:t>,</w:t>
      </w:r>
      <w:r w:rsidRPr="005C5554">
        <w:rPr>
          <w:rFonts w:asciiTheme="majorHAnsi" w:hAnsiTheme="majorHAnsi" w:cstheme="majorHAnsi"/>
        </w:rPr>
        <w:t xml:space="preserve"> participatory</w:t>
      </w:r>
      <w:r w:rsidR="00877E4A">
        <w:rPr>
          <w:rFonts w:asciiTheme="majorHAnsi" w:hAnsiTheme="majorHAnsi" w:cstheme="majorHAnsi"/>
        </w:rPr>
        <w:t>,</w:t>
      </w:r>
      <w:r w:rsidR="00B8013F">
        <w:rPr>
          <w:rFonts w:asciiTheme="majorHAnsi" w:hAnsiTheme="majorHAnsi" w:cstheme="majorHAnsi"/>
        </w:rPr>
        <w:t xml:space="preserve"> and </w:t>
      </w:r>
      <w:r w:rsidR="00B8013F" w:rsidRPr="005C5554">
        <w:rPr>
          <w:rFonts w:asciiTheme="majorHAnsi" w:hAnsiTheme="majorHAnsi" w:cstheme="majorHAnsi"/>
        </w:rPr>
        <w:t>evaluated real-life outcomes within ACCHS settings arising from the intervention (integrated pharmacists within ACCHSs).</w:t>
      </w:r>
    </w:p>
    <w:p w14:paraId="29823F63" w14:textId="77777777" w:rsidR="00B8013F" w:rsidRDefault="00B8013F" w:rsidP="00DA22EF">
      <w:pPr>
        <w:rPr>
          <w:rFonts w:asciiTheme="majorHAnsi" w:hAnsiTheme="majorHAnsi" w:cstheme="majorHAnsi"/>
        </w:rPr>
      </w:pPr>
    </w:p>
    <w:p w14:paraId="638A679B" w14:textId="6895CEA0" w:rsidR="00B12A3E" w:rsidRPr="00CD3717" w:rsidRDefault="003E7C5B" w:rsidP="00B12A3E">
      <w:pPr>
        <w:rPr>
          <w:rFonts w:asciiTheme="majorHAnsi" w:hAnsiTheme="majorHAnsi" w:cstheme="majorHAnsi"/>
        </w:rPr>
      </w:pPr>
      <w:r>
        <w:rPr>
          <w:rFonts w:asciiTheme="majorHAnsi" w:hAnsiTheme="majorHAnsi" w:cstheme="majorHAnsi"/>
        </w:rPr>
        <w:t>I</w:t>
      </w:r>
      <w:r w:rsidR="00E96691" w:rsidRPr="00E96691">
        <w:rPr>
          <w:rFonts w:asciiTheme="majorHAnsi" w:hAnsiTheme="majorHAnsi" w:cstheme="majorHAnsi"/>
        </w:rPr>
        <w:t xml:space="preserve">ntegrated pharmacists </w:t>
      </w:r>
      <w:r w:rsidR="00F631BA">
        <w:rPr>
          <w:rFonts w:asciiTheme="majorHAnsi" w:hAnsiTheme="majorHAnsi" w:cstheme="majorHAnsi"/>
        </w:rPr>
        <w:t xml:space="preserve">significantly improved a range of intermediate clinical outcomes </w:t>
      </w:r>
      <w:r w:rsidR="00E96691" w:rsidRPr="00E96691">
        <w:rPr>
          <w:rFonts w:asciiTheme="majorHAnsi" w:hAnsiTheme="majorHAnsi" w:cstheme="majorHAnsi"/>
        </w:rPr>
        <w:t xml:space="preserve">for adult Aboriginal and Torres Strait Islander </w:t>
      </w:r>
      <w:r w:rsidR="004A178E">
        <w:rPr>
          <w:color w:val="000000" w:themeColor="text1"/>
        </w:rPr>
        <w:t>participants</w:t>
      </w:r>
      <w:r w:rsidR="004A178E" w:rsidRPr="00D636F8">
        <w:rPr>
          <w:color w:val="000000" w:themeColor="text1"/>
        </w:rPr>
        <w:t xml:space="preserve"> </w:t>
      </w:r>
      <w:r w:rsidR="00F631BA">
        <w:rPr>
          <w:rFonts w:asciiTheme="majorHAnsi" w:hAnsiTheme="majorHAnsi" w:cstheme="majorHAnsi"/>
        </w:rPr>
        <w:t xml:space="preserve">with chronic disease </w:t>
      </w:r>
      <w:r w:rsidR="00E96691" w:rsidRPr="00E96691">
        <w:rPr>
          <w:rFonts w:asciiTheme="majorHAnsi" w:hAnsiTheme="majorHAnsi" w:cstheme="majorHAnsi"/>
        </w:rPr>
        <w:t xml:space="preserve">attending ACCHSs.  </w:t>
      </w:r>
      <w:r w:rsidR="00F631BA">
        <w:rPr>
          <w:rFonts w:asciiTheme="majorHAnsi" w:hAnsiTheme="majorHAnsi" w:cstheme="majorHAnsi"/>
        </w:rPr>
        <w:t>Participants</w:t>
      </w:r>
      <w:r w:rsidR="00E96691" w:rsidRPr="00E96691">
        <w:rPr>
          <w:rFonts w:asciiTheme="majorHAnsi" w:hAnsiTheme="majorHAnsi" w:cstheme="majorHAnsi"/>
        </w:rPr>
        <w:t xml:space="preserve"> had significantly improved control of CVD risk factors, </w:t>
      </w:r>
      <w:proofErr w:type="spellStart"/>
      <w:r w:rsidR="00E96691" w:rsidRPr="00E96691">
        <w:rPr>
          <w:rFonts w:asciiTheme="majorHAnsi" w:hAnsiTheme="majorHAnsi" w:cstheme="majorHAnsi"/>
        </w:rPr>
        <w:t>glycaemic</w:t>
      </w:r>
      <w:proofErr w:type="spellEnd"/>
      <w:r w:rsidR="00E96691" w:rsidRPr="00E96691">
        <w:rPr>
          <w:rFonts w:asciiTheme="majorHAnsi" w:hAnsiTheme="majorHAnsi" w:cstheme="majorHAnsi"/>
        </w:rPr>
        <w:t xml:space="preserve"> control in </w:t>
      </w:r>
      <w:r w:rsidR="004A178E">
        <w:rPr>
          <w:color w:val="000000" w:themeColor="text1"/>
        </w:rPr>
        <w:t>participants</w:t>
      </w:r>
      <w:r w:rsidR="004A178E" w:rsidRPr="00D636F8">
        <w:rPr>
          <w:color w:val="000000" w:themeColor="text1"/>
        </w:rPr>
        <w:t xml:space="preserve"> </w:t>
      </w:r>
      <w:r w:rsidR="00E96691" w:rsidRPr="00E96691">
        <w:rPr>
          <w:rFonts w:asciiTheme="majorHAnsi" w:hAnsiTheme="majorHAnsi" w:cstheme="majorHAnsi"/>
        </w:rPr>
        <w:t>with T2DM, reduced absolute CVD risk</w:t>
      </w:r>
      <w:r w:rsidR="00790A2A">
        <w:rPr>
          <w:rFonts w:asciiTheme="majorHAnsi" w:hAnsiTheme="majorHAnsi" w:cstheme="majorHAnsi"/>
        </w:rPr>
        <w:t>, and a significantly slowed decline in kidney function</w:t>
      </w:r>
      <w:r w:rsidR="00E96691" w:rsidRPr="00E96691">
        <w:rPr>
          <w:rFonts w:asciiTheme="majorHAnsi" w:hAnsiTheme="majorHAnsi" w:cstheme="majorHAnsi"/>
        </w:rPr>
        <w:t xml:space="preserve">. </w:t>
      </w:r>
      <w:r w:rsidR="00E96691" w:rsidRPr="00E96691">
        <w:rPr>
          <w:rFonts w:asciiTheme="majorHAnsi" w:hAnsiTheme="majorHAnsi" w:cstheme="majorHAnsi"/>
          <w:lang w:val="en-AU"/>
        </w:rPr>
        <w:t xml:space="preserve"> </w:t>
      </w:r>
      <w:r w:rsidR="00B12A3E" w:rsidRPr="00CD3717">
        <w:rPr>
          <w:rFonts w:asciiTheme="majorHAnsi" w:eastAsia="MS Mincho" w:hAnsiTheme="majorHAnsi" w:cstheme="majorHAnsi"/>
          <w:color w:val="221F20"/>
          <w:lang w:val="en-GB"/>
        </w:rPr>
        <w:t xml:space="preserve">The net absolute reduction in 5-year CVD risk of </w:t>
      </w:r>
      <w:r w:rsidR="00B12A3E">
        <w:rPr>
          <w:rFonts w:asciiTheme="majorHAnsi" w:hAnsiTheme="majorHAnsi" w:cstheme="majorHAnsi"/>
        </w:rPr>
        <w:t>(Redacted)</w:t>
      </w:r>
      <w:r w:rsidR="00B12A3E" w:rsidRPr="00CD3717">
        <w:rPr>
          <w:rFonts w:asciiTheme="majorHAnsi" w:eastAsia="MS Mincho" w:hAnsiTheme="majorHAnsi" w:cstheme="majorHAnsi"/>
          <w:color w:val="221F20"/>
          <w:lang w:val="en-GB"/>
        </w:rPr>
        <w:t xml:space="preserve"> for participants without pre-existing CVD indicates the clinically significant potential for primary CVD prevention arising from the IPAC intervention.</w:t>
      </w:r>
    </w:p>
    <w:p w14:paraId="5E7F7299" w14:textId="4FB58750" w:rsidR="00182580" w:rsidRDefault="00182580" w:rsidP="00DA22EF"/>
    <w:p w14:paraId="1037347A" w14:textId="54F079D6" w:rsidR="00BF37F4" w:rsidRDefault="00F631BA" w:rsidP="00DA22EF">
      <w:pPr>
        <w:rPr>
          <w:rFonts w:asciiTheme="majorHAnsi" w:hAnsiTheme="majorHAnsi" w:cstheme="majorHAnsi"/>
        </w:rPr>
      </w:pPr>
      <w:r>
        <w:rPr>
          <w:rFonts w:asciiTheme="majorHAnsi" w:hAnsiTheme="majorHAnsi" w:cstheme="majorHAnsi"/>
          <w:lang w:val="en-AU"/>
        </w:rPr>
        <w:t>A nearly</w:t>
      </w:r>
      <w:r w:rsidR="002D4BF4">
        <w:rPr>
          <w:rFonts w:asciiTheme="majorHAnsi" w:hAnsiTheme="majorHAnsi" w:cstheme="majorHAnsi"/>
          <w:lang w:val="en-AU"/>
        </w:rPr>
        <w:t xml:space="preserve"> </w:t>
      </w:r>
      <w:r w:rsidR="002D4BF4">
        <w:rPr>
          <w:rFonts w:asciiTheme="majorHAnsi" w:hAnsiTheme="majorHAnsi" w:cstheme="majorHAnsi"/>
        </w:rPr>
        <w:t>(Redacted)</w:t>
      </w:r>
      <w:r w:rsidR="00A20F9E">
        <w:rPr>
          <w:rFonts w:asciiTheme="majorHAnsi" w:hAnsiTheme="majorHAnsi" w:cstheme="majorHAnsi"/>
        </w:rPr>
        <w:t xml:space="preserve"> </w:t>
      </w:r>
      <w:r>
        <w:rPr>
          <w:rFonts w:asciiTheme="majorHAnsi" w:hAnsiTheme="majorHAnsi" w:cstheme="majorHAnsi"/>
          <w:lang w:val="en-AU"/>
        </w:rPr>
        <w:t>fold increase in HMRs indicates that p</w:t>
      </w:r>
      <w:r w:rsidR="00E96691" w:rsidRPr="00E96691">
        <w:rPr>
          <w:rFonts w:asciiTheme="majorHAnsi" w:hAnsiTheme="majorHAnsi" w:cstheme="majorHAnsi"/>
          <w:lang w:val="en-AU"/>
        </w:rPr>
        <w:t xml:space="preserve">harmacists integrated within ACCHSs </w:t>
      </w:r>
      <w:r w:rsidR="00B12A3E">
        <w:rPr>
          <w:rFonts w:asciiTheme="majorHAnsi" w:hAnsiTheme="majorHAnsi" w:cstheme="majorHAnsi"/>
          <w:lang w:val="en-AU"/>
        </w:rPr>
        <w:t xml:space="preserve">have an exceptional capacity </w:t>
      </w:r>
      <w:r w:rsidR="00E96691" w:rsidRPr="00E96691">
        <w:rPr>
          <w:rFonts w:asciiTheme="majorHAnsi" w:hAnsiTheme="majorHAnsi" w:cstheme="majorHAnsi"/>
          <w:lang w:val="en-AU"/>
        </w:rPr>
        <w:t xml:space="preserve">to </w:t>
      </w:r>
      <w:r w:rsidR="00AB1484">
        <w:rPr>
          <w:rFonts w:asciiTheme="majorHAnsi" w:hAnsiTheme="majorHAnsi" w:cstheme="majorHAnsi"/>
          <w:lang w:val="en-AU"/>
        </w:rPr>
        <w:t>increase access to</w:t>
      </w:r>
      <w:r w:rsidR="00E96691" w:rsidRPr="00E96691">
        <w:rPr>
          <w:rFonts w:asciiTheme="majorHAnsi" w:hAnsiTheme="majorHAnsi" w:cstheme="majorHAnsi"/>
          <w:lang w:val="en-AU"/>
        </w:rPr>
        <w:t xml:space="preserve"> medication management reviews to </w:t>
      </w:r>
      <w:r w:rsidR="004A178E">
        <w:rPr>
          <w:color w:val="000000" w:themeColor="text1"/>
        </w:rPr>
        <w:t>participants</w:t>
      </w:r>
      <w:r w:rsidR="004A178E" w:rsidRPr="00D636F8">
        <w:rPr>
          <w:color w:val="000000" w:themeColor="text1"/>
        </w:rPr>
        <w:t xml:space="preserve"> </w:t>
      </w:r>
      <w:r w:rsidR="00E96691" w:rsidRPr="00E96691">
        <w:rPr>
          <w:rFonts w:asciiTheme="majorHAnsi" w:hAnsiTheme="majorHAnsi" w:cstheme="majorHAnsi"/>
          <w:lang w:val="en-AU"/>
        </w:rPr>
        <w:t xml:space="preserve">who experience </w:t>
      </w:r>
      <w:r>
        <w:rPr>
          <w:rFonts w:asciiTheme="majorHAnsi" w:hAnsiTheme="majorHAnsi" w:cstheme="majorHAnsi"/>
          <w:lang w:val="en-AU"/>
        </w:rPr>
        <w:t xml:space="preserve">substantial </w:t>
      </w:r>
      <w:r w:rsidR="00E96691" w:rsidRPr="00E96691">
        <w:rPr>
          <w:rFonts w:asciiTheme="majorHAnsi" w:hAnsiTheme="majorHAnsi" w:cstheme="majorHAnsi"/>
          <w:lang w:val="en-AU"/>
        </w:rPr>
        <w:t xml:space="preserve">barriers in accessing HMRs under current program rules, especially for </w:t>
      </w:r>
      <w:r w:rsidR="004A178E">
        <w:rPr>
          <w:color w:val="000000" w:themeColor="text1"/>
        </w:rPr>
        <w:t>participants</w:t>
      </w:r>
      <w:r w:rsidR="004A178E" w:rsidRPr="00D636F8">
        <w:rPr>
          <w:color w:val="000000" w:themeColor="text1"/>
        </w:rPr>
        <w:t xml:space="preserve"> </w:t>
      </w:r>
      <w:r w:rsidR="00E96691" w:rsidRPr="00E96691">
        <w:rPr>
          <w:rFonts w:asciiTheme="majorHAnsi" w:hAnsiTheme="majorHAnsi" w:cstheme="majorHAnsi"/>
          <w:lang w:val="en-AU"/>
        </w:rPr>
        <w:t>who would otherwise forgo a medication review.  Prescribing quality improved significantly for participants following assessments of medication appropriateness and underutilisation.</w:t>
      </w:r>
      <w:r w:rsidR="00E96691" w:rsidRPr="00E96691">
        <w:rPr>
          <w:rFonts w:asciiTheme="majorHAnsi" w:hAnsiTheme="majorHAnsi" w:cstheme="majorHAnsi"/>
        </w:rPr>
        <w:t xml:space="preserve"> </w:t>
      </w:r>
      <w:r w:rsidR="00625C69">
        <w:rPr>
          <w:rFonts w:asciiTheme="majorHAnsi" w:hAnsiTheme="majorHAnsi" w:cstheme="majorHAnsi"/>
        </w:rPr>
        <w:t>S</w:t>
      </w:r>
      <w:r>
        <w:rPr>
          <w:rFonts w:asciiTheme="majorHAnsi" w:hAnsiTheme="majorHAnsi" w:cstheme="majorHAnsi"/>
        </w:rPr>
        <w:t>elf-assess</w:t>
      </w:r>
      <w:r w:rsidR="00625C69">
        <w:rPr>
          <w:rFonts w:asciiTheme="majorHAnsi" w:hAnsiTheme="majorHAnsi" w:cstheme="majorHAnsi"/>
        </w:rPr>
        <w:t xml:space="preserve">ment of medication adherence and </w:t>
      </w:r>
      <w:r>
        <w:rPr>
          <w:rFonts w:asciiTheme="majorHAnsi" w:hAnsiTheme="majorHAnsi" w:cstheme="majorHAnsi"/>
        </w:rPr>
        <w:t xml:space="preserve">health status improved significantly indicating that </w:t>
      </w:r>
      <w:r w:rsidR="00851DB9">
        <w:rPr>
          <w:rFonts w:asciiTheme="majorHAnsi" w:hAnsiTheme="majorHAnsi" w:cstheme="majorHAnsi"/>
        </w:rPr>
        <w:t xml:space="preserve">integrated pharmacists can help to overcome </w:t>
      </w:r>
      <w:r w:rsidR="009E5DE7">
        <w:rPr>
          <w:rFonts w:asciiTheme="majorHAnsi" w:hAnsiTheme="majorHAnsi" w:cstheme="majorHAnsi"/>
        </w:rPr>
        <w:t xml:space="preserve">some of </w:t>
      </w:r>
      <w:r w:rsidR="00851DB9">
        <w:rPr>
          <w:rFonts w:asciiTheme="majorHAnsi" w:hAnsiTheme="majorHAnsi" w:cstheme="majorHAnsi"/>
        </w:rPr>
        <w:t xml:space="preserve">the many difficulties this population faces with taking medications. </w:t>
      </w:r>
    </w:p>
    <w:p w14:paraId="77E5951A" w14:textId="77777777" w:rsidR="008E7C3D" w:rsidRDefault="008E7C3D" w:rsidP="00BA56F0">
      <w:pPr>
        <w:rPr>
          <w:rFonts w:asciiTheme="majorHAnsi" w:eastAsia="MS Mincho" w:hAnsiTheme="majorHAnsi" w:cstheme="majorHAnsi"/>
          <w:color w:val="221F20"/>
          <w:lang w:val="en-GB"/>
        </w:rPr>
      </w:pPr>
    </w:p>
    <w:p w14:paraId="600935E9" w14:textId="5A901842" w:rsidR="00BA56F0" w:rsidRPr="00CD3717" w:rsidRDefault="00BA56F0" w:rsidP="00BA56F0">
      <w:pPr>
        <w:rPr>
          <w:rFonts w:asciiTheme="majorHAnsi" w:eastAsia="MS Mincho" w:hAnsiTheme="majorHAnsi" w:cstheme="majorHAnsi"/>
          <w:color w:val="221F20"/>
          <w:lang w:val="en-GB"/>
        </w:rPr>
      </w:pPr>
      <w:r w:rsidRPr="00CD3717">
        <w:rPr>
          <w:rFonts w:asciiTheme="majorHAnsi" w:eastAsia="MS Mincho" w:hAnsiTheme="majorHAnsi" w:cstheme="majorHAnsi"/>
          <w:color w:val="221F20"/>
          <w:lang w:val="en-GB"/>
        </w:rPr>
        <w:t xml:space="preserve">The net biomedical improvements observed in the IPAC study most likely emanated from the observed targeted improvements to prescribing quality, participant medication adherence, and team-based care. </w:t>
      </w:r>
      <w:r w:rsidRPr="00CD3717">
        <w:rPr>
          <w:rFonts w:asciiTheme="majorHAnsi" w:hAnsiTheme="majorHAnsi" w:cstheme="majorHAnsi"/>
        </w:rPr>
        <w:t xml:space="preserve">Prescribing quality significantly improved following the IPAC intervention with reductions in inappropriate prescribing for BP lowering and diabetes medications, a significant reduction in </w:t>
      </w:r>
      <w:proofErr w:type="spellStart"/>
      <w:r w:rsidRPr="00CD3717">
        <w:rPr>
          <w:rFonts w:asciiTheme="majorHAnsi" w:hAnsiTheme="majorHAnsi" w:cstheme="majorHAnsi"/>
        </w:rPr>
        <w:t>underprescribing</w:t>
      </w:r>
      <w:proofErr w:type="spellEnd"/>
      <w:r w:rsidRPr="00CD3717">
        <w:rPr>
          <w:rFonts w:asciiTheme="majorHAnsi" w:hAnsiTheme="majorHAnsi" w:cstheme="majorHAnsi"/>
        </w:rPr>
        <w:t xml:space="preserve"> of BP-lowering medications for those with T2DM and albuminuria.  </w:t>
      </w:r>
      <w:r w:rsidRPr="00CD3717">
        <w:rPr>
          <w:rFonts w:asciiTheme="majorHAnsi" w:eastAsia="MS Mincho" w:hAnsiTheme="majorHAnsi" w:cstheme="majorHAnsi"/>
          <w:color w:val="221F20"/>
          <w:lang w:val="en-GB"/>
        </w:rPr>
        <w:t>Integrated pharmacists also delivered team-based care to optimise chronic disease management (such as case conferences) and attended patient group meetings to deliver preventive health messages such as advice on dietary and lif</w:t>
      </w:r>
      <w:r>
        <w:rPr>
          <w:rFonts w:asciiTheme="majorHAnsi" w:eastAsia="MS Mincho" w:hAnsiTheme="majorHAnsi" w:cstheme="majorHAnsi"/>
          <w:color w:val="221F20"/>
          <w:lang w:val="en-GB"/>
        </w:rPr>
        <w:t>estyle improvements.</w:t>
      </w:r>
    </w:p>
    <w:p w14:paraId="1D85E70F" w14:textId="77777777" w:rsidR="00B12A3E" w:rsidRDefault="00B12A3E" w:rsidP="00BA56F0">
      <w:pPr>
        <w:rPr>
          <w:rFonts w:asciiTheme="majorHAnsi" w:eastAsia="MS Mincho" w:hAnsiTheme="majorHAnsi" w:cstheme="majorHAnsi"/>
          <w:color w:val="221F20"/>
          <w:lang w:val="en-GB"/>
        </w:rPr>
      </w:pPr>
    </w:p>
    <w:p w14:paraId="3434C5F4" w14:textId="2492691F" w:rsidR="00455675" w:rsidRPr="00CE3258" w:rsidRDefault="001D0D00" w:rsidP="00455675">
      <w:pPr>
        <w:rPr>
          <w:rFonts w:eastAsia="Times New Roman" w:cstheme="minorHAnsi"/>
          <w:lang w:eastAsia="en-AU"/>
        </w:rPr>
      </w:pPr>
      <w:r>
        <w:rPr>
          <w:rFonts w:asciiTheme="majorHAnsi" w:hAnsiTheme="majorHAnsi" w:cstheme="majorHAnsi"/>
        </w:rPr>
        <w:t xml:space="preserve">Economic analysis revealed that </w:t>
      </w:r>
      <w:r w:rsidR="00F802B5">
        <w:rPr>
          <w:rFonts w:asciiTheme="majorHAnsi" w:hAnsiTheme="majorHAnsi" w:cstheme="majorHAnsi"/>
        </w:rPr>
        <w:t xml:space="preserve">the total cost of implementing the IPAC intervention was </w:t>
      </w:r>
      <w:r w:rsidR="002D4BF4">
        <w:rPr>
          <w:rFonts w:asciiTheme="majorHAnsi" w:hAnsiTheme="majorHAnsi" w:cstheme="majorHAnsi"/>
        </w:rPr>
        <w:t xml:space="preserve">(Redacted) </w:t>
      </w:r>
      <w:r w:rsidR="00F802B5">
        <w:rPr>
          <w:rFonts w:asciiTheme="majorHAnsi" w:hAnsiTheme="majorHAnsi" w:cstheme="majorHAnsi"/>
        </w:rPr>
        <w:t xml:space="preserve">per participant </w:t>
      </w:r>
      <w:proofErr w:type="gramStart"/>
      <w:r w:rsidR="00F802B5">
        <w:rPr>
          <w:rFonts w:asciiTheme="majorHAnsi" w:hAnsiTheme="majorHAnsi" w:cstheme="majorHAnsi"/>
        </w:rPr>
        <w:t>in order to</w:t>
      </w:r>
      <w:proofErr w:type="gramEnd"/>
      <w:r w:rsidR="00F802B5">
        <w:rPr>
          <w:rFonts w:asciiTheme="majorHAnsi" w:hAnsiTheme="majorHAnsi" w:cstheme="majorHAnsi"/>
        </w:rPr>
        <w:t xml:space="preserve"> </w:t>
      </w:r>
      <w:r w:rsidR="00CB2092">
        <w:rPr>
          <w:rFonts w:asciiTheme="majorHAnsi" w:hAnsiTheme="majorHAnsi" w:cstheme="majorHAnsi"/>
        </w:rPr>
        <w:t>achieve</w:t>
      </w:r>
      <w:r w:rsidR="00F802B5">
        <w:rPr>
          <w:rFonts w:asciiTheme="majorHAnsi" w:hAnsiTheme="majorHAnsi" w:cstheme="majorHAnsi"/>
        </w:rPr>
        <w:t xml:space="preserve"> </w:t>
      </w:r>
      <w:r w:rsidR="000D18A9">
        <w:rPr>
          <w:rFonts w:asciiTheme="majorHAnsi" w:hAnsiTheme="majorHAnsi" w:cstheme="majorHAnsi"/>
        </w:rPr>
        <w:t xml:space="preserve">all </w:t>
      </w:r>
      <w:r w:rsidR="003D60A8">
        <w:rPr>
          <w:rFonts w:asciiTheme="majorHAnsi" w:hAnsiTheme="majorHAnsi" w:cstheme="majorHAnsi"/>
        </w:rPr>
        <w:t>outcomes for</w:t>
      </w:r>
      <w:r w:rsidR="00F802B5">
        <w:rPr>
          <w:rFonts w:asciiTheme="majorHAnsi" w:hAnsiTheme="majorHAnsi" w:cstheme="majorHAnsi"/>
        </w:rPr>
        <w:t xml:space="preserve"> participant</w:t>
      </w:r>
      <w:r w:rsidR="00CB2092">
        <w:rPr>
          <w:rFonts w:asciiTheme="majorHAnsi" w:hAnsiTheme="majorHAnsi" w:cstheme="majorHAnsi"/>
        </w:rPr>
        <w:t xml:space="preserve">s including statistically significant improvements in </w:t>
      </w:r>
      <w:r w:rsidR="00B12A3E">
        <w:rPr>
          <w:rFonts w:asciiTheme="majorHAnsi" w:hAnsiTheme="majorHAnsi" w:cstheme="majorHAnsi"/>
        </w:rPr>
        <w:t>clinical endpoints</w:t>
      </w:r>
      <w:r w:rsidR="00E6261E">
        <w:rPr>
          <w:rFonts w:asciiTheme="majorHAnsi" w:hAnsiTheme="majorHAnsi" w:cstheme="majorHAnsi"/>
        </w:rPr>
        <w:t xml:space="preserve"> mentioned above</w:t>
      </w:r>
      <w:r w:rsidR="003D60A8">
        <w:rPr>
          <w:rFonts w:asciiTheme="majorHAnsi" w:hAnsiTheme="majorHAnsi" w:cstheme="majorHAnsi"/>
        </w:rPr>
        <w:t xml:space="preserve">.  </w:t>
      </w:r>
    </w:p>
    <w:p w14:paraId="21461168" w14:textId="77777777" w:rsidR="00857F55" w:rsidRPr="00F41571" w:rsidRDefault="00857F55" w:rsidP="00CB2092">
      <w:pPr>
        <w:rPr>
          <w:rFonts w:eastAsia="Times New Roman" w:cstheme="minorHAnsi"/>
          <w:lang w:eastAsia="en-AU"/>
        </w:rPr>
      </w:pPr>
    </w:p>
    <w:p w14:paraId="609B81F5" w14:textId="01CA6969" w:rsidR="007C1BAF" w:rsidRDefault="00B12A3E" w:rsidP="000D2980">
      <w:pPr>
        <w:rPr>
          <w:iCs/>
        </w:rPr>
      </w:pPr>
      <w:r>
        <w:rPr>
          <w:rFonts w:asciiTheme="majorHAnsi" w:hAnsiTheme="majorHAnsi" w:cstheme="majorHAnsi"/>
        </w:rPr>
        <w:t>T</w:t>
      </w:r>
      <w:r w:rsidR="00857F55" w:rsidRPr="00E96691">
        <w:rPr>
          <w:rFonts w:asciiTheme="majorHAnsi" w:hAnsiTheme="majorHAnsi" w:cstheme="majorHAnsi"/>
        </w:rPr>
        <w:t xml:space="preserve">here was overwhelming support </w:t>
      </w:r>
      <w:r>
        <w:rPr>
          <w:rFonts w:asciiTheme="majorHAnsi" w:hAnsiTheme="majorHAnsi" w:cstheme="majorHAnsi"/>
        </w:rPr>
        <w:t>from stakeholders for the intervention including</w:t>
      </w:r>
      <w:r w:rsidR="00857F55">
        <w:rPr>
          <w:rFonts w:asciiTheme="majorHAnsi" w:hAnsiTheme="majorHAnsi" w:cstheme="majorHAnsi"/>
        </w:rPr>
        <w:t xml:space="preserve"> </w:t>
      </w:r>
      <w:r>
        <w:rPr>
          <w:rFonts w:asciiTheme="majorHAnsi" w:hAnsiTheme="majorHAnsi" w:cstheme="majorHAnsi"/>
        </w:rPr>
        <w:t xml:space="preserve">study </w:t>
      </w:r>
      <w:proofErr w:type="gramStart"/>
      <w:r w:rsidR="00857F55">
        <w:rPr>
          <w:rFonts w:asciiTheme="majorHAnsi" w:hAnsiTheme="majorHAnsi" w:cstheme="majorHAnsi"/>
        </w:rPr>
        <w:t>participants ,</w:t>
      </w:r>
      <w:proofErr w:type="gramEnd"/>
      <w:r w:rsidR="00857F55">
        <w:rPr>
          <w:rFonts w:asciiTheme="majorHAnsi" w:hAnsiTheme="majorHAnsi" w:cstheme="majorHAnsi"/>
        </w:rPr>
        <w:t xml:space="preserve"> health </w:t>
      </w:r>
      <w:r w:rsidR="00857F55">
        <w:rPr>
          <w:rFonts w:asciiTheme="majorHAnsi" w:hAnsiTheme="majorHAnsi" w:cstheme="majorHAnsi"/>
        </w:rPr>
        <w:lastRenderedPageBreak/>
        <w:t xml:space="preserve">services staff, community pharmacists and integrated pharmacists, </w:t>
      </w:r>
      <w:r>
        <w:rPr>
          <w:rFonts w:asciiTheme="majorHAnsi" w:hAnsiTheme="majorHAnsi" w:cstheme="majorHAnsi"/>
        </w:rPr>
        <w:t>with recommendations to extend the intervention</w:t>
      </w:r>
      <w:r w:rsidR="00857F55" w:rsidRPr="00E96691">
        <w:rPr>
          <w:rFonts w:asciiTheme="majorHAnsi" w:hAnsiTheme="majorHAnsi" w:cstheme="majorHAnsi"/>
        </w:rPr>
        <w:t xml:space="preserve"> </w:t>
      </w:r>
      <w:r w:rsidR="00305AB8">
        <w:rPr>
          <w:rFonts w:asciiTheme="majorHAnsi" w:hAnsiTheme="majorHAnsi" w:cstheme="majorHAnsi"/>
        </w:rPr>
        <w:t>to</w:t>
      </w:r>
      <w:r w:rsidR="00305AB8" w:rsidRPr="00E96691">
        <w:rPr>
          <w:rFonts w:asciiTheme="majorHAnsi" w:hAnsiTheme="majorHAnsi" w:cstheme="majorHAnsi"/>
        </w:rPr>
        <w:t xml:space="preserve"> </w:t>
      </w:r>
      <w:r w:rsidR="00675208">
        <w:rPr>
          <w:rFonts w:cstheme="minorHAnsi"/>
          <w:color w:val="010202"/>
        </w:rPr>
        <w:t>Aboriginal primary health care settings</w:t>
      </w:r>
      <w:r w:rsidR="00675208" w:rsidRPr="00E96691">
        <w:rPr>
          <w:rFonts w:asciiTheme="majorHAnsi" w:hAnsiTheme="majorHAnsi" w:cstheme="majorHAnsi"/>
        </w:rPr>
        <w:t xml:space="preserve"> </w:t>
      </w:r>
      <w:r w:rsidR="00857F55" w:rsidRPr="00E96691">
        <w:rPr>
          <w:rFonts w:asciiTheme="majorHAnsi" w:hAnsiTheme="majorHAnsi" w:cstheme="majorHAnsi"/>
        </w:rPr>
        <w:t xml:space="preserve">more broadly.  </w:t>
      </w:r>
      <w:r w:rsidR="00305AB8">
        <w:t>Moreover, whilst</w:t>
      </w:r>
      <w:r w:rsidR="00422D97">
        <w:t xml:space="preserve"> integrated</w:t>
      </w:r>
      <w:r w:rsidR="004D1F24">
        <w:t xml:space="preserve"> pharmacist</w:t>
      </w:r>
      <w:r w:rsidR="00305AB8">
        <w:t>s</w:t>
      </w:r>
      <w:r w:rsidR="004D1F24">
        <w:t xml:space="preserve"> working in </w:t>
      </w:r>
      <w:r w:rsidR="008762D7">
        <w:t>these settings</w:t>
      </w:r>
      <w:r w:rsidR="004D1F24">
        <w:t xml:space="preserve"> have similarities to general practice pharmacist</w:t>
      </w:r>
      <w:r w:rsidR="00305AB8">
        <w:t xml:space="preserve"> roles</w:t>
      </w:r>
      <w:r w:rsidR="004D1F24">
        <w:t xml:space="preserve">, </w:t>
      </w:r>
      <w:r w:rsidR="00305AB8">
        <w:t>IPAC pharmacists were trained and adapted to</w:t>
      </w:r>
      <w:r w:rsidR="008762D7">
        <w:t xml:space="preserve"> working in</w:t>
      </w:r>
      <w:r w:rsidR="004D1F24">
        <w:t xml:space="preserve"> way</w:t>
      </w:r>
      <w:r w:rsidR="008762D7">
        <w:t>s</w:t>
      </w:r>
      <w:r w:rsidR="004D1F24">
        <w:t xml:space="preserve"> that </w:t>
      </w:r>
      <w:r w:rsidR="008762D7">
        <w:t>are</w:t>
      </w:r>
      <w:r w:rsidR="004D1F24">
        <w:t xml:space="preserve"> </w:t>
      </w:r>
      <w:r w:rsidR="004D1F24" w:rsidRPr="00453FAA">
        <w:t xml:space="preserve">culturally </w:t>
      </w:r>
      <w:r w:rsidR="00E371C3">
        <w:t>appropriate</w:t>
      </w:r>
      <w:r w:rsidR="00E371C3" w:rsidRPr="00453FAA">
        <w:t xml:space="preserve"> </w:t>
      </w:r>
      <w:r w:rsidR="004D1F24">
        <w:t xml:space="preserve">and consistent with </w:t>
      </w:r>
      <w:r w:rsidR="00E371C3">
        <w:t>the</w:t>
      </w:r>
      <w:r w:rsidR="00E371C3" w:rsidRPr="00453FAA">
        <w:t xml:space="preserve"> </w:t>
      </w:r>
      <w:r w:rsidR="004D1F24">
        <w:t xml:space="preserve">holistic </w:t>
      </w:r>
      <w:r w:rsidR="00801AED">
        <w:t xml:space="preserve">model of </w:t>
      </w:r>
      <w:r w:rsidR="004D1F24">
        <w:t>care</w:t>
      </w:r>
      <w:r w:rsidR="00305AB8">
        <w:t xml:space="preserve"> within Aboriginal health settings </w:t>
      </w:r>
      <w:r w:rsidR="0083481E">
        <w:t>in urban, regional and remote settings.</w:t>
      </w:r>
    </w:p>
    <w:p w14:paraId="127229E7" w14:textId="77777777" w:rsidR="006658E3" w:rsidRDefault="006658E3" w:rsidP="00DA22EF"/>
    <w:p w14:paraId="7BAF54C4" w14:textId="2625A566" w:rsidR="00904167" w:rsidRPr="00904167" w:rsidRDefault="00AB1484" w:rsidP="00904167">
      <w:r>
        <w:t>T</w:t>
      </w:r>
      <w:r w:rsidR="00904167" w:rsidRPr="00E763A9">
        <w:t xml:space="preserve">he </w:t>
      </w:r>
      <w:r w:rsidR="00CD503C">
        <w:t>acceptability and</w:t>
      </w:r>
      <w:r w:rsidR="00904167" w:rsidRPr="00E763A9">
        <w:t xml:space="preserve"> effectiveness of this model and the delivery of the key activities was supported empirically by extremely low patient</w:t>
      </w:r>
      <w:r w:rsidR="00904167" w:rsidRPr="00904167">
        <w:t xml:space="preserve"> attrition, low site attrition, positive findings in the qualitative evaluation, feedback provided to the PSA </w:t>
      </w:r>
      <w:r w:rsidR="00305A5F">
        <w:t xml:space="preserve">project </w:t>
      </w:r>
      <w:r w:rsidR="00904167" w:rsidRPr="00904167">
        <w:t>coordinators</w:t>
      </w:r>
      <w:r w:rsidR="00F200EB">
        <w:t>, and feedback</w:t>
      </w:r>
      <w:r w:rsidR="00305A5F">
        <w:t xml:space="preserve"> </w:t>
      </w:r>
      <w:r w:rsidR="00904167" w:rsidRPr="00904167">
        <w:t xml:space="preserve">from the participating services through </w:t>
      </w:r>
      <w:r w:rsidR="00C7072B">
        <w:t>governance committees</w:t>
      </w:r>
      <w:r w:rsidR="00904167" w:rsidRPr="00904167">
        <w:t xml:space="preserve">. </w:t>
      </w:r>
    </w:p>
    <w:p w14:paraId="0F00DB8B" w14:textId="77777777" w:rsidR="00CE04F1" w:rsidRPr="009402E0" w:rsidRDefault="00CE04F1" w:rsidP="00DA22EF">
      <w:pPr>
        <w:rPr>
          <w:iCs/>
        </w:rPr>
      </w:pPr>
    </w:p>
    <w:p w14:paraId="2DDF0E77" w14:textId="579333C9" w:rsidR="00E763A9" w:rsidRDefault="008D33DB" w:rsidP="00E763A9">
      <w:pPr>
        <w:rPr>
          <w:iCs/>
        </w:rPr>
      </w:pPr>
      <w:r>
        <w:rPr>
          <w:iCs/>
        </w:rPr>
        <w:t>The proposed</w:t>
      </w:r>
      <w:r w:rsidR="00E763A9">
        <w:rPr>
          <w:iCs/>
        </w:rPr>
        <w:t xml:space="preserve"> broader expansion of integrated pharmacists within ACCHSs has an existing policy context.  </w:t>
      </w:r>
      <w:r w:rsidR="00CD503C">
        <w:rPr>
          <w:iCs/>
        </w:rPr>
        <w:t xml:space="preserve">In principle, </w:t>
      </w:r>
      <w:r w:rsidR="00CD503C" w:rsidRPr="00CD503C">
        <w:rPr>
          <w:iCs/>
        </w:rPr>
        <w:t>t</w:t>
      </w:r>
      <w:r w:rsidR="00CE04F1" w:rsidRPr="009402E0">
        <w:rPr>
          <w:iCs/>
        </w:rPr>
        <w:t xml:space="preserve">he </w:t>
      </w:r>
      <w:r w:rsidR="00084965">
        <w:t>Pharmacy Guild of Australia (PGA)</w:t>
      </w:r>
      <w:r w:rsidR="00CE04F1" w:rsidRPr="009402E0">
        <w:rPr>
          <w:iCs/>
        </w:rPr>
        <w:t xml:space="preserve"> support</w:t>
      </w:r>
      <w:r w:rsidR="00904167">
        <w:rPr>
          <w:iCs/>
        </w:rPr>
        <w:t>s</w:t>
      </w:r>
      <w:r w:rsidR="00CE04F1" w:rsidRPr="009402E0">
        <w:rPr>
          <w:iCs/>
        </w:rPr>
        <w:t xml:space="preserve"> the non-dispensing role of pharmacists </w:t>
      </w:r>
      <w:r w:rsidR="00904167">
        <w:rPr>
          <w:iCs/>
        </w:rPr>
        <w:t>in general practice</w:t>
      </w:r>
      <w:r w:rsidR="00CE04F1" w:rsidRPr="009402E0">
        <w:rPr>
          <w:iCs/>
        </w:rPr>
        <w:t xml:space="preserve"> </w:t>
      </w:r>
      <w:r>
        <w:rPr>
          <w:iCs/>
        </w:rPr>
        <w:t>whilst also emphasizing</w:t>
      </w:r>
      <w:r w:rsidR="00084965">
        <w:rPr>
          <w:iCs/>
        </w:rPr>
        <w:t xml:space="preserve"> </w:t>
      </w:r>
      <w:r w:rsidR="00084965">
        <w:t xml:space="preserve">that communication with community pharmacy </w:t>
      </w:r>
      <w:r w:rsidR="00E763A9">
        <w:t>i</w:t>
      </w:r>
      <w:r w:rsidR="00084965">
        <w:t>s critical to the role</w:t>
      </w:r>
      <w:r w:rsidR="00E763A9">
        <w:t>.</w:t>
      </w:r>
      <w:r w:rsidR="00084965">
        <w:t xml:space="preserve"> </w:t>
      </w:r>
      <w:r>
        <w:t>The</w:t>
      </w:r>
      <w:r w:rsidR="00CE04F1" w:rsidRPr="009402E0">
        <w:rPr>
          <w:iCs/>
        </w:rPr>
        <w:t xml:space="preserve"> relationship between community pharmacies and GPs</w:t>
      </w:r>
      <w:r w:rsidR="00742C89">
        <w:rPr>
          <w:iCs/>
        </w:rPr>
        <w:t xml:space="preserve">, and that between patients, community pharmacies and GPs </w:t>
      </w:r>
      <w:r w:rsidR="00CE04F1" w:rsidRPr="009402E0">
        <w:rPr>
          <w:iCs/>
        </w:rPr>
        <w:t>must be maintained and strengthened.</w:t>
      </w:r>
      <w:r w:rsidR="00904167">
        <w:rPr>
          <w:rStyle w:val="EndnoteReference"/>
          <w:iCs/>
        </w:rPr>
        <w:endnoteReference w:id="15"/>
      </w:r>
      <w:r w:rsidR="00CE04F1" w:rsidRPr="009402E0">
        <w:rPr>
          <w:iCs/>
        </w:rPr>
        <w:t xml:space="preserve"> </w:t>
      </w:r>
      <w:r w:rsidR="0019319C">
        <w:rPr>
          <w:iCs/>
        </w:rPr>
        <w:t xml:space="preserve">Evaluation </w:t>
      </w:r>
      <w:r w:rsidR="00E763A9">
        <w:rPr>
          <w:iCs/>
        </w:rPr>
        <w:t xml:space="preserve">findings from the IPAC trial </w:t>
      </w:r>
      <w:r w:rsidR="0019319C">
        <w:rPr>
          <w:iCs/>
        </w:rPr>
        <w:t>support</w:t>
      </w:r>
      <w:r w:rsidR="00CE04F1" w:rsidRPr="009402E0">
        <w:rPr>
          <w:iCs/>
        </w:rPr>
        <w:t xml:space="preserve"> </w:t>
      </w:r>
      <w:r w:rsidR="00084965">
        <w:rPr>
          <w:iCs/>
        </w:rPr>
        <w:t>the PGA</w:t>
      </w:r>
      <w:r>
        <w:rPr>
          <w:iCs/>
        </w:rPr>
        <w:t xml:space="preserve"> policy, having </w:t>
      </w:r>
      <w:r w:rsidR="00CE04F1" w:rsidRPr="009402E0">
        <w:rPr>
          <w:iCs/>
        </w:rPr>
        <w:t>demonstrate</w:t>
      </w:r>
      <w:r w:rsidR="00E763A9">
        <w:rPr>
          <w:iCs/>
        </w:rPr>
        <w:t>d</w:t>
      </w:r>
      <w:r w:rsidR="00CE04F1" w:rsidRPr="009402E0">
        <w:rPr>
          <w:iCs/>
        </w:rPr>
        <w:t xml:space="preserve"> </w:t>
      </w:r>
      <w:r w:rsidR="009E07C1">
        <w:rPr>
          <w:iCs/>
        </w:rPr>
        <w:t>that integrated pharmacist roles</w:t>
      </w:r>
      <w:r w:rsidR="009E07C1" w:rsidRPr="009402E0" w:rsidDel="008D33DB">
        <w:rPr>
          <w:iCs/>
        </w:rPr>
        <w:t xml:space="preserve"> </w:t>
      </w:r>
      <w:r w:rsidR="009E07C1">
        <w:rPr>
          <w:iCs/>
        </w:rPr>
        <w:t>can drive a</w:t>
      </w:r>
      <w:r w:rsidRPr="009402E0">
        <w:rPr>
          <w:iCs/>
        </w:rPr>
        <w:t xml:space="preserve"> </w:t>
      </w:r>
      <w:r w:rsidR="00CE04F1" w:rsidRPr="009402E0">
        <w:rPr>
          <w:iCs/>
        </w:rPr>
        <w:t xml:space="preserve">strengthened relationship between community pharmacies and ACCHSs. </w:t>
      </w:r>
      <w:r w:rsidR="0019319C">
        <w:rPr>
          <w:iCs/>
        </w:rPr>
        <w:t xml:space="preserve"> </w:t>
      </w:r>
      <w:r w:rsidR="00482AF1">
        <w:rPr>
          <w:iCs/>
        </w:rPr>
        <w:t>I</w:t>
      </w:r>
      <w:r w:rsidR="00E763A9">
        <w:rPr>
          <w:rFonts w:cstheme="minorHAnsi"/>
          <w:color w:val="010202"/>
        </w:rPr>
        <w:t xml:space="preserve">ntegrated pharmacists were found to have interacted with community pharmacists </w:t>
      </w:r>
      <w:proofErr w:type="gramStart"/>
      <w:r w:rsidR="00E763A9">
        <w:rPr>
          <w:rFonts w:cstheme="minorHAnsi"/>
          <w:color w:val="010202"/>
        </w:rPr>
        <w:t>on a daily basis</w:t>
      </w:r>
      <w:proofErr w:type="gramEnd"/>
      <w:r w:rsidR="00E763A9">
        <w:rPr>
          <w:rFonts w:cstheme="minorHAnsi"/>
          <w:color w:val="010202"/>
        </w:rPr>
        <w:t xml:space="preserve"> with more occasions logged for such interactions than any other IPAC activity undertaken by integrated pharmacists.</w:t>
      </w:r>
    </w:p>
    <w:p w14:paraId="7E9DE53F" w14:textId="77777777" w:rsidR="00972820" w:rsidRDefault="00972820" w:rsidP="00972820"/>
    <w:p w14:paraId="1FD8A7CA" w14:textId="33628C0B" w:rsidR="00972820" w:rsidRDefault="00DB7190" w:rsidP="00972820">
      <w:r>
        <w:t>The</w:t>
      </w:r>
      <w:r w:rsidR="00972820">
        <w:t xml:space="preserve"> documented concerns that general practice pharmacists may reduce the supply of dispensing pharmacists in regional and remote areas</w:t>
      </w:r>
      <w:r w:rsidR="00972820">
        <w:rPr>
          <w:rStyle w:val="EndnoteReference"/>
        </w:rPr>
        <w:endnoteReference w:id="16"/>
      </w:r>
      <w:r w:rsidR="00972820">
        <w:t xml:space="preserve"> </w:t>
      </w:r>
      <w:r>
        <w:t xml:space="preserve">is inconsistent with IPAC trial </w:t>
      </w:r>
      <w:r w:rsidR="00972820">
        <w:t xml:space="preserve">experience. </w:t>
      </w:r>
      <w:r>
        <w:t>IPAC trial</w:t>
      </w:r>
      <w:r w:rsidR="00972820">
        <w:t xml:space="preserve"> pharmacists were seeking alternate career pathways and willing to relocate to regional and remote locations for these positions. </w:t>
      </w:r>
      <w:r w:rsidR="00272558">
        <w:t>Such</w:t>
      </w:r>
      <w:r>
        <w:t xml:space="preserve"> roles may enhance regional and remote area workforce opportunities and recruit more pharmacists rather than stretching existing services</w:t>
      </w:r>
      <w:r w:rsidR="00272558">
        <w:t>. C</w:t>
      </w:r>
      <w:r w:rsidR="00972820">
        <w:t xml:space="preserve">ollaboration </w:t>
      </w:r>
      <w:r>
        <w:t>with</w:t>
      </w:r>
      <w:r w:rsidR="00972820">
        <w:t xml:space="preserve"> community pharmacies </w:t>
      </w:r>
      <w:r w:rsidR="00272558">
        <w:t xml:space="preserve">may also foster the development of </w:t>
      </w:r>
      <w:r w:rsidR="00972820">
        <w:t xml:space="preserve">‘after hours’ </w:t>
      </w:r>
      <w:r w:rsidR="00C727EF">
        <w:t xml:space="preserve">shared </w:t>
      </w:r>
      <w:r>
        <w:t>rostering</w:t>
      </w:r>
      <w:r w:rsidR="00C727EF">
        <w:t xml:space="preserve"> as often occurs with medical professionals</w:t>
      </w:r>
      <w:r w:rsidR="00903520">
        <w:t xml:space="preserve"> </w:t>
      </w:r>
      <w:r w:rsidR="00272558">
        <w:t>in these settings</w:t>
      </w:r>
      <w:r w:rsidR="00972820">
        <w:t xml:space="preserve">. Some of the </w:t>
      </w:r>
      <w:r w:rsidR="00916C90">
        <w:t xml:space="preserve">integrated </w:t>
      </w:r>
      <w:r w:rsidR="00972820">
        <w:t xml:space="preserve">pharmacists who worked full time hours </w:t>
      </w:r>
      <w:r w:rsidR="00916C90">
        <w:t>for</w:t>
      </w:r>
      <w:r w:rsidR="00972820">
        <w:t xml:space="preserve"> the IPAC </w:t>
      </w:r>
      <w:r w:rsidR="00916C90">
        <w:t>trial</w:t>
      </w:r>
      <w:r w:rsidR="00972820">
        <w:t xml:space="preserve"> elected to work additional hours within </w:t>
      </w:r>
      <w:r w:rsidR="009B751E">
        <w:t xml:space="preserve">nearby </w:t>
      </w:r>
      <w:r w:rsidR="00972820">
        <w:t>community pharmacies.  In multiple locations, community pharmacies offer</w:t>
      </w:r>
      <w:r w:rsidR="00EA7C5C">
        <w:t>ed</w:t>
      </w:r>
      <w:r w:rsidR="00972820">
        <w:t xml:space="preserve"> employment to supplement the integrated pharmacist’s role. Where integrated pharmacists worked part-time in the IPAC </w:t>
      </w:r>
      <w:r w:rsidR="00EA7C5C">
        <w:t>trial</w:t>
      </w:r>
      <w:r w:rsidR="00972820">
        <w:t xml:space="preserve">, the remaining time could be used to support community pharmacy. </w:t>
      </w:r>
    </w:p>
    <w:p w14:paraId="51DEE4E3" w14:textId="77777777" w:rsidR="00F40563" w:rsidRDefault="00F40563" w:rsidP="00F40563"/>
    <w:p w14:paraId="4CA8FC43" w14:textId="14B1A3FB" w:rsidR="00F40563" w:rsidRDefault="00675552" w:rsidP="00F40563">
      <w:r>
        <w:t xml:space="preserve">Other ways in which part-time integrated pharmacist employment models could be adapted in remote locations is through rostering in blocks. This was undertaken in six ACCHSs in the IPAC trial. </w:t>
      </w:r>
      <w:r w:rsidR="00F40563">
        <w:t xml:space="preserve">At one ACCHS, a pharmacist appointed to a 0.4 FTE position delivered a 2-week block of activity at regular intervals, rather than 2 days per week, while in another setting the pharmacist spent </w:t>
      </w:r>
      <w:r w:rsidR="00532FCB">
        <w:t>2-week</w:t>
      </w:r>
      <w:r w:rsidR="00F40563">
        <w:t xml:space="preserve"> blocks at one of the clinics that </w:t>
      </w:r>
      <w:r w:rsidR="00532FCB">
        <w:lastRenderedPageBreak/>
        <w:t>required</w:t>
      </w:r>
      <w:r w:rsidR="00F40563">
        <w:t xml:space="preserve"> charter flights </w:t>
      </w:r>
      <w:r w:rsidR="00532FCB">
        <w:t>to</w:t>
      </w:r>
      <w:r w:rsidR="00F40563">
        <w:t xml:space="preserve"> access.  </w:t>
      </w:r>
      <w:r w:rsidR="00ED233F">
        <w:t>A broader roll-out of integrated pharmacists could incorporate b</w:t>
      </w:r>
      <w:r w:rsidR="00F40563">
        <w:t xml:space="preserve">locks of activity </w:t>
      </w:r>
      <w:r w:rsidR="00ED233F">
        <w:t>to deliver</w:t>
      </w:r>
      <w:r w:rsidR="00F40563">
        <w:t xml:space="preserve"> services </w:t>
      </w:r>
      <w:r w:rsidR="00ED233F">
        <w:t>to</w:t>
      </w:r>
      <w:r w:rsidR="00F40563">
        <w:t xml:space="preserve"> smaller and more remote ACCHS.  </w:t>
      </w:r>
    </w:p>
    <w:p w14:paraId="0E23A38D" w14:textId="77777777" w:rsidR="001D0E41" w:rsidRDefault="001D0E41" w:rsidP="00DA22EF">
      <w:pPr>
        <w:rPr>
          <w:iCs/>
        </w:rPr>
      </w:pPr>
    </w:p>
    <w:p w14:paraId="41D01D15" w14:textId="42CB8FAD" w:rsidR="00CE04F1" w:rsidRDefault="00FB4422" w:rsidP="00DA22EF">
      <w:r>
        <w:rPr>
          <w:iCs/>
        </w:rPr>
        <w:t>Whilst e</w:t>
      </w:r>
      <w:r w:rsidR="00A93680">
        <w:t xml:space="preserve">ligible </w:t>
      </w:r>
      <w:r w:rsidRPr="00FB4422">
        <w:t xml:space="preserve">Aboriginal and Torres Strait Islanders living with or at risk of chronic disease </w:t>
      </w:r>
      <w:r w:rsidR="00A93680">
        <w:t xml:space="preserve">can access free or </w:t>
      </w:r>
      <w:r w:rsidR="006B1836">
        <w:t>low-cost</w:t>
      </w:r>
      <w:r w:rsidR="00A93680">
        <w:t xml:space="preserve"> medicines through the </w:t>
      </w:r>
      <w:r w:rsidR="00DF5E70">
        <w:t xml:space="preserve">Section 100 Remote Area Aboriginal Health Services program and </w:t>
      </w:r>
      <w:r w:rsidR="00A93680">
        <w:t>Closing the Gap PBS Co-payment measure,</w:t>
      </w:r>
      <w:r w:rsidR="00A93680">
        <w:rPr>
          <w:rStyle w:val="EndnoteReference"/>
        </w:rPr>
        <w:endnoteReference w:id="17"/>
      </w:r>
      <w:r w:rsidR="00A93680">
        <w:t xml:space="preserve"> </w:t>
      </w:r>
      <w:r>
        <w:t xml:space="preserve">support from an </w:t>
      </w:r>
      <w:r w:rsidR="00A93680">
        <w:t>i</w:t>
      </w:r>
      <w:r>
        <w:t>ntegrated pharmacist</w:t>
      </w:r>
      <w:r w:rsidR="00A93680">
        <w:t xml:space="preserve"> can complement such schemes</w:t>
      </w:r>
      <w:r w:rsidR="003F1C3C">
        <w:t xml:space="preserve"> and </w:t>
      </w:r>
      <w:r w:rsidR="00505956">
        <w:t xml:space="preserve">go further to </w:t>
      </w:r>
      <w:r w:rsidR="003F1C3C">
        <w:t xml:space="preserve">address a multitude of barriers </w:t>
      </w:r>
      <w:r w:rsidR="00CD3717">
        <w:t xml:space="preserve">to the quality use of medicines </w:t>
      </w:r>
      <w:r w:rsidR="003F1C3C">
        <w:t xml:space="preserve">experienced by Aboriginal </w:t>
      </w:r>
      <w:r w:rsidR="006B1836">
        <w:t xml:space="preserve">peoples </w:t>
      </w:r>
      <w:r w:rsidR="003F1C3C">
        <w:t>and Torres Strait Islanders</w:t>
      </w:r>
      <w:r w:rsidR="00A93680">
        <w:t xml:space="preserve">. </w:t>
      </w:r>
    </w:p>
    <w:p w14:paraId="08586AD5" w14:textId="7EAF7E43" w:rsidR="008762FD" w:rsidRDefault="008762FD" w:rsidP="00DA22EF">
      <w:pPr>
        <w:rPr>
          <w:rFonts w:cstheme="minorHAnsi"/>
        </w:rPr>
      </w:pPr>
    </w:p>
    <w:p w14:paraId="588599AD" w14:textId="2CCA0145" w:rsidR="008762FD" w:rsidRDefault="00516321" w:rsidP="008762FD">
      <w:r>
        <w:t>U</w:t>
      </w:r>
      <w:r w:rsidR="008762FD">
        <w:t xml:space="preserve">nderpinning any program rules </w:t>
      </w:r>
      <w:r>
        <w:t xml:space="preserve">for the expansion of integrated pharmacists is the </w:t>
      </w:r>
      <w:r w:rsidR="008762FD">
        <w:t>acknowledgement of the needs and preferences of individual ACCHSs</w:t>
      </w:r>
      <w:r>
        <w:t xml:space="preserve"> and their representative bodies to guide the integration model</w:t>
      </w:r>
      <w:r w:rsidR="008762FD">
        <w:t xml:space="preserve">.  ACCHSs are founded on the </w:t>
      </w:r>
      <w:r>
        <w:t>principle of ‘</w:t>
      </w:r>
      <w:r w:rsidR="008762FD">
        <w:t xml:space="preserve">Aboriginal </w:t>
      </w:r>
      <w:r w:rsidR="00466501">
        <w:t>h</w:t>
      </w:r>
      <w:r w:rsidR="008762FD">
        <w:t xml:space="preserve">ealth in Aboriginal </w:t>
      </w:r>
      <w:proofErr w:type="gramStart"/>
      <w:r w:rsidR="00466501">
        <w:t>h</w:t>
      </w:r>
      <w:r w:rsidR="008762FD">
        <w:t>ands</w:t>
      </w:r>
      <w:r>
        <w:t>’</w:t>
      </w:r>
      <w:proofErr w:type="gramEnd"/>
      <w:r w:rsidR="00305A5F">
        <w:t>.</w:t>
      </w:r>
      <w:r w:rsidR="008762FD">
        <w:rPr>
          <w:rStyle w:val="EndnoteReference"/>
        </w:rPr>
        <w:endnoteReference w:id="18"/>
      </w:r>
      <w:r>
        <w:t xml:space="preserve">  Upholding the principle</w:t>
      </w:r>
      <w:r w:rsidR="008762FD">
        <w:t xml:space="preserve"> of self-determination is necessary to enable a culturally acceptable mode of delivering effective and sustainable primary health care services to Aboriginal peoples and Torres Strait Islanders.  </w:t>
      </w:r>
      <w:r w:rsidR="007F54B7" w:rsidRPr="00BB4F91">
        <w:rPr>
          <w:rFonts w:cstheme="minorHAnsi"/>
        </w:rPr>
        <w:t xml:space="preserve">Having a pharmacist with the right </w:t>
      </w:r>
      <w:r w:rsidR="007F54B7" w:rsidRPr="00BB4F91">
        <w:rPr>
          <w:rFonts w:cstheme="minorHAnsi"/>
          <w:i/>
        </w:rPr>
        <w:t>‘organizational fit’</w:t>
      </w:r>
      <w:r w:rsidR="007F54B7" w:rsidRPr="00BB4F91">
        <w:rPr>
          <w:rFonts w:cstheme="minorHAnsi"/>
        </w:rPr>
        <w:t xml:space="preserve"> and personality was just as important as their skills and </w:t>
      </w:r>
      <w:r w:rsidRPr="00BB4F91">
        <w:rPr>
          <w:rFonts w:cstheme="minorHAnsi"/>
        </w:rPr>
        <w:t>experience</w:t>
      </w:r>
      <w:r>
        <w:rPr>
          <w:rFonts w:cstheme="minorHAnsi"/>
        </w:rPr>
        <w:t xml:space="preserve"> according to qualitative evaluation findings from the IPAC trial</w:t>
      </w:r>
      <w:r w:rsidRPr="00BB4F91">
        <w:rPr>
          <w:rFonts w:cstheme="minorHAnsi"/>
        </w:rPr>
        <w:t>.</w:t>
      </w:r>
      <w:r w:rsidR="007F54B7" w:rsidRPr="00BB4F91">
        <w:rPr>
          <w:rFonts w:cstheme="minorHAnsi"/>
        </w:rPr>
        <w:t xml:space="preserve"> </w:t>
      </w:r>
      <w:r w:rsidR="00421043">
        <w:t>ACCHS staff</w:t>
      </w:r>
      <w:r w:rsidR="00F84C43">
        <w:t xml:space="preserve"> </w:t>
      </w:r>
      <w:r w:rsidR="00421043">
        <w:t>made</w:t>
      </w:r>
      <w:r w:rsidR="00F84C43">
        <w:t xml:space="preserve"> the ultimate decision on pharmac</w:t>
      </w:r>
      <w:r w:rsidR="00AB1484">
        <w:t>ist selection for their service and any future model must uphold that principle.</w:t>
      </w:r>
    </w:p>
    <w:p w14:paraId="2168331C" w14:textId="12A69C6D" w:rsidR="008762FD" w:rsidRDefault="008762FD" w:rsidP="00DA22EF">
      <w:pPr>
        <w:rPr>
          <w:rFonts w:cstheme="minorHAnsi"/>
        </w:rPr>
      </w:pPr>
    </w:p>
    <w:p w14:paraId="03DD2C7E" w14:textId="11924F2A" w:rsidR="008C1C4F" w:rsidRDefault="000D2980" w:rsidP="00DA22EF">
      <w:r>
        <w:t>Evaluation findings support a nationwide program roll-out  with funding for services to employ a pharmacist(s) integrated within the service setting</w:t>
      </w:r>
      <w:r w:rsidR="00FC12A1">
        <w:t>,</w:t>
      </w:r>
      <w:r w:rsidR="00FC12A1" w:rsidRPr="00FC12A1">
        <w:t xml:space="preserve"> </w:t>
      </w:r>
      <w:r w:rsidR="00FC12A1">
        <w:t>starting from a threshold employment level of 0.2 full-time equivalent (FTE), increasing proportionately according to service size, with additional remote loadings as appropriate</w:t>
      </w:r>
      <w:r>
        <w:t xml:space="preserve">. </w:t>
      </w:r>
      <w:r>
        <w:rPr>
          <w:rFonts w:asciiTheme="majorHAnsi" w:hAnsiTheme="majorHAnsi" w:cstheme="majorHAnsi"/>
        </w:rPr>
        <w:t xml:space="preserve">The study design and evidence generated </w:t>
      </w:r>
      <w:r>
        <w:t xml:space="preserve">supports the </w:t>
      </w:r>
      <w:proofErr w:type="spellStart"/>
      <w:r>
        <w:t>generalisability</w:t>
      </w:r>
      <w:proofErr w:type="spellEnd"/>
      <w:r>
        <w:t xml:space="preserve"> of outcomes if implementation of the </w:t>
      </w:r>
      <w:r>
        <w:rPr>
          <w:rFonts w:cstheme="minorHAnsi"/>
          <w:color w:val="010202"/>
        </w:rPr>
        <w:t xml:space="preserve">integrated </w:t>
      </w:r>
      <w:r>
        <w:t>pharmacist core roles were to be supported more broadly</w:t>
      </w:r>
      <w:r>
        <w:rPr>
          <w:rFonts w:cstheme="minorHAnsi"/>
          <w:color w:val="010202"/>
        </w:rPr>
        <w:t xml:space="preserve">. </w:t>
      </w:r>
      <w:r w:rsidR="00CA2B0F">
        <w:t>A model outlining anticipated costs for 14</w:t>
      </w:r>
      <w:r w:rsidR="002977C1">
        <w:t>0</w:t>
      </w:r>
      <w:r w:rsidR="00CA2B0F">
        <w:t xml:space="preserve"> ACCHSs across Australia </w:t>
      </w:r>
      <w:r w:rsidR="00915A01" w:rsidRPr="00DF7A7C">
        <w:rPr>
          <w:color w:val="000000" w:themeColor="text1"/>
        </w:rPr>
        <w:t xml:space="preserve">based on </w:t>
      </w:r>
      <w:r w:rsidR="00915A01">
        <w:rPr>
          <w:color w:val="000000" w:themeColor="text1"/>
        </w:rPr>
        <w:t>the integrated model of care for pharmacists investigated in the</w:t>
      </w:r>
      <w:r w:rsidR="00915A01" w:rsidRPr="00DF7A7C">
        <w:rPr>
          <w:color w:val="000000" w:themeColor="text1"/>
        </w:rPr>
        <w:t xml:space="preserve"> IPAC Trial</w:t>
      </w:r>
      <w:r w:rsidR="00915A01">
        <w:rPr>
          <w:color w:val="000000" w:themeColor="text1"/>
        </w:rPr>
        <w:t xml:space="preserve"> is</w:t>
      </w:r>
      <w:r w:rsidR="00CA2B0F">
        <w:t xml:space="preserve"> presented </w:t>
      </w:r>
      <w:r w:rsidR="00915A01">
        <w:t xml:space="preserve">in the </w:t>
      </w:r>
      <w:r w:rsidR="00915A01" w:rsidRPr="00305A5F">
        <w:t>MSAC Assessment Report – Section E.</w:t>
      </w:r>
      <w:r w:rsidR="007F05BE" w:rsidRPr="007F05BE">
        <w:t xml:space="preserve"> </w:t>
      </w:r>
      <w:r w:rsidR="007F05BE">
        <w:t xml:space="preserve">The program cost </w:t>
      </w:r>
      <w:r w:rsidR="00796756">
        <w:t xml:space="preserve">incorporates pharmacist training and salary, support for ACCHSs and pharmacists to ensure successful expansion of the intervention, and ongoing program monitoring and evaluation. </w:t>
      </w:r>
    </w:p>
    <w:p w14:paraId="12F6D7D3" w14:textId="77777777" w:rsidR="00BE3318" w:rsidRDefault="00BE3318" w:rsidP="00DA22EF"/>
    <w:p w14:paraId="5AEC999A" w14:textId="0B7E0A27" w:rsidR="006145E5" w:rsidRDefault="006E2309" w:rsidP="00FC12A1">
      <w:pPr>
        <w:pStyle w:val="Heading1"/>
      </w:pPr>
      <w:bookmarkStart w:id="79" w:name="_Toc40350125"/>
      <w:bookmarkStart w:id="80" w:name="_Toc40441108"/>
      <w:bookmarkStart w:id="81" w:name="_Toc41315656"/>
      <w:bookmarkStart w:id="82" w:name="_Toc85103781"/>
      <w:bookmarkStart w:id="83" w:name="_Toc525901996"/>
      <w:bookmarkStart w:id="84" w:name="_Toc35946620"/>
      <w:r>
        <w:t xml:space="preserve">Conclusion and </w:t>
      </w:r>
      <w:r w:rsidR="006145E5">
        <w:t>Recommendations</w:t>
      </w:r>
      <w:bookmarkEnd w:id="79"/>
      <w:bookmarkEnd w:id="80"/>
      <w:bookmarkEnd w:id="81"/>
      <w:bookmarkEnd w:id="82"/>
    </w:p>
    <w:p w14:paraId="41CD8B7A" w14:textId="77777777" w:rsidR="006145E5" w:rsidRDefault="006145E5" w:rsidP="00DA22EF"/>
    <w:p w14:paraId="0BC60D45" w14:textId="67C3FA03" w:rsidR="004B6A53" w:rsidRDefault="00525180" w:rsidP="004B6A53">
      <w:pPr>
        <w:rPr>
          <w:rFonts w:asciiTheme="majorHAnsi" w:hAnsiTheme="majorHAnsi" w:cstheme="majorHAnsi"/>
          <w:lang w:val="en-AU"/>
        </w:rPr>
      </w:pPr>
      <w:r>
        <w:rPr>
          <w:rFonts w:cstheme="minorHAnsi"/>
        </w:rPr>
        <w:t xml:space="preserve">The IPAC trial </w:t>
      </w:r>
      <w:r w:rsidR="00A638D8">
        <w:rPr>
          <w:rFonts w:cstheme="minorHAnsi"/>
        </w:rPr>
        <w:t>provided evidence that integrat</w:t>
      </w:r>
      <w:r w:rsidR="000605DA">
        <w:rPr>
          <w:rFonts w:cstheme="minorHAnsi"/>
        </w:rPr>
        <w:t>ing</w:t>
      </w:r>
      <w:r w:rsidR="00A638D8">
        <w:rPr>
          <w:rFonts w:cstheme="minorHAnsi"/>
        </w:rPr>
        <w:t xml:space="preserve"> pharmacists </w:t>
      </w:r>
      <w:r w:rsidR="000605DA">
        <w:rPr>
          <w:rFonts w:cstheme="minorHAnsi"/>
        </w:rPr>
        <w:t>with</w:t>
      </w:r>
      <w:r w:rsidR="00A638D8">
        <w:rPr>
          <w:rFonts w:cstheme="minorHAnsi"/>
        </w:rPr>
        <w:t xml:space="preserve">in ACCHSs </w:t>
      </w:r>
      <w:r w:rsidR="00C028DA">
        <w:rPr>
          <w:rFonts w:cstheme="minorHAnsi"/>
        </w:rPr>
        <w:t xml:space="preserve">significantly </w:t>
      </w:r>
      <w:r>
        <w:rPr>
          <w:rFonts w:cstheme="minorHAnsi"/>
        </w:rPr>
        <w:t>improve</w:t>
      </w:r>
      <w:r w:rsidR="00A638D8">
        <w:rPr>
          <w:rFonts w:cstheme="minorHAnsi"/>
        </w:rPr>
        <w:t>d</w:t>
      </w:r>
      <w:r>
        <w:rPr>
          <w:rFonts w:cstheme="minorHAnsi"/>
        </w:rPr>
        <w:t xml:space="preserve"> quality of care </w:t>
      </w:r>
      <w:r w:rsidR="00A543D7">
        <w:rPr>
          <w:rFonts w:cstheme="minorHAnsi"/>
        </w:rPr>
        <w:t xml:space="preserve">and health </w:t>
      </w:r>
      <w:r>
        <w:rPr>
          <w:rFonts w:cstheme="minorHAnsi"/>
        </w:rPr>
        <w:t xml:space="preserve">outcomes for adult Aboriginal </w:t>
      </w:r>
      <w:r w:rsidR="00F17710">
        <w:rPr>
          <w:rFonts w:cstheme="minorHAnsi"/>
        </w:rPr>
        <w:t xml:space="preserve">and Torres Strait Islander </w:t>
      </w:r>
      <w:r>
        <w:rPr>
          <w:rFonts w:cstheme="minorHAnsi"/>
        </w:rPr>
        <w:t xml:space="preserve">patients with chronic disease </w:t>
      </w:r>
      <w:r w:rsidR="00A638D8">
        <w:t xml:space="preserve">when </w:t>
      </w:r>
      <w:r>
        <w:t xml:space="preserve">compared </w:t>
      </w:r>
      <w:r w:rsidRPr="00D703AF">
        <w:t xml:space="preserve">to </w:t>
      </w:r>
      <w:r w:rsidR="00A638D8">
        <w:t>pre-intervention</w:t>
      </w:r>
      <w:r w:rsidR="00B2302B">
        <w:t xml:space="preserve">. </w:t>
      </w:r>
      <w:r w:rsidR="000605DA">
        <w:t>The i</w:t>
      </w:r>
      <w:r w:rsidR="004B6A53" w:rsidRPr="00E96691">
        <w:rPr>
          <w:rFonts w:asciiTheme="majorHAnsi" w:hAnsiTheme="majorHAnsi" w:cstheme="majorHAnsi"/>
        </w:rPr>
        <w:t>ntegrat</w:t>
      </w:r>
      <w:r w:rsidR="000605DA">
        <w:rPr>
          <w:rFonts w:asciiTheme="majorHAnsi" w:hAnsiTheme="majorHAnsi" w:cstheme="majorHAnsi"/>
        </w:rPr>
        <w:t xml:space="preserve">ion of </w:t>
      </w:r>
      <w:r w:rsidR="004B6A53" w:rsidRPr="00E96691">
        <w:rPr>
          <w:rFonts w:asciiTheme="majorHAnsi" w:hAnsiTheme="majorHAnsi" w:cstheme="majorHAnsi"/>
        </w:rPr>
        <w:t xml:space="preserve">pharmacists </w:t>
      </w:r>
      <w:r w:rsidR="004B6A53">
        <w:rPr>
          <w:rFonts w:asciiTheme="majorHAnsi" w:hAnsiTheme="majorHAnsi" w:cstheme="majorHAnsi"/>
        </w:rPr>
        <w:t xml:space="preserve">significantly improved </w:t>
      </w:r>
      <w:r w:rsidR="00DF2696">
        <w:rPr>
          <w:rFonts w:asciiTheme="majorHAnsi" w:hAnsiTheme="majorHAnsi" w:cstheme="majorHAnsi"/>
        </w:rPr>
        <w:t xml:space="preserve">patient outcomes such as </w:t>
      </w:r>
      <w:r w:rsidR="00C028DA">
        <w:rPr>
          <w:rFonts w:asciiTheme="majorHAnsi" w:hAnsiTheme="majorHAnsi" w:cstheme="majorHAnsi"/>
        </w:rPr>
        <w:t xml:space="preserve">the </w:t>
      </w:r>
      <w:r w:rsidR="004B6A53" w:rsidRPr="00E96691">
        <w:rPr>
          <w:rFonts w:asciiTheme="majorHAnsi" w:hAnsiTheme="majorHAnsi" w:cstheme="majorHAnsi"/>
        </w:rPr>
        <w:t xml:space="preserve">control of CVD risk factors, </w:t>
      </w:r>
      <w:proofErr w:type="spellStart"/>
      <w:r w:rsidR="004B6A53" w:rsidRPr="00E96691">
        <w:rPr>
          <w:rFonts w:asciiTheme="majorHAnsi" w:hAnsiTheme="majorHAnsi" w:cstheme="majorHAnsi"/>
        </w:rPr>
        <w:t>glycaemic</w:t>
      </w:r>
      <w:proofErr w:type="spellEnd"/>
      <w:r w:rsidR="004B6A53" w:rsidRPr="00E96691">
        <w:rPr>
          <w:rFonts w:asciiTheme="majorHAnsi" w:hAnsiTheme="majorHAnsi" w:cstheme="majorHAnsi"/>
        </w:rPr>
        <w:t xml:space="preserve"> control in </w:t>
      </w:r>
      <w:r w:rsidR="004B6A53">
        <w:rPr>
          <w:color w:val="000000" w:themeColor="text1"/>
        </w:rPr>
        <w:t>participants</w:t>
      </w:r>
      <w:r w:rsidR="004B6A53" w:rsidRPr="00D636F8">
        <w:rPr>
          <w:color w:val="000000" w:themeColor="text1"/>
        </w:rPr>
        <w:t xml:space="preserve"> </w:t>
      </w:r>
      <w:r w:rsidR="004B6A53" w:rsidRPr="00E96691">
        <w:rPr>
          <w:rFonts w:asciiTheme="majorHAnsi" w:hAnsiTheme="majorHAnsi" w:cstheme="majorHAnsi"/>
        </w:rPr>
        <w:t xml:space="preserve">with T2DM, and reduced absolute CVD risk. </w:t>
      </w:r>
      <w:r w:rsidR="004B6A53" w:rsidRPr="00E96691">
        <w:rPr>
          <w:rFonts w:asciiTheme="majorHAnsi" w:hAnsiTheme="majorHAnsi" w:cstheme="majorHAnsi"/>
          <w:lang w:val="en-AU"/>
        </w:rPr>
        <w:t xml:space="preserve"> </w:t>
      </w:r>
      <w:r w:rsidR="005F44C1" w:rsidRPr="004B6A53">
        <w:rPr>
          <w:rFonts w:asciiTheme="majorHAnsi" w:hAnsiTheme="majorHAnsi" w:cstheme="majorHAnsi"/>
          <w:lang w:val="en-AU"/>
        </w:rPr>
        <w:t>Prescribing quality improved significantly for participants following assessments of medication appropriateness and underutilisation</w:t>
      </w:r>
      <w:r w:rsidR="005F44C1">
        <w:rPr>
          <w:rFonts w:asciiTheme="majorHAnsi" w:hAnsiTheme="majorHAnsi" w:cstheme="majorHAnsi"/>
          <w:lang w:val="en-AU"/>
        </w:rPr>
        <w:t xml:space="preserve">, and </w:t>
      </w:r>
      <w:r w:rsidR="005F44C1" w:rsidRPr="004B6A53">
        <w:rPr>
          <w:rFonts w:asciiTheme="majorHAnsi" w:hAnsiTheme="majorHAnsi" w:cstheme="majorHAnsi"/>
          <w:lang w:val="en-AU"/>
        </w:rPr>
        <w:t xml:space="preserve">there was a significant reduction in the number of participants </w:t>
      </w:r>
      <w:r w:rsidR="005F44C1" w:rsidRPr="004B6A53">
        <w:rPr>
          <w:rFonts w:asciiTheme="majorHAnsi" w:hAnsiTheme="majorHAnsi" w:cstheme="majorHAnsi"/>
          <w:lang w:val="en-AU"/>
        </w:rPr>
        <w:lastRenderedPageBreak/>
        <w:t>with potential prescription-based medication underutilisation</w:t>
      </w:r>
      <w:r w:rsidR="005F44C1">
        <w:rPr>
          <w:rFonts w:asciiTheme="majorHAnsi" w:hAnsiTheme="majorHAnsi" w:cstheme="majorHAnsi"/>
          <w:lang w:val="en-AU"/>
        </w:rPr>
        <w:t xml:space="preserve">. </w:t>
      </w:r>
      <w:r w:rsidR="0098654F">
        <w:rPr>
          <w:rFonts w:asciiTheme="majorHAnsi" w:hAnsiTheme="majorHAnsi" w:cstheme="majorHAnsi"/>
          <w:lang w:val="en-AU"/>
        </w:rPr>
        <w:t>Patient self-assessed m</w:t>
      </w:r>
      <w:proofErr w:type="spellStart"/>
      <w:r w:rsidR="004B6A53">
        <w:rPr>
          <w:rFonts w:asciiTheme="majorHAnsi" w:hAnsiTheme="majorHAnsi" w:cstheme="majorHAnsi"/>
        </w:rPr>
        <w:t>edication</w:t>
      </w:r>
      <w:proofErr w:type="spellEnd"/>
      <w:r w:rsidR="004B6A53">
        <w:rPr>
          <w:rFonts w:asciiTheme="majorHAnsi" w:hAnsiTheme="majorHAnsi" w:cstheme="majorHAnsi"/>
        </w:rPr>
        <w:t xml:space="preserve"> adherence and health status improved significantly indicating that </w:t>
      </w:r>
      <w:r w:rsidR="007D55BF">
        <w:rPr>
          <w:rFonts w:asciiTheme="majorHAnsi" w:hAnsiTheme="majorHAnsi" w:cstheme="majorHAnsi"/>
        </w:rPr>
        <w:t xml:space="preserve">the </w:t>
      </w:r>
      <w:r w:rsidR="004B6A53">
        <w:rPr>
          <w:rFonts w:asciiTheme="majorHAnsi" w:hAnsiTheme="majorHAnsi" w:cstheme="majorHAnsi"/>
        </w:rPr>
        <w:t xml:space="preserve">barriers Aboriginal </w:t>
      </w:r>
      <w:r w:rsidR="00DF7289">
        <w:rPr>
          <w:rFonts w:asciiTheme="majorHAnsi" w:hAnsiTheme="majorHAnsi" w:cstheme="majorHAnsi"/>
        </w:rPr>
        <w:t xml:space="preserve">and Torres Strait Islander </w:t>
      </w:r>
      <w:r w:rsidR="004B6A53">
        <w:rPr>
          <w:rFonts w:asciiTheme="majorHAnsi" w:hAnsiTheme="majorHAnsi" w:cstheme="majorHAnsi"/>
        </w:rPr>
        <w:t>patients face with taking medications</w:t>
      </w:r>
      <w:r w:rsidR="0098654F">
        <w:rPr>
          <w:rFonts w:asciiTheme="majorHAnsi" w:hAnsiTheme="majorHAnsi" w:cstheme="majorHAnsi"/>
        </w:rPr>
        <w:t xml:space="preserve"> can be reduced</w:t>
      </w:r>
      <w:r w:rsidR="00AC05EB">
        <w:rPr>
          <w:rFonts w:asciiTheme="majorHAnsi" w:hAnsiTheme="majorHAnsi" w:cstheme="majorHAnsi"/>
        </w:rPr>
        <w:t xml:space="preserve"> with pharmacist workforce support within the clinic setting</w:t>
      </w:r>
      <w:r w:rsidR="004B6A53">
        <w:rPr>
          <w:rFonts w:asciiTheme="majorHAnsi" w:hAnsiTheme="majorHAnsi" w:cstheme="majorHAnsi"/>
        </w:rPr>
        <w:t>.</w:t>
      </w:r>
    </w:p>
    <w:p w14:paraId="17450DC7" w14:textId="4A47D0D5" w:rsidR="004B6A53" w:rsidRDefault="004B6A53" w:rsidP="004B6A53">
      <w:pPr>
        <w:rPr>
          <w:rFonts w:asciiTheme="majorHAnsi" w:hAnsiTheme="majorHAnsi" w:cstheme="majorHAnsi"/>
        </w:rPr>
      </w:pPr>
    </w:p>
    <w:p w14:paraId="65A1C7F4" w14:textId="1E1A54B4" w:rsidR="008B4580" w:rsidRPr="008B7C4A" w:rsidRDefault="001A0F29" w:rsidP="008B4580">
      <w:pPr>
        <w:rPr>
          <w:rFonts w:asciiTheme="majorHAnsi" w:hAnsiTheme="majorHAnsi" w:cstheme="majorHAnsi"/>
          <w:lang w:val="en-AU"/>
        </w:rPr>
      </w:pPr>
      <w:r>
        <w:rPr>
          <w:rFonts w:asciiTheme="majorHAnsi" w:hAnsiTheme="majorHAnsi" w:cstheme="majorHAnsi"/>
          <w:lang w:val="en-AU"/>
        </w:rPr>
        <w:t>Health service utilisation increased with a</w:t>
      </w:r>
      <w:r w:rsidR="008B4580">
        <w:rPr>
          <w:rFonts w:asciiTheme="majorHAnsi" w:hAnsiTheme="majorHAnsi" w:cstheme="majorHAnsi"/>
          <w:lang w:val="en-AU"/>
        </w:rPr>
        <w:t xml:space="preserve"> nearly </w:t>
      </w:r>
      <w:r w:rsidR="002D4BF4">
        <w:rPr>
          <w:rFonts w:asciiTheme="majorHAnsi" w:hAnsiTheme="majorHAnsi" w:cstheme="majorHAnsi"/>
        </w:rPr>
        <w:t xml:space="preserve">(Redacted) </w:t>
      </w:r>
      <w:r w:rsidR="008B4580">
        <w:rPr>
          <w:rFonts w:asciiTheme="majorHAnsi" w:hAnsiTheme="majorHAnsi" w:cstheme="majorHAnsi"/>
          <w:lang w:val="en-AU"/>
        </w:rPr>
        <w:t xml:space="preserve">fold increase in </w:t>
      </w:r>
      <w:r w:rsidR="008B4580" w:rsidRPr="008B7C4A">
        <w:rPr>
          <w:rFonts w:asciiTheme="majorHAnsi" w:hAnsiTheme="majorHAnsi" w:cstheme="majorHAnsi"/>
          <w:lang w:val="en-AU"/>
        </w:rPr>
        <w:t xml:space="preserve">HMRs </w:t>
      </w:r>
      <w:r w:rsidR="00A85C43" w:rsidRPr="008B7C4A">
        <w:rPr>
          <w:rFonts w:cs="Calibri"/>
        </w:rPr>
        <w:t xml:space="preserve">and significant uptake of the non-HMR model </w:t>
      </w:r>
      <w:r>
        <w:rPr>
          <w:rFonts w:cs="Calibri"/>
        </w:rPr>
        <w:t xml:space="preserve">of care </w:t>
      </w:r>
      <w:r w:rsidR="00A85C43" w:rsidRPr="008B7C4A">
        <w:rPr>
          <w:rFonts w:cs="Calibri"/>
        </w:rPr>
        <w:t xml:space="preserve">by both accredited and non-accredited pharmacists </w:t>
      </w:r>
      <w:r w:rsidR="008B4580" w:rsidRPr="00E96691">
        <w:rPr>
          <w:rFonts w:asciiTheme="majorHAnsi" w:hAnsiTheme="majorHAnsi" w:cstheme="majorHAnsi"/>
          <w:lang w:val="en-AU"/>
        </w:rPr>
        <w:t>integrated within ACCHSs</w:t>
      </w:r>
      <w:r>
        <w:rPr>
          <w:rFonts w:asciiTheme="majorHAnsi" w:hAnsiTheme="majorHAnsi" w:cstheme="majorHAnsi"/>
          <w:lang w:val="en-AU"/>
        </w:rPr>
        <w:t xml:space="preserve">. </w:t>
      </w:r>
      <w:r w:rsidR="008B4580" w:rsidRPr="00E96691">
        <w:rPr>
          <w:rFonts w:asciiTheme="majorHAnsi" w:hAnsiTheme="majorHAnsi" w:cstheme="majorHAnsi"/>
          <w:lang w:val="en-AU"/>
        </w:rPr>
        <w:t xml:space="preserve"> </w:t>
      </w:r>
      <w:r>
        <w:rPr>
          <w:rFonts w:asciiTheme="majorHAnsi" w:hAnsiTheme="majorHAnsi" w:cstheme="majorHAnsi"/>
          <w:lang w:val="en-AU"/>
        </w:rPr>
        <w:t>Many of the improvements in the quality of care for Aboriginal and Torres Strait Islander patients</w:t>
      </w:r>
      <w:r w:rsidR="008B4580" w:rsidRPr="00E96691">
        <w:rPr>
          <w:rFonts w:asciiTheme="majorHAnsi" w:hAnsiTheme="majorHAnsi" w:cstheme="majorHAnsi"/>
          <w:lang w:val="en-AU"/>
        </w:rPr>
        <w:t xml:space="preserve"> </w:t>
      </w:r>
      <w:r>
        <w:rPr>
          <w:rFonts w:asciiTheme="majorHAnsi" w:hAnsiTheme="majorHAnsi" w:cstheme="majorHAnsi"/>
          <w:lang w:val="en-AU"/>
        </w:rPr>
        <w:t xml:space="preserve">may have been mediated by better access to medication reviews, given </w:t>
      </w:r>
      <w:r w:rsidR="00BE3318">
        <w:rPr>
          <w:rFonts w:asciiTheme="majorHAnsi" w:hAnsiTheme="majorHAnsi" w:cstheme="majorHAnsi"/>
          <w:lang w:val="en-AU"/>
        </w:rPr>
        <w:t xml:space="preserve">that </w:t>
      </w:r>
      <w:r>
        <w:rPr>
          <w:rFonts w:asciiTheme="majorHAnsi" w:hAnsiTheme="majorHAnsi" w:cstheme="majorHAnsi"/>
          <w:lang w:val="en-AU"/>
        </w:rPr>
        <w:t xml:space="preserve">this population </w:t>
      </w:r>
      <w:r w:rsidR="008B4580" w:rsidRPr="00E96691">
        <w:rPr>
          <w:rFonts w:asciiTheme="majorHAnsi" w:hAnsiTheme="majorHAnsi" w:cstheme="majorHAnsi"/>
          <w:lang w:val="en-AU"/>
        </w:rPr>
        <w:t>experience</w:t>
      </w:r>
      <w:r>
        <w:rPr>
          <w:rFonts w:asciiTheme="majorHAnsi" w:hAnsiTheme="majorHAnsi" w:cstheme="majorHAnsi"/>
          <w:lang w:val="en-AU"/>
        </w:rPr>
        <w:t>s</w:t>
      </w:r>
      <w:r w:rsidR="008B4580" w:rsidRPr="00E96691">
        <w:rPr>
          <w:rFonts w:asciiTheme="majorHAnsi" w:hAnsiTheme="majorHAnsi" w:cstheme="majorHAnsi"/>
          <w:lang w:val="en-AU"/>
        </w:rPr>
        <w:t xml:space="preserve"> </w:t>
      </w:r>
      <w:r w:rsidR="008B4580">
        <w:rPr>
          <w:rFonts w:asciiTheme="majorHAnsi" w:hAnsiTheme="majorHAnsi" w:cstheme="majorHAnsi"/>
          <w:lang w:val="en-AU"/>
        </w:rPr>
        <w:t xml:space="preserve">substantial </w:t>
      </w:r>
      <w:r w:rsidR="008B4580" w:rsidRPr="00E96691">
        <w:rPr>
          <w:rFonts w:asciiTheme="majorHAnsi" w:hAnsiTheme="majorHAnsi" w:cstheme="majorHAnsi"/>
          <w:lang w:val="en-AU"/>
        </w:rPr>
        <w:t xml:space="preserve">barriers in accessing HMRs under current program rules, especially for </w:t>
      </w:r>
      <w:r w:rsidR="008B4580">
        <w:rPr>
          <w:color w:val="000000" w:themeColor="text1"/>
        </w:rPr>
        <w:t>participants</w:t>
      </w:r>
      <w:r w:rsidR="008B4580" w:rsidRPr="00D636F8">
        <w:rPr>
          <w:color w:val="000000" w:themeColor="text1"/>
        </w:rPr>
        <w:t xml:space="preserve"> </w:t>
      </w:r>
      <w:r w:rsidR="008B4580" w:rsidRPr="00E96691">
        <w:rPr>
          <w:rFonts w:asciiTheme="majorHAnsi" w:hAnsiTheme="majorHAnsi" w:cstheme="majorHAnsi"/>
          <w:lang w:val="en-AU"/>
        </w:rPr>
        <w:t xml:space="preserve">who would otherwise forgo a medication </w:t>
      </w:r>
      <w:r w:rsidR="008B4580" w:rsidRPr="008B7C4A">
        <w:rPr>
          <w:rFonts w:asciiTheme="majorHAnsi" w:hAnsiTheme="majorHAnsi" w:cstheme="majorHAnsi"/>
          <w:lang w:val="en-AU"/>
        </w:rPr>
        <w:t>review</w:t>
      </w:r>
      <w:r w:rsidR="00A85C43" w:rsidRPr="008B7C4A">
        <w:rPr>
          <w:rFonts w:asciiTheme="majorHAnsi" w:hAnsiTheme="majorHAnsi" w:cstheme="majorHAnsi"/>
          <w:lang w:val="en-AU"/>
        </w:rPr>
        <w:t xml:space="preserve"> </w:t>
      </w:r>
      <w:r w:rsidR="00A85C43" w:rsidRPr="008B7C4A">
        <w:rPr>
          <w:rFonts w:asciiTheme="majorHAnsi" w:hAnsiTheme="majorHAnsi" w:cstheme="majorHAnsi"/>
        </w:rPr>
        <w:t>if not conducted opportunistically</w:t>
      </w:r>
      <w:r>
        <w:rPr>
          <w:rFonts w:asciiTheme="majorHAnsi" w:hAnsiTheme="majorHAnsi" w:cstheme="majorHAnsi"/>
        </w:rPr>
        <w:t>.</w:t>
      </w:r>
      <w:r w:rsidR="008B4580" w:rsidRPr="008B7C4A">
        <w:rPr>
          <w:rFonts w:asciiTheme="majorHAnsi" w:hAnsiTheme="majorHAnsi" w:cstheme="majorHAnsi"/>
          <w:lang w:val="en-AU"/>
        </w:rPr>
        <w:t xml:space="preserve">  </w:t>
      </w:r>
    </w:p>
    <w:p w14:paraId="0A80CC1D" w14:textId="77777777" w:rsidR="008B4580" w:rsidRDefault="008B4580" w:rsidP="008B4580">
      <w:pPr>
        <w:rPr>
          <w:rFonts w:asciiTheme="majorHAnsi" w:hAnsiTheme="majorHAnsi" w:cstheme="majorHAnsi"/>
          <w:lang w:val="en-AU"/>
        </w:rPr>
      </w:pPr>
    </w:p>
    <w:p w14:paraId="4F396823" w14:textId="11B0EDDA" w:rsidR="00243D96" w:rsidRDefault="00CD3717" w:rsidP="00243D96">
      <w:pPr>
        <w:rPr>
          <w:bCs/>
        </w:rPr>
      </w:pPr>
      <w:r w:rsidRPr="00CD3717">
        <w:rPr>
          <w:rFonts w:asciiTheme="majorHAnsi" w:hAnsiTheme="majorHAnsi" w:cstheme="majorHAnsi"/>
        </w:rPr>
        <w:t xml:space="preserve">The </w:t>
      </w:r>
      <w:r w:rsidR="00412D31">
        <w:rPr>
          <w:rFonts w:asciiTheme="majorHAnsi" w:hAnsiTheme="majorHAnsi" w:cstheme="majorHAnsi"/>
        </w:rPr>
        <w:t xml:space="preserve">trial evidence supports the </w:t>
      </w:r>
      <w:r w:rsidR="00412D31" w:rsidRPr="00CD3717">
        <w:rPr>
          <w:rFonts w:asciiTheme="majorHAnsi" w:hAnsiTheme="majorHAnsi" w:cstheme="majorHAnsi"/>
        </w:rPr>
        <w:t>generaliza</w:t>
      </w:r>
      <w:r w:rsidR="00412D31">
        <w:rPr>
          <w:rFonts w:asciiTheme="majorHAnsi" w:hAnsiTheme="majorHAnsi" w:cstheme="majorHAnsi"/>
        </w:rPr>
        <w:t xml:space="preserve">bility of outcomes </w:t>
      </w:r>
      <w:r w:rsidRPr="00CD3717">
        <w:rPr>
          <w:rFonts w:asciiTheme="majorHAnsi" w:hAnsiTheme="majorHAnsi" w:cstheme="majorHAnsi"/>
        </w:rPr>
        <w:t xml:space="preserve">to the broader adult Aboriginal and Torres Strait Islander patient population with chronic disease </w:t>
      </w:r>
      <w:r w:rsidR="00412D31">
        <w:rPr>
          <w:rFonts w:asciiTheme="majorHAnsi" w:hAnsiTheme="majorHAnsi" w:cstheme="majorHAnsi"/>
        </w:rPr>
        <w:t>if pharmacists were to be integrated within ACCHSs more broadly across</w:t>
      </w:r>
      <w:r w:rsidR="00412D31" w:rsidRPr="00412D31">
        <w:rPr>
          <w:rFonts w:asciiTheme="majorHAnsi" w:hAnsiTheme="majorHAnsi" w:cstheme="majorHAnsi"/>
        </w:rPr>
        <w:t xml:space="preserve"> </w:t>
      </w:r>
      <w:r w:rsidR="00412D31" w:rsidRPr="00CD3717">
        <w:rPr>
          <w:rFonts w:asciiTheme="majorHAnsi" w:hAnsiTheme="majorHAnsi" w:cstheme="majorHAnsi"/>
        </w:rPr>
        <w:t xml:space="preserve">urban, </w:t>
      </w:r>
      <w:proofErr w:type="gramStart"/>
      <w:r w:rsidR="00412D31" w:rsidRPr="00CD3717">
        <w:rPr>
          <w:rFonts w:asciiTheme="majorHAnsi" w:hAnsiTheme="majorHAnsi" w:cstheme="majorHAnsi"/>
        </w:rPr>
        <w:t>rural</w:t>
      </w:r>
      <w:proofErr w:type="gramEnd"/>
      <w:r w:rsidR="00412D31" w:rsidRPr="00CD3717">
        <w:rPr>
          <w:rFonts w:asciiTheme="majorHAnsi" w:hAnsiTheme="majorHAnsi" w:cstheme="majorHAnsi"/>
        </w:rPr>
        <w:t xml:space="preserve"> and remote geographical locations</w:t>
      </w:r>
      <w:r w:rsidR="00412D31">
        <w:rPr>
          <w:rFonts w:asciiTheme="majorHAnsi" w:hAnsiTheme="majorHAnsi" w:cstheme="majorHAnsi"/>
        </w:rPr>
        <w:t xml:space="preserve">. Targeting patients with chronic disease, </w:t>
      </w:r>
      <w:r w:rsidRPr="00CD3717">
        <w:rPr>
          <w:rFonts w:asciiTheme="majorHAnsi" w:hAnsiTheme="majorHAnsi" w:cstheme="majorHAnsi"/>
        </w:rPr>
        <w:t xml:space="preserve">who are </w:t>
      </w:r>
      <w:r w:rsidR="00412D31">
        <w:rPr>
          <w:rFonts w:asciiTheme="majorHAnsi" w:hAnsiTheme="majorHAnsi" w:cstheme="majorHAnsi"/>
        </w:rPr>
        <w:t xml:space="preserve">most </w:t>
      </w:r>
      <w:r w:rsidRPr="00CD3717">
        <w:rPr>
          <w:rFonts w:asciiTheme="majorHAnsi" w:hAnsiTheme="majorHAnsi" w:cstheme="majorHAnsi"/>
        </w:rPr>
        <w:t>at risk of developing medication related problems</w:t>
      </w:r>
      <w:r w:rsidR="00412D31">
        <w:rPr>
          <w:rFonts w:asciiTheme="majorHAnsi" w:hAnsiTheme="majorHAnsi" w:cstheme="majorHAnsi"/>
        </w:rPr>
        <w:t>,</w:t>
      </w:r>
      <w:r w:rsidRPr="00CD3717">
        <w:rPr>
          <w:rFonts w:asciiTheme="majorHAnsi" w:hAnsiTheme="majorHAnsi" w:cstheme="majorHAnsi"/>
        </w:rPr>
        <w:t xml:space="preserve"> </w:t>
      </w:r>
      <w:r w:rsidR="00412D31">
        <w:rPr>
          <w:rFonts w:asciiTheme="majorHAnsi" w:hAnsiTheme="majorHAnsi" w:cstheme="majorHAnsi"/>
        </w:rPr>
        <w:t>is likely to deliver substantial improvements in health outcomes at a population level.</w:t>
      </w:r>
      <w:r w:rsidR="00243D96">
        <w:rPr>
          <w:rFonts w:asciiTheme="majorHAnsi" w:hAnsiTheme="majorHAnsi" w:cstheme="majorHAnsi"/>
        </w:rPr>
        <w:t xml:space="preserve"> </w:t>
      </w:r>
      <w:r w:rsidR="00243D96">
        <w:rPr>
          <w:bCs/>
        </w:rPr>
        <w:t xml:space="preserve">Future roll-out should be supported using strategies </w:t>
      </w:r>
      <w:proofErr w:type="gramStart"/>
      <w:r w:rsidR="00243D96">
        <w:rPr>
          <w:bCs/>
        </w:rPr>
        <w:t>similar to</w:t>
      </w:r>
      <w:proofErr w:type="gramEnd"/>
      <w:r w:rsidR="00243D96">
        <w:rPr>
          <w:bCs/>
        </w:rPr>
        <w:t xml:space="preserve"> those adopted in the IPAC trial.  </w:t>
      </w:r>
    </w:p>
    <w:p w14:paraId="20888590" w14:textId="77777777" w:rsidR="00982BC0" w:rsidRDefault="00982BC0" w:rsidP="00DA22EF"/>
    <w:p w14:paraId="4E4A027F" w14:textId="4983A7C5" w:rsidR="00F557F0" w:rsidRDefault="006145E5" w:rsidP="002D0773">
      <w:pPr>
        <w:widowControl/>
        <w:spacing w:line="240" w:lineRule="auto"/>
        <w:rPr>
          <w:rFonts w:ascii="Arial" w:eastAsia="Arial" w:hAnsi="Arial" w:cs="Times New Roman"/>
          <w:b/>
          <w:color w:val="002C5F"/>
          <w:spacing w:val="1"/>
          <w:sz w:val="36"/>
          <w:szCs w:val="44"/>
          <w:lang w:val="en-AU"/>
        </w:rPr>
      </w:pPr>
      <w:r>
        <w:br w:type="page"/>
      </w:r>
      <w:bookmarkStart w:id="85" w:name="_Toc35946619"/>
      <w:bookmarkEnd w:id="83"/>
      <w:bookmarkEnd w:id="84"/>
    </w:p>
    <w:p w14:paraId="00CC759D" w14:textId="38B7FF24" w:rsidR="00346145" w:rsidRDefault="00113D22" w:rsidP="00695705">
      <w:pPr>
        <w:pStyle w:val="Heading1"/>
      </w:pPr>
      <w:bookmarkStart w:id="86" w:name="_Toc85103782"/>
      <w:bookmarkStart w:id="87" w:name="_Toc40350127"/>
      <w:bookmarkStart w:id="88" w:name="_Toc40441110"/>
      <w:bookmarkStart w:id="89" w:name="_Toc41315658"/>
      <w:bookmarkEnd w:id="85"/>
      <w:r>
        <w:lastRenderedPageBreak/>
        <w:t>References</w:t>
      </w:r>
      <w:bookmarkEnd w:id="86"/>
    </w:p>
    <w:bookmarkEnd w:id="87"/>
    <w:bookmarkEnd w:id="88"/>
    <w:bookmarkEnd w:id="89"/>
    <w:p w14:paraId="084E947D" w14:textId="682D3078" w:rsidR="00F557F0" w:rsidRPr="00FC5566" w:rsidRDefault="00F557F0" w:rsidP="00450E0D"/>
    <w:sectPr w:rsidR="00F557F0" w:rsidRPr="00FC5566" w:rsidSect="0007601A">
      <w:headerReference w:type="even" r:id="rId13"/>
      <w:headerReference w:type="default" r:id="rId14"/>
      <w:footerReference w:type="default" r:id="rId15"/>
      <w:headerReference w:type="first" r:id="rId16"/>
      <w:footerReference w:type="first" r:id="rId17"/>
      <w:endnotePr>
        <w:numFmt w:val="decimal"/>
      </w:end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59006" w14:textId="77777777" w:rsidR="007A28F2" w:rsidRDefault="007A28F2" w:rsidP="00F7746E">
      <w:r>
        <w:separator/>
      </w:r>
    </w:p>
  </w:endnote>
  <w:endnote w:type="continuationSeparator" w:id="0">
    <w:p w14:paraId="34D2639D" w14:textId="77777777" w:rsidR="007A28F2" w:rsidRDefault="007A28F2" w:rsidP="00F7746E">
      <w:r>
        <w:continuationSeparator/>
      </w:r>
    </w:p>
  </w:endnote>
  <w:endnote w:type="continuationNotice" w:id="1">
    <w:p w14:paraId="07EBD28A" w14:textId="77777777" w:rsidR="007A28F2" w:rsidRDefault="007A28F2">
      <w:pPr>
        <w:spacing w:line="240" w:lineRule="auto"/>
      </w:pPr>
    </w:p>
  </w:endnote>
  <w:endnote w:id="2">
    <w:p w14:paraId="28840284" w14:textId="77777777" w:rsidR="007A28F2" w:rsidRPr="008B7C4A" w:rsidRDefault="007A28F2"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Australian Health Ministers’ Advisory Council. Aboriginal and Torres Strait Islander Health Performance Framework 2017 Report, AHMAC, Canberra, 2017.</w:t>
      </w:r>
    </w:p>
  </w:endnote>
  <w:endnote w:id="3">
    <w:p w14:paraId="6B615D10"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bCs/>
          <w:sz w:val="20"/>
          <w:szCs w:val="20"/>
        </w:rPr>
        <w:t xml:space="preserve">Page A, Hyde Z, Smith K, et al. Potentially suboptimal prescribing of medicines for older Aboriginal Australians in remote areas. Med J Aust. 2019 211(3):119-125. doi: 10.5694/mja2.50226. </w:t>
      </w:r>
      <w:r w:rsidRPr="008B7C4A">
        <w:rPr>
          <w:rFonts w:asciiTheme="majorHAnsi" w:hAnsiTheme="majorHAnsi" w:cstheme="majorHAnsi"/>
          <w:sz w:val="20"/>
          <w:szCs w:val="20"/>
        </w:rPr>
        <w:t xml:space="preserve"> </w:t>
      </w:r>
    </w:p>
  </w:endnote>
  <w:endnote w:id="4">
    <w:p w14:paraId="113C2A39"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Heeley, E. L., Peiris, D. P., Patel, A. A., Cass, A. , Weekes, A. , Morgan, C. , Anderson, C. S. and Chalmers, J. P. (2010), Cardiovascular risk perception and evidence–practice gaps in Australian general practice (the AusHEART study). Medical Journal of Australia, 192: 254-259. doi:</w:t>
      </w:r>
      <w:hyperlink r:id="rId1" w:history="1">
        <w:r w:rsidRPr="008B7C4A">
          <w:rPr>
            <w:rStyle w:val="Hyperlink"/>
            <w:rFonts w:asciiTheme="majorHAnsi" w:hAnsiTheme="majorHAnsi" w:cstheme="majorHAnsi"/>
            <w:szCs w:val="20"/>
            <w:shd w:val="clear" w:color="auto" w:fill="FFFFFF"/>
          </w:rPr>
          <w:t>10.5694/j.1326-5377.2010.tb03502.x</w:t>
        </w:r>
      </w:hyperlink>
    </w:p>
  </w:endnote>
  <w:endnote w:id="5">
    <w:p w14:paraId="5ACB95CB" w14:textId="77777777" w:rsidR="007A28F2" w:rsidRPr="008B7C4A" w:rsidRDefault="007A28F2" w:rsidP="001135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Clyne B, Fitzgerald C, Quinlan A, Hardy C, Galvin R, Fahey T, et al. Interventions to address potentially inappropriate prescribing in community dwelling older adults: a systematic review of randomized controlled trials. J Am Geriatr Soc. 2016,  64: 1210–1222. doi: 10.1111/jgs.14133</w:t>
      </w:r>
    </w:p>
  </w:endnote>
  <w:endnote w:id="6">
    <w:p w14:paraId="4F3E7293"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Martínez-Mardones F, Fernandez-Llimos F, Benrimoj SI, et al. Systematic Review and Meta-Analysis of Medication Reviews Conducted by Pharmacists on Cardiovascular Diseases Risk Factors in Ambulatory Care. </w:t>
      </w:r>
      <w:r w:rsidRPr="008B7C4A">
        <w:rPr>
          <w:rFonts w:asciiTheme="majorHAnsi" w:hAnsiTheme="majorHAnsi" w:cstheme="majorHAnsi"/>
          <w:i/>
          <w:iCs/>
          <w:sz w:val="20"/>
          <w:szCs w:val="20"/>
        </w:rPr>
        <w:t>J Am Heart Assoc</w:t>
      </w:r>
      <w:r w:rsidRPr="008B7C4A">
        <w:rPr>
          <w:rFonts w:asciiTheme="majorHAnsi" w:hAnsiTheme="majorHAnsi" w:cstheme="majorHAnsi"/>
          <w:sz w:val="20"/>
          <w:szCs w:val="20"/>
          <w:shd w:val="clear" w:color="auto" w:fill="FFFFFF"/>
        </w:rPr>
        <w:t>. 2019;8(22):e013627. doi:10.1161/JAHA.119.013627</w:t>
      </w:r>
      <w:r w:rsidRPr="008B7C4A">
        <w:rPr>
          <w:rFonts w:asciiTheme="majorHAnsi" w:hAnsiTheme="majorHAnsi" w:cstheme="majorHAnsi"/>
          <w:sz w:val="20"/>
          <w:szCs w:val="20"/>
        </w:rPr>
        <w:t xml:space="preserve"> </w:t>
      </w:r>
    </w:p>
  </w:endnote>
  <w:endnote w:id="7">
    <w:p w14:paraId="29BE4579"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Pousinho S, Morgado M, Falcão A, Alves G.Pharmacist Interventions in the Management of Type 2 Diabetes Mellitus: A Systematic Review of Randomized Controlled Trials. J Manag Care Spec Pharm. 2016 22:5: 493-515</w:t>
      </w:r>
    </w:p>
  </w:endnote>
  <w:endnote w:id="8">
    <w:p w14:paraId="037C0528"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Gillespie U, Alassaad A, Hammarlund-Udenaes M, et al. Effects of pharmacists' interventions on appropriateness of prescribing and evaluation of the instruments' (MAI, STOPP and STARTs') ability to predict hospitalization--analyses from a randomized controlled trial. </w:t>
      </w:r>
      <w:r w:rsidRPr="008B7C4A">
        <w:rPr>
          <w:rFonts w:asciiTheme="majorHAnsi" w:hAnsiTheme="majorHAnsi" w:cstheme="majorHAnsi"/>
          <w:i/>
          <w:iCs/>
          <w:sz w:val="20"/>
          <w:szCs w:val="20"/>
          <w:shd w:val="clear" w:color="auto" w:fill="FFFFFF"/>
        </w:rPr>
        <w:t>PLoS One</w:t>
      </w:r>
      <w:r w:rsidRPr="008B7C4A">
        <w:rPr>
          <w:rFonts w:asciiTheme="majorHAnsi" w:hAnsiTheme="majorHAnsi" w:cstheme="majorHAnsi"/>
          <w:sz w:val="20"/>
          <w:szCs w:val="20"/>
          <w:shd w:val="clear" w:color="auto" w:fill="FFFFFF"/>
        </w:rPr>
        <w:t>. 2013;8(5):e62401. Published 2013 May 17. doi:10.1371/journal.pone.0062401</w:t>
      </w:r>
    </w:p>
  </w:endnote>
  <w:endnote w:id="9">
    <w:p w14:paraId="47DE8CF9"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w:t>
      </w:r>
      <w:r w:rsidRPr="008B7C4A">
        <w:rPr>
          <w:rFonts w:asciiTheme="majorHAnsi" w:hAnsiTheme="majorHAnsi" w:cstheme="majorHAnsi"/>
          <w:sz w:val="20"/>
          <w:szCs w:val="20"/>
          <w:shd w:val="clear" w:color="auto" w:fill="FFFFFF"/>
        </w:rPr>
        <w:t xml:space="preserve">Milosavljevic A, Aspden T, Harrison J. Community pharmacist‐led interventions and their impact on patients’ medication adherence and other health outcomes: a systematic review. </w:t>
      </w:r>
      <w:r w:rsidRPr="008B7C4A">
        <w:rPr>
          <w:rFonts w:asciiTheme="majorHAnsi" w:hAnsiTheme="majorHAnsi" w:cstheme="majorHAnsi"/>
          <w:i/>
          <w:iCs/>
          <w:sz w:val="20"/>
          <w:szCs w:val="20"/>
          <w:shd w:val="clear" w:color="auto" w:fill="FFFFFF"/>
        </w:rPr>
        <w:t>Int J Pharm Pract</w:t>
      </w:r>
      <w:r w:rsidRPr="008B7C4A">
        <w:rPr>
          <w:rFonts w:asciiTheme="majorHAnsi" w:hAnsiTheme="majorHAnsi" w:cstheme="majorHAnsi"/>
          <w:sz w:val="20"/>
          <w:szCs w:val="20"/>
          <w:shd w:val="clear" w:color="auto" w:fill="FFFFFF"/>
        </w:rPr>
        <w:t>. 2018; 26: 387-397. doi:</w:t>
      </w:r>
      <w:r w:rsidRPr="008B7C4A">
        <w:rPr>
          <w:rFonts w:asciiTheme="majorHAnsi" w:hAnsiTheme="majorHAnsi" w:cstheme="majorHAnsi"/>
          <w:sz w:val="20"/>
          <w:szCs w:val="20"/>
        </w:rPr>
        <w:t xml:space="preserve">10.1111/ijpp.12462. </w:t>
      </w:r>
    </w:p>
  </w:endnote>
  <w:endnote w:id="10">
    <w:p w14:paraId="3FD30433" w14:textId="77777777" w:rsidR="007A28F2" w:rsidRPr="008B7C4A" w:rsidRDefault="007A28F2" w:rsidP="001135FE">
      <w:pPr>
        <w:spacing w:after="120" w:line="276" w:lineRule="auto"/>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Tan ECK, Stewart K, Elliott RA, George J. Integration of pharmacists into general practice clinics in Australia: the views of general practitioners and pharmacists. Int J Pharm Pract 2014;22(1):28–37. </w:t>
      </w:r>
    </w:p>
  </w:endnote>
  <w:endnote w:id="11">
    <w:p w14:paraId="5682F568" w14:textId="77777777" w:rsidR="007A28F2" w:rsidRPr="008B7C4A" w:rsidRDefault="007A28F2"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World Health Organisation. Indigenous peoples and participatory health research. World Health Organisation, Geneva, Switzerland, 2003. http://www.who.int/ethics/indigenous_peoples/en/index1.html</w:t>
      </w:r>
      <w:r w:rsidRPr="008B7C4A">
        <w:rPr>
          <w:rStyle w:val="Hyperlink"/>
          <w:rFonts w:asciiTheme="majorHAnsi" w:hAnsiTheme="majorHAnsi" w:cstheme="majorHAnsi"/>
          <w:i w:val="0"/>
          <w:szCs w:val="20"/>
        </w:rPr>
        <w:t xml:space="preserve"> </w:t>
      </w:r>
      <w:r w:rsidRPr="008B7C4A">
        <w:rPr>
          <w:rFonts w:asciiTheme="majorHAnsi" w:hAnsiTheme="majorHAnsi" w:cstheme="majorHAnsi"/>
          <w:color w:val="auto"/>
          <w:sz w:val="20"/>
          <w:szCs w:val="20"/>
        </w:rPr>
        <w:t>(accessed Nov 2017)</w:t>
      </w:r>
    </w:p>
  </w:endnote>
  <w:endnote w:id="12">
    <w:p w14:paraId="69368AB4" w14:textId="77777777" w:rsidR="007A28F2" w:rsidRPr="008B7C4A" w:rsidRDefault="007A28F2" w:rsidP="00E35D9A">
      <w:pPr>
        <w:pStyle w:val="EndnoteText"/>
        <w:spacing w:after="120"/>
        <w:rPr>
          <w:rFonts w:asciiTheme="majorHAnsi" w:eastAsiaTheme="min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w:t>
      </w:r>
      <w:r w:rsidRPr="008B7C4A">
        <w:rPr>
          <w:rFonts w:asciiTheme="majorHAnsi" w:eastAsiaTheme="minorHAnsi" w:hAnsiTheme="majorHAnsi" w:cstheme="majorHAnsi"/>
          <w:color w:val="auto"/>
          <w:sz w:val="20"/>
          <w:szCs w:val="20"/>
          <w:lang w:val="en-US"/>
        </w:rPr>
        <w:t>Hua X, Lung TW, Palmer A Si L, Herman, WH, Clarke, P. How consistent is the relationship between improved glucose control and modelled health outcomes for people with Type 2 Diabetes Mellitus? a systematic review. Pharmacoeconomics. 2017; 35(3):319-329</w:t>
      </w:r>
    </w:p>
  </w:endnote>
  <w:endnote w:id="13">
    <w:p w14:paraId="3E088B49" w14:textId="41E40FD8" w:rsidR="007A28F2" w:rsidRPr="002D0773" w:rsidRDefault="007A28F2">
      <w:pPr>
        <w:pStyle w:val="EndnoteText"/>
        <w:rPr>
          <w:lang w:val="en-US"/>
        </w:rPr>
      </w:pPr>
      <w:r>
        <w:rPr>
          <w:rStyle w:val="EndnoteReference"/>
        </w:rPr>
        <w:endnoteRef/>
      </w:r>
      <w:r>
        <w:t xml:space="preserve"> </w:t>
      </w:r>
      <w:r>
        <w:rPr>
          <w:rFonts w:ascii="Segoe UI" w:hAnsi="Segoe UI" w:cs="Segoe UI"/>
          <w:color w:val="212121"/>
          <w:shd w:val="clear" w:color="auto" w:fill="FFFFFF"/>
        </w:rPr>
        <w:t>Smith D, Stephens M, Preston R, Hendrie D, Loller H, Tremlett M, Nugent A, Vaughan F, Crowther S, Boyle D, Buettner P, Biros E. Integrating pharmacists into Aboriginal Community Controlled Health Services (IPAC project): Protocol for an interventional, non-randomised study to improve chronic disease outcomes. Res Social Adm Pharm. 2020 Oct;16(10):1431-1441. doi: 10.1016/j.sapharm.2019.12.022. Epub 2019 Dec 26. PMID: 31983626.</w:t>
      </w:r>
    </w:p>
  </w:endnote>
  <w:endnote w:id="14">
    <w:p w14:paraId="679C57B8" w14:textId="77777777" w:rsidR="007A28F2" w:rsidRPr="008B7C4A" w:rsidRDefault="007A28F2" w:rsidP="001135FE">
      <w:pPr>
        <w:pStyle w:val="EndnoteText"/>
        <w:spacing w:after="120"/>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Couzos S, Smith D, Biros E. Integrated pharmacists in ACCHSs- Analysis of the assessment of clinical endpoints in Aboriginal and Torres Strait Islander patients with chronic disease (IPAC study). Draft Report to the PSA, April 2020.</w:t>
      </w:r>
    </w:p>
  </w:endnote>
  <w:endnote w:id="15">
    <w:p w14:paraId="4C3847B7" w14:textId="77777777" w:rsidR="007A28F2" w:rsidRPr="008B7C4A" w:rsidRDefault="007A28F2" w:rsidP="001135FE">
      <w:pPr>
        <w:pStyle w:val="Default"/>
        <w:spacing w:after="120" w:line="276" w:lineRule="auto"/>
        <w:rPr>
          <w:rFonts w:asciiTheme="majorHAnsi" w:hAnsiTheme="majorHAnsi" w:cstheme="majorHAnsi"/>
          <w:color w:val="auto"/>
          <w:sz w:val="20"/>
          <w:szCs w:val="20"/>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The Pharmacy Guild of Australia. Position Statement: Pharmacists in General Practice. </w:t>
      </w:r>
      <w:r w:rsidRPr="008B7C4A">
        <w:rPr>
          <w:rFonts w:asciiTheme="majorHAnsi" w:eastAsia="MS Mincho" w:hAnsiTheme="majorHAnsi" w:cstheme="majorHAnsi"/>
          <w:b/>
          <w:bCs/>
          <w:color w:val="auto"/>
          <w:sz w:val="20"/>
          <w:szCs w:val="20"/>
          <w:lang w:val="en-AU"/>
        </w:rPr>
        <w:t xml:space="preserve">Endorsed </w:t>
      </w:r>
      <w:r w:rsidRPr="008B7C4A">
        <w:rPr>
          <w:rFonts w:asciiTheme="majorHAnsi" w:eastAsia="MS Mincho" w:hAnsiTheme="majorHAnsi" w:cstheme="majorHAnsi"/>
          <w:color w:val="auto"/>
          <w:sz w:val="20"/>
          <w:szCs w:val="20"/>
        </w:rPr>
        <w:t xml:space="preserve">National Council – May 2019. Available online: </w:t>
      </w:r>
      <w:hyperlink r:id="rId2" w:history="1">
        <w:r w:rsidRPr="008B7C4A">
          <w:rPr>
            <w:rStyle w:val="Hyperlink"/>
            <w:rFonts w:asciiTheme="majorHAnsi" w:hAnsiTheme="majorHAnsi" w:cstheme="majorHAnsi"/>
            <w:szCs w:val="20"/>
          </w:rPr>
          <w:t>https://www.guild.org.au/__data/assets/pdf_file/0009/6120/Pharmacists-in-General-Practice-May-2019.pdf</w:t>
        </w:r>
      </w:hyperlink>
    </w:p>
  </w:endnote>
  <w:endnote w:id="16">
    <w:p w14:paraId="55A9A787" w14:textId="77777777" w:rsidR="007A28F2" w:rsidRPr="008B7C4A" w:rsidRDefault="007A28F2" w:rsidP="00972820">
      <w:pPr>
        <w:pStyle w:val="ListParagraph"/>
        <w:spacing w:after="120" w:line="276" w:lineRule="auto"/>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Tassone A: Could GP pharmacists worsen rural shortage. AJP 2018 </w:t>
      </w:r>
      <w:hyperlink r:id="rId3" w:history="1">
        <w:r w:rsidRPr="008B7C4A">
          <w:rPr>
            <w:rStyle w:val="Hyperlink"/>
            <w:rFonts w:asciiTheme="majorHAnsi" w:hAnsiTheme="majorHAnsi" w:cstheme="majorHAnsi"/>
            <w:szCs w:val="20"/>
          </w:rPr>
          <w:t>https://ajp.com.au/columns/talking-heads/could-gp-pharmacists-worsen-rural-shortage/</w:t>
        </w:r>
      </w:hyperlink>
    </w:p>
  </w:endnote>
  <w:endnote w:id="17">
    <w:p w14:paraId="2656628B" w14:textId="77777777" w:rsidR="007A28F2" w:rsidRPr="008B7C4A" w:rsidRDefault="007A28F2" w:rsidP="00A93680">
      <w:pPr>
        <w:pStyle w:val="EndnoteText"/>
        <w:rPr>
          <w:rFonts w:asciiTheme="majorHAnsi" w:hAnsiTheme="majorHAnsi" w:cstheme="majorHAnsi"/>
          <w:color w:val="auto"/>
          <w:sz w:val="20"/>
          <w:szCs w:val="20"/>
          <w:lang w:val="en-US"/>
        </w:rPr>
      </w:pPr>
      <w:r w:rsidRPr="008B7C4A">
        <w:rPr>
          <w:rStyle w:val="EndnoteReference"/>
          <w:rFonts w:asciiTheme="majorHAnsi" w:hAnsiTheme="majorHAnsi" w:cstheme="majorHAnsi"/>
          <w:color w:val="auto"/>
          <w:sz w:val="20"/>
          <w:szCs w:val="20"/>
        </w:rPr>
        <w:endnoteRef/>
      </w:r>
      <w:r w:rsidRPr="008B7C4A">
        <w:rPr>
          <w:rFonts w:asciiTheme="majorHAnsi" w:hAnsiTheme="majorHAnsi" w:cstheme="majorHAnsi"/>
          <w:color w:val="auto"/>
          <w:sz w:val="20"/>
          <w:szCs w:val="20"/>
        </w:rPr>
        <w:t xml:space="preserve"> Australian Government Services Australia. Closing the Gap – PBS Co-payment Measure. Accessed on 19/06/20 from: </w:t>
      </w:r>
      <w:hyperlink r:id="rId4" w:history="1">
        <w:r w:rsidRPr="008B7C4A">
          <w:rPr>
            <w:rStyle w:val="Hyperlink"/>
            <w:rFonts w:asciiTheme="majorHAnsi" w:hAnsiTheme="majorHAnsi" w:cstheme="majorHAnsi"/>
            <w:i w:val="0"/>
            <w:szCs w:val="20"/>
          </w:rPr>
          <w:t>https://www.servicesaustralia.gov.au/organisations/health-professionals/services/medicare/closing-gap-pbs-co-payment-measure</w:t>
        </w:r>
      </w:hyperlink>
    </w:p>
  </w:endnote>
  <w:endnote w:id="18">
    <w:p w14:paraId="18656B46" w14:textId="09362D42" w:rsidR="007A28F2" w:rsidRPr="008B7C4A" w:rsidRDefault="007A28F2" w:rsidP="001135FE">
      <w:pPr>
        <w:pStyle w:val="ListParagraph"/>
        <w:spacing w:after="120" w:line="276" w:lineRule="auto"/>
        <w:ind w:left="0"/>
        <w:jc w:val="left"/>
        <w:rPr>
          <w:rFonts w:asciiTheme="majorHAnsi" w:hAnsiTheme="majorHAnsi" w:cstheme="majorHAnsi"/>
          <w:sz w:val="20"/>
          <w:szCs w:val="20"/>
        </w:rPr>
      </w:pPr>
      <w:r w:rsidRPr="008B7C4A">
        <w:rPr>
          <w:rStyle w:val="EndnoteReference"/>
          <w:rFonts w:asciiTheme="majorHAnsi" w:hAnsiTheme="majorHAnsi" w:cstheme="majorHAnsi"/>
          <w:sz w:val="20"/>
          <w:szCs w:val="20"/>
        </w:rPr>
        <w:endnoteRef/>
      </w:r>
      <w:r w:rsidRPr="008B7C4A">
        <w:rPr>
          <w:rFonts w:asciiTheme="majorHAnsi" w:hAnsiTheme="majorHAnsi" w:cstheme="majorHAnsi"/>
          <w:sz w:val="20"/>
          <w:szCs w:val="20"/>
        </w:rPr>
        <w:t xml:space="preserve"> National Aboriginal Community Controlled Health Organisation.  NACCHO Vision Statement. Available from: </w:t>
      </w:r>
      <w:hyperlink r:id="rId5" w:history="1">
        <w:r w:rsidRPr="008B7C4A">
          <w:rPr>
            <w:rStyle w:val="Hyperlink"/>
            <w:rFonts w:asciiTheme="majorHAnsi" w:hAnsiTheme="majorHAnsi" w:cstheme="majorHAnsi"/>
            <w:szCs w:val="20"/>
          </w:rPr>
          <w:t>https://www.naccho.org.au/</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EF21" w14:textId="62C13AA6" w:rsidR="007A28F2" w:rsidRDefault="007A28F2">
    <w:pPr>
      <w:pStyle w:val="Footer"/>
    </w:pPr>
    <w:r w:rsidRPr="00B0730B">
      <w:rPr>
        <w:noProof/>
        <w:lang w:eastAsia="en-AU"/>
      </w:rPr>
      <w:drawing>
        <wp:anchor distT="0" distB="0" distL="114300" distR="114300" simplePos="0" relativeHeight="251658240" behindDoc="0" locked="0" layoutInCell="1" allowOverlap="1" wp14:anchorId="42902A2C" wp14:editId="16D620C7">
          <wp:simplePos x="0" y="0"/>
          <wp:positionH relativeFrom="page">
            <wp:align>right</wp:align>
          </wp:positionH>
          <wp:positionV relativeFrom="paragraph">
            <wp:posOffset>434051</wp:posOffset>
          </wp:positionV>
          <wp:extent cx="7740000" cy="294130"/>
          <wp:effectExtent l="0" t="0" r="0" b="0"/>
          <wp:wrapNone/>
          <wp:docPr id="5" name="Picture 6">
            <a:extLst xmlns:a="http://schemas.openxmlformats.org/drawingml/2006/main">
              <a:ext uri="{FF2B5EF4-FFF2-40B4-BE49-F238E27FC236}">
                <a16:creationId xmlns:a16="http://schemas.microsoft.com/office/drawing/2014/main" id="{5BD5AD65-BFC5-4744-8917-96B0085159D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5BD5AD65-BFC5-4744-8917-96B0085159DD}"/>
                      </a:ext>
                      <a:ext uri="{C183D7F6-B498-43B3-948B-1728B52AA6E4}">
                        <adec:decorative xmlns:adec="http://schemas.microsoft.com/office/drawing/2017/decorative" val="1"/>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61884" b="11460"/>
                  <a:stretch/>
                </pic:blipFill>
                <pic:spPr>
                  <a:xfrm>
                    <a:off x="0" y="0"/>
                    <a:ext cx="7740000" cy="2941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238909865"/>
      <w:docPartObj>
        <w:docPartGallery w:val="Page Numbers (Bottom of Page)"/>
        <w:docPartUnique/>
      </w:docPartObj>
    </w:sdtPr>
    <w:sdtEndPr>
      <w:rPr>
        <w:noProof/>
      </w:rPr>
    </w:sdtEndPr>
    <w:sdtContent>
      <w:p w14:paraId="68DCA3EE" w14:textId="59C9F298" w:rsidR="007A28F2" w:rsidRPr="0007601A" w:rsidRDefault="00113C44" w:rsidP="0007601A">
        <w:pPr>
          <w:tabs>
            <w:tab w:val="right" w:pos="9498"/>
          </w:tabs>
          <w:spacing w:line="240" w:lineRule="auto"/>
          <w:jc w:val="left"/>
          <w:rPr>
            <w:sz w:val="16"/>
            <w:szCs w:val="16"/>
          </w:rPr>
        </w:pPr>
        <w:r w:rsidRPr="00113C44">
          <w:rPr>
            <w:rFonts w:asciiTheme="majorHAnsi" w:hAnsiTheme="majorHAnsi" w:cstheme="majorHAnsi"/>
            <w:bCs/>
            <w:iCs/>
            <w:sz w:val="16"/>
            <w:szCs w:val="16"/>
          </w:rPr>
          <w:t>IPAC Project - Public Summary October 2021</w:t>
        </w:r>
        <w:r w:rsidR="007A28F2" w:rsidRPr="0007601A">
          <w:rPr>
            <w:rFonts w:asciiTheme="majorHAnsi" w:hAnsiTheme="majorHAnsi" w:cstheme="majorHAnsi"/>
            <w:bCs/>
            <w:iCs/>
            <w:sz w:val="16"/>
            <w:szCs w:val="16"/>
          </w:rPr>
          <w:tab/>
        </w:r>
        <w:r w:rsidR="007A28F2" w:rsidRPr="0007601A">
          <w:rPr>
            <w:sz w:val="16"/>
            <w:szCs w:val="16"/>
          </w:rPr>
          <w:fldChar w:fldCharType="begin"/>
        </w:r>
        <w:r w:rsidR="007A28F2" w:rsidRPr="0007601A">
          <w:rPr>
            <w:sz w:val="16"/>
            <w:szCs w:val="16"/>
          </w:rPr>
          <w:instrText xml:space="preserve"> PAGE   \* MERGEFORMAT </w:instrText>
        </w:r>
        <w:r w:rsidR="007A28F2" w:rsidRPr="0007601A">
          <w:rPr>
            <w:sz w:val="16"/>
            <w:szCs w:val="16"/>
          </w:rPr>
          <w:fldChar w:fldCharType="separate"/>
        </w:r>
        <w:r w:rsidR="00236528">
          <w:rPr>
            <w:noProof/>
            <w:sz w:val="16"/>
            <w:szCs w:val="16"/>
          </w:rPr>
          <w:t>12</w:t>
        </w:r>
        <w:r w:rsidR="007A28F2" w:rsidRPr="0007601A">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62A60" w14:textId="023EB5CE" w:rsidR="007A28F2" w:rsidRDefault="007A28F2">
    <w:pPr>
      <w:pStyle w:val="Footer"/>
    </w:pPr>
    <w:r w:rsidRPr="00DD2EA9">
      <w:rPr>
        <w:noProof/>
        <w:lang w:eastAsia="en-AU"/>
      </w:rPr>
      <w:drawing>
        <wp:anchor distT="0" distB="0" distL="114300" distR="114300" simplePos="0" relativeHeight="251653120" behindDoc="1" locked="0" layoutInCell="1" allowOverlap="1" wp14:anchorId="6C8BF92B" wp14:editId="2FB430B6">
          <wp:simplePos x="0" y="0"/>
          <wp:positionH relativeFrom="page">
            <wp:posOffset>-6985</wp:posOffset>
          </wp:positionH>
          <wp:positionV relativeFrom="page">
            <wp:posOffset>2809875</wp:posOffset>
          </wp:positionV>
          <wp:extent cx="7562850" cy="3846830"/>
          <wp:effectExtent l="19050" t="0" r="0" b="0"/>
          <wp:wrapNone/>
          <wp:docPr id="4"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850048"/>
                  </a:xfrm>
                  <a:prstGeom prst="rect">
                    <a:avLst/>
                  </a:prstGeom>
                </pic:spPr>
              </pic:pic>
            </a:graphicData>
          </a:graphic>
        </wp:anchor>
      </w:drawing>
    </w:r>
    <w:r>
      <w:rPr>
        <w:noProof/>
        <w:lang w:eastAsia="en-AU"/>
      </w:rPr>
      <w:drawing>
        <wp:anchor distT="0" distB="0" distL="114300" distR="114300" simplePos="0" relativeHeight="251652096" behindDoc="0" locked="0" layoutInCell="1" allowOverlap="1" wp14:anchorId="26ECD5F5" wp14:editId="4E17C0B9">
          <wp:simplePos x="0" y="0"/>
          <wp:positionH relativeFrom="page">
            <wp:posOffset>5278120</wp:posOffset>
          </wp:positionH>
          <wp:positionV relativeFrom="page">
            <wp:posOffset>9796780</wp:posOffset>
          </wp:positionV>
          <wp:extent cx="1791335" cy="299720"/>
          <wp:effectExtent l="19050" t="0" r="0" b="0"/>
          <wp:wrapNone/>
          <wp:docPr id="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335" cy="2997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EB70B" w14:textId="77777777" w:rsidR="007A28F2" w:rsidRDefault="007A28F2" w:rsidP="00F7746E">
      <w:r>
        <w:separator/>
      </w:r>
    </w:p>
  </w:footnote>
  <w:footnote w:type="continuationSeparator" w:id="0">
    <w:p w14:paraId="617654F8" w14:textId="77777777" w:rsidR="007A28F2" w:rsidRDefault="007A28F2" w:rsidP="00F7746E">
      <w:r>
        <w:continuationSeparator/>
      </w:r>
    </w:p>
  </w:footnote>
  <w:footnote w:type="continuationNotice" w:id="1">
    <w:p w14:paraId="77DEE04D" w14:textId="77777777" w:rsidR="007A28F2" w:rsidRDefault="007A28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0D4D" w14:textId="330475CF" w:rsidR="007A28F2" w:rsidRDefault="007A28F2" w:rsidP="007D3906">
    <w:pPr>
      <w:pStyle w:val="Header"/>
      <w:pBdr>
        <w:bottom w:val="none" w:sz="0" w:space="0" w:color="auto"/>
      </w:pBdr>
      <w:spacing w:before="240"/>
    </w:pPr>
    <w:r w:rsidRPr="001956E0">
      <w:rPr>
        <w:noProof/>
        <w:lang w:eastAsia="en-AU"/>
      </w:rPr>
      <w:drawing>
        <wp:anchor distT="0" distB="0" distL="114300" distR="114300" simplePos="0" relativeHeight="251685888" behindDoc="0" locked="0" layoutInCell="1" allowOverlap="1" wp14:anchorId="37BF9F6F" wp14:editId="121CB645">
          <wp:simplePos x="0" y="0"/>
          <wp:positionH relativeFrom="column">
            <wp:posOffset>-1140106</wp:posOffset>
          </wp:positionH>
          <wp:positionV relativeFrom="paragraph">
            <wp:posOffset>-521496</wp:posOffset>
          </wp:positionV>
          <wp:extent cx="7740000" cy="979291"/>
          <wp:effectExtent l="0" t="0" r="0" b="0"/>
          <wp:wrapNone/>
          <wp:docPr id="26" name="Content Placeholder 2">
            <a:extLst xmlns:a="http://schemas.openxmlformats.org/drawingml/2006/main">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Content Placeholder 2">
                    <a:extLst>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pic:cNvPr>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979291"/>
                  </a:xfrm>
                  <a:prstGeom prst="rect">
                    <a:avLst/>
                  </a:prstGeom>
                </pic:spPr>
              </pic:pic>
            </a:graphicData>
          </a:graphic>
          <wp14:sizeRelH relativeFrom="page">
            <wp14:pctWidth>0</wp14:pctWidth>
          </wp14:sizeRelH>
          <wp14:sizeRelV relativeFrom="page">
            <wp14:pctHeight>0</wp14:pctHeight>
          </wp14:sizeRelV>
        </wp:anchor>
      </w:drawing>
    </w:r>
    <w:r w:rsidRPr="001956E0">
      <w:rPr>
        <w:noProof/>
        <w:lang w:eastAsia="en-AU"/>
      </w:rPr>
      <w:drawing>
        <wp:anchor distT="0" distB="0" distL="114300" distR="114300" simplePos="0" relativeHeight="251657216" behindDoc="0" locked="0" layoutInCell="1" allowOverlap="1" wp14:anchorId="37BF9F6F" wp14:editId="728942D7">
          <wp:simplePos x="0" y="0"/>
          <wp:positionH relativeFrom="column">
            <wp:posOffset>-1140106</wp:posOffset>
          </wp:positionH>
          <wp:positionV relativeFrom="paragraph">
            <wp:posOffset>-521496</wp:posOffset>
          </wp:positionV>
          <wp:extent cx="7740000" cy="979291"/>
          <wp:effectExtent l="0" t="0" r="0" b="0"/>
          <wp:wrapNone/>
          <wp:docPr id="3" name="Content Placeholder 2">
            <a:extLst xmlns:a="http://schemas.openxmlformats.org/drawingml/2006/main">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Content Placeholder 2">
                    <a:extLst>
                      <a:ext uri="{FF2B5EF4-FFF2-40B4-BE49-F238E27FC236}">
                        <a16:creationId xmlns:a16="http://schemas.microsoft.com/office/drawing/2014/main" id="{130FC773-D026-464B-BAD6-D35E22C8E2DE}"/>
                      </a:ext>
                      <a:ext uri="{C183D7F6-B498-43B3-948B-1728B52AA6E4}">
                        <adec:decorative xmlns:adec="http://schemas.microsoft.com/office/drawing/2017/decorative" val="1"/>
                      </a:ext>
                    </a:extLst>
                  </pic:cNvPr>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9792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8040" w14:textId="2990F6AB" w:rsidR="007A28F2" w:rsidRDefault="007A2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ECE21" w14:textId="3953C9F3" w:rsidR="007A28F2" w:rsidRDefault="007A28F2" w:rsidP="00757D7F">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F6177" w14:textId="4CDF3214" w:rsidR="007A28F2" w:rsidRPr="00CB54AC" w:rsidRDefault="007A28F2" w:rsidP="00CB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31524"/>
    <w:multiLevelType w:val="hybridMultilevel"/>
    <w:tmpl w:val="A3E4FE4C"/>
    <w:lvl w:ilvl="0" w:tplc="74E4D38E">
      <w:start w:val="1"/>
      <w:numFmt w:val="bullet"/>
      <w:pStyle w:val="TableListBullet2"/>
      <w:lvlText w:val=""/>
      <w:lvlJc w:val="left"/>
      <w:pPr>
        <w:tabs>
          <w:tab w:val="num" w:pos="680"/>
        </w:tabs>
        <w:ind w:left="680" w:hanging="340"/>
      </w:pPr>
      <w:rPr>
        <w:rFonts w:ascii="Wingdings" w:hAnsi="Wingdings"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50DA3"/>
    <w:multiLevelType w:val="hybridMultilevel"/>
    <w:tmpl w:val="FE40A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52BE6"/>
    <w:multiLevelType w:val="hybridMultilevel"/>
    <w:tmpl w:val="A01E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5077E"/>
    <w:multiLevelType w:val="hybridMultilevel"/>
    <w:tmpl w:val="998E5B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F03986"/>
    <w:multiLevelType w:val="hybridMultilevel"/>
    <w:tmpl w:val="42C02D04"/>
    <w:lvl w:ilvl="0" w:tplc="4A867984">
      <w:start w:val="1"/>
      <w:numFmt w:val="bullet"/>
      <w:pStyle w:val="TableListBullet3"/>
      <w:lvlText w:val=""/>
      <w:lvlJc w:val="left"/>
      <w:pPr>
        <w:tabs>
          <w:tab w:val="num" w:pos="1021"/>
        </w:tabs>
        <w:ind w:left="1021" w:hanging="341"/>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FB6767"/>
    <w:multiLevelType w:val="multilevel"/>
    <w:tmpl w:val="3E8CEDCE"/>
    <w:styleLink w:val="ListNumbers"/>
    <w:lvl w:ilvl="0">
      <w:start w:val="1"/>
      <w:numFmt w:val="decimal"/>
      <w:lvlText w:val="%1."/>
      <w:lvlJc w:val="left"/>
      <w:pPr>
        <w:tabs>
          <w:tab w:val="num" w:pos="567"/>
        </w:tabs>
        <w:ind w:left="567" w:hanging="567"/>
      </w:pPr>
      <w:rPr>
        <w:rFonts w:ascii="Arial" w:hAnsi="Arial" w:hint="default"/>
        <w:dstrike w:val="0"/>
        <w:sz w:val="18"/>
        <w:vertAlign w:val="baseline"/>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Roman"/>
      <w:lvlText w:val="%5."/>
      <w:lvlJc w:val="left"/>
      <w:pPr>
        <w:tabs>
          <w:tab w:val="num" w:pos="2835"/>
        </w:tabs>
        <w:ind w:left="2835" w:hanging="567"/>
      </w:pPr>
      <w:rPr>
        <w:rFonts w:hint="default"/>
      </w:rPr>
    </w:lvl>
    <w:lvl w:ilvl="5">
      <w:start w:val="1"/>
      <w:numFmt w:val="none"/>
      <w:lvlText w:val=""/>
      <w:lvlJc w:val="left"/>
      <w:pPr>
        <w:tabs>
          <w:tab w:val="num" w:pos="2835"/>
        </w:tabs>
        <w:ind w:left="3402" w:hanging="567"/>
      </w:pPr>
      <w:rPr>
        <w:rFonts w:hint="default"/>
      </w:rPr>
    </w:lvl>
    <w:lvl w:ilvl="6">
      <w:start w:val="1"/>
      <w:numFmt w:val="none"/>
      <w:lvlText w:val=""/>
      <w:lvlJc w:val="left"/>
      <w:pPr>
        <w:tabs>
          <w:tab w:val="num" w:pos="3402"/>
        </w:tabs>
        <w:ind w:left="3969" w:hanging="567"/>
      </w:pPr>
      <w:rPr>
        <w:rFonts w:hint="default"/>
      </w:rPr>
    </w:lvl>
    <w:lvl w:ilvl="7">
      <w:start w:val="1"/>
      <w:numFmt w:val="none"/>
      <w:lvlText w:val=""/>
      <w:lvlJc w:val="left"/>
      <w:pPr>
        <w:tabs>
          <w:tab w:val="num" w:pos="3969"/>
        </w:tabs>
        <w:ind w:left="4536" w:hanging="567"/>
      </w:pPr>
      <w:rPr>
        <w:rFonts w:hint="default"/>
      </w:rPr>
    </w:lvl>
    <w:lvl w:ilvl="8">
      <w:start w:val="1"/>
      <w:numFmt w:val="none"/>
      <w:lvlText w:val=""/>
      <w:lvlJc w:val="left"/>
      <w:pPr>
        <w:tabs>
          <w:tab w:val="num" w:pos="4536"/>
        </w:tabs>
        <w:ind w:left="5103" w:hanging="567"/>
      </w:pPr>
      <w:rPr>
        <w:rFonts w:hint="default"/>
      </w:rPr>
    </w:lvl>
  </w:abstractNum>
  <w:abstractNum w:abstractNumId="7" w15:restartNumberingAfterBreak="0">
    <w:nsid w:val="0FEC7BFE"/>
    <w:multiLevelType w:val="hybridMultilevel"/>
    <w:tmpl w:val="84BEC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113B42"/>
    <w:multiLevelType w:val="singleLevel"/>
    <w:tmpl w:val="56CEB106"/>
    <w:lvl w:ilvl="0">
      <w:start w:val="1"/>
      <w:numFmt w:val="bullet"/>
      <w:pStyle w:val="Dash"/>
      <w:lvlText w:val="–"/>
      <w:lvlJc w:val="left"/>
      <w:pPr>
        <w:tabs>
          <w:tab w:val="num" w:pos="1800"/>
        </w:tabs>
        <w:ind w:left="1800" w:hanging="360"/>
      </w:pPr>
      <w:rPr>
        <w:rFonts w:ascii="Times New Roman" w:hAnsi="Times New Roman" w:hint="default"/>
        <w:sz w:val="20"/>
      </w:rPr>
    </w:lvl>
  </w:abstractNum>
  <w:abstractNum w:abstractNumId="9" w15:restartNumberingAfterBreak="0">
    <w:nsid w:val="190875E0"/>
    <w:multiLevelType w:val="hybridMultilevel"/>
    <w:tmpl w:val="E1065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D47418"/>
    <w:multiLevelType w:val="hybridMultilevel"/>
    <w:tmpl w:val="36E44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BD72D1"/>
    <w:multiLevelType w:val="hybridMultilevel"/>
    <w:tmpl w:val="C1461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8F0F34"/>
    <w:multiLevelType w:val="hybridMultilevel"/>
    <w:tmpl w:val="020845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C9178F"/>
    <w:multiLevelType w:val="hybridMultilevel"/>
    <w:tmpl w:val="1EFAE052"/>
    <w:lvl w:ilvl="0" w:tplc="85F8E0A0">
      <w:start w:val="1"/>
      <w:numFmt w:val="bullet"/>
      <w:pStyle w:val="TableListBullet"/>
      <w:lvlText w:val=""/>
      <w:lvlJc w:val="left"/>
      <w:pPr>
        <w:tabs>
          <w:tab w:val="num" w:pos="340"/>
        </w:tabs>
        <w:ind w:left="340" w:hanging="34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72A5C"/>
    <w:multiLevelType w:val="hybridMultilevel"/>
    <w:tmpl w:val="AB66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EB2219"/>
    <w:multiLevelType w:val="multilevel"/>
    <w:tmpl w:val="78D4B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F52415"/>
    <w:multiLevelType w:val="hybridMultilevel"/>
    <w:tmpl w:val="D0142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5C46D1"/>
    <w:multiLevelType w:val="hybridMultilevel"/>
    <w:tmpl w:val="DF545E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D153A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B52F65"/>
    <w:multiLevelType w:val="hybridMultilevel"/>
    <w:tmpl w:val="C2F8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30E84"/>
    <w:multiLevelType w:val="multilevel"/>
    <w:tmpl w:val="0ABC3114"/>
    <w:lvl w:ilvl="0">
      <w:start w:val="1"/>
      <w:numFmt w:val="none"/>
      <w:pStyle w:val="Note"/>
      <w:lvlText w:val="Note"/>
      <w:lvlJc w:val="left"/>
      <w:pPr>
        <w:tabs>
          <w:tab w:val="num" w:pos="567"/>
        </w:tabs>
        <w:ind w:left="567" w:hanging="567"/>
      </w:pPr>
      <w:rPr>
        <w:rFonts w:ascii="Arial" w:hAnsi="Arial" w:hint="default"/>
        <w:b/>
        <w:i w:val="0"/>
        <w:sz w:val="21"/>
      </w:rPr>
    </w:lvl>
    <w:lvl w:ilvl="1">
      <w:start w:val="1"/>
      <w:numFmt w:val="none"/>
      <w:pStyle w:val="Note2"/>
      <w:lvlText w:val="Note"/>
      <w:lvlJc w:val="left"/>
      <w:pPr>
        <w:tabs>
          <w:tab w:val="num" w:pos="1134"/>
        </w:tabs>
        <w:ind w:left="1134" w:hanging="567"/>
      </w:pPr>
      <w:rPr>
        <w:rFonts w:ascii="Arial" w:hAnsi="Arial" w:hint="default"/>
        <w:b/>
        <w:i w:val="0"/>
        <w:sz w:val="2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32CFB"/>
    <w:multiLevelType w:val="multilevel"/>
    <w:tmpl w:val="5406D448"/>
    <w:lvl w:ilvl="0">
      <w:start w:val="1"/>
      <w:numFmt w:val="decimal"/>
      <w:pStyle w:val="TableListNumber"/>
      <w:lvlText w:val="%1."/>
      <w:lvlJc w:val="left"/>
      <w:pPr>
        <w:tabs>
          <w:tab w:val="num" w:pos="340"/>
        </w:tabs>
        <w:ind w:left="340" w:hanging="340"/>
      </w:pPr>
      <w:rPr>
        <w:rFonts w:ascii="Arial" w:hAnsi="Arial" w:hint="default"/>
        <w:b w:val="0"/>
        <w:i w:val="0"/>
        <w:sz w:val="18"/>
      </w:rPr>
    </w:lvl>
    <w:lvl w:ilvl="1">
      <w:start w:val="1"/>
      <w:numFmt w:val="lowerLetter"/>
      <w:pStyle w:val="TableListNumber2"/>
      <w:lvlText w:val="%2)"/>
      <w:lvlJc w:val="left"/>
      <w:pPr>
        <w:ind w:left="680" w:hanging="340"/>
      </w:pPr>
      <w:rPr>
        <w:rFonts w:hint="default"/>
        <w:b w:val="0"/>
        <w:i w:val="0"/>
        <w:sz w:val="18"/>
      </w:rPr>
    </w:lvl>
    <w:lvl w:ilvl="2">
      <w:start w:val="1"/>
      <w:numFmt w:val="lowerRoman"/>
      <w:pStyle w:val="TableListNumber3"/>
      <w:lvlText w:val="%3."/>
      <w:lvlJc w:val="left"/>
      <w:pPr>
        <w:ind w:left="1021" w:hanging="341"/>
      </w:pPr>
      <w:rPr>
        <w:rFonts w:hint="default"/>
        <w:b w:val="0"/>
        <w:i w:val="0"/>
        <w:sz w:val="18"/>
      </w:rPr>
    </w:lvl>
    <w:lvl w:ilvl="3">
      <w:start w:val="1"/>
      <w:numFmt w:val="none"/>
      <w:lvlText w:val=""/>
      <w:lvlJc w:val="left"/>
      <w:pPr>
        <w:ind w:left="1361" w:hanging="340"/>
      </w:pPr>
      <w:rPr>
        <w:rFonts w:hint="default"/>
      </w:rPr>
    </w:lvl>
    <w:lvl w:ilvl="4">
      <w:start w:val="1"/>
      <w:numFmt w:val="none"/>
      <w:lvlText w:val=""/>
      <w:lvlJc w:val="left"/>
      <w:pPr>
        <w:ind w:left="1701" w:hanging="340"/>
      </w:pPr>
      <w:rPr>
        <w:rFonts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22" w15:restartNumberingAfterBreak="0">
    <w:nsid w:val="341E11FD"/>
    <w:multiLevelType w:val="hybridMultilevel"/>
    <w:tmpl w:val="9A4E0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BC0DC2"/>
    <w:multiLevelType w:val="hybridMultilevel"/>
    <w:tmpl w:val="0B922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4D1335"/>
    <w:multiLevelType w:val="multilevel"/>
    <w:tmpl w:val="D0C47154"/>
    <w:lvl w:ilvl="0">
      <w:start w:val="1"/>
      <w:numFmt w:val="decimal"/>
      <w:lvlText w:val="%1."/>
      <w:lvlJc w:val="left"/>
      <w:pPr>
        <w:ind w:left="360" w:hanging="360"/>
      </w:pPr>
      <w:rPr>
        <w:rFonts w:hint="default"/>
      </w:rPr>
    </w:lvl>
    <w:lvl w:ilvl="1">
      <w:start w:val="1"/>
      <w:numFmt w:val="decimal"/>
      <w:isLgl/>
      <w:lvlText w:val="%1.%2"/>
      <w:lvlJc w:val="left"/>
      <w:pPr>
        <w:ind w:left="462" w:hanging="430"/>
      </w:pPr>
      <w:rPr>
        <w:rFonts w:hint="default"/>
      </w:rPr>
    </w:lvl>
    <w:lvl w:ilvl="2">
      <w:start w:val="1"/>
      <w:numFmt w:val="decimal"/>
      <w:isLgl/>
      <w:lvlText w:val="%1.%2.%3"/>
      <w:lvlJc w:val="left"/>
      <w:pPr>
        <w:ind w:left="494" w:hanging="43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848" w:hanging="720"/>
      </w:pPr>
      <w:rPr>
        <w:rFonts w:hint="default"/>
      </w:rPr>
    </w:lvl>
    <w:lvl w:ilvl="5">
      <w:start w:val="1"/>
      <w:numFmt w:val="decimal"/>
      <w:isLgl/>
      <w:lvlText w:val="%1.%2.%3.%4.%5.%6"/>
      <w:lvlJc w:val="left"/>
      <w:pPr>
        <w:ind w:left="1240" w:hanging="1080"/>
      </w:pPr>
      <w:rPr>
        <w:rFonts w:hint="default"/>
      </w:rPr>
    </w:lvl>
    <w:lvl w:ilvl="6">
      <w:start w:val="1"/>
      <w:numFmt w:val="decimal"/>
      <w:isLgl/>
      <w:lvlText w:val="%1.%2.%3.%4.%5.%6.%7"/>
      <w:lvlJc w:val="left"/>
      <w:pPr>
        <w:ind w:left="1272" w:hanging="1080"/>
      </w:pPr>
      <w:rPr>
        <w:rFonts w:hint="default"/>
      </w:rPr>
    </w:lvl>
    <w:lvl w:ilvl="7">
      <w:start w:val="1"/>
      <w:numFmt w:val="decimal"/>
      <w:isLgl/>
      <w:lvlText w:val="%1.%2.%3.%4.%5.%6.%7.%8"/>
      <w:lvlJc w:val="left"/>
      <w:pPr>
        <w:ind w:left="1304" w:hanging="1080"/>
      </w:pPr>
      <w:rPr>
        <w:rFonts w:hint="default"/>
      </w:rPr>
    </w:lvl>
    <w:lvl w:ilvl="8">
      <w:start w:val="1"/>
      <w:numFmt w:val="decimal"/>
      <w:isLgl/>
      <w:lvlText w:val="%1.%2.%3.%4.%5.%6.%7.%8.%9"/>
      <w:lvlJc w:val="left"/>
      <w:pPr>
        <w:ind w:left="1696" w:hanging="1440"/>
      </w:pPr>
      <w:rPr>
        <w:rFonts w:hint="default"/>
      </w:rPr>
    </w:lvl>
  </w:abstractNum>
  <w:abstractNum w:abstractNumId="25" w15:restartNumberingAfterBreak="0">
    <w:nsid w:val="4231034C"/>
    <w:multiLevelType w:val="hybridMultilevel"/>
    <w:tmpl w:val="39E0BC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363061"/>
    <w:multiLevelType w:val="hybridMultilevel"/>
    <w:tmpl w:val="7DCED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D02BEA"/>
    <w:multiLevelType w:val="multilevel"/>
    <w:tmpl w:val="78D4B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BE5F54"/>
    <w:multiLevelType w:val="hybridMultilevel"/>
    <w:tmpl w:val="B0483A50"/>
    <w:lvl w:ilvl="0" w:tplc="0C09000F">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54BB5E3D"/>
    <w:multiLevelType w:val="hybridMultilevel"/>
    <w:tmpl w:val="F42CC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75283D"/>
    <w:multiLevelType w:val="multilevel"/>
    <w:tmpl w:val="BB2657EC"/>
    <w:lvl w:ilvl="0">
      <w:start w:val="1"/>
      <w:numFmt w:val="decimal"/>
      <w:pStyle w:val="ListNumber"/>
      <w:lvlText w:val="%1."/>
      <w:lvlJc w:val="left"/>
      <w:pPr>
        <w:tabs>
          <w:tab w:val="num" w:pos="567"/>
        </w:tabs>
        <w:ind w:left="567" w:hanging="567"/>
      </w:pPr>
      <w:rPr>
        <w:rFonts w:ascii="Arial" w:hAnsi="Arial" w:hint="default"/>
        <w:b w:val="0"/>
        <w:i w:val="0"/>
        <w:dstrike w:val="0"/>
        <w:color w:val="000000" w:themeColor="text1"/>
        <w:sz w:val="21"/>
        <w:vertAlign w:val="baseline"/>
      </w:rPr>
    </w:lvl>
    <w:lvl w:ilvl="1">
      <w:start w:val="1"/>
      <w:numFmt w:val="lowerLetter"/>
      <w:pStyle w:val="ListNumber2"/>
      <w:lvlText w:val="%2)"/>
      <w:lvlJc w:val="left"/>
      <w:pPr>
        <w:tabs>
          <w:tab w:val="num" w:pos="1134"/>
        </w:tabs>
        <w:ind w:left="1134" w:hanging="567"/>
      </w:pPr>
      <w:rPr>
        <w:rFonts w:hint="default"/>
        <w:b w:val="0"/>
        <w:i w:val="0"/>
        <w:sz w:val="21"/>
      </w:rPr>
    </w:lvl>
    <w:lvl w:ilvl="2">
      <w:start w:val="1"/>
      <w:numFmt w:val="lowerRoman"/>
      <w:pStyle w:val="ListNumber3"/>
      <w:lvlText w:val="%3."/>
      <w:lvlJc w:val="left"/>
      <w:pPr>
        <w:tabs>
          <w:tab w:val="num" w:pos="1701"/>
        </w:tabs>
        <w:ind w:left="1701" w:hanging="567"/>
      </w:pPr>
      <w:rPr>
        <w:rFonts w:hint="default"/>
        <w:sz w:val="21"/>
      </w:rPr>
    </w:lvl>
    <w:lvl w:ilvl="3">
      <w:start w:val="1"/>
      <w:numFmt w:val="upperLetter"/>
      <w:pStyle w:val="ListNumber4"/>
      <w:lvlText w:val="%4)"/>
      <w:lvlJc w:val="left"/>
      <w:pPr>
        <w:tabs>
          <w:tab w:val="num" w:pos="2268"/>
        </w:tabs>
        <w:ind w:left="2268" w:hanging="567"/>
      </w:pPr>
      <w:rPr>
        <w:rFonts w:hint="default"/>
      </w:rPr>
    </w:lvl>
    <w:lvl w:ilvl="4">
      <w:start w:val="1"/>
      <w:numFmt w:val="upperRoman"/>
      <w:pStyle w:val="ListNumber5"/>
      <w:lvlText w:val="%5."/>
      <w:lvlJc w:val="left"/>
      <w:pPr>
        <w:tabs>
          <w:tab w:val="num" w:pos="2835"/>
        </w:tabs>
        <w:ind w:left="2835" w:hanging="567"/>
      </w:pPr>
      <w:rPr>
        <w:rFonts w:hint="default"/>
      </w:rPr>
    </w:lvl>
    <w:lvl w:ilvl="5">
      <w:start w:val="1"/>
      <w:numFmt w:val="none"/>
      <w:lvlText w:val=""/>
      <w:lvlJc w:val="left"/>
      <w:pPr>
        <w:tabs>
          <w:tab w:val="num" w:pos="2835"/>
        </w:tabs>
        <w:ind w:left="3402" w:hanging="567"/>
      </w:pPr>
      <w:rPr>
        <w:rFonts w:hint="default"/>
      </w:rPr>
    </w:lvl>
    <w:lvl w:ilvl="6">
      <w:start w:val="1"/>
      <w:numFmt w:val="none"/>
      <w:lvlText w:val=""/>
      <w:lvlJc w:val="left"/>
      <w:pPr>
        <w:tabs>
          <w:tab w:val="num" w:pos="3402"/>
        </w:tabs>
        <w:ind w:left="3969" w:hanging="567"/>
      </w:pPr>
      <w:rPr>
        <w:rFonts w:hint="default"/>
      </w:rPr>
    </w:lvl>
    <w:lvl w:ilvl="7">
      <w:start w:val="1"/>
      <w:numFmt w:val="none"/>
      <w:lvlText w:val=""/>
      <w:lvlJc w:val="left"/>
      <w:pPr>
        <w:tabs>
          <w:tab w:val="num" w:pos="3969"/>
        </w:tabs>
        <w:ind w:left="4536" w:hanging="567"/>
      </w:pPr>
      <w:rPr>
        <w:rFonts w:hint="default"/>
      </w:rPr>
    </w:lvl>
    <w:lvl w:ilvl="8">
      <w:start w:val="1"/>
      <w:numFmt w:val="none"/>
      <w:lvlText w:val=""/>
      <w:lvlJc w:val="left"/>
      <w:pPr>
        <w:tabs>
          <w:tab w:val="num" w:pos="4536"/>
        </w:tabs>
        <w:ind w:left="5103" w:hanging="567"/>
      </w:pPr>
      <w:rPr>
        <w:rFonts w:hint="default"/>
      </w:rPr>
    </w:lvl>
  </w:abstractNum>
  <w:abstractNum w:abstractNumId="31" w15:restartNumberingAfterBreak="0">
    <w:nsid w:val="5C09187A"/>
    <w:multiLevelType w:val="hybridMultilevel"/>
    <w:tmpl w:val="DC66E4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2106E7"/>
    <w:multiLevelType w:val="multilevel"/>
    <w:tmpl w:val="2F96079A"/>
    <w:lvl w:ilvl="0">
      <w:start w:val="1"/>
      <w:numFmt w:val="bullet"/>
      <w:pStyle w:val="ListBullet"/>
      <w:lvlText w:val=""/>
      <w:lvlJc w:val="left"/>
      <w:pPr>
        <w:tabs>
          <w:tab w:val="num" w:pos="567"/>
        </w:tabs>
        <w:ind w:left="567" w:hanging="567"/>
      </w:pPr>
      <w:rPr>
        <w:rFonts w:ascii="Wingdings" w:hAnsi="Wingdings" w:hint="default"/>
        <w:color w:val="auto"/>
        <w:sz w:val="24"/>
      </w:rPr>
    </w:lvl>
    <w:lvl w:ilvl="1">
      <w:start w:val="1"/>
      <w:numFmt w:val="bullet"/>
      <w:lvlRestart w:val="0"/>
      <w:pStyle w:val="ListBullet2"/>
      <w:lvlText w:val=""/>
      <w:lvlJc w:val="left"/>
      <w:pPr>
        <w:tabs>
          <w:tab w:val="num" w:pos="1134"/>
        </w:tabs>
        <w:ind w:left="1134" w:hanging="567"/>
      </w:pPr>
      <w:rPr>
        <w:rFonts w:ascii="Wingdings" w:hAnsi="Wingdings" w:hint="default"/>
        <w:sz w:val="20"/>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w:hAnsi="Wingdings"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762713"/>
    <w:multiLevelType w:val="hybridMultilevel"/>
    <w:tmpl w:val="60566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180BE7"/>
    <w:multiLevelType w:val="hybridMultilevel"/>
    <w:tmpl w:val="A0381A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A272DA"/>
    <w:multiLevelType w:val="hybridMultilevel"/>
    <w:tmpl w:val="16308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D8226E"/>
    <w:multiLevelType w:val="multilevel"/>
    <w:tmpl w:val="CF6CF7EE"/>
    <w:lvl w:ilvl="0">
      <w:start w:val="1"/>
      <w:numFmt w:val="none"/>
      <w:suff w:val="nothing"/>
      <w:lvlText w:val="%1"/>
      <w:lvlJc w:val="left"/>
      <w:pPr>
        <w:ind w:left="0" w:firstLine="0"/>
      </w:pPr>
      <w:rPr>
        <w:rFonts w:hint="default"/>
      </w:rPr>
    </w:lvl>
    <w:lvl w:ilvl="1">
      <w:start w:val="1"/>
      <w:numFmt w:val="none"/>
      <w:lvlRestart w:val="0"/>
      <w:pStyle w:val="Heading2"/>
      <w:suff w:val="nothing"/>
      <w:lvlText w:val="%1"/>
      <w:lvlJc w:val="left"/>
      <w:pPr>
        <w:ind w:left="0" w:firstLine="0"/>
      </w:pPr>
      <w:rPr>
        <w:rFonts w:hint="default"/>
      </w:rPr>
    </w:lvl>
    <w:lvl w:ilvl="2">
      <w:start w:val="1"/>
      <w:numFmt w:val="none"/>
      <w:lvlRestart w:val="0"/>
      <w:pStyle w:val="Heading3"/>
      <w:suff w:val="nothing"/>
      <w:lvlText w:val="%1"/>
      <w:lvlJc w:val="left"/>
      <w:pPr>
        <w:ind w:left="0" w:firstLine="0"/>
      </w:pPr>
      <w:rPr>
        <w:rFonts w:hint="default"/>
      </w:rPr>
    </w:lvl>
    <w:lvl w:ilvl="3">
      <w:start w:val="1"/>
      <w:numFmt w:val="none"/>
      <w:lvlRestart w:val="0"/>
      <w:pStyle w:val="Heading4"/>
      <w:suff w:val="nothing"/>
      <w:lvlText w:val="%1"/>
      <w:lvlJc w:val="left"/>
      <w:pPr>
        <w:ind w:left="0" w:firstLine="0"/>
      </w:pPr>
      <w:rPr>
        <w:rFonts w:hint="default"/>
      </w:rPr>
    </w:lvl>
    <w:lvl w:ilvl="4">
      <w:start w:val="1"/>
      <w:numFmt w:val="none"/>
      <w:lvlRestart w:val="0"/>
      <w:pStyle w:val="Heading5"/>
      <w:suff w:val="nothing"/>
      <w:lvlText w:val="%1"/>
      <w:lvlJc w:val="left"/>
      <w:pPr>
        <w:ind w:left="0" w:firstLine="0"/>
      </w:pPr>
      <w:rPr>
        <w:rFonts w:hint="default"/>
      </w:rPr>
    </w:lvl>
    <w:lvl w:ilvl="5">
      <w:start w:val="1"/>
      <w:numFmt w:val="none"/>
      <w:lvlRestart w:val="0"/>
      <w:pStyle w:val="Heading6"/>
      <w:suff w:val="nothing"/>
      <w:lvlText w:val=""/>
      <w:lvlJc w:val="left"/>
      <w:pPr>
        <w:ind w:left="0" w:firstLine="0"/>
      </w:pPr>
      <w:rPr>
        <w:rFonts w:ascii="Verdana" w:hAnsi="Verdana" w:hint="default"/>
        <w:b/>
        <w:i w:val="0"/>
        <w:sz w:val="20"/>
      </w:rPr>
    </w:lvl>
    <w:lvl w:ilvl="6">
      <w:start w:val="1"/>
      <w:numFmt w:val="none"/>
      <w:lvlRestart w:val="0"/>
      <w:pStyle w:val="Heading7"/>
      <w:suff w:val="nothing"/>
      <w:lvlText w:val=""/>
      <w:lvlJc w:val="left"/>
      <w:pPr>
        <w:ind w:left="0" w:firstLine="0"/>
      </w:pPr>
      <w:rPr>
        <w:rFonts w:ascii="Verdana" w:hAnsi="Verdana" w:hint="default"/>
        <w:b w:val="0"/>
        <w:i/>
        <w:sz w:val="20"/>
      </w:rPr>
    </w:lvl>
    <w:lvl w:ilvl="7">
      <w:start w:val="1"/>
      <w:numFmt w:val="none"/>
      <w:lvlRestart w:val="0"/>
      <w:pStyle w:val="Heading8"/>
      <w:suff w:val="nothing"/>
      <w:lvlText w:val=""/>
      <w:lvlJc w:val="left"/>
      <w:pPr>
        <w:ind w:left="0" w:firstLine="0"/>
      </w:pPr>
      <w:rPr>
        <w:rFonts w:ascii="Verdana" w:hAnsi="Verdana" w:hint="default"/>
        <w:b/>
        <w:i w:val="0"/>
        <w:sz w:val="18"/>
      </w:rPr>
    </w:lvl>
    <w:lvl w:ilvl="8">
      <w:start w:val="1"/>
      <w:numFmt w:val="none"/>
      <w:lvlRestart w:val="0"/>
      <w:pStyle w:val="Heading9"/>
      <w:suff w:val="nothing"/>
      <w:lvlText w:val=""/>
      <w:lvlJc w:val="left"/>
      <w:pPr>
        <w:ind w:left="0" w:firstLine="0"/>
      </w:pPr>
      <w:rPr>
        <w:rFonts w:ascii="Verdana" w:hAnsi="Verdana" w:hint="default"/>
        <w:b/>
        <w:i/>
        <w:sz w:val="18"/>
      </w:rPr>
    </w:lvl>
  </w:abstractNum>
  <w:num w:numId="1">
    <w:abstractNumId w:val="36"/>
  </w:num>
  <w:num w:numId="2">
    <w:abstractNumId w:val="32"/>
  </w:num>
  <w:num w:numId="3">
    <w:abstractNumId w:val="6"/>
  </w:num>
  <w:num w:numId="4">
    <w:abstractNumId w:val="20"/>
  </w:num>
  <w:num w:numId="5">
    <w:abstractNumId w:val="13"/>
  </w:num>
  <w:num w:numId="6">
    <w:abstractNumId w:val="1"/>
  </w:num>
  <w:num w:numId="7">
    <w:abstractNumId w:val="5"/>
  </w:num>
  <w:num w:numId="8">
    <w:abstractNumId w:val="21"/>
  </w:num>
  <w:num w:numId="9">
    <w:abstractNumId w:val="30"/>
  </w:num>
  <w:num w:numId="10">
    <w:abstractNumId w:val="35"/>
  </w:num>
  <w:num w:numId="11">
    <w:abstractNumId w:val="2"/>
  </w:num>
  <w:num w:numId="12">
    <w:abstractNumId w:val="16"/>
  </w:num>
  <w:num w:numId="13">
    <w:abstractNumId w:val="9"/>
  </w:num>
  <w:num w:numId="14">
    <w:abstractNumId w:val="23"/>
  </w:num>
  <w:num w:numId="15">
    <w:abstractNumId w:val="17"/>
  </w:num>
  <w:num w:numId="16">
    <w:abstractNumId w:val="4"/>
  </w:num>
  <w:num w:numId="17">
    <w:abstractNumId w:val="12"/>
  </w:num>
  <w:num w:numId="18">
    <w:abstractNumId w:val="26"/>
  </w:num>
  <w:num w:numId="19">
    <w:abstractNumId w:val="34"/>
  </w:num>
  <w:num w:numId="20">
    <w:abstractNumId w:val="3"/>
  </w:num>
  <w:num w:numId="21">
    <w:abstractNumId w:val="36"/>
  </w:num>
  <w:num w:numId="22">
    <w:abstractNumId w:val="8"/>
  </w:num>
  <w:num w:numId="23">
    <w:abstractNumId w:val="28"/>
  </w:num>
  <w:num w:numId="24">
    <w:abstractNumId w:val="29"/>
  </w:num>
  <w:num w:numId="25">
    <w:abstractNumId w:val="0"/>
  </w:num>
  <w:num w:numId="26">
    <w:abstractNumId w:val="7"/>
  </w:num>
  <w:num w:numId="27">
    <w:abstractNumId w:val="11"/>
  </w:num>
  <w:num w:numId="28">
    <w:abstractNumId w:val="33"/>
  </w:num>
  <w:num w:numId="29">
    <w:abstractNumId w:val="24"/>
  </w:num>
  <w:num w:numId="30">
    <w:abstractNumId w:val="18"/>
  </w:num>
  <w:num w:numId="31">
    <w:abstractNumId w:val="27"/>
  </w:num>
  <w:num w:numId="32">
    <w:abstractNumId w:val="22"/>
  </w:num>
  <w:num w:numId="33">
    <w:abstractNumId w:val="31"/>
  </w:num>
  <w:num w:numId="34">
    <w:abstractNumId w:val="10"/>
  </w:num>
  <w:num w:numId="35">
    <w:abstractNumId w:val="15"/>
  </w:num>
  <w:num w:numId="36">
    <w:abstractNumId w:val="14"/>
  </w:num>
  <w:num w:numId="37">
    <w:abstractNumId w:val="25"/>
  </w:num>
  <w:num w:numId="38">
    <w:abstractNumId w:val="36"/>
  </w:num>
  <w:num w:numId="39">
    <w:abstractNumId w:val="36"/>
  </w:num>
  <w:num w:numId="4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5"/>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橄ㄴ弈ؔͧ찔㈇"/>
    <w:docVar w:name="ShowDynamicGuides" w:val="w:docVa"/>
    <w:docVar w:name="ShowMarginGuides" w:val="栜ㄴͧ哐ґӤင뺘㈇Ɇ`Ѐ譀͸谀͸"/>
    <w:docVar w:name="ShowStaticGuides" w:val="&lt;"/>
  </w:docVars>
  <w:rsids>
    <w:rsidRoot w:val="00995BB3"/>
    <w:rsid w:val="0000003F"/>
    <w:rsid w:val="00000F0D"/>
    <w:rsid w:val="00002085"/>
    <w:rsid w:val="00002EEB"/>
    <w:rsid w:val="000032EC"/>
    <w:rsid w:val="00003531"/>
    <w:rsid w:val="00003B03"/>
    <w:rsid w:val="00004680"/>
    <w:rsid w:val="00005100"/>
    <w:rsid w:val="000051B5"/>
    <w:rsid w:val="0000601D"/>
    <w:rsid w:val="00010DC7"/>
    <w:rsid w:val="000113A2"/>
    <w:rsid w:val="0001176F"/>
    <w:rsid w:val="00011C1C"/>
    <w:rsid w:val="00012264"/>
    <w:rsid w:val="00012973"/>
    <w:rsid w:val="000132CC"/>
    <w:rsid w:val="000145DD"/>
    <w:rsid w:val="00015022"/>
    <w:rsid w:val="00015145"/>
    <w:rsid w:val="00016C1F"/>
    <w:rsid w:val="00016D63"/>
    <w:rsid w:val="00017063"/>
    <w:rsid w:val="0001760F"/>
    <w:rsid w:val="000179F1"/>
    <w:rsid w:val="0002162A"/>
    <w:rsid w:val="00023648"/>
    <w:rsid w:val="0002420F"/>
    <w:rsid w:val="00025BA3"/>
    <w:rsid w:val="00026F2B"/>
    <w:rsid w:val="00027E66"/>
    <w:rsid w:val="00031AEE"/>
    <w:rsid w:val="00032230"/>
    <w:rsid w:val="0003249E"/>
    <w:rsid w:val="00032741"/>
    <w:rsid w:val="00033221"/>
    <w:rsid w:val="00033239"/>
    <w:rsid w:val="00033634"/>
    <w:rsid w:val="000344A0"/>
    <w:rsid w:val="0003464E"/>
    <w:rsid w:val="00036E69"/>
    <w:rsid w:val="00037237"/>
    <w:rsid w:val="000414E5"/>
    <w:rsid w:val="00041642"/>
    <w:rsid w:val="000417D1"/>
    <w:rsid w:val="00041EA4"/>
    <w:rsid w:val="0004201C"/>
    <w:rsid w:val="0004210C"/>
    <w:rsid w:val="00042839"/>
    <w:rsid w:val="00042C9B"/>
    <w:rsid w:val="000435A2"/>
    <w:rsid w:val="00043CAD"/>
    <w:rsid w:val="00044F39"/>
    <w:rsid w:val="00044FAB"/>
    <w:rsid w:val="00045B08"/>
    <w:rsid w:val="00050115"/>
    <w:rsid w:val="00050BB7"/>
    <w:rsid w:val="0005255F"/>
    <w:rsid w:val="00053370"/>
    <w:rsid w:val="000543F7"/>
    <w:rsid w:val="000555BA"/>
    <w:rsid w:val="00055F0D"/>
    <w:rsid w:val="0005678A"/>
    <w:rsid w:val="0005690F"/>
    <w:rsid w:val="00057971"/>
    <w:rsid w:val="00057AFE"/>
    <w:rsid w:val="00057E36"/>
    <w:rsid w:val="000605DA"/>
    <w:rsid w:val="00060A9F"/>
    <w:rsid w:val="00061272"/>
    <w:rsid w:val="00061394"/>
    <w:rsid w:val="00061894"/>
    <w:rsid w:val="00062B74"/>
    <w:rsid w:val="000631BF"/>
    <w:rsid w:val="0006448D"/>
    <w:rsid w:val="0006454B"/>
    <w:rsid w:val="000649A8"/>
    <w:rsid w:val="0006523F"/>
    <w:rsid w:val="000660C1"/>
    <w:rsid w:val="00066E90"/>
    <w:rsid w:val="00067772"/>
    <w:rsid w:val="00067CF9"/>
    <w:rsid w:val="00070645"/>
    <w:rsid w:val="00070DDB"/>
    <w:rsid w:val="00071C0D"/>
    <w:rsid w:val="00072F1C"/>
    <w:rsid w:val="000731E6"/>
    <w:rsid w:val="0007334C"/>
    <w:rsid w:val="0007601A"/>
    <w:rsid w:val="000766D6"/>
    <w:rsid w:val="000772E3"/>
    <w:rsid w:val="00083769"/>
    <w:rsid w:val="00084965"/>
    <w:rsid w:val="00084DE8"/>
    <w:rsid w:val="00085169"/>
    <w:rsid w:val="00085DC2"/>
    <w:rsid w:val="000869D0"/>
    <w:rsid w:val="00087221"/>
    <w:rsid w:val="00087295"/>
    <w:rsid w:val="00087B28"/>
    <w:rsid w:val="00087D29"/>
    <w:rsid w:val="0009096A"/>
    <w:rsid w:val="0009101C"/>
    <w:rsid w:val="00092A7B"/>
    <w:rsid w:val="00092B04"/>
    <w:rsid w:val="00093625"/>
    <w:rsid w:val="0009548A"/>
    <w:rsid w:val="0009617A"/>
    <w:rsid w:val="000968CC"/>
    <w:rsid w:val="00097C9E"/>
    <w:rsid w:val="000A19EF"/>
    <w:rsid w:val="000A1A2B"/>
    <w:rsid w:val="000A3FDE"/>
    <w:rsid w:val="000B0281"/>
    <w:rsid w:val="000B1244"/>
    <w:rsid w:val="000B2013"/>
    <w:rsid w:val="000B2593"/>
    <w:rsid w:val="000B263C"/>
    <w:rsid w:val="000B376C"/>
    <w:rsid w:val="000B5198"/>
    <w:rsid w:val="000B6D64"/>
    <w:rsid w:val="000B7851"/>
    <w:rsid w:val="000B7A52"/>
    <w:rsid w:val="000C0B5D"/>
    <w:rsid w:val="000C1B6E"/>
    <w:rsid w:val="000C2D39"/>
    <w:rsid w:val="000C2FBE"/>
    <w:rsid w:val="000C47AC"/>
    <w:rsid w:val="000C5861"/>
    <w:rsid w:val="000D1558"/>
    <w:rsid w:val="000D18A9"/>
    <w:rsid w:val="000D27DA"/>
    <w:rsid w:val="000D2828"/>
    <w:rsid w:val="000D2980"/>
    <w:rsid w:val="000D3155"/>
    <w:rsid w:val="000D3454"/>
    <w:rsid w:val="000D5C4E"/>
    <w:rsid w:val="000D5FFC"/>
    <w:rsid w:val="000D61F8"/>
    <w:rsid w:val="000D6606"/>
    <w:rsid w:val="000D6D45"/>
    <w:rsid w:val="000D7586"/>
    <w:rsid w:val="000D7CF2"/>
    <w:rsid w:val="000E0A4E"/>
    <w:rsid w:val="000E1218"/>
    <w:rsid w:val="000E123C"/>
    <w:rsid w:val="000E13AA"/>
    <w:rsid w:val="000E1CCC"/>
    <w:rsid w:val="000E3A94"/>
    <w:rsid w:val="000E7024"/>
    <w:rsid w:val="000E71DB"/>
    <w:rsid w:val="000F1441"/>
    <w:rsid w:val="000F14BD"/>
    <w:rsid w:val="000F265F"/>
    <w:rsid w:val="000F3B33"/>
    <w:rsid w:val="000F3BE1"/>
    <w:rsid w:val="000F5121"/>
    <w:rsid w:val="000F5875"/>
    <w:rsid w:val="000F6DF9"/>
    <w:rsid w:val="000F6FF0"/>
    <w:rsid w:val="000F71F0"/>
    <w:rsid w:val="000F74E5"/>
    <w:rsid w:val="000F7CA0"/>
    <w:rsid w:val="001004F4"/>
    <w:rsid w:val="001005DA"/>
    <w:rsid w:val="001011F2"/>
    <w:rsid w:val="00101228"/>
    <w:rsid w:val="00101E75"/>
    <w:rsid w:val="001021BB"/>
    <w:rsid w:val="00102880"/>
    <w:rsid w:val="00102AA9"/>
    <w:rsid w:val="00102B4C"/>
    <w:rsid w:val="001055DA"/>
    <w:rsid w:val="001069E6"/>
    <w:rsid w:val="00106B4F"/>
    <w:rsid w:val="00106D5A"/>
    <w:rsid w:val="00107373"/>
    <w:rsid w:val="00107E2E"/>
    <w:rsid w:val="00110580"/>
    <w:rsid w:val="00110F86"/>
    <w:rsid w:val="001116C7"/>
    <w:rsid w:val="00112229"/>
    <w:rsid w:val="001135FE"/>
    <w:rsid w:val="001137A2"/>
    <w:rsid w:val="001139E9"/>
    <w:rsid w:val="00113C44"/>
    <w:rsid w:val="00113D22"/>
    <w:rsid w:val="001145FF"/>
    <w:rsid w:val="0011491D"/>
    <w:rsid w:val="001156A1"/>
    <w:rsid w:val="00115AD2"/>
    <w:rsid w:val="00116330"/>
    <w:rsid w:val="00116AF6"/>
    <w:rsid w:val="00116FF6"/>
    <w:rsid w:val="0011797B"/>
    <w:rsid w:val="001215D3"/>
    <w:rsid w:val="00121796"/>
    <w:rsid w:val="00121948"/>
    <w:rsid w:val="001223E8"/>
    <w:rsid w:val="00122CE9"/>
    <w:rsid w:val="00122D05"/>
    <w:rsid w:val="001246E9"/>
    <w:rsid w:val="00125440"/>
    <w:rsid w:val="001300D2"/>
    <w:rsid w:val="001301B7"/>
    <w:rsid w:val="00130A22"/>
    <w:rsid w:val="001313E7"/>
    <w:rsid w:val="001331DD"/>
    <w:rsid w:val="001332D5"/>
    <w:rsid w:val="00133E5C"/>
    <w:rsid w:val="00134CCE"/>
    <w:rsid w:val="00134FFE"/>
    <w:rsid w:val="001353B7"/>
    <w:rsid w:val="00135DAD"/>
    <w:rsid w:val="00136B2B"/>
    <w:rsid w:val="00140205"/>
    <w:rsid w:val="00141E12"/>
    <w:rsid w:val="00141F1B"/>
    <w:rsid w:val="001428A4"/>
    <w:rsid w:val="00142ECD"/>
    <w:rsid w:val="00143783"/>
    <w:rsid w:val="00145C11"/>
    <w:rsid w:val="00145EA7"/>
    <w:rsid w:val="00146A25"/>
    <w:rsid w:val="00146AC6"/>
    <w:rsid w:val="00147AAC"/>
    <w:rsid w:val="0015049A"/>
    <w:rsid w:val="00150F18"/>
    <w:rsid w:val="00151AAA"/>
    <w:rsid w:val="00152054"/>
    <w:rsid w:val="00152288"/>
    <w:rsid w:val="00153318"/>
    <w:rsid w:val="001555DB"/>
    <w:rsid w:val="00155C70"/>
    <w:rsid w:val="00156C5D"/>
    <w:rsid w:val="00156F73"/>
    <w:rsid w:val="00161184"/>
    <w:rsid w:val="00161BA5"/>
    <w:rsid w:val="00161E32"/>
    <w:rsid w:val="001630B0"/>
    <w:rsid w:val="001634C8"/>
    <w:rsid w:val="00164471"/>
    <w:rsid w:val="0016694E"/>
    <w:rsid w:val="0016745D"/>
    <w:rsid w:val="00167A70"/>
    <w:rsid w:val="001702EE"/>
    <w:rsid w:val="00170AB3"/>
    <w:rsid w:val="00171784"/>
    <w:rsid w:val="0017226C"/>
    <w:rsid w:val="00173329"/>
    <w:rsid w:val="0017375D"/>
    <w:rsid w:val="0017473D"/>
    <w:rsid w:val="0017711E"/>
    <w:rsid w:val="00177206"/>
    <w:rsid w:val="00177481"/>
    <w:rsid w:val="0018139E"/>
    <w:rsid w:val="00181D86"/>
    <w:rsid w:val="00181FF2"/>
    <w:rsid w:val="0018223F"/>
    <w:rsid w:val="00182580"/>
    <w:rsid w:val="00183739"/>
    <w:rsid w:val="00183C99"/>
    <w:rsid w:val="00186D3F"/>
    <w:rsid w:val="00186ED3"/>
    <w:rsid w:val="00187838"/>
    <w:rsid w:val="00190707"/>
    <w:rsid w:val="001924DA"/>
    <w:rsid w:val="0019313F"/>
    <w:rsid w:val="0019319C"/>
    <w:rsid w:val="00195555"/>
    <w:rsid w:val="00195560"/>
    <w:rsid w:val="00196A6F"/>
    <w:rsid w:val="001A0373"/>
    <w:rsid w:val="001A0960"/>
    <w:rsid w:val="001A0F29"/>
    <w:rsid w:val="001A14C3"/>
    <w:rsid w:val="001A1816"/>
    <w:rsid w:val="001A2447"/>
    <w:rsid w:val="001A7BC9"/>
    <w:rsid w:val="001B20EA"/>
    <w:rsid w:val="001B25B6"/>
    <w:rsid w:val="001B3809"/>
    <w:rsid w:val="001B3B2F"/>
    <w:rsid w:val="001B4B7D"/>
    <w:rsid w:val="001B7769"/>
    <w:rsid w:val="001B7A59"/>
    <w:rsid w:val="001B7A7E"/>
    <w:rsid w:val="001B7E10"/>
    <w:rsid w:val="001B7F26"/>
    <w:rsid w:val="001C020C"/>
    <w:rsid w:val="001C1568"/>
    <w:rsid w:val="001C18FB"/>
    <w:rsid w:val="001C2C8E"/>
    <w:rsid w:val="001C377E"/>
    <w:rsid w:val="001C4D19"/>
    <w:rsid w:val="001C4EA0"/>
    <w:rsid w:val="001C512E"/>
    <w:rsid w:val="001C630E"/>
    <w:rsid w:val="001D04BE"/>
    <w:rsid w:val="001D0D00"/>
    <w:rsid w:val="001D0E41"/>
    <w:rsid w:val="001D1A95"/>
    <w:rsid w:val="001D294B"/>
    <w:rsid w:val="001D4176"/>
    <w:rsid w:val="001D4DF7"/>
    <w:rsid w:val="001D529E"/>
    <w:rsid w:val="001D5D84"/>
    <w:rsid w:val="001D6755"/>
    <w:rsid w:val="001D734D"/>
    <w:rsid w:val="001D7E10"/>
    <w:rsid w:val="001D7F60"/>
    <w:rsid w:val="001E014D"/>
    <w:rsid w:val="001E085D"/>
    <w:rsid w:val="001E0F82"/>
    <w:rsid w:val="001E2ED6"/>
    <w:rsid w:val="001E31AD"/>
    <w:rsid w:val="001E48B8"/>
    <w:rsid w:val="001E67CA"/>
    <w:rsid w:val="001E795F"/>
    <w:rsid w:val="001F08A4"/>
    <w:rsid w:val="001F1389"/>
    <w:rsid w:val="001F19CC"/>
    <w:rsid w:val="001F26F8"/>
    <w:rsid w:val="001F33D3"/>
    <w:rsid w:val="001F3B5B"/>
    <w:rsid w:val="001F4331"/>
    <w:rsid w:val="001F4C53"/>
    <w:rsid w:val="001F5AEF"/>
    <w:rsid w:val="001F6036"/>
    <w:rsid w:val="001F649A"/>
    <w:rsid w:val="001F652B"/>
    <w:rsid w:val="001F7166"/>
    <w:rsid w:val="001F73F3"/>
    <w:rsid w:val="001F77FC"/>
    <w:rsid w:val="0020028A"/>
    <w:rsid w:val="002006B1"/>
    <w:rsid w:val="002016A4"/>
    <w:rsid w:val="00201A57"/>
    <w:rsid w:val="00203232"/>
    <w:rsid w:val="00204394"/>
    <w:rsid w:val="002101F3"/>
    <w:rsid w:val="00210778"/>
    <w:rsid w:val="002121E6"/>
    <w:rsid w:val="00212634"/>
    <w:rsid w:val="0021370F"/>
    <w:rsid w:val="00213D30"/>
    <w:rsid w:val="002143DE"/>
    <w:rsid w:val="002143E2"/>
    <w:rsid w:val="00214D48"/>
    <w:rsid w:val="00214F50"/>
    <w:rsid w:val="002157BC"/>
    <w:rsid w:val="00220A2D"/>
    <w:rsid w:val="00220AFA"/>
    <w:rsid w:val="00220D51"/>
    <w:rsid w:val="00221C37"/>
    <w:rsid w:val="00221F26"/>
    <w:rsid w:val="00223A21"/>
    <w:rsid w:val="00225538"/>
    <w:rsid w:val="00226920"/>
    <w:rsid w:val="00227137"/>
    <w:rsid w:val="002279D0"/>
    <w:rsid w:val="002324F4"/>
    <w:rsid w:val="002339AF"/>
    <w:rsid w:val="00234DD1"/>
    <w:rsid w:val="00234DE3"/>
    <w:rsid w:val="002359A5"/>
    <w:rsid w:val="00235B2E"/>
    <w:rsid w:val="00235C40"/>
    <w:rsid w:val="00236528"/>
    <w:rsid w:val="00236A10"/>
    <w:rsid w:val="00240AA2"/>
    <w:rsid w:val="002429C5"/>
    <w:rsid w:val="0024324D"/>
    <w:rsid w:val="00243343"/>
    <w:rsid w:val="002433EF"/>
    <w:rsid w:val="00243D96"/>
    <w:rsid w:val="00244E77"/>
    <w:rsid w:val="00245417"/>
    <w:rsid w:val="002467AF"/>
    <w:rsid w:val="00246A5C"/>
    <w:rsid w:val="00246FEC"/>
    <w:rsid w:val="0024770E"/>
    <w:rsid w:val="002477C6"/>
    <w:rsid w:val="00250108"/>
    <w:rsid w:val="0025249C"/>
    <w:rsid w:val="00253DE2"/>
    <w:rsid w:val="0026067A"/>
    <w:rsid w:val="00261260"/>
    <w:rsid w:val="00262028"/>
    <w:rsid w:val="00262DF9"/>
    <w:rsid w:val="0026419C"/>
    <w:rsid w:val="00264BC0"/>
    <w:rsid w:val="002653C1"/>
    <w:rsid w:val="00265800"/>
    <w:rsid w:val="00265C6B"/>
    <w:rsid w:val="00265E17"/>
    <w:rsid w:val="00265F92"/>
    <w:rsid w:val="002669DE"/>
    <w:rsid w:val="00270C9C"/>
    <w:rsid w:val="00271602"/>
    <w:rsid w:val="002721D2"/>
    <w:rsid w:val="0027226E"/>
    <w:rsid w:val="00272558"/>
    <w:rsid w:val="00273884"/>
    <w:rsid w:val="00274E34"/>
    <w:rsid w:val="00274EF6"/>
    <w:rsid w:val="0027609D"/>
    <w:rsid w:val="00276FC3"/>
    <w:rsid w:val="00277407"/>
    <w:rsid w:val="00277514"/>
    <w:rsid w:val="00277696"/>
    <w:rsid w:val="002805D1"/>
    <w:rsid w:val="002812DD"/>
    <w:rsid w:val="002823C5"/>
    <w:rsid w:val="00282727"/>
    <w:rsid w:val="00285077"/>
    <w:rsid w:val="00286811"/>
    <w:rsid w:val="00286EA0"/>
    <w:rsid w:val="00287741"/>
    <w:rsid w:val="00287D15"/>
    <w:rsid w:val="002934B9"/>
    <w:rsid w:val="00293A2C"/>
    <w:rsid w:val="00293E6D"/>
    <w:rsid w:val="002950B6"/>
    <w:rsid w:val="002977C1"/>
    <w:rsid w:val="00297D36"/>
    <w:rsid w:val="002A06CE"/>
    <w:rsid w:val="002A09C7"/>
    <w:rsid w:val="002A11D0"/>
    <w:rsid w:val="002A2484"/>
    <w:rsid w:val="002A2C62"/>
    <w:rsid w:val="002A3587"/>
    <w:rsid w:val="002A461B"/>
    <w:rsid w:val="002A5337"/>
    <w:rsid w:val="002A53F7"/>
    <w:rsid w:val="002A5EBE"/>
    <w:rsid w:val="002A608C"/>
    <w:rsid w:val="002A7EF7"/>
    <w:rsid w:val="002B07B8"/>
    <w:rsid w:val="002B0C97"/>
    <w:rsid w:val="002B1BB2"/>
    <w:rsid w:val="002B1DED"/>
    <w:rsid w:val="002B4477"/>
    <w:rsid w:val="002B509C"/>
    <w:rsid w:val="002B54D3"/>
    <w:rsid w:val="002B589B"/>
    <w:rsid w:val="002B5922"/>
    <w:rsid w:val="002B5C4C"/>
    <w:rsid w:val="002B5FB9"/>
    <w:rsid w:val="002B5FE0"/>
    <w:rsid w:val="002B66B4"/>
    <w:rsid w:val="002B6790"/>
    <w:rsid w:val="002B6A99"/>
    <w:rsid w:val="002B6D35"/>
    <w:rsid w:val="002C0A2E"/>
    <w:rsid w:val="002C0C72"/>
    <w:rsid w:val="002C0D15"/>
    <w:rsid w:val="002C12C7"/>
    <w:rsid w:val="002C2839"/>
    <w:rsid w:val="002C2DF2"/>
    <w:rsid w:val="002C597E"/>
    <w:rsid w:val="002C6485"/>
    <w:rsid w:val="002C6EDF"/>
    <w:rsid w:val="002C78AD"/>
    <w:rsid w:val="002D018D"/>
    <w:rsid w:val="002D0773"/>
    <w:rsid w:val="002D0A21"/>
    <w:rsid w:val="002D0B4C"/>
    <w:rsid w:val="002D0C04"/>
    <w:rsid w:val="002D12AD"/>
    <w:rsid w:val="002D2F61"/>
    <w:rsid w:val="002D31E0"/>
    <w:rsid w:val="002D33DC"/>
    <w:rsid w:val="002D39F0"/>
    <w:rsid w:val="002D3EC5"/>
    <w:rsid w:val="002D466D"/>
    <w:rsid w:val="002D4BF4"/>
    <w:rsid w:val="002D4DA8"/>
    <w:rsid w:val="002D512B"/>
    <w:rsid w:val="002D5732"/>
    <w:rsid w:val="002D63D8"/>
    <w:rsid w:val="002D724D"/>
    <w:rsid w:val="002D7E34"/>
    <w:rsid w:val="002E0BDF"/>
    <w:rsid w:val="002E1896"/>
    <w:rsid w:val="002E2B39"/>
    <w:rsid w:val="002E41C8"/>
    <w:rsid w:val="002E63EC"/>
    <w:rsid w:val="002E7AB7"/>
    <w:rsid w:val="002F046B"/>
    <w:rsid w:val="002F19F9"/>
    <w:rsid w:val="002F21EF"/>
    <w:rsid w:val="002F3834"/>
    <w:rsid w:val="002F3EDC"/>
    <w:rsid w:val="002F3FDA"/>
    <w:rsid w:val="002F41B6"/>
    <w:rsid w:val="002F42C6"/>
    <w:rsid w:val="002F465C"/>
    <w:rsid w:val="002F4D07"/>
    <w:rsid w:val="002F4FB1"/>
    <w:rsid w:val="002F5505"/>
    <w:rsid w:val="002F5DDB"/>
    <w:rsid w:val="002F6792"/>
    <w:rsid w:val="002F68CE"/>
    <w:rsid w:val="002F6C28"/>
    <w:rsid w:val="002F6D68"/>
    <w:rsid w:val="002F6D82"/>
    <w:rsid w:val="002F77B7"/>
    <w:rsid w:val="002F7B31"/>
    <w:rsid w:val="00300CFD"/>
    <w:rsid w:val="003018C5"/>
    <w:rsid w:val="00302DE4"/>
    <w:rsid w:val="00303A2D"/>
    <w:rsid w:val="003041F2"/>
    <w:rsid w:val="003043BD"/>
    <w:rsid w:val="003057F6"/>
    <w:rsid w:val="00305A5F"/>
    <w:rsid w:val="00305AB8"/>
    <w:rsid w:val="00306F16"/>
    <w:rsid w:val="003072F4"/>
    <w:rsid w:val="00310043"/>
    <w:rsid w:val="00314BE5"/>
    <w:rsid w:val="00314ED1"/>
    <w:rsid w:val="00315DD9"/>
    <w:rsid w:val="00320350"/>
    <w:rsid w:val="00321654"/>
    <w:rsid w:val="00321884"/>
    <w:rsid w:val="00324362"/>
    <w:rsid w:val="00326DAA"/>
    <w:rsid w:val="00327632"/>
    <w:rsid w:val="00331214"/>
    <w:rsid w:val="00332D51"/>
    <w:rsid w:val="0033336A"/>
    <w:rsid w:val="003334BA"/>
    <w:rsid w:val="00333CA0"/>
    <w:rsid w:val="0033443E"/>
    <w:rsid w:val="00335F19"/>
    <w:rsid w:val="003376E9"/>
    <w:rsid w:val="003377A1"/>
    <w:rsid w:val="00337F21"/>
    <w:rsid w:val="00340C7D"/>
    <w:rsid w:val="0034105A"/>
    <w:rsid w:val="00341233"/>
    <w:rsid w:val="00342FA4"/>
    <w:rsid w:val="00343077"/>
    <w:rsid w:val="0034318C"/>
    <w:rsid w:val="00343516"/>
    <w:rsid w:val="00345064"/>
    <w:rsid w:val="00345C74"/>
    <w:rsid w:val="00346145"/>
    <w:rsid w:val="00346D56"/>
    <w:rsid w:val="003479A2"/>
    <w:rsid w:val="00350928"/>
    <w:rsid w:val="00350A03"/>
    <w:rsid w:val="00350E54"/>
    <w:rsid w:val="003516DD"/>
    <w:rsid w:val="00351A07"/>
    <w:rsid w:val="003521EA"/>
    <w:rsid w:val="003528C5"/>
    <w:rsid w:val="0035472B"/>
    <w:rsid w:val="00354751"/>
    <w:rsid w:val="00355B2C"/>
    <w:rsid w:val="00356673"/>
    <w:rsid w:val="00356722"/>
    <w:rsid w:val="00361852"/>
    <w:rsid w:val="00362A9A"/>
    <w:rsid w:val="00363F86"/>
    <w:rsid w:val="00364BDF"/>
    <w:rsid w:val="003651B3"/>
    <w:rsid w:val="00365BF9"/>
    <w:rsid w:val="00366B7F"/>
    <w:rsid w:val="00367EF9"/>
    <w:rsid w:val="0037090F"/>
    <w:rsid w:val="00370CA6"/>
    <w:rsid w:val="0037130A"/>
    <w:rsid w:val="0037253A"/>
    <w:rsid w:val="003728AB"/>
    <w:rsid w:val="00372B3D"/>
    <w:rsid w:val="00373729"/>
    <w:rsid w:val="00373947"/>
    <w:rsid w:val="0037417F"/>
    <w:rsid w:val="00374523"/>
    <w:rsid w:val="00374DF9"/>
    <w:rsid w:val="00375790"/>
    <w:rsid w:val="003771FC"/>
    <w:rsid w:val="00377B23"/>
    <w:rsid w:val="003804D2"/>
    <w:rsid w:val="0038096E"/>
    <w:rsid w:val="00380B75"/>
    <w:rsid w:val="003820B3"/>
    <w:rsid w:val="003824DC"/>
    <w:rsid w:val="003827F4"/>
    <w:rsid w:val="00383AB3"/>
    <w:rsid w:val="00383DCC"/>
    <w:rsid w:val="00387C70"/>
    <w:rsid w:val="00392D76"/>
    <w:rsid w:val="00393BA3"/>
    <w:rsid w:val="00396351"/>
    <w:rsid w:val="00396B5E"/>
    <w:rsid w:val="00397E07"/>
    <w:rsid w:val="003A0ADD"/>
    <w:rsid w:val="003A2F61"/>
    <w:rsid w:val="003A3B7F"/>
    <w:rsid w:val="003A4525"/>
    <w:rsid w:val="003A4541"/>
    <w:rsid w:val="003A7ECB"/>
    <w:rsid w:val="003B1F7E"/>
    <w:rsid w:val="003B3B6F"/>
    <w:rsid w:val="003B3F0B"/>
    <w:rsid w:val="003B4B72"/>
    <w:rsid w:val="003B4D84"/>
    <w:rsid w:val="003B7675"/>
    <w:rsid w:val="003C0CAE"/>
    <w:rsid w:val="003C1524"/>
    <w:rsid w:val="003C25D4"/>
    <w:rsid w:val="003C2C78"/>
    <w:rsid w:val="003C2C79"/>
    <w:rsid w:val="003C32C4"/>
    <w:rsid w:val="003C3E94"/>
    <w:rsid w:val="003C48E4"/>
    <w:rsid w:val="003C6F4D"/>
    <w:rsid w:val="003D1E8F"/>
    <w:rsid w:val="003D31F5"/>
    <w:rsid w:val="003D37D2"/>
    <w:rsid w:val="003D3B27"/>
    <w:rsid w:val="003D4024"/>
    <w:rsid w:val="003D4461"/>
    <w:rsid w:val="003D5E6D"/>
    <w:rsid w:val="003D5F98"/>
    <w:rsid w:val="003D60A8"/>
    <w:rsid w:val="003D6EE7"/>
    <w:rsid w:val="003D7634"/>
    <w:rsid w:val="003D7795"/>
    <w:rsid w:val="003D7C34"/>
    <w:rsid w:val="003E1715"/>
    <w:rsid w:val="003E2F87"/>
    <w:rsid w:val="003E36EE"/>
    <w:rsid w:val="003E69FA"/>
    <w:rsid w:val="003E730E"/>
    <w:rsid w:val="003E7C5B"/>
    <w:rsid w:val="003F03B1"/>
    <w:rsid w:val="003F06E7"/>
    <w:rsid w:val="003F0A5B"/>
    <w:rsid w:val="003F0F91"/>
    <w:rsid w:val="003F1C3C"/>
    <w:rsid w:val="003F1C5B"/>
    <w:rsid w:val="003F29F0"/>
    <w:rsid w:val="003F49C5"/>
    <w:rsid w:val="003F518D"/>
    <w:rsid w:val="003F6E83"/>
    <w:rsid w:val="003F746E"/>
    <w:rsid w:val="003F776F"/>
    <w:rsid w:val="003F7CA4"/>
    <w:rsid w:val="004006DB"/>
    <w:rsid w:val="00401A4C"/>
    <w:rsid w:val="004022AA"/>
    <w:rsid w:val="00402855"/>
    <w:rsid w:val="00403595"/>
    <w:rsid w:val="00403AC5"/>
    <w:rsid w:val="00403BD2"/>
    <w:rsid w:val="0040443A"/>
    <w:rsid w:val="00404D47"/>
    <w:rsid w:val="00405024"/>
    <w:rsid w:val="00406085"/>
    <w:rsid w:val="00406671"/>
    <w:rsid w:val="00407502"/>
    <w:rsid w:val="00412D31"/>
    <w:rsid w:val="00413B6C"/>
    <w:rsid w:val="00415E3A"/>
    <w:rsid w:val="00416CCF"/>
    <w:rsid w:val="00416CFA"/>
    <w:rsid w:val="00416D0E"/>
    <w:rsid w:val="00417493"/>
    <w:rsid w:val="00421043"/>
    <w:rsid w:val="004215D9"/>
    <w:rsid w:val="00422D97"/>
    <w:rsid w:val="00422FBB"/>
    <w:rsid w:val="00424B59"/>
    <w:rsid w:val="00424F40"/>
    <w:rsid w:val="00425AFD"/>
    <w:rsid w:val="00426541"/>
    <w:rsid w:val="00426BE7"/>
    <w:rsid w:val="00430093"/>
    <w:rsid w:val="00430439"/>
    <w:rsid w:val="00431011"/>
    <w:rsid w:val="00432684"/>
    <w:rsid w:val="00432859"/>
    <w:rsid w:val="004331B8"/>
    <w:rsid w:val="0043424E"/>
    <w:rsid w:val="00437CD0"/>
    <w:rsid w:val="00441253"/>
    <w:rsid w:val="00441D5C"/>
    <w:rsid w:val="004425EB"/>
    <w:rsid w:val="00446BE5"/>
    <w:rsid w:val="004471FA"/>
    <w:rsid w:val="00447360"/>
    <w:rsid w:val="00447EC5"/>
    <w:rsid w:val="00450E0D"/>
    <w:rsid w:val="00450FBA"/>
    <w:rsid w:val="00451301"/>
    <w:rsid w:val="00451EAC"/>
    <w:rsid w:val="0045257A"/>
    <w:rsid w:val="004525D9"/>
    <w:rsid w:val="00453634"/>
    <w:rsid w:val="00453E00"/>
    <w:rsid w:val="00455675"/>
    <w:rsid w:val="0045688C"/>
    <w:rsid w:val="00457877"/>
    <w:rsid w:val="004607D3"/>
    <w:rsid w:val="00461E66"/>
    <w:rsid w:val="00461EB9"/>
    <w:rsid w:val="0046364E"/>
    <w:rsid w:val="00465390"/>
    <w:rsid w:val="00465CEC"/>
    <w:rsid w:val="00466501"/>
    <w:rsid w:val="0046658E"/>
    <w:rsid w:val="004666D3"/>
    <w:rsid w:val="00467B31"/>
    <w:rsid w:val="004708A3"/>
    <w:rsid w:val="00470A58"/>
    <w:rsid w:val="00471EA6"/>
    <w:rsid w:val="0047341E"/>
    <w:rsid w:val="004765EF"/>
    <w:rsid w:val="00476BFA"/>
    <w:rsid w:val="00476CF8"/>
    <w:rsid w:val="004771BF"/>
    <w:rsid w:val="00477324"/>
    <w:rsid w:val="00480223"/>
    <w:rsid w:val="00480C5A"/>
    <w:rsid w:val="00480EFD"/>
    <w:rsid w:val="00481CD3"/>
    <w:rsid w:val="00482AF1"/>
    <w:rsid w:val="00482E9F"/>
    <w:rsid w:val="00483A9F"/>
    <w:rsid w:val="00484441"/>
    <w:rsid w:val="004871DC"/>
    <w:rsid w:val="00487898"/>
    <w:rsid w:val="00487925"/>
    <w:rsid w:val="00490828"/>
    <w:rsid w:val="00491911"/>
    <w:rsid w:val="004919F6"/>
    <w:rsid w:val="00492092"/>
    <w:rsid w:val="004921B5"/>
    <w:rsid w:val="004925B9"/>
    <w:rsid w:val="00492A9F"/>
    <w:rsid w:val="00493992"/>
    <w:rsid w:val="004945BC"/>
    <w:rsid w:val="00494CA3"/>
    <w:rsid w:val="00495D60"/>
    <w:rsid w:val="004972A5"/>
    <w:rsid w:val="004A0405"/>
    <w:rsid w:val="004A05D2"/>
    <w:rsid w:val="004A06AC"/>
    <w:rsid w:val="004A0DC8"/>
    <w:rsid w:val="004A15E2"/>
    <w:rsid w:val="004A178E"/>
    <w:rsid w:val="004A248A"/>
    <w:rsid w:val="004A29C9"/>
    <w:rsid w:val="004A3D95"/>
    <w:rsid w:val="004A4BD1"/>
    <w:rsid w:val="004A5981"/>
    <w:rsid w:val="004A7250"/>
    <w:rsid w:val="004A7AF7"/>
    <w:rsid w:val="004B0F5E"/>
    <w:rsid w:val="004B16BE"/>
    <w:rsid w:val="004B18BD"/>
    <w:rsid w:val="004B1EF6"/>
    <w:rsid w:val="004B28BA"/>
    <w:rsid w:val="004B34C5"/>
    <w:rsid w:val="004B6A53"/>
    <w:rsid w:val="004B7E5D"/>
    <w:rsid w:val="004B7FB9"/>
    <w:rsid w:val="004C0EE9"/>
    <w:rsid w:val="004C2D26"/>
    <w:rsid w:val="004C5415"/>
    <w:rsid w:val="004C6361"/>
    <w:rsid w:val="004C641F"/>
    <w:rsid w:val="004C6969"/>
    <w:rsid w:val="004D0B34"/>
    <w:rsid w:val="004D0EBE"/>
    <w:rsid w:val="004D1E8B"/>
    <w:rsid w:val="004D1F24"/>
    <w:rsid w:val="004D2901"/>
    <w:rsid w:val="004D2AC3"/>
    <w:rsid w:val="004D2D0A"/>
    <w:rsid w:val="004D3450"/>
    <w:rsid w:val="004D34BF"/>
    <w:rsid w:val="004D375B"/>
    <w:rsid w:val="004D4941"/>
    <w:rsid w:val="004D50FA"/>
    <w:rsid w:val="004D5FCC"/>
    <w:rsid w:val="004D7AA4"/>
    <w:rsid w:val="004E5299"/>
    <w:rsid w:val="004E5474"/>
    <w:rsid w:val="004E65DA"/>
    <w:rsid w:val="004E7256"/>
    <w:rsid w:val="004E73B3"/>
    <w:rsid w:val="004F078F"/>
    <w:rsid w:val="004F087A"/>
    <w:rsid w:val="004F18FF"/>
    <w:rsid w:val="004F2294"/>
    <w:rsid w:val="004F238E"/>
    <w:rsid w:val="004F27B1"/>
    <w:rsid w:val="004F4158"/>
    <w:rsid w:val="004F4AB1"/>
    <w:rsid w:val="004F4FE3"/>
    <w:rsid w:val="004F63A3"/>
    <w:rsid w:val="004F73C2"/>
    <w:rsid w:val="00501F5A"/>
    <w:rsid w:val="0050302B"/>
    <w:rsid w:val="0050377C"/>
    <w:rsid w:val="005039AD"/>
    <w:rsid w:val="00504940"/>
    <w:rsid w:val="00505527"/>
    <w:rsid w:val="0050583F"/>
    <w:rsid w:val="00505956"/>
    <w:rsid w:val="00507A37"/>
    <w:rsid w:val="005108C9"/>
    <w:rsid w:val="0051092A"/>
    <w:rsid w:val="00510994"/>
    <w:rsid w:val="005139FA"/>
    <w:rsid w:val="00515D04"/>
    <w:rsid w:val="005160DD"/>
    <w:rsid w:val="00516321"/>
    <w:rsid w:val="00516489"/>
    <w:rsid w:val="00517129"/>
    <w:rsid w:val="0051717A"/>
    <w:rsid w:val="00517F2F"/>
    <w:rsid w:val="005200C3"/>
    <w:rsid w:val="0052033E"/>
    <w:rsid w:val="00520891"/>
    <w:rsid w:val="0052125A"/>
    <w:rsid w:val="00522531"/>
    <w:rsid w:val="00523B0F"/>
    <w:rsid w:val="00523F85"/>
    <w:rsid w:val="00523FFA"/>
    <w:rsid w:val="00525180"/>
    <w:rsid w:val="00525BEE"/>
    <w:rsid w:val="0052619E"/>
    <w:rsid w:val="00527EFE"/>
    <w:rsid w:val="005302F2"/>
    <w:rsid w:val="005311A2"/>
    <w:rsid w:val="00531273"/>
    <w:rsid w:val="00531913"/>
    <w:rsid w:val="005321DA"/>
    <w:rsid w:val="0053284A"/>
    <w:rsid w:val="00532FCB"/>
    <w:rsid w:val="005334DB"/>
    <w:rsid w:val="00534980"/>
    <w:rsid w:val="0053516C"/>
    <w:rsid w:val="005355FA"/>
    <w:rsid w:val="00536536"/>
    <w:rsid w:val="0053758F"/>
    <w:rsid w:val="00542561"/>
    <w:rsid w:val="005428A5"/>
    <w:rsid w:val="0054290E"/>
    <w:rsid w:val="005451B7"/>
    <w:rsid w:val="0054645F"/>
    <w:rsid w:val="005465AB"/>
    <w:rsid w:val="00546C6E"/>
    <w:rsid w:val="00546F57"/>
    <w:rsid w:val="0055149F"/>
    <w:rsid w:val="00552598"/>
    <w:rsid w:val="0055297A"/>
    <w:rsid w:val="00553239"/>
    <w:rsid w:val="00553927"/>
    <w:rsid w:val="00554F02"/>
    <w:rsid w:val="00555149"/>
    <w:rsid w:val="00555321"/>
    <w:rsid w:val="005554A4"/>
    <w:rsid w:val="005557AD"/>
    <w:rsid w:val="0056035D"/>
    <w:rsid w:val="00561E10"/>
    <w:rsid w:val="00561F7A"/>
    <w:rsid w:val="00561FE0"/>
    <w:rsid w:val="00562237"/>
    <w:rsid w:val="005633BD"/>
    <w:rsid w:val="005656A7"/>
    <w:rsid w:val="005658F0"/>
    <w:rsid w:val="005659B7"/>
    <w:rsid w:val="00565B54"/>
    <w:rsid w:val="00567185"/>
    <w:rsid w:val="00567EED"/>
    <w:rsid w:val="00567F3C"/>
    <w:rsid w:val="00567FEA"/>
    <w:rsid w:val="00570273"/>
    <w:rsid w:val="00570290"/>
    <w:rsid w:val="00570C10"/>
    <w:rsid w:val="005714DE"/>
    <w:rsid w:val="0057267E"/>
    <w:rsid w:val="00572D7D"/>
    <w:rsid w:val="00573D0B"/>
    <w:rsid w:val="005753F1"/>
    <w:rsid w:val="00577618"/>
    <w:rsid w:val="005803D8"/>
    <w:rsid w:val="005820EC"/>
    <w:rsid w:val="00582A1A"/>
    <w:rsid w:val="00583CB5"/>
    <w:rsid w:val="00583EEA"/>
    <w:rsid w:val="00584626"/>
    <w:rsid w:val="00584C47"/>
    <w:rsid w:val="0058539D"/>
    <w:rsid w:val="00587388"/>
    <w:rsid w:val="00590423"/>
    <w:rsid w:val="00592D1D"/>
    <w:rsid w:val="0059306D"/>
    <w:rsid w:val="005940D5"/>
    <w:rsid w:val="00595038"/>
    <w:rsid w:val="00595711"/>
    <w:rsid w:val="00595940"/>
    <w:rsid w:val="00597FCD"/>
    <w:rsid w:val="005A20EC"/>
    <w:rsid w:val="005A387D"/>
    <w:rsid w:val="005A4794"/>
    <w:rsid w:val="005A60EC"/>
    <w:rsid w:val="005A74AA"/>
    <w:rsid w:val="005B02AE"/>
    <w:rsid w:val="005B43E5"/>
    <w:rsid w:val="005B4CCB"/>
    <w:rsid w:val="005B5F35"/>
    <w:rsid w:val="005B7040"/>
    <w:rsid w:val="005C0012"/>
    <w:rsid w:val="005C04E5"/>
    <w:rsid w:val="005C1CD3"/>
    <w:rsid w:val="005C3BF9"/>
    <w:rsid w:val="005C415C"/>
    <w:rsid w:val="005C50FE"/>
    <w:rsid w:val="005C54C8"/>
    <w:rsid w:val="005C5554"/>
    <w:rsid w:val="005C74EA"/>
    <w:rsid w:val="005D1C96"/>
    <w:rsid w:val="005D1E2C"/>
    <w:rsid w:val="005D288B"/>
    <w:rsid w:val="005D34B1"/>
    <w:rsid w:val="005D351C"/>
    <w:rsid w:val="005D62A2"/>
    <w:rsid w:val="005D67A3"/>
    <w:rsid w:val="005D6C1C"/>
    <w:rsid w:val="005D7A0B"/>
    <w:rsid w:val="005E0507"/>
    <w:rsid w:val="005E0E27"/>
    <w:rsid w:val="005E2019"/>
    <w:rsid w:val="005E20B6"/>
    <w:rsid w:val="005E225C"/>
    <w:rsid w:val="005E356A"/>
    <w:rsid w:val="005E432E"/>
    <w:rsid w:val="005E6193"/>
    <w:rsid w:val="005E66E4"/>
    <w:rsid w:val="005E6891"/>
    <w:rsid w:val="005E750E"/>
    <w:rsid w:val="005F0873"/>
    <w:rsid w:val="005F0AD0"/>
    <w:rsid w:val="005F16A5"/>
    <w:rsid w:val="005F172A"/>
    <w:rsid w:val="005F1959"/>
    <w:rsid w:val="005F1B97"/>
    <w:rsid w:val="005F1EA9"/>
    <w:rsid w:val="005F2AC7"/>
    <w:rsid w:val="005F2AE6"/>
    <w:rsid w:val="005F3846"/>
    <w:rsid w:val="005F44C1"/>
    <w:rsid w:val="005F4F77"/>
    <w:rsid w:val="005F6F47"/>
    <w:rsid w:val="005F7D14"/>
    <w:rsid w:val="006021A1"/>
    <w:rsid w:val="00602590"/>
    <w:rsid w:val="006055D4"/>
    <w:rsid w:val="006057CB"/>
    <w:rsid w:val="00605CAB"/>
    <w:rsid w:val="00606ACA"/>
    <w:rsid w:val="00607C17"/>
    <w:rsid w:val="0061356B"/>
    <w:rsid w:val="00613F28"/>
    <w:rsid w:val="006145E5"/>
    <w:rsid w:val="006148E0"/>
    <w:rsid w:val="00615AE2"/>
    <w:rsid w:val="00617E5D"/>
    <w:rsid w:val="006209A5"/>
    <w:rsid w:val="00621035"/>
    <w:rsid w:val="0062448E"/>
    <w:rsid w:val="00625521"/>
    <w:rsid w:val="0062584A"/>
    <w:rsid w:val="00625882"/>
    <w:rsid w:val="00625A6F"/>
    <w:rsid w:val="00625C69"/>
    <w:rsid w:val="006264C9"/>
    <w:rsid w:val="00626BBB"/>
    <w:rsid w:val="0063029B"/>
    <w:rsid w:val="00630C1B"/>
    <w:rsid w:val="00630C93"/>
    <w:rsid w:val="00630EAD"/>
    <w:rsid w:val="00631CB8"/>
    <w:rsid w:val="006322FF"/>
    <w:rsid w:val="0063365A"/>
    <w:rsid w:val="0063409C"/>
    <w:rsid w:val="00634C40"/>
    <w:rsid w:val="00635FAD"/>
    <w:rsid w:val="006364AB"/>
    <w:rsid w:val="00636980"/>
    <w:rsid w:val="006374BE"/>
    <w:rsid w:val="006376F6"/>
    <w:rsid w:val="006400E2"/>
    <w:rsid w:val="00640613"/>
    <w:rsid w:val="00641F02"/>
    <w:rsid w:val="00642163"/>
    <w:rsid w:val="006430D8"/>
    <w:rsid w:val="00643F5D"/>
    <w:rsid w:val="00646544"/>
    <w:rsid w:val="006468CB"/>
    <w:rsid w:val="00647C96"/>
    <w:rsid w:val="00647E89"/>
    <w:rsid w:val="006503AA"/>
    <w:rsid w:val="006504FF"/>
    <w:rsid w:val="006517FA"/>
    <w:rsid w:val="00653A34"/>
    <w:rsid w:val="00654807"/>
    <w:rsid w:val="00655CB4"/>
    <w:rsid w:val="00656F80"/>
    <w:rsid w:val="006572B2"/>
    <w:rsid w:val="00661B47"/>
    <w:rsid w:val="0066214D"/>
    <w:rsid w:val="00663A0C"/>
    <w:rsid w:val="006658E3"/>
    <w:rsid w:val="0066625B"/>
    <w:rsid w:val="0066673A"/>
    <w:rsid w:val="00667120"/>
    <w:rsid w:val="00667764"/>
    <w:rsid w:val="00671D53"/>
    <w:rsid w:val="006725C9"/>
    <w:rsid w:val="00672B0F"/>
    <w:rsid w:val="00672EB8"/>
    <w:rsid w:val="006733D0"/>
    <w:rsid w:val="0067409B"/>
    <w:rsid w:val="00675208"/>
    <w:rsid w:val="00675552"/>
    <w:rsid w:val="006760F0"/>
    <w:rsid w:val="006766AE"/>
    <w:rsid w:val="0067768D"/>
    <w:rsid w:val="00680496"/>
    <w:rsid w:val="00680BE8"/>
    <w:rsid w:val="0068261D"/>
    <w:rsid w:val="0068428D"/>
    <w:rsid w:val="006862A1"/>
    <w:rsid w:val="00687763"/>
    <w:rsid w:val="00690823"/>
    <w:rsid w:val="00690FB8"/>
    <w:rsid w:val="0069113B"/>
    <w:rsid w:val="00691760"/>
    <w:rsid w:val="006931E5"/>
    <w:rsid w:val="00693E4D"/>
    <w:rsid w:val="006947B4"/>
    <w:rsid w:val="00694BE3"/>
    <w:rsid w:val="00694CBF"/>
    <w:rsid w:val="00695705"/>
    <w:rsid w:val="00697F73"/>
    <w:rsid w:val="006A397C"/>
    <w:rsid w:val="006A399A"/>
    <w:rsid w:val="006A3A95"/>
    <w:rsid w:val="006A49F4"/>
    <w:rsid w:val="006A5349"/>
    <w:rsid w:val="006A5B09"/>
    <w:rsid w:val="006A69BD"/>
    <w:rsid w:val="006B11A2"/>
    <w:rsid w:val="006B1836"/>
    <w:rsid w:val="006B2E2E"/>
    <w:rsid w:val="006B3A7C"/>
    <w:rsid w:val="006B44E7"/>
    <w:rsid w:val="006B7B7E"/>
    <w:rsid w:val="006C1A70"/>
    <w:rsid w:val="006C1C39"/>
    <w:rsid w:val="006C2F74"/>
    <w:rsid w:val="006C322B"/>
    <w:rsid w:val="006C43CB"/>
    <w:rsid w:val="006C537C"/>
    <w:rsid w:val="006C672D"/>
    <w:rsid w:val="006C6963"/>
    <w:rsid w:val="006C7C40"/>
    <w:rsid w:val="006D0754"/>
    <w:rsid w:val="006D31D7"/>
    <w:rsid w:val="006D50D2"/>
    <w:rsid w:val="006D674D"/>
    <w:rsid w:val="006E091A"/>
    <w:rsid w:val="006E2309"/>
    <w:rsid w:val="006E2CF6"/>
    <w:rsid w:val="006E5381"/>
    <w:rsid w:val="006E669D"/>
    <w:rsid w:val="006E6ABF"/>
    <w:rsid w:val="006E7BF1"/>
    <w:rsid w:val="006F04E5"/>
    <w:rsid w:val="006F1424"/>
    <w:rsid w:val="006F19C1"/>
    <w:rsid w:val="006F313A"/>
    <w:rsid w:val="006F4963"/>
    <w:rsid w:val="006F5E21"/>
    <w:rsid w:val="006F65C1"/>
    <w:rsid w:val="006F7F5E"/>
    <w:rsid w:val="007014AC"/>
    <w:rsid w:val="00701868"/>
    <w:rsid w:val="00701E9D"/>
    <w:rsid w:val="00702FDA"/>
    <w:rsid w:val="007030C0"/>
    <w:rsid w:val="00703369"/>
    <w:rsid w:val="00703A40"/>
    <w:rsid w:val="00703D5D"/>
    <w:rsid w:val="0070432E"/>
    <w:rsid w:val="00705008"/>
    <w:rsid w:val="0070662D"/>
    <w:rsid w:val="00707EBB"/>
    <w:rsid w:val="007105F5"/>
    <w:rsid w:val="00711BA2"/>
    <w:rsid w:val="00711E06"/>
    <w:rsid w:val="00711E1A"/>
    <w:rsid w:val="00712757"/>
    <w:rsid w:val="00716C4C"/>
    <w:rsid w:val="00716D86"/>
    <w:rsid w:val="00721826"/>
    <w:rsid w:val="007228E3"/>
    <w:rsid w:val="00722D30"/>
    <w:rsid w:val="0072306A"/>
    <w:rsid w:val="00724F8A"/>
    <w:rsid w:val="00725775"/>
    <w:rsid w:val="007257AC"/>
    <w:rsid w:val="00730000"/>
    <w:rsid w:val="007300C1"/>
    <w:rsid w:val="007327B5"/>
    <w:rsid w:val="00732DCF"/>
    <w:rsid w:val="0073321E"/>
    <w:rsid w:val="00733DA3"/>
    <w:rsid w:val="0073452B"/>
    <w:rsid w:val="0073500F"/>
    <w:rsid w:val="007350B2"/>
    <w:rsid w:val="00735130"/>
    <w:rsid w:val="00735E01"/>
    <w:rsid w:val="00736E82"/>
    <w:rsid w:val="00741626"/>
    <w:rsid w:val="00742C89"/>
    <w:rsid w:val="00742E3E"/>
    <w:rsid w:val="00744CEA"/>
    <w:rsid w:val="007456BE"/>
    <w:rsid w:val="00745C3B"/>
    <w:rsid w:val="00746E60"/>
    <w:rsid w:val="007470F9"/>
    <w:rsid w:val="00747C9D"/>
    <w:rsid w:val="00750303"/>
    <w:rsid w:val="00750CAA"/>
    <w:rsid w:val="0075162B"/>
    <w:rsid w:val="00752E49"/>
    <w:rsid w:val="00753130"/>
    <w:rsid w:val="007534F9"/>
    <w:rsid w:val="007539AC"/>
    <w:rsid w:val="00754484"/>
    <w:rsid w:val="00754563"/>
    <w:rsid w:val="007556D2"/>
    <w:rsid w:val="007557D6"/>
    <w:rsid w:val="00756D6C"/>
    <w:rsid w:val="0075767B"/>
    <w:rsid w:val="00757C8D"/>
    <w:rsid w:val="00757D7F"/>
    <w:rsid w:val="00760DB6"/>
    <w:rsid w:val="00761073"/>
    <w:rsid w:val="0076118C"/>
    <w:rsid w:val="007611E5"/>
    <w:rsid w:val="00762192"/>
    <w:rsid w:val="007625DF"/>
    <w:rsid w:val="00762637"/>
    <w:rsid w:val="00762977"/>
    <w:rsid w:val="00763859"/>
    <w:rsid w:val="00763975"/>
    <w:rsid w:val="00764ABD"/>
    <w:rsid w:val="00767008"/>
    <w:rsid w:val="00767A2A"/>
    <w:rsid w:val="00767BD4"/>
    <w:rsid w:val="00770372"/>
    <w:rsid w:val="0077055D"/>
    <w:rsid w:val="00771185"/>
    <w:rsid w:val="00772AC0"/>
    <w:rsid w:val="00772C3C"/>
    <w:rsid w:val="007731AF"/>
    <w:rsid w:val="007735D1"/>
    <w:rsid w:val="0077770E"/>
    <w:rsid w:val="00777D96"/>
    <w:rsid w:val="00777E6E"/>
    <w:rsid w:val="007816E8"/>
    <w:rsid w:val="00784F3F"/>
    <w:rsid w:val="00786BC3"/>
    <w:rsid w:val="00790A2A"/>
    <w:rsid w:val="0079206C"/>
    <w:rsid w:val="0079297C"/>
    <w:rsid w:val="00792DB4"/>
    <w:rsid w:val="007936A7"/>
    <w:rsid w:val="007938A5"/>
    <w:rsid w:val="007950A2"/>
    <w:rsid w:val="00795127"/>
    <w:rsid w:val="00796756"/>
    <w:rsid w:val="00797E54"/>
    <w:rsid w:val="007A08EF"/>
    <w:rsid w:val="007A14D4"/>
    <w:rsid w:val="007A198E"/>
    <w:rsid w:val="007A1BF8"/>
    <w:rsid w:val="007A2344"/>
    <w:rsid w:val="007A280F"/>
    <w:rsid w:val="007A28F2"/>
    <w:rsid w:val="007A2B4D"/>
    <w:rsid w:val="007A2D67"/>
    <w:rsid w:val="007A31E0"/>
    <w:rsid w:val="007A40B8"/>
    <w:rsid w:val="007A44E8"/>
    <w:rsid w:val="007A4C0E"/>
    <w:rsid w:val="007A7B44"/>
    <w:rsid w:val="007B0E78"/>
    <w:rsid w:val="007B25D5"/>
    <w:rsid w:val="007B38D6"/>
    <w:rsid w:val="007B3A78"/>
    <w:rsid w:val="007B4EA2"/>
    <w:rsid w:val="007B59AC"/>
    <w:rsid w:val="007B5A0F"/>
    <w:rsid w:val="007B6C50"/>
    <w:rsid w:val="007B72B5"/>
    <w:rsid w:val="007B7B22"/>
    <w:rsid w:val="007C0A41"/>
    <w:rsid w:val="007C1BAF"/>
    <w:rsid w:val="007C244D"/>
    <w:rsid w:val="007C33ED"/>
    <w:rsid w:val="007C4010"/>
    <w:rsid w:val="007C43CB"/>
    <w:rsid w:val="007C46A6"/>
    <w:rsid w:val="007C4880"/>
    <w:rsid w:val="007C5994"/>
    <w:rsid w:val="007C5E44"/>
    <w:rsid w:val="007C6CD7"/>
    <w:rsid w:val="007C7A9A"/>
    <w:rsid w:val="007C7D26"/>
    <w:rsid w:val="007C7F46"/>
    <w:rsid w:val="007D153E"/>
    <w:rsid w:val="007D360B"/>
    <w:rsid w:val="007D3906"/>
    <w:rsid w:val="007D55BF"/>
    <w:rsid w:val="007D6C24"/>
    <w:rsid w:val="007D7379"/>
    <w:rsid w:val="007E095A"/>
    <w:rsid w:val="007E0B96"/>
    <w:rsid w:val="007E24B3"/>
    <w:rsid w:val="007E2C9D"/>
    <w:rsid w:val="007E2DEC"/>
    <w:rsid w:val="007E3114"/>
    <w:rsid w:val="007E3D47"/>
    <w:rsid w:val="007E3D7C"/>
    <w:rsid w:val="007E5C82"/>
    <w:rsid w:val="007E760E"/>
    <w:rsid w:val="007F05BE"/>
    <w:rsid w:val="007F122B"/>
    <w:rsid w:val="007F24D3"/>
    <w:rsid w:val="007F2C1E"/>
    <w:rsid w:val="007F2DAD"/>
    <w:rsid w:val="007F54B7"/>
    <w:rsid w:val="007F65C8"/>
    <w:rsid w:val="007F6AAE"/>
    <w:rsid w:val="008000C7"/>
    <w:rsid w:val="00800338"/>
    <w:rsid w:val="0080198A"/>
    <w:rsid w:val="00801AED"/>
    <w:rsid w:val="00801B4A"/>
    <w:rsid w:val="008029EE"/>
    <w:rsid w:val="00802E2C"/>
    <w:rsid w:val="00802E59"/>
    <w:rsid w:val="008040EF"/>
    <w:rsid w:val="0080482E"/>
    <w:rsid w:val="0080651F"/>
    <w:rsid w:val="00806758"/>
    <w:rsid w:val="0080720A"/>
    <w:rsid w:val="0080784D"/>
    <w:rsid w:val="0081083D"/>
    <w:rsid w:val="00810E8B"/>
    <w:rsid w:val="0081249B"/>
    <w:rsid w:val="00814C55"/>
    <w:rsid w:val="00815094"/>
    <w:rsid w:val="0081629D"/>
    <w:rsid w:val="00817CCB"/>
    <w:rsid w:val="0082080F"/>
    <w:rsid w:val="00820EB3"/>
    <w:rsid w:val="0082142E"/>
    <w:rsid w:val="008226F8"/>
    <w:rsid w:val="008252FF"/>
    <w:rsid w:val="008267A4"/>
    <w:rsid w:val="00827940"/>
    <w:rsid w:val="008305D3"/>
    <w:rsid w:val="0083061E"/>
    <w:rsid w:val="00830775"/>
    <w:rsid w:val="0083191C"/>
    <w:rsid w:val="00831ABA"/>
    <w:rsid w:val="00832249"/>
    <w:rsid w:val="00832730"/>
    <w:rsid w:val="00833656"/>
    <w:rsid w:val="008346B5"/>
    <w:rsid w:val="0083481E"/>
    <w:rsid w:val="00835431"/>
    <w:rsid w:val="00835BF7"/>
    <w:rsid w:val="00836835"/>
    <w:rsid w:val="00836967"/>
    <w:rsid w:val="00837A53"/>
    <w:rsid w:val="00841282"/>
    <w:rsid w:val="00842716"/>
    <w:rsid w:val="0084316A"/>
    <w:rsid w:val="00843B83"/>
    <w:rsid w:val="0084415E"/>
    <w:rsid w:val="008442A9"/>
    <w:rsid w:val="00847333"/>
    <w:rsid w:val="008479C4"/>
    <w:rsid w:val="00847B6E"/>
    <w:rsid w:val="00847BA5"/>
    <w:rsid w:val="008508C8"/>
    <w:rsid w:val="00850920"/>
    <w:rsid w:val="00851D21"/>
    <w:rsid w:val="00851DB9"/>
    <w:rsid w:val="00853DDA"/>
    <w:rsid w:val="00856543"/>
    <w:rsid w:val="00856574"/>
    <w:rsid w:val="00856984"/>
    <w:rsid w:val="00857757"/>
    <w:rsid w:val="00857F55"/>
    <w:rsid w:val="0086054E"/>
    <w:rsid w:val="00860FDB"/>
    <w:rsid w:val="00862A9E"/>
    <w:rsid w:val="008636E8"/>
    <w:rsid w:val="00864761"/>
    <w:rsid w:val="00865659"/>
    <w:rsid w:val="00865F0F"/>
    <w:rsid w:val="008664BB"/>
    <w:rsid w:val="00866C13"/>
    <w:rsid w:val="00867E07"/>
    <w:rsid w:val="0087143D"/>
    <w:rsid w:val="00871C23"/>
    <w:rsid w:val="00872E9B"/>
    <w:rsid w:val="00874A8B"/>
    <w:rsid w:val="0087608F"/>
    <w:rsid w:val="0087614F"/>
    <w:rsid w:val="008762D7"/>
    <w:rsid w:val="008762FD"/>
    <w:rsid w:val="00876C40"/>
    <w:rsid w:val="00877E4A"/>
    <w:rsid w:val="00881F40"/>
    <w:rsid w:val="00882B06"/>
    <w:rsid w:val="00884562"/>
    <w:rsid w:val="00886481"/>
    <w:rsid w:val="0088785C"/>
    <w:rsid w:val="008910B1"/>
    <w:rsid w:val="00892554"/>
    <w:rsid w:val="00892B32"/>
    <w:rsid w:val="008934F3"/>
    <w:rsid w:val="00893D28"/>
    <w:rsid w:val="00897D86"/>
    <w:rsid w:val="008A40B6"/>
    <w:rsid w:val="008A49DD"/>
    <w:rsid w:val="008A4B6C"/>
    <w:rsid w:val="008A5161"/>
    <w:rsid w:val="008A5273"/>
    <w:rsid w:val="008A74B2"/>
    <w:rsid w:val="008B2FA8"/>
    <w:rsid w:val="008B3703"/>
    <w:rsid w:val="008B3E58"/>
    <w:rsid w:val="008B4580"/>
    <w:rsid w:val="008B66AD"/>
    <w:rsid w:val="008B6C82"/>
    <w:rsid w:val="008B6E5C"/>
    <w:rsid w:val="008B7C4A"/>
    <w:rsid w:val="008C1C4F"/>
    <w:rsid w:val="008C356F"/>
    <w:rsid w:val="008C4293"/>
    <w:rsid w:val="008D0268"/>
    <w:rsid w:val="008D0CE7"/>
    <w:rsid w:val="008D3005"/>
    <w:rsid w:val="008D31A0"/>
    <w:rsid w:val="008D33DB"/>
    <w:rsid w:val="008D40AD"/>
    <w:rsid w:val="008D5221"/>
    <w:rsid w:val="008D628C"/>
    <w:rsid w:val="008D6627"/>
    <w:rsid w:val="008D6D70"/>
    <w:rsid w:val="008D7071"/>
    <w:rsid w:val="008D712B"/>
    <w:rsid w:val="008E362D"/>
    <w:rsid w:val="008E4609"/>
    <w:rsid w:val="008E4643"/>
    <w:rsid w:val="008E4FDF"/>
    <w:rsid w:val="008E506F"/>
    <w:rsid w:val="008E5120"/>
    <w:rsid w:val="008E5E03"/>
    <w:rsid w:val="008E67D2"/>
    <w:rsid w:val="008E7438"/>
    <w:rsid w:val="008E7C3D"/>
    <w:rsid w:val="008F01B4"/>
    <w:rsid w:val="008F071C"/>
    <w:rsid w:val="008F3F3F"/>
    <w:rsid w:val="008F5230"/>
    <w:rsid w:val="008F5CE7"/>
    <w:rsid w:val="00902123"/>
    <w:rsid w:val="00903345"/>
    <w:rsid w:val="00903520"/>
    <w:rsid w:val="00904167"/>
    <w:rsid w:val="009041BC"/>
    <w:rsid w:val="00904463"/>
    <w:rsid w:val="00905159"/>
    <w:rsid w:val="00905399"/>
    <w:rsid w:val="009066A7"/>
    <w:rsid w:val="00907E2F"/>
    <w:rsid w:val="009106B8"/>
    <w:rsid w:val="0091131F"/>
    <w:rsid w:val="00911742"/>
    <w:rsid w:val="00911D37"/>
    <w:rsid w:val="00912287"/>
    <w:rsid w:val="00912A3F"/>
    <w:rsid w:val="00913699"/>
    <w:rsid w:val="009137C1"/>
    <w:rsid w:val="009148D8"/>
    <w:rsid w:val="00914AB8"/>
    <w:rsid w:val="00915703"/>
    <w:rsid w:val="00915A01"/>
    <w:rsid w:val="00916B1F"/>
    <w:rsid w:val="00916C90"/>
    <w:rsid w:val="00917806"/>
    <w:rsid w:val="00917A05"/>
    <w:rsid w:val="00917B44"/>
    <w:rsid w:val="009208F0"/>
    <w:rsid w:val="00920F28"/>
    <w:rsid w:val="00921693"/>
    <w:rsid w:val="0092186C"/>
    <w:rsid w:val="0092395F"/>
    <w:rsid w:val="00924150"/>
    <w:rsid w:val="00924381"/>
    <w:rsid w:val="00925E94"/>
    <w:rsid w:val="00926FF7"/>
    <w:rsid w:val="00927304"/>
    <w:rsid w:val="009275AB"/>
    <w:rsid w:val="00927BE3"/>
    <w:rsid w:val="009300D0"/>
    <w:rsid w:val="009302EE"/>
    <w:rsid w:val="009304CD"/>
    <w:rsid w:val="0093081F"/>
    <w:rsid w:val="009318A9"/>
    <w:rsid w:val="00935FC6"/>
    <w:rsid w:val="00936D23"/>
    <w:rsid w:val="009372EB"/>
    <w:rsid w:val="009375E3"/>
    <w:rsid w:val="00940125"/>
    <w:rsid w:val="0094025C"/>
    <w:rsid w:val="009402E0"/>
    <w:rsid w:val="009406D2"/>
    <w:rsid w:val="0094095B"/>
    <w:rsid w:val="00940E0A"/>
    <w:rsid w:val="00941354"/>
    <w:rsid w:val="0094159D"/>
    <w:rsid w:val="009417BB"/>
    <w:rsid w:val="00941872"/>
    <w:rsid w:val="00941B38"/>
    <w:rsid w:val="00942B0E"/>
    <w:rsid w:val="009457A5"/>
    <w:rsid w:val="00945FA9"/>
    <w:rsid w:val="0095126D"/>
    <w:rsid w:val="009525C0"/>
    <w:rsid w:val="00952733"/>
    <w:rsid w:val="00953D60"/>
    <w:rsid w:val="009544A4"/>
    <w:rsid w:val="0095639A"/>
    <w:rsid w:val="00957715"/>
    <w:rsid w:val="00960519"/>
    <w:rsid w:val="00962514"/>
    <w:rsid w:val="00963004"/>
    <w:rsid w:val="00963411"/>
    <w:rsid w:val="00963810"/>
    <w:rsid w:val="009642DB"/>
    <w:rsid w:val="00965E9B"/>
    <w:rsid w:val="009700F0"/>
    <w:rsid w:val="00970348"/>
    <w:rsid w:val="009704C5"/>
    <w:rsid w:val="00971663"/>
    <w:rsid w:val="00971685"/>
    <w:rsid w:val="00971831"/>
    <w:rsid w:val="00971989"/>
    <w:rsid w:val="00972820"/>
    <w:rsid w:val="00972C10"/>
    <w:rsid w:val="009745E3"/>
    <w:rsid w:val="00974835"/>
    <w:rsid w:val="009750B9"/>
    <w:rsid w:val="0097619A"/>
    <w:rsid w:val="009763E7"/>
    <w:rsid w:val="009766F9"/>
    <w:rsid w:val="0098236D"/>
    <w:rsid w:val="00982BC0"/>
    <w:rsid w:val="00982FBB"/>
    <w:rsid w:val="00983E4D"/>
    <w:rsid w:val="00985204"/>
    <w:rsid w:val="00985A34"/>
    <w:rsid w:val="0098654F"/>
    <w:rsid w:val="0098668F"/>
    <w:rsid w:val="00987F41"/>
    <w:rsid w:val="00991755"/>
    <w:rsid w:val="00992304"/>
    <w:rsid w:val="009925CD"/>
    <w:rsid w:val="00994601"/>
    <w:rsid w:val="00995BB3"/>
    <w:rsid w:val="00996BDB"/>
    <w:rsid w:val="00997352"/>
    <w:rsid w:val="00997C74"/>
    <w:rsid w:val="009A022E"/>
    <w:rsid w:val="009A0567"/>
    <w:rsid w:val="009A0C01"/>
    <w:rsid w:val="009A23C9"/>
    <w:rsid w:val="009A244C"/>
    <w:rsid w:val="009A341A"/>
    <w:rsid w:val="009A4161"/>
    <w:rsid w:val="009A5860"/>
    <w:rsid w:val="009A5914"/>
    <w:rsid w:val="009A7891"/>
    <w:rsid w:val="009B2715"/>
    <w:rsid w:val="009B39EE"/>
    <w:rsid w:val="009B59DC"/>
    <w:rsid w:val="009B5E0A"/>
    <w:rsid w:val="009B69E8"/>
    <w:rsid w:val="009B7103"/>
    <w:rsid w:val="009B751E"/>
    <w:rsid w:val="009B798E"/>
    <w:rsid w:val="009C07D3"/>
    <w:rsid w:val="009C41BE"/>
    <w:rsid w:val="009C4A54"/>
    <w:rsid w:val="009C58E2"/>
    <w:rsid w:val="009C65D9"/>
    <w:rsid w:val="009C7532"/>
    <w:rsid w:val="009C7BCE"/>
    <w:rsid w:val="009D068B"/>
    <w:rsid w:val="009D1189"/>
    <w:rsid w:val="009D1C44"/>
    <w:rsid w:val="009D318A"/>
    <w:rsid w:val="009D41E7"/>
    <w:rsid w:val="009D44F3"/>
    <w:rsid w:val="009D5F7F"/>
    <w:rsid w:val="009D7AC7"/>
    <w:rsid w:val="009E0036"/>
    <w:rsid w:val="009E0061"/>
    <w:rsid w:val="009E008F"/>
    <w:rsid w:val="009E07C1"/>
    <w:rsid w:val="009E1743"/>
    <w:rsid w:val="009E3B0E"/>
    <w:rsid w:val="009E3E8A"/>
    <w:rsid w:val="009E456E"/>
    <w:rsid w:val="009E593C"/>
    <w:rsid w:val="009E5DE7"/>
    <w:rsid w:val="009F0C54"/>
    <w:rsid w:val="009F126F"/>
    <w:rsid w:val="009F12FA"/>
    <w:rsid w:val="009F5B3C"/>
    <w:rsid w:val="009F6F08"/>
    <w:rsid w:val="00A01E32"/>
    <w:rsid w:val="00A039D6"/>
    <w:rsid w:val="00A03DAA"/>
    <w:rsid w:val="00A0421A"/>
    <w:rsid w:val="00A055CC"/>
    <w:rsid w:val="00A05B53"/>
    <w:rsid w:val="00A06DBB"/>
    <w:rsid w:val="00A07AA4"/>
    <w:rsid w:val="00A105CE"/>
    <w:rsid w:val="00A1187D"/>
    <w:rsid w:val="00A11A3F"/>
    <w:rsid w:val="00A152ED"/>
    <w:rsid w:val="00A155E0"/>
    <w:rsid w:val="00A16EB7"/>
    <w:rsid w:val="00A20AB4"/>
    <w:rsid w:val="00A20F9E"/>
    <w:rsid w:val="00A212C8"/>
    <w:rsid w:val="00A22991"/>
    <w:rsid w:val="00A23177"/>
    <w:rsid w:val="00A23BD9"/>
    <w:rsid w:val="00A23E40"/>
    <w:rsid w:val="00A2433C"/>
    <w:rsid w:val="00A24452"/>
    <w:rsid w:val="00A249AF"/>
    <w:rsid w:val="00A25CAF"/>
    <w:rsid w:val="00A26F61"/>
    <w:rsid w:val="00A27737"/>
    <w:rsid w:val="00A30B5E"/>
    <w:rsid w:val="00A30CFD"/>
    <w:rsid w:val="00A3137B"/>
    <w:rsid w:val="00A3185E"/>
    <w:rsid w:val="00A324BB"/>
    <w:rsid w:val="00A3313A"/>
    <w:rsid w:val="00A332FF"/>
    <w:rsid w:val="00A35AA6"/>
    <w:rsid w:val="00A36F45"/>
    <w:rsid w:val="00A37310"/>
    <w:rsid w:val="00A37731"/>
    <w:rsid w:val="00A4100B"/>
    <w:rsid w:val="00A412A2"/>
    <w:rsid w:val="00A41953"/>
    <w:rsid w:val="00A44A9B"/>
    <w:rsid w:val="00A468CF"/>
    <w:rsid w:val="00A468DF"/>
    <w:rsid w:val="00A51B45"/>
    <w:rsid w:val="00A54241"/>
    <w:rsid w:val="00A543D7"/>
    <w:rsid w:val="00A54E4B"/>
    <w:rsid w:val="00A559EC"/>
    <w:rsid w:val="00A55F48"/>
    <w:rsid w:val="00A561FB"/>
    <w:rsid w:val="00A5685C"/>
    <w:rsid w:val="00A56945"/>
    <w:rsid w:val="00A5788A"/>
    <w:rsid w:val="00A60240"/>
    <w:rsid w:val="00A60C12"/>
    <w:rsid w:val="00A62BB4"/>
    <w:rsid w:val="00A638D8"/>
    <w:rsid w:val="00A63DD2"/>
    <w:rsid w:val="00A64FA5"/>
    <w:rsid w:val="00A66508"/>
    <w:rsid w:val="00A70A23"/>
    <w:rsid w:val="00A70C37"/>
    <w:rsid w:val="00A711BF"/>
    <w:rsid w:val="00A71B06"/>
    <w:rsid w:val="00A729A4"/>
    <w:rsid w:val="00A7437D"/>
    <w:rsid w:val="00A75E35"/>
    <w:rsid w:val="00A7637C"/>
    <w:rsid w:val="00A76974"/>
    <w:rsid w:val="00A77BA1"/>
    <w:rsid w:val="00A82708"/>
    <w:rsid w:val="00A82E0D"/>
    <w:rsid w:val="00A83AB1"/>
    <w:rsid w:val="00A84F71"/>
    <w:rsid w:val="00A85363"/>
    <w:rsid w:val="00A85C43"/>
    <w:rsid w:val="00A86D7B"/>
    <w:rsid w:val="00A87E26"/>
    <w:rsid w:val="00A90EDE"/>
    <w:rsid w:val="00A91F41"/>
    <w:rsid w:val="00A92936"/>
    <w:rsid w:val="00A92CE5"/>
    <w:rsid w:val="00A92DEE"/>
    <w:rsid w:val="00A93680"/>
    <w:rsid w:val="00A95421"/>
    <w:rsid w:val="00A96184"/>
    <w:rsid w:val="00A96735"/>
    <w:rsid w:val="00A96A4D"/>
    <w:rsid w:val="00AA0E49"/>
    <w:rsid w:val="00AA3363"/>
    <w:rsid w:val="00AA4023"/>
    <w:rsid w:val="00AA42B4"/>
    <w:rsid w:val="00AA6C92"/>
    <w:rsid w:val="00AB1484"/>
    <w:rsid w:val="00AB1DCA"/>
    <w:rsid w:val="00AB3B4B"/>
    <w:rsid w:val="00AB4272"/>
    <w:rsid w:val="00AB485B"/>
    <w:rsid w:val="00AB649D"/>
    <w:rsid w:val="00AC05EB"/>
    <w:rsid w:val="00AC133C"/>
    <w:rsid w:val="00AC1381"/>
    <w:rsid w:val="00AC1C1A"/>
    <w:rsid w:val="00AC1D2C"/>
    <w:rsid w:val="00AC2171"/>
    <w:rsid w:val="00AC3DBD"/>
    <w:rsid w:val="00AC44A4"/>
    <w:rsid w:val="00AC4C3A"/>
    <w:rsid w:val="00AC634B"/>
    <w:rsid w:val="00AC6D54"/>
    <w:rsid w:val="00AC6DFB"/>
    <w:rsid w:val="00AC724D"/>
    <w:rsid w:val="00AC72CB"/>
    <w:rsid w:val="00AC7361"/>
    <w:rsid w:val="00AC7F14"/>
    <w:rsid w:val="00AD0147"/>
    <w:rsid w:val="00AD0D3F"/>
    <w:rsid w:val="00AD0DD5"/>
    <w:rsid w:val="00AD1D0E"/>
    <w:rsid w:val="00AD253E"/>
    <w:rsid w:val="00AD2BB0"/>
    <w:rsid w:val="00AD3209"/>
    <w:rsid w:val="00AD39C9"/>
    <w:rsid w:val="00AD553A"/>
    <w:rsid w:val="00AD5EE0"/>
    <w:rsid w:val="00AD604F"/>
    <w:rsid w:val="00AD76F7"/>
    <w:rsid w:val="00AE0B84"/>
    <w:rsid w:val="00AE1C29"/>
    <w:rsid w:val="00AE5BA0"/>
    <w:rsid w:val="00AE7085"/>
    <w:rsid w:val="00AE7D0C"/>
    <w:rsid w:val="00AF0F36"/>
    <w:rsid w:val="00AF170D"/>
    <w:rsid w:val="00AF1BF0"/>
    <w:rsid w:val="00AF3C5A"/>
    <w:rsid w:val="00AF3DA7"/>
    <w:rsid w:val="00AF40A9"/>
    <w:rsid w:val="00AF4F3A"/>
    <w:rsid w:val="00AF5486"/>
    <w:rsid w:val="00AF5E22"/>
    <w:rsid w:val="00B00585"/>
    <w:rsid w:val="00B00883"/>
    <w:rsid w:val="00B016EC"/>
    <w:rsid w:val="00B01867"/>
    <w:rsid w:val="00B029F7"/>
    <w:rsid w:val="00B02F4A"/>
    <w:rsid w:val="00B0361C"/>
    <w:rsid w:val="00B045F8"/>
    <w:rsid w:val="00B048CF"/>
    <w:rsid w:val="00B05114"/>
    <w:rsid w:val="00B06097"/>
    <w:rsid w:val="00B061AF"/>
    <w:rsid w:val="00B06A3D"/>
    <w:rsid w:val="00B10280"/>
    <w:rsid w:val="00B10F97"/>
    <w:rsid w:val="00B1133F"/>
    <w:rsid w:val="00B11A9A"/>
    <w:rsid w:val="00B125CA"/>
    <w:rsid w:val="00B12A3E"/>
    <w:rsid w:val="00B14ED7"/>
    <w:rsid w:val="00B1743D"/>
    <w:rsid w:val="00B1776D"/>
    <w:rsid w:val="00B17A42"/>
    <w:rsid w:val="00B2019B"/>
    <w:rsid w:val="00B20602"/>
    <w:rsid w:val="00B22292"/>
    <w:rsid w:val="00B2302B"/>
    <w:rsid w:val="00B2349A"/>
    <w:rsid w:val="00B23D3F"/>
    <w:rsid w:val="00B241F6"/>
    <w:rsid w:val="00B24226"/>
    <w:rsid w:val="00B246A2"/>
    <w:rsid w:val="00B259BE"/>
    <w:rsid w:val="00B25C2C"/>
    <w:rsid w:val="00B26CCA"/>
    <w:rsid w:val="00B3034C"/>
    <w:rsid w:val="00B3145D"/>
    <w:rsid w:val="00B32015"/>
    <w:rsid w:val="00B3263D"/>
    <w:rsid w:val="00B32B0A"/>
    <w:rsid w:val="00B33071"/>
    <w:rsid w:val="00B336C7"/>
    <w:rsid w:val="00B33FEE"/>
    <w:rsid w:val="00B3462F"/>
    <w:rsid w:val="00B35CBE"/>
    <w:rsid w:val="00B35E36"/>
    <w:rsid w:val="00B362B4"/>
    <w:rsid w:val="00B3730C"/>
    <w:rsid w:val="00B3772C"/>
    <w:rsid w:val="00B37C69"/>
    <w:rsid w:val="00B40096"/>
    <w:rsid w:val="00B41302"/>
    <w:rsid w:val="00B41853"/>
    <w:rsid w:val="00B41F0A"/>
    <w:rsid w:val="00B43391"/>
    <w:rsid w:val="00B43BD5"/>
    <w:rsid w:val="00B43E2B"/>
    <w:rsid w:val="00B45A20"/>
    <w:rsid w:val="00B461C2"/>
    <w:rsid w:val="00B46957"/>
    <w:rsid w:val="00B47956"/>
    <w:rsid w:val="00B5063B"/>
    <w:rsid w:val="00B50A3D"/>
    <w:rsid w:val="00B5167F"/>
    <w:rsid w:val="00B517FB"/>
    <w:rsid w:val="00B51906"/>
    <w:rsid w:val="00B52A97"/>
    <w:rsid w:val="00B53D0F"/>
    <w:rsid w:val="00B53EBE"/>
    <w:rsid w:val="00B5457F"/>
    <w:rsid w:val="00B547E5"/>
    <w:rsid w:val="00B55E0E"/>
    <w:rsid w:val="00B55EF8"/>
    <w:rsid w:val="00B56199"/>
    <w:rsid w:val="00B5671B"/>
    <w:rsid w:val="00B56F0F"/>
    <w:rsid w:val="00B57492"/>
    <w:rsid w:val="00B57728"/>
    <w:rsid w:val="00B5786F"/>
    <w:rsid w:val="00B57B79"/>
    <w:rsid w:val="00B61DAC"/>
    <w:rsid w:val="00B63E49"/>
    <w:rsid w:val="00B648B2"/>
    <w:rsid w:val="00B659DC"/>
    <w:rsid w:val="00B65B5C"/>
    <w:rsid w:val="00B65BD5"/>
    <w:rsid w:val="00B65E8A"/>
    <w:rsid w:val="00B66CC5"/>
    <w:rsid w:val="00B66F7D"/>
    <w:rsid w:val="00B70A8B"/>
    <w:rsid w:val="00B70DF6"/>
    <w:rsid w:val="00B718F4"/>
    <w:rsid w:val="00B71F5F"/>
    <w:rsid w:val="00B74A85"/>
    <w:rsid w:val="00B754F3"/>
    <w:rsid w:val="00B8013F"/>
    <w:rsid w:val="00B8097D"/>
    <w:rsid w:val="00B80AE4"/>
    <w:rsid w:val="00B847AC"/>
    <w:rsid w:val="00B84FD5"/>
    <w:rsid w:val="00B87A0F"/>
    <w:rsid w:val="00B9281F"/>
    <w:rsid w:val="00B93461"/>
    <w:rsid w:val="00B964AC"/>
    <w:rsid w:val="00B9772A"/>
    <w:rsid w:val="00B97779"/>
    <w:rsid w:val="00BA02CD"/>
    <w:rsid w:val="00BA0578"/>
    <w:rsid w:val="00BA1BF1"/>
    <w:rsid w:val="00BA35CD"/>
    <w:rsid w:val="00BA3E7F"/>
    <w:rsid w:val="00BA42D4"/>
    <w:rsid w:val="00BA542A"/>
    <w:rsid w:val="00BA56F0"/>
    <w:rsid w:val="00BA6542"/>
    <w:rsid w:val="00BA7D0C"/>
    <w:rsid w:val="00BB1F9B"/>
    <w:rsid w:val="00BB221F"/>
    <w:rsid w:val="00BB5E04"/>
    <w:rsid w:val="00BB64EC"/>
    <w:rsid w:val="00BB79E2"/>
    <w:rsid w:val="00BB7D75"/>
    <w:rsid w:val="00BC0E88"/>
    <w:rsid w:val="00BC12A0"/>
    <w:rsid w:val="00BC19F5"/>
    <w:rsid w:val="00BC1E56"/>
    <w:rsid w:val="00BC2DCC"/>
    <w:rsid w:val="00BC501E"/>
    <w:rsid w:val="00BC5942"/>
    <w:rsid w:val="00BC5E48"/>
    <w:rsid w:val="00BC73EA"/>
    <w:rsid w:val="00BD151F"/>
    <w:rsid w:val="00BD2EA2"/>
    <w:rsid w:val="00BD31B6"/>
    <w:rsid w:val="00BD3211"/>
    <w:rsid w:val="00BD3427"/>
    <w:rsid w:val="00BD3F44"/>
    <w:rsid w:val="00BD5077"/>
    <w:rsid w:val="00BD60F7"/>
    <w:rsid w:val="00BD634E"/>
    <w:rsid w:val="00BE0948"/>
    <w:rsid w:val="00BE0E05"/>
    <w:rsid w:val="00BE10B2"/>
    <w:rsid w:val="00BE1B29"/>
    <w:rsid w:val="00BE2BF1"/>
    <w:rsid w:val="00BE2E2F"/>
    <w:rsid w:val="00BE3004"/>
    <w:rsid w:val="00BE3318"/>
    <w:rsid w:val="00BE3426"/>
    <w:rsid w:val="00BE3F2F"/>
    <w:rsid w:val="00BE41A5"/>
    <w:rsid w:val="00BE453C"/>
    <w:rsid w:val="00BE6168"/>
    <w:rsid w:val="00BE7AD8"/>
    <w:rsid w:val="00BF08EE"/>
    <w:rsid w:val="00BF0C8A"/>
    <w:rsid w:val="00BF0DDC"/>
    <w:rsid w:val="00BF1266"/>
    <w:rsid w:val="00BF16CC"/>
    <w:rsid w:val="00BF1B89"/>
    <w:rsid w:val="00BF1BC2"/>
    <w:rsid w:val="00BF1EA1"/>
    <w:rsid w:val="00BF26A4"/>
    <w:rsid w:val="00BF29F1"/>
    <w:rsid w:val="00BF37F4"/>
    <w:rsid w:val="00BF4524"/>
    <w:rsid w:val="00BF52B2"/>
    <w:rsid w:val="00BF677A"/>
    <w:rsid w:val="00BF7DB4"/>
    <w:rsid w:val="00C010AB"/>
    <w:rsid w:val="00C028DA"/>
    <w:rsid w:val="00C05E7C"/>
    <w:rsid w:val="00C06B79"/>
    <w:rsid w:val="00C07AF5"/>
    <w:rsid w:val="00C07BA3"/>
    <w:rsid w:val="00C1070A"/>
    <w:rsid w:val="00C10730"/>
    <w:rsid w:val="00C1167A"/>
    <w:rsid w:val="00C12AC4"/>
    <w:rsid w:val="00C12E35"/>
    <w:rsid w:val="00C16B60"/>
    <w:rsid w:val="00C1711B"/>
    <w:rsid w:val="00C1780F"/>
    <w:rsid w:val="00C17FD8"/>
    <w:rsid w:val="00C21C27"/>
    <w:rsid w:val="00C2450B"/>
    <w:rsid w:val="00C24AC0"/>
    <w:rsid w:val="00C25270"/>
    <w:rsid w:val="00C304DE"/>
    <w:rsid w:val="00C328AB"/>
    <w:rsid w:val="00C32954"/>
    <w:rsid w:val="00C35337"/>
    <w:rsid w:val="00C37216"/>
    <w:rsid w:val="00C37469"/>
    <w:rsid w:val="00C40F88"/>
    <w:rsid w:val="00C413A1"/>
    <w:rsid w:val="00C413B2"/>
    <w:rsid w:val="00C41915"/>
    <w:rsid w:val="00C43D87"/>
    <w:rsid w:val="00C4413D"/>
    <w:rsid w:val="00C441B7"/>
    <w:rsid w:val="00C44DCA"/>
    <w:rsid w:val="00C453C7"/>
    <w:rsid w:val="00C465DF"/>
    <w:rsid w:val="00C466C0"/>
    <w:rsid w:val="00C46B89"/>
    <w:rsid w:val="00C46BD5"/>
    <w:rsid w:val="00C4701B"/>
    <w:rsid w:val="00C4721B"/>
    <w:rsid w:val="00C47286"/>
    <w:rsid w:val="00C47602"/>
    <w:rsid w:val="00C51F72"/>
    <w:rsid w:val="00C51FD6"/>
    <w:rsid w:val="00C527D3"/>
    <w:rsid w:val="00C534C4"/>
    <w:rsid w:val="00C5700D"/>
    <w:rsid w:val="00C60955"/>
    <w:rsid w:val="00C62137"/>
    <w:rsid w:val="00C622EA"/>
    <w:rsid w:val="00C629C9"/>
    <w:rsid w:val="00C64CE0"/>
    <w:rsid w:val="00C64D6B"/>
    <w:rsid w:val="00C653FB"/>
    <w:rsid w:val="00C65663"/>
    <w:rsid w:val="00C65FC6"/>
    <w:rsid w:val="00C661D5"/>
    <w:rsid w:val="00C6669A"/>
    <w:rsid w:val="00C675D4"/>
    <w:rsid w:val="00C67B09"/>
    <w:rsid w:val="00C7045B"/>
    <w:rsid w:val="00C70638"/>
    <w:rsid w:val="00C7072B"/>
    <w:rsid w:val="00C70FFA"/>
    <w:rsid w:val="00C7105A"/>
    <w:rsid w:val="00C72326"/>
    <w:rsid w:val="00C727EF"/>
    <w:rsid w:val="00C72F63"/>
    <w:rsid w:val="00C739F4"/>
    <w:rsid w:val="00C73D67"/>
    <w:rsid w:val="00C7462F"/>
    <w:rsid w:val="00C75EF5"/>
    <w:rsid w:val="00C8359D"/>
    <w:rsid w:val="00C84E6F"/>
    <w:rsid w:val="00C85848"/>
    <w:rsid w:val="00C861D1"/>
    <w:rsid w:val="00C87728"/>
    <w:rsid w:val="00C90587"/>
    <w:rsid w:val="00C92ED7"/>
    <w:rsid w:val="00C96127"/>
    <w:rsid w:val="00C96178"/>
    <w:rsid w:val="00C968D7"/>
    <w:rsid w:val="00C96FC7"/>
    <w:rsid w:val="00C97482"/>
    <w:rsid w:val="00C979CB"/>
    <w:rsid w:val="00C97ACD"/>
    <w:rsid w:val="00C97BFE"/>
    <w:rsid w:val="00CA04B1"/>
    <w:rsid w:val="00CA071C"/>
    <w:rsid w:val="00CA244E"/>
    <w:rsid w:val="00CA2B0F"/>
    <w:rsid w:val="00CA3BA9"/>
    <w:rsid w:val="00CA448C"/>
    <w:rsid w:val="00CA5370"/>
    <w:rsid w:val="00CA57E7"/>
    <w:rsid w:val="00CA61D7"/>
    <w:rsid w:val="00CA62B9"/>
    <w:rsid w:val="00CA6542"/>
    <w:rsid w:val="00CA778E"/>
    <w:rsid w:val="00CB088F"/>
    <w:rsid w:val="00CB0A68"/>
    <w:rsid w:val="00CB15E0"/>
    <w:rsid w:val="00CB2092"/>
    <w:rsid w:val="00CB3288"/>
    <w:rsid w:val="00CB4D8D"/>
    <w:rsid w:val="00CB522B"/>
    <w:rsid w:val="00CB54AC"/>
    <w:rsid w:val="00CB6765"/>
    <w:rsid w:val="00CB7C7C"/>
    <w:rsid w:val="00CB7E34"/>
    <w:rsid w:val="00CC0C63"/>
    <w:rsid w:val="00CC237A"/>
    <w:rsid w:val="00CC25F6"/>
    <w:rsid w:val="00CC3624"/>
    <w:rsid w:val="00CC36BC"/>
    <w:rsid w:val="00CC3F5B"/>
    <w:rsid w:val="00CC428C"/>
    <w:rsid w:val="00CC43FC"/>
    <w:rsid w:val="00CC49EC"/>
    <w:rsid w:val="00CC4D81"/>
    <w:rsid w:val="00CC4F5A"/>
    <w:rsid w:val="00CC4FBB"/>
    <w:rsid w:val="00CC5506"/>
    <w:rsid w:val="00CC6E29"/>
    <w:rsid w:val="00CD0309"/>
    <w:rsid w:val="00CD16CB"/>
    <w:rsid w:val="00CD2534"/>
    <w:rsid w:val="00CD29C4"/>
    <w:rsid w:val="00CD3717"/>
    <w:rsid w:val="00CD4D7C"/>
    <w:rsid w:val="00CD503C"/>
    <w:rsid w:val="00CD6592"/>
    <w:rsid w:val="00CD69DD"/>
    <w:rsid w:val="00CD6CD9"/>
    <w:rsid w:val="00CD7848"/>
    <w:rsid w:val="00CD7DA9"/>
    <w:rsid w:val="00CE04F1"/>
    <w:rsid w:val="00CE0570"/>
    <w:rsid w:val="00CE1635"/>
    <w:rsid w:val="00CE1B7F"/>
    <w:rsid w:val="00CE1FA4"/>
    <w:rsid w:val="00CE299D"/>
    <w:rsid w:val="00CE3258"/>
    <w:rsid w:val="00CE3A65"/>
    <w:rsid w:val="00CE41ED"/>
    <w:rsid w:val="00CE4443"/>
    <w:rsid w:val="00CE777D"/>
    <w:rsid w:val="00CF0B58"/>
    <w:rsid w:val="00CF103D"/>
    <w:rsid w:val="00CF1154"/>
    <w:rsid w:val="00CF34CF"/>
    <w:rsid w:val="00CF4048"/>
    <w:rsid w:val="00CF45C0"/>
    <w:rsid w:val="00CF4692"/>
    <w:rsid w:val="00CF5C3C"/>
    <w:rsid w:val="00CF5CFF"/>
    <w:rsid w:val="00CF603A"/>
    <w:rsid w:val="00CF6282"/>
    <w:rsid w:val="00CF7746"/>
    <w:rsid w:val="00D006DD"/>
    <w:rsid w:val="00D00FD9"/>
    <w:rsid w:val="00D0150B"/>
    <w:rsid w:val="00D01745"/>
    <w:rsid w:val="00D02F8B"/>
    <w:rsid w:val="00D04CD2"/>
    <w:rsid w:val="00D05FB5"/>
    <w:rsid w:val="00D07145"/>
    <w:rsid w:val="00D079EC"/>
    <w:rsid w:val="00D11C13"/>
    <w:rsid w:val="00D133B3"/>
    <w:rsid w:val="00D140B8"/>
    <w:rsid w:val="00D15298"/>
    <w:rsid w:val="00D15B0A"/>
    <w:rsid w:val="00D21168"/>
    <w:rsid w:val="00D216A9"/>
    <w:rsid w:val="00D21AED"/>
    <w:rsid w:val="00D21B8E"/>
    <w:rsid w:val="00D23293"/>
    <w:rsid w:val="00D23D04"/>
    <w:rsid w:val="00D23FB5"/>
    <w:rsid w:val="00D24B8F"/>
    <w:rsid w:val="00D25046"/>
    <w:rsid w:val="00D252B9"/>
    <w:rsid w:val="00D25942"/>
    <w:rsid w:val="00D26D5B"/>
    <w:rsid w:val="00D2715C"/>
    <w:rsid w:val="00D27560"/>
    <w:rsid w:val="00D2784D"/>
    <w:rsid w:val="00D308DB"/>
    <w:rsid w:val="00D321CF"/>
    <w:rsid w:val="00D3405B"/>
    <w:rsid w:val="00D344AD"/>
    <w:rsid w:val="00D34ACB"/>
    <w:rsid w:val="00D34E06"/>
    <w:rsid w:val="00D34FD0"/>
    <w:rsid w:val="00D35460"/>
    <w:rsid w:val="00D35712"/>
    <w:rsid w:val="00D35734"/>
    <w:rsid w:val="00D360F4"/>
    <w:rsid w:val="00D3640B"/>
    <w:rsid w:val="00D40942"/>
    <w:rsid w:val="00D41692"/>
    <w:rsid w:val="00D4189C"/>
    <w:rsid w:val="00D41A7B"/>
    <w:rsid w:val="00D42EFA"/>
    <w:rsid w:val="00D4584E"/>
    <w:rsid w:val="00D46A80"/>
    <w:rsid w:val="00D46B02"/>
    <w:rsid w:val="00D46DCC"/>
    <w:rsid w:val="00D5207A"/>
    <w:rsid w:val="00D523AF"/>
    <w:rsid w:val="00D53FD3"/>
    <w:rsid w:val="00D55B1D"/>
    <w:rsid w:val="00D5601E"/>
    <w:rsid w:val="00D567C1"/>
    <w:rsid w:val="00D57207"/>
    <w:rsid w:val="00D612BE"/>
    <w:rsid w:val="00D61E7D"/>
    <w:rsid w:val="00D61FCC"/>
    <w:rsid w:val="00D62606"/>
    <w:rsid w:val="00D62B1A"/>
    <w:rsid w:val="00D63DB0"/>
    <w:rsid w:val="00D65EA5"/>
    <w:rsid w:val="00D6707B"/>
    <w:rsid w:val="00D674E9"/>
    <w:rsid w:val="00D67839"/>
    <w:rsid w:val="00D67872"/>
    <w:rsid w:val="00D70267"/>
    <w:rsid w:val="00D702E1"/>
    <w:rsid w:val="00D703AF"/>
    <w:rsid w:val="00D709F8"/>
    <w:rsid w:val="00D74684"/>
    <w:rsid w:val="00D75C9F"/>
    <w:rsid w:val="00D75FF6"/>
    <w:rsid w:val="00D763EB"/>
    <w:rsid w:val="00D771EC"/>
    <w:rsid w:val="00D7748F"/>
    <w:rsid w:val="00D77716"/>
    <w:rsid w:val="00D801A5"/>
    <w:rsid w:val="00D823D2"/>
    <w:rsid w:val="00D82C23"/>
    <w:rsid w:val="00D82D0E"/>
    <w:rsid w:val="00D8574A"/>
    <w:rsid w:val="00D85A93"/>
    <w:rsid w:val="00D8605A"/>
    <w:rsid w:val="00D87A5A"/>
    <w:rsid w:val="00D925E6"/>
    <w:rsid w:val="00D9317E"/>
    <w:rsid w:val="00D946B8"/>
    <w:rsid w:val="00D951D5"/>
    <w:rsid w:val="00D95686"/>
    <w:rsid w:val="00D9603C"/>
    <w:rsid w:val="00D961F7"/>
    <w:rsid w:val="00D96F95"/>
    <w:rsid w:val="00D972EC"/>
    <w:rsid w:val="00D9781A"/>
    <w:rsid w:val="00D97929"/>
    <w:rsid w:val="00DA0217"/>
    <w:rsid w:val="00DA22EF"/>
    <w:rsid w:val="00DA34F9"/>
    <w:rsid w:val="00DA47AD"/>
    <w:rsid w:val="00DA5D58"/>
    <w:rsid w:val="00DA641B"/>
    <w:rsid w:val="00DA722F"/>
    <w:rsid w:val="00DA79F5"/>
    <w:rsid w:val="00DB07B6"/>
    <w:rsid w:val="00DB0EF1"/>
    <w:rsid w:val="00DB1C18"/>
    <w:rsid w:val="00DB1C92"/>
    <w:rsid w:val="00DB28AA"/>
    <w:rsid w:val="00DB338B"/>
    <w:rsid w:val="00DB3C0E"/>
    <w:rsid w:val="00DB505B"/>
    <w:rsid w:val="00DB5A69"/>
    <w:rsid w:val="00DB64DB"/>
    <w:rsid w:val="00DB7190"/>
    <w:rsid w:val="00DB733B"/>
    <w:rsid w:val="00DB7F43"/>
    <w:rsid w:val="00DC11A0"/>
    <w:rsid w:val="00DC1ADB"/>
    <w:rsid w:val="00DC52A9"/>
    <w:rsid w:val="00DC60F5"/>
    <w:rsid w:val="00DC6131"/>
    <w:rsid w:val="00DD0371"/>
    <w:rsid w:val="00DD064C"/>
    <w:rsid w:val="00DD0B90"/>
    <w:rsid w:val="00DD110B"/>
    <w:rsid w:val="00DD217C"/>
    <w:rsid w:val="00DD25F8"/>
    <w:rsid w:val="00DD2EA9"/>
    <w:rsid w:val="00DD3206"/>
    <w:rsid w:val="00DD5BFB"/>
    <w:rsid w:val="00DD5DA5"/>
    <w:rsid w:val="00DE0D3F"/>
    <w:rsid w:val="00DE107B"/>
    <w:rsid w:val="00DE1CA4"/>
    <w:rsid w:val="00DE1D08"/>
    <w:rsid w:val="00DE27D5"/>
    <w:rsid w:val="00DE4D66"/>
    <w:rsid w:val="00DE50D0"/>
    <w:rsid w:val="00DE689E"/>
    <w:rsid w:val="00DE710D"/>
    <w:rsid w:val="00DF02B4"/>
    <w:rsid w:val="00DF2696"/>
    <w:rsid w:val="00DF5E70"/>
    <w:rsid w:val="00DF6609"/>
    <w:rsid w:val="00DF727D"/>
    <w:rsid w:val="00DF7289"/>
    <w:rsid w:val="00DF77C1"/>
    <w:rsid w:val="00DF7C42"/>
    <w:rsid w:val="00E0034A"/>
    <w:rsid w:val="00E00EB0"/>
    <w:rsid w:val="00E02CDA"/>
    <w:rsid w:val="00E03BF0"/>
    <w:rsid w:val="00E03D9C"/>
    <w:rsid w:val="00E04911"/>
    <w:rsid w:val="00E0744B"/>
    <w:rsid w:val="00E07BBA"/>
    <w:rsid w:val="00E07F85"/>
    <w:rsid w:val="00E106D4"/>
    <w:rsid w:val="00E123C3"/>
    <w:rsid w:val="00E13ECA"/>
    <w:rsid w:val="00E14873"/>
    <w:rsid w:val="00E14CFC"/>
    <w:rsid w:val="00E16C6B"/>
    <w:rsid w:val="00E16E2F"/>
    <w:rsid w:val="00E1727C"/>
    <w:rsid w:val="00E17C48"/>
    <w:rsid w:val="00E223D8"/>
    <w:rsid w:val="00E2317C"/>
    <w:rsid w:val="00E233CD"/>
    <w:rsid w:val="00E23BC4"/>
    <w:rsid w:val="00E24445"/>
    <w:rsid w:val="00E24E07"/>
    <w:rsid w:val="00E2539B"/>
    <w:rsid w:val="00E25D37"/>
    <w:rsid w:val="00E270BF"/>
    <w:rsid w:val="00E3118F"/>
    <w:rsid w:val="00E3205A"/>
    <w:rsid w:val="00E3213C"/>
    <w:rsid w:val="00E321E4"/>
    <w:rsid w:val="00E3311C"/>
    <w:rsid w:val="00E35988"/>
    <w:rsid w:val="00E35D9A"/>
    <w:rsid w:val="00E371C3"/>
    <w:rsid w:val="00E41784"/>
    <w:rsid w:val="00E42309"/>
    <w:rsid w:val="00E42970"/>
    <w:rsid w:val="00E440D2"/>
    <w:rsid w:val="00E44C82"/>
    <w:rsid w:val="00E44CA9"/>
    <w:rsid w:val="00E450F2"/>
    <w:rsid w:val="00E466A8"/>
    <w:rsid w:val="00E46F70"/>
    <w:rsid w:val="00E47024"/>
    <w:rsid w:val="00E47B89"/>
    <w:rsid w:val="00E50909"/>
    <w:rsid w:val="00E52172"/>
    <w:rsid w:val="00E530DD"/>
    <w:rsid w:val="00E543B6"/>
    <w:rsid w:val="00E5477A"/>
    <w:rsid w:val="00E554EB"/>
    <w:rsid w:val="00E55DFD"/>
    <w:rsid w:val="00E57F4C"/>
    <w:rsid w:val="00E60418"/>
    <w:rsid w:val="00E61F34"/>
    <w:rsid w:val="00E62422"/>
    <w:rsid w:val="00E6261E"/>
    <w:rsid w:val="00E63AE6"/>
    <w:rsid w:val="00E63BBF"/>
    <w:rsid w:val="00E64E2C"/>
    <w:rsid w:val="00E65AEB"/>
    <w:rsid w:val="00E65D50"/>
    <w:rsid w:val="00E66787"/>
    <w:rsid w:val="00E6787A"/>
    <w:rsid w:val="00E67C3B"/>
    <w:rsid w:val="00E70039"/>
    <w:rsid w:val="00E71134"/>
    <w:rsid w:val="00E74C8F"/>
    <w:rsid w:val="00E7608B"/>
    <w:rsid w:val="00E763A9"/>
    <w:rsid w:val="00E768D6"/>
    <w:rsid w:val="00E76AD3"/>
    <w:rsid w:val="00E77B51"/>
    <w:rsid w:val="00E81CE7"/>
    <w:rsid w:val="00E832A6"/>
    <w:rsid w:val="00E84731"/>
    <w:rsid w:val="00E84D68"/>
    <w:rsid w:val="00E8545F"/>
    <w:rsid w:val="00E85AB1"/>
    <w:rsid w:val="00E87E3C"/>
    <w:rsid w:val="00E900C0"/>
    <w:rsid w:val="00E918F6"/>
    <w:rsid w:val="00E934FE"/>
    <w:rsid w:val="00E94417"/>
    <w:rsid w:val="00E94CAB"/>
    <w:rsid w:val="00E95477"/>
    <w:rsid w:val="00E96010"/>
    <w:rsid w:val="00E96158"/>
    <w:rsid w:val="00E96691"/>
    <w:rsid w:val="00E97694"/>
    <w:rsid w:val="00E97F1A"/>
    <w:rsid w:val="00EA0008"/>
    <w:rsid w:val="00EA0D50"/>
    <w:rsid w:val="00EA0DD7"/>
    <w:rsid w:val="00EA1E44"/>
    <w:rsid w:val="00EA237B"/>
    <w:rsid w:val="00EA2632"/>
    <w:rsid w:val="00EA3084"/>
    <w:rsid w:val="00EA3CDB"/>
    <w:rsid w:val="00EA3FE0"/>
    <w:rsid w:val="00EA4A28"/>
    <w:rsid w:val="00EA54A6"/>
    <w:rsid w:val="00EA5D9A"/>
    <w:rsid w:val="00EA5F00"/>
    <w:rsid w:val="00EA6069"/>
    <w:rsid w:val="00EA6263"/>
    <w:rsid w:val="00EA7C5C"/>
    <w:rsid w:val="00EB2086"/>
    <w:rsid w:val="00EB2B49"/>
    <w:rsid w:val="00EB2ED9"/>
    <w:rsid w:val="00EB3B42"/>
    <w:rsid w:val="00EB5818"/>
    <w:rsid w:val="00EB5CBE"/>
    <w:rsid w:val="00EB5F57"/>
    <w:rsid w:val="00EB7568"/>
    <w:rsid w:val="00EC1464"/>
    <w:rsid w:val="00EC1642"/>
    <w:rsid w:val="00EC1852"/>
    <w:rsid w:val="00EC2F4A"/>
    <w:rsid w:val="00EC7058"/>
    <w:rsid w:val="00EC71C4"/>
    <w:rsid w:val="00ED0024"/>
    <w:rsid w:val="00ED1BFC"/>
    <w:rsid w:val="00ED233F"/>
    <w:rsid w:val="00ED2DE3"/>
    <w:rsid w:val="00ED3B52"/>
    <w:rsid w:val="00ED474F"/>
    <w:rsid w:val="00EE0F5B"/>
    <w:rsid w:val="00EE12FF"/>
    <w:rsid w:val="00EE13CB"/>
    <w:rsid w:val="00EE19E9"/>
    <w:rsid w:val="00EE230F"/>
    <w:rsid w:val="00EE2981"/>
    <w:rsid w:val="00EE372C"/>
    <w:rsid w:val="00EE41A2"/>
    <w:rsid w:val="00EE4A4D"/>
    <w:rsid w:val="00EE5222"/>
    <w:rsid w:val="00EE5444"/>
    <w:rsid w:val="00EE5FE6"/>
    <w:rsid w:val="00EE6C0E"/>
    <w:rsid w:val="00EE741A"/>
    <w:rsid w:val="00EE7C37"/>
    <w:rsid w:val="00EE7C9C"/>
    <w:rsid w:val="00EF0691"/>
    <w:rsid w:val="00EF07D5"/>
    <w:rsid w:val="00EF0928"/>
    <w:rsid w:val="00EF1483"/>
    <w:rsid w:val="00EF1AD9"/>
    <w:rsid w:val="00EF1DFC"/>
    <w:rsid w:val="00EF20D8"/>
    <w:rsid w:val="00EF249A"/>
    <w:rsid w:val="00EF2573"/>
    <w:rsid w:val="00EF2593"/>
    <w:rsid w:val="00EF2943"/>
    <w:rsid w:val="00EF3700"/>
    <w:rsid w:val="00EF3F49"/>
    <w:rsid w:val="00EF439D"/>
    <w:rsid w:val="00EF6E8C"/>
    <w:rsid w:val="00F01A96"/>
    <w:rsid w:val="00F01B7F"/>
    <w:rsid w:val="00F02100"/>
    <w:rsid w:val="00F0452E"/>
    <w:rsid w:val="00F04970"/>
    <w:rsid w:val="00F05ADD"/>
    <w:rsid w:val="00F0671B"/>
    <w:rsid w:val="00F07600"/>
    <w:rsid w:val="00F07FF3"/>
    <w:rsid w:val="00F1177E"/>
    <w:rsid w:val="00F11B40"/>
    <w:rsid w:val="00F12A6D"/>
    <w:rsid w:val="00F13B46"/>
    <w:rsid w:val="00F13D8A"/>
    <w:rsid w:val="00F1491B"/>
    <w:rsid w:val="00F14A25"/>
    <w:rsid w:val="00F1592B"/>
    <w:rsid w:val="00F15D5D"/>
    <w:rsid w:val="00F15FFC"/>
    <w:rsid w:val="00F1767C"/>
    <w:rsid w:val="00F17710"/>
    <w:rsid w:val="00F200EB"/>
    <w:rsid w:val="00F20F7F"/>
    <w:rsid w:val="00F216E4"/>
    <w:rsid w:val="00F22914"/>
    <w:rsid w:val="00F23C9E"/>
    <w:rsid w:val="00F24EE0"/>
    <w:rsid w:val="00F2736F"/>
    <w:rsid w:val="00F30554"/>
    <w:rsid w:val="00F32736"/>
    <w:rsid w:val="00F32978"/>
    <w:rsid w:val="00F32EBF"/>
    <w:rsid w:val="00F356BF"/>
    <w:rsid w:val="00F35FE2"/>
    <w:rsid w:val="00F3707B"/>
    <w:rsid w:val="00F37B76"/>
    <w:rsid w:val="00F40563"/>
    <w:rsid w:val="00F4094D"/>
    <w:rsid w:val="00F412BF"/>
    <w:rsid w:val="00F420CD"/>
    <w:rsid w:val="00F4282B"/>
    <w:rsid w:val="00F4734B"/>
    <w:rsid w:val="00F518D0"/>
    <w:rsid w:val="00F52C83"/>
    <w:rsid w:val="00F54239"/>
    <w:rsid w:val="00F557F0"/>
    <w:rsid w:val="00F56273"/>
    <w:rsid w:val="00F570BE"/>
    <w:rsid w:val="00F5718C"/>
    <w:rsid w:val="00F5769E"/>
    <w:rsid w:val="00F606AB"/>
    <w:rsid w:val="00F61197"/>
    <w:rsid w:val="00F6131B"/>
    <w:rsid w:val="00F631BA"/>
    <w:rsid w:val="00F635D7"/>
    <w:rsid w:val="00F63765"/>
    <w:rsid w:val="00F63C5C"/>
    <w:rsid w:val="00F65A53"/>
    <w:rsid w:val="00F66191"/>
    <w:rsid w:val="00F6685E"/>
    <w:rsid w:val="00F66A15"/>
    <w:rsid w:val="00F66FD3"/>
    <w:rsid w:val="00F67216"/>
    <w:rsid w:val="00F67C3D"/>
    <w:rsid w:val="00F67EDC"/>
    <w:rsid w:val="00F70E04"/>
    <w:rsid w:val="00F70EDD"/>
    <w:rsid w:val="00F70EF0"/>
    <w:rsid w:val="00F7261C"/>
    <w:rsid w:val="00F72676"/>
    <w:rsid w:val="00F73516"/>
    <w:rsid w:val="00F73EE2"/>
    <w:rsid w:val="00F74BC9"/>
    <w:rsid w:val="00F75237"/>
    <w:rsid w:val="00F7746E"/>
    <w:rsid w:val="00F77E67"/>
    <w:rsid w:val="00F802B5"/>
    <w:rsid w:val="00F80B8E"/>
    <w:rsid w:val="00F813E0"/>
    <w:rsid w:val="00F82286"/>
    <w:rsid w:val="00F82D8F"/>
    <w:rsid w:val="00F83735"/>
    <w:rsid w:val="00F8483E"/>
    <w:rsid w:val="00F84C43"/>
    <w:rsid w:val="00F85A66"/>
    <w:rsid w:val="00F86A39"/>
    <w:rsid w:val="00F91514"/>
    <w:rsid w:val="00F91F00"/>
    <w:rsid w:val="00F94680"/>
    <w:rsid w:val="00F9571F"/>
    <w:rsid w:val="00F95DED"/>
    <w:rsid w:val="00F960D3"/>
    <w:rsid w:val="00F96BF4"/>
    <w:rsid w:val="00FA12CF"/>
    <w:rsid w:val="00FA23D3"/>
    <w:rsid w:val="00FA254D"/>
    <w:rsid w:val="00FA262C"/>
    <w:rsid w:val="00FA2F12"/>
    <w:rsid w:val="00FA3C32"/>
    <w:rsid w:val="00FA3DA0"/>
    <w:rsid w:val="00FA44BC"/>
    <w:rsid w:val="00FA5110"/>
    <w:rsid w:val="00FA6BD7"/>
    <w:rsid w:val="00FA6BE9"/>
    <w:rsid w:val="00FB014C"/>
    <w:rsid w:val="00FB0A8D"/>
    <w:rsid w:val="00FB12DA"/>
    <w:rsid w:val="00FB3BFA"/>
    <w:rsid w:val="00FB3EC1"/>
    <w:rsid w:val="00FB413A"/>
    <w:rsid w:val="00FB4422"/>
    <w:rsid w:val="00FB4BCC"/>
    <w:rsid w:val="00FB4E81"/>
    <w:rsid w:val="00FB57E3"/>
    <w:rsid w:val="00FC044C"/>
    <w:rsid w:val="00FC0F21"/>
    <w:rsid w:val="00FC12A1"/>
    <w:rsid w:val="00FC18E0"/>
    <w:rsid w:val="00FC1C58"/>
    <w:rsid w:val="00FC2EA0"/>
    <w:rsid w:val="00FC489E"/>
    <w:rsid w:val="00FC5566"/>
    <w:rsid w:val="00FC5852"/>
    <w:rsid w:val="00FC67B5"/>
    <w:rsid w:val="00FC681A"/>
    <w:rsid w:val="00FC7553"/>
    <w:rsid w:val="00FC7DFE"/>
    <w:rsid w:val="00FD00E0"/>
    <w:rsid w:val="00FD05DF"/>
    <w:rsid w:val="00FD1D07"/>
    <w:rsid w:val="00FD342B"/>
    <w:rsid w:val="00FD37B0"/>
    <w:rsid w:val="00FD50C2"/>
    <w:rsid w:val="00FE11C1"/>
    <w:rsid w:val="00FE1731"/>
    <w:rsid w:val="00FE25AD"/>
    <w:rsid w:val="00FE3210"/>
    <w:rsid w:val="00FE3A56"/>
    <w:rsid w:val="00FE3D95"/>
    <w:rsid w:val="00FE4B70"/>
    <w:rsid w:val="00FE542D"/>
    <w:rsid w:val="00FE54AF"/>
    <w:rsid w:val="00FE60EE"/>
    <w:rsid w:val="00FE6823"/>
    <w:rsid w:val="00FE6C6D"/>
    <w:rsid w:val="00FE6E82"/>
    <w:rsid w:val="00FE73BD"/>
    <w:rsid w:val="00FF0049"/>
    <w:rsid w:val="00FF31D2"/>
    <w:rsid w:val="00FF32DB"/>
    <w:rsid w:val="00FF4727"/>
    <w:rsid w:val="00FF71CB"/>
    <w:rsid w:val="5621AF3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A8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color w:val="221F20"/>
        <w:sz w:val="21"/>
        <w:szCs w:val="21"/>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B7"/>
    <w:pPr>
      <w:widowControl w:val="0"/>
      <w:spacing w:line="360" w:lineRule="auto"/>
      <w:jc w:val="both"/>
    </w:pPr>
    <w:rPr>
      <w:rFonts w:ascii="Calibri" w:eastAsiaTheme="minorHAnsi" w:hAnsi="Calibri" w:cstheme="minorBidi"/>
      <w:color w:val="auto"/>
      <w:sz w:val="22"/>
      <w:szCs w:val="22"/>
      <w:lang w:val="en-US"/>
    </w:rPr>
  </w:style>
  <w:style w:type="paragraph" w:styleId="Heading1">
    <w:name w:val="heading 1"/>
    <w:next w:val="BodyText"/>
    <w:link w:val="Heading1Char"/>
    <w:autoRedefine/>
    <w:qFormat/>
    <w:rsid w:val="00FC12A1"/>
    <w:pPr>
      <w:keepNext/>
      <w:widowControl w:val="0"/>
      <w:pBdr>
        <w:bottom w:val="single" w:sz="4" w:space="1" w:color="auto"/>
      </w:pBdr>
      <w:outlineLvl w:val="0"/>
    </w:pPr>
    <w:rPr>
      <w:rFonts w:asciiTheme="majorHAnsi" w:eastAsia="Arial Unicode MS" w:hAnsiTheme="majorHAnsi" w:cstheme="majorHAnsi"/>
      <w:b/>
      <w:color w:val="auto"/>
      <w:sz w:val="32"/>
      <w:szCs w:val="32"/>
    </w:rPr>
  </w:style>
  <w:style w:type="paragraph" w:styleId="Heading2">
    <w:name w:val="heading 2"/>
    <w:basedOn w:val="Heading1"/>
    <w:next w:val="BodyText"/>
    <w:link w:val="Heading2Char"/>
    <w:qFormat/>
    <w:rsid w:val="00303A2D"/>
    <w:pPr>
      <w:numPr>
        <w:ilvl w:val="1"/>
        <w:numId w:val="1"/>
      </w:numPr>
      <w:pBdr>
        <w:bottom w:val="none" w:sz="0" w:space="0" w:color="auto"/>
      </w:pBdr>
      <w:outlineLvl w:val="1"/>
    </w:pPr>
  </w:style>
  <w:style w:type="paragraph" w:styleId="Heading3">
    <w:name w:val="heading 3"/>
    <w:basedOn w:val="Heading2"/>
    <w:next w:val="BodyText"/>
    <w:link w:val="Heading3Char"/>
    <w:autoRedefine/>
    <w:qFormat/>
    <w:rsid w:val="005C5554"/>
    <w:pPr>
      <w:numPr>
        <w:ilvl w:val="2"/>
      </w:numPr>
      <w:spacing w:line="360" w:lineRule="auto"/>
      <w:outlineLvl w:val="2"/>
    </w:pPr>
    <w:rPr>
      <w:sz w:val="22"/>
    </w:rPr>
  </w:style>
  <w:style w:type="paragraph" w:styleId="Heading4">
    <w:name w:val="heading 4"/>
    <w:basedOn w:val="Heading3"/>
    <w:next w:val="BodyText"/>
    <w:link w:val="Heading4Char"/>
    <w:autoRedefine/>
    <w:qFormat/>
    <w:rsid w:val="004C6969"/>
    <w:pPr>
      <w:numPr>
        <w:ilvl w:val="3"/>
      </w:numPr>
      <w:outlineLvl w:val="3"/>
    </w:pPr>
    <w:rPr>
      <w:b w:val="0"/>
      <w:u w:val="single"/>
    </w:rPr>
  </w:style>
  <w:style w:type="paragraph" w:styleId="Heading5">
    <w:name w:val="heading 5"/>
    <w:basedOn w:val="Heading4"/>
    <w:next w:val="BodyText"/>
    <w:link w:val="Heading5Char"/>
    <w:qFormat/>
    <w:rsid w:val="005F2AC7"/>
    <w:pPr>
      <w:numPr>
        <w:ilvl w:val="4"/>
      </w:numPr>
      <w:outlineLvl w:val="4"/>
    </w:pPr>
    <w:rPr>
      <w:rFonts w:eastAsia="Times New Roman"/>
      <w:bCs/>
      <w:i/>
      <w:iCs/>
      <w:szCs w:val="26"/>
    </w:rPr>
  </w:style>
  <w:style w:type="paragraph" w:styleId="Heading6">
    <w:name w:val="heading 6"/>
    <w:basedOn w:val="Heading5"/>
    <w:next w:val="BodyText"/>
    <w:link w:val="Heading6Char"/>
    <w:unhideWhenUsed/>
    <w:qFormat/>
    <w:rsid w:val="00457877"/>
    <w:pPr>
      <w:numPr>
        <w:ilvl w:val="5"/>
      </w:numPr>
      <w:outlineLvl w:val="5"/>
    </w:pPr>
    <w:rPr>
      <w:bCs w:val="0"/>
      <w:i w:val="0"/>
      <w:sz w:val="20"/>
      <w:szCs w:val="22"/>
    </w:rPr>
  </w:style>
  <w:style w:type="paragraph" w:styleId="Heading7">
    <w:name w:val="heading 7"/>
    <w:basedOn w:val="Heading6"/>
    <w:next w:val="BodyText"/>
    <w:link w:val="Heading7Char"/>
    <w:unhideWhenUsed/>
    <w:qFormat/>
    <w:rsid w:val="00457877"/>
    <w:pPr>
      <w:numPr>
        <w:ilvl w:val="6"/>
      </w:numPr>
      <w:outlineLvl w:val="6"/>
    </w:pPr>
    <w:rPr>
      <w:i/>
    </w:rPr>
  </w:style>
  <w:style w:type="paragraph" w:styleId="Heading8">
    <w:name w:val="heading 8"/>
    <w:basedOn w:val="Heading7"/>
    <w:next w:val="BodyText"/>
    <w:link w:val="Heading8Char"/>
    <w:unhideWhenUsed/>
    <w:qFormat/>
    <w:rsid w:val="00457877"/>
    <w:pPr>
      <w:numPr>
        <w:ilvl w:val="7"/>
      </w:numPr>
      <w:outlineLvl w:val="7"/>
    </w:pPr>
    <w:rPr>
      <w:i w:val="0"/>
      <w:iCs w:val="0"/>
      <w:sz w:val="18"/>
    </w:rPr>
  </w:style>
  <w:style w:type="paragraph" w:styleId="Heading9">
    <w:name w:val="heading 9"/>
    <w:basedOn w:val="Heading8"/>
    <w:next w:val="BodyText"/>
    <w:link w:val="Heading9Char"/>
    <w:unhideWhenUsed/>
    <w:qFormat/>
    <w:rsid w:val="00457877"/>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7925"/>
    <w:rPr>
      <w:rFonts w:ascii="Arial" w:hAnsi="Arial"/>
      <w:i/>
      <w:color w:val="auto"/>
      <w:sz w:val="20"/>
      <w:u w:val="none"/>
    </w:rPr>
  </w:style>
  <w:style w:type="character" w:styleId="FollowedHyperlink">
    <w:name w:val="FollowedHyperlink"/>
    <w:basedOn w:val="DefaultParagraphFont"/>
    <w:rsid w:val="00BE10B2"/>
    <w:rPr>
      <w:color w:val="800080"/>
      <w:u w:val="single"/>
    </w:rPr>
  </w:style>
  <w:style w:type="paragraph" w:styleId="Header">
    <w:name w:val="header"/>
    <w:basedOn w:val="BodyText"/>
    <w:link w:val="HeaderChar"/>
    <w:rsid w:val="00DE50D0"/>
    <w:pPr>
      <w:pBdr>
        <w:bottom w:val="single" w:sz="4" w:space="1" w:color="002C5F"/>
      </w:pBdr>
      <w:tabs>
        <w:tab w:val="center" w:pos="4153"/>
        <w:tab w:val="right" w:pos="8306"/>
      </w:tabs>
      <w:spacing w:before="120" w:line="240" w:lineRule="auto"/>
    </w:pPr>
    <w:rPr>
      <w:b/>
      <w:color w:val="002C5F"/>
      <w:sz w:val="18"/>
    </w:rPr>
  </w:style>
  <w:style w:type="character" w:customStyle="1" w:styleId="HeaderChar">
    <w:name w:val="Header Char"/>
    <w:basedOn w:val="DefaultParagraphFont"/>
    <w:link w:val="Header"/>
    <w:rsid w:val="00DE50D0"/>
    <w:rPr>
      <w:rFonts w:eastAsia="Times New Roman"/>
      <w:b/>
      <w:color w:val="002C5F"/>
      <w:sz w:val="18"/>
    </w:rPr>
  </w:style>
  <w:style w:type="paragraph" w:styleId="Footer">
    <w:name w:val="footer"/>
    <w:basedOn w:val="BodyText"/>
    <w:link w:val="FooterChar"/>
    <w:uiPriority w:val="99"/>
    <w:rsid w:val="00A62BB4"/>
    <w:pPr>
      <w:tabs>
        <w:tab w:val="right" w:pos="9072"/>
      </w:tabs>
      <w:spacing w:before="240" w:line="240" w:lineRule="auto"/>
      <w:jc w:val="center"/>
    </w:pPr>
    <w:rPr>
      <w:b/>
      <w:color w:val="auto"/>
      <w:sz w:val="14"/>
    </w:rPr>
  </w:style>
  <w:style w:type="character" w:customStyle="1" w:styleId="FooterChar">
    <w:name w:val="Footer Char"/>
    <w:basedOn w:val="DefaultParagraphFont"/>
    <w:link w:val="Footer"/>
    <w:uiPriority w:val="99"/>
    <w:rsid w:val="00A62BB4"/>
    <w:rPr>
      <w:rFonts w:eastAsia="Times New Roman"/>
      <w:b/>
      <w:color w:val="auto"/>
      <w:sz w:val="14"/>
    </w:rPr>
  </w:style>
  <w:style w:type="paragraph" w:customStyle="1" w:styleId="PSAAddress">
    <w:name w:val="PSA Address"/>
    <w:basedOn w:val="BodyText"/>
    <w:qFormat/>
    <w:rsid w:val="00663A0C"/>
    <w:pPr>
      <w:autoSpaceDE w:val="0"/>
      <w:autoSpaceDN w:val="0"/>
      <w:adjustRightInd w:val="0"/>
      <w:spacing w:after="50" w:line="200" w:lineRule="exact"/>
    </w:pPr>
    <w:rPr>
      <w:spacing w:val="-2"/>
      <w:sz w:val="15"/>
      <w:szCs w:val="15"/>
    </w:rPr>
  </w:style>
  <w:style w:type="paragraph" w:customStyle="1" w:styleId="PSAAddressHeader">
    <w:name w:val="PSA Address Header"/>
    <w:basedOn w:val="PSAAddress"/>
    <w:qFormat/>
    <w:rsid w:val="002F5DDB"/>
    <w:pPr>
      <w:spacing w:before="140" w:after="0" w:line="190" w:lineRule="exact"/>
    </w:pPr>
    <w:rPr>
      <w:b/>
      <w:bCs/>
      <w:color w:val="5C6E7B"/>
      <w:position w:val="1"/>
    </w:rPr>
  </w:style>
  <w:style w:type="character" w:customStyle="1" w:styleId="Heading1Char">
    <w:name w:val="Heading 1 Char"/>
    <w:basedOn w:val="DefaultParagraphFont"/>
    <w:link w:val="Heading1"/>
    <w:rsid w:val="00FC12A1"/>
    <w:rPr>
      <w:rFonts w:asciiTheme="majorHAnsi" w:eastAsia="Arial Unicode MS" w:hAnsiTheme="majorHAnsi" w:cstheme="majorHAnsi"/>
      <w:b/>
      <w:color w:val="auto"/>
      <w:sz w:val="32"/>
      <w:szCs w:val="32"/>
    </w:rPr>
  </w:style>
  <w:style w:type="paragraph" w:styleId="BodyText">
    <w:name w:val="Body Text"/>
    <w:link w:val="BodyTextChar"/>
    <w:rsid w:val="00892554"/>
    <w:pPr>
      <w:spacing w:after="240" w:line="276" w:lineRule="auto"/>
    </w:pPr>
    <w:rPr>
      <w:rFonts w:eastAsia="Times New Roman"/>
    </w:rPr>
  </w:style>
  <w:style w:type="character" w:customStyle="1" w:styleId="BodyTextChar">
    <w:name w:val="Body Text Char"/>
    <w:basedOn w:val="DefaultParagraphFont"/>
    <w:link w:val="BodyText"/>
    <w:rsid w:val="00F15FFC"/>
    <w:rPr>
      <w:rFonts w:eastAsia="Times New Roman"/>
    </w:rPr>
  </w:style>
  <w:style w:type="paragraph" w:customStyle="1" w:styleId="ListBulletClosed">
    <w:name w:val="List Bullet Closed"/>
    <w:basedOn w:val="ListBullet"/>
    <w:rsid w:val="000F5121"/>
    <w:pPr>
      <w:contextualSpacing/>
    </w:pPr>
  </w:style>
  <w:style w:type="paragraph" w:customStyle="1" w:styleId="AppendixHeading">
    <w:name w:val="Appendix Heading"/>
    <w:basedOn w:val="Heading1"/>
    <w:next w:val="BodyText"/>
    <w:rsid w:val="008F5CE7"/>
    <w:pPr>
      <w:widowControl/>
      <w:tabs>
        <w:tab w:val="left" w:pos="1985"/>
      </w:tabs>
      <w:ind w:left="1985" w:hanging="1985"/>
    </w:pPr>
    <w:rPr>
      <w:bCs/>
      <w:szCs w:val="21"/>
    </w:rPr>
  </w:style>
  <w:style w:type="paragraph" w:customStyle="1" w:styleId="AuthorInfo">
    <w:name w:val="AuthorInfo"/>
    <w:basedOn w:val="Normal"/>
    <w:semiHidden/>
    <w:rsid w:val="0027226E"/>
    <w:pPr>
      <w:shd w:val="clear" w:color="FFFFFF" w:fill="auto"/>
      <w:spacing w:before="120" w:after="120"/>
      <w:jc w:val="center"/>
    </w:pPr>
    <w:rPr>
      <w:rFonts w:ascii="Verdana" w:hAnsi="Verdana"/>
      <w:lang w:eastAsia="en-AU"/>
    </w:rPr>
  </w:style>
  <w:style w:type="paragraph" w:styleId="BlockText">
    <w:name w:val="Block Text"/>
    <w:basedOn w:val="Normal"/>
    <w:semiHidden/>
    <w:rsid w:val="00BE10B2"/>
    <w:pPr>
      <w:spacing w:after="120"/>
      <w:ind w:left="1440" w:right="1440"/>
    </w:pPr>
  </w:style>
  <w:style w:type="paragraph" w:customStyle="1" w:styleId="BodyTextLeader">
    <w:name w:val="Body Text Leader"/>
    <w:basedOn w:val="BodyText"/>
    <w:next w:val="BodyText"/>
    <w:rsid w:val="0061356B"/>
    <w:pPr>
      <w:keepNext/>
    </w:p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BodyText"/>
    <w:next w:val="BodyText"/>
    <w:uiPriority w:val="35"/>
    <w:unhideWhenUsed/>
    <w:qFormat/>
    <w:rsid w:val="00A71B06"/>
    <w:rPr>
      <w:bCs/>
      <w:i/>
      <w:sz w:val="16"/>
    </w:rPr>
  </w:style>
  <w:style w:type="paragraph" w:styleId="CommentText">
    <w:name w:val="annotation text"/>
    <w:basedOn w:val="BodyText"/>
    <w:link w:val="CommentTextChar"/>
    <w:uiPriority w:val="99"/>
    <w:rsid w:val="00BE10B2"/>
  </w:style>
  <w:style w:type="character" w:customStyle="1" w:styleId="CommentTextChar">
    <w:name w:val="Comment Text Char"/>
    <w:basedOn w:val="DefaultParagraphFont"/>
    <w:link w:val="CommentText"/>
    <w:uiPriority w:val="99"/>
    <w:rsid w:val="00F15FFC"/>
    <w:rPr>
      <w:rFonts w:eastAsia="Times New Roman"/>
    </w:rPr>
  </w:style>
  <w:style w:type="paragraph" w:styleId="Date">
    <w:name w:val="Date"/>
    <w:basedOn w:val="BodyText"/>
    <w:next w:val="BodyText"/>
    <w:link w:val="DateChar"/>
    <w:semiHidden/>
    <w:rsid w:val="00BE10B2"/>
  </w:style>
  <w:style w:type="character" w:customStyle="1" w:styleId="DateChar">
    <w:name w:val="Date Char"/>
    <w:basedOn w:val="DefaultParagraphFont"/>
    <w:link w:val="Date"/>
    <w:semiHidden/>
    <w:rsid w:val="00F15FFC"/>
    <w:rPr>
      <w:rFonts w:eastAsia="Times New Roman"/>
    </w:rPr>
  </w:style>
  <w:style w:type="character" w:styleId="Emphasis">
    <w:name w:val="Emphasis"/>
    <w:basedOn w:val="BodyTextChar"/>
    <w:semiHidden/>
    <w:rsid w:val="00BE10B2"/>
    <w:rPr>
      <w:rFonts w:eastAsia="Times New Roman"/>
      <w:i/>
      <w:iCs/>
      <w:lang w:val="en-AU" w:eastAsia="en-US" w:bidi="ar-SA"/>
    </w:rPr>
  </w:style>
  <w:style w:type="character" w:styleId="EndnoteReference">
    <w:name w:val="endnote reference"/>
    <w:basedOn w:val="DefaultParagraphFont"/>
    <w:uiPriority w:val="99"/>
    <w:rsid w:val="00BE10B2"/>
    <w:rPr>
      <w:rFonts w:ascii="Arial" w:hAnsi="Arial"/>
      <w:vertAlign w:val="superscript"/>
    </w:rPr>
  </w:style>
  <w:style w:type="paragraph" w:styleId="EndnoteText">
    <w:name w:val="endnote text"/>
    <w:basedOn w:val="BodyText"/>
    <w:link w:val="EndnoteTextChar"/>
    <w:uiPriority w:val="99"/>
    <w:rsid w:val="00BE10B2"/>
    <w:rPr>
      <w:sz w:val="16"/>
    </w:rPr>
  </w:style>
  <w:style w:type="character" w:customStyle="1" w:styleId="EndnoteTextChar">
    <w:name w:val="Endnote Text Char"/>
    <w:basedOn w:val="DefaultParagraphFont"/>
    <w:link w:val="EndnoteText"/>
    <w:uiPriority w:val="99"/>
    <w:rsid w:val="00BE10B2"/>
    <w:rPr>
      <w:rFonts w:ascii="Calibri" w:eastAsia="Times New Roman" w:hAnsi="Calibri"/>
      <w:sz w:val="16"/>
    </w:rPr>
  </w:style>
  <w:style w:type="character" w:styleId="FootnoteReference">
    <w:name w:val="footnote reference"/>
    <w:basedOn w:val="DefaultParagraphFont"/>
    <w:uiPriority w:val="99"/>
    <w:rsid w:val="00BE10B2"/>
    <w:rPr>
      <w:rFonts w:ascii="Arial" w:hAnsi="Arial"/>
      <w:vertAlign w:val="superscript"/>
    </w:rPr>
  </w:style>
  <w:style w:type="paragraph" w:styleId="FootnoteText">
    <w:name w:val="footnote text"/>
    <w:basedOn w:val="BodyText"/>
    <w:link w:val="FootnoteTextChar"/>
    <w:rsid w:val="00BE10B2"/>
    <w:rPr>
      <w:sz w:val="16"/>
    </w:rPr>
  </w:style>
  <w:style w:type="character" w:customStyle="1" w:styleId="FootnoteTextChar">
    <w:name w:val="Footnote Text Char"/>
    <w:basedOn w:val="DefaultParagraphFont"/>
    <w:link w:val="FootnoteText"/>
    <w:rsid w:val="00BE10B2"/>
    <w:rPr>
      <w:rFonts w:ascii="Calibri" w:eastAsia="Times New Roman" w:hAnsi="Calibri"/>
      <w:sz w:val="16"/>
    </w:rPr>
  </w:style>
  <w:style w:type="character" w:customStyle="1" w:styleId="Heading2Char">
    <w:name w:val="Heading 2 Char"/>
    <w:basedOn w:val="DefaultParagraphFont"/>
    <w:link w:val="Heading2"/>
    <w:rsid w:val="00303A2D"/>
    <w:rPr>
      <w:rFonts w:ascii="Calibri" w:eastAsia="Arial Unicode MS" w:hAnsi="Calibri"/>
      <w:b/>
      <w:color w:val="auto"/>
      <w:sz w:val="32"/>
      <w:szCs w:val="44"/>
    </w:rPr>
  </w:style>
  <w:style w:type="character" w:customStyle="1" w:styleId="Heading3Char">
    <w:name w:val="Heading 3 Char"/>
    <w:basedOn w:val="DefaultParagraphFont"/>
    <w:link w:val="Heading3"/>
    <w:rsid w:val="005C5554"/>
    <w:rPr>
      <w:rFonts w:asciiTheme="majorHAnsi" w:eastAsia="Arial Unicode MS" w:hAnsiTheme="majorHAnsi" w:cstheme="majorHAnsi"/>
      <w:b/>
      <w:color w:val="auto"/>
      <w:sz w:val="22"/>
      <w:szCs w:val="32"/>
    </w:rPr>
  </w:style>
  <w:style w:type="character" w:customStyle="1" w:styleId="Heading4Char">
    <w:name w:val="Heading 4 Char"/>
    <w:basedOn w:val="DefaultParagraphFont"/>
    <w:link w:val="Heading4"/>
    <w:rsid w:val="004C6969"/>
    <w:rPr>
      <w:rFonts w:ascii="Calibri" w:eastAsia="Arial Unicode MS" w:hAnsi="Calibri"/>
      <w:color w:val="auto"/>
      <w:sz w:val="22"/>
      <w:szCs w:val="44"/>
      <w:u w:val="single"/>
    </w:rPr>
  </w:style>
  <w:style w:type="character" w:customStyle="1" w:styleId="Heading5Char">
    <w:name w:val="Heading 5 Char"/>
    <w:basedOn w:val="DefaultParagraphFont"/>
    <w:link w:val="Heading5"/>
    <w:rsid w:val="005F2AC7"/>
    <w:rPr>
      <w:rFonts w:ascii="Calibri" w:eastAsia="Times New Roman" w:hAnsi="Calibri"/>
      <w:b/>
      <w:bCs/>
      <w:i/>
      <w:iCs/>
      <w:color w:val="auto"/>
      <w:sz w:val="22"/>
      <w:szCs w:val="26"/>
    </w:rPr>
  </w:style>
  <w:style w:type="character" w:customStyle="1" w:styleId="Heading6Char">
    <w:name w:val="Heading 6 Char"/>
    <w:basedOn w:val="DefaultParagraphFont"/>
    <w:link w:val="Heading6"/>
    <w:rsid w:val="00457877"/>
    <w:rPr>
      <w:rFonts w:ascii="Calibri" w:eastAsia="Times New Roman" w:hAnsi="Calibri"/>
      <w:b/>
      <w:iCs/>
      <w:color w:val="auto"/>
      <w:sz w:val="20"/>
      <w:szCs w:val="22"/>
    </w:rPr>
  </w:style>
  <w:style w:type="character" w:customStyle="1" w:styleId="Heading7Char">
    <w:name w:val="Heading 7 Char"/>
    <w:basedOn w:val="DefaultParagraphFont"/>
    <w:link w:val="Heading7"/>
    <w:rsid w:val="00457877"/>
    <w:rPr>
      <w:rFonts w:ascii="Calibri" w:eastAsia="Times New Roman" w:hAnsi="Calibri"/>
      <w:b/>
      <w:i/>
      <w:iCs/>
      <w:color w:val="auto"/>
      <w:sz w:val="20"/>
      <w:szCs w:val="22"/>
    </w:rPr>
  </w:style>
  <w:style w:type="character" w:customStyle="1" w:styleId="Heading8Char">
    <w:name w:val="Heading 8 Char"/>
    <w:basedOn w:val="DefaultParagraphFont"/>
    <w:link w:val="Heading8"/>
    <w:rsid w:val="00457877"/>
    <w:rPr>
      <w:rFonts w:ascii="Calibri" w:eastAsia="Times New Roman" w:hAnsi="Calibri"/>
      <w:b/>
      <w:color w:val="auto"/>
      <w:sz w:val="18"/>
      <w:szCs w:val="22"/>
    </w:rPr>
  </w:style>
  <w:style w:type="character" w:customStyle="1" w:styleId="Heading9Char">
    <w:name w:val="Heading 9 Char"/>
    <w:basedOn w:val="DefaultParagraphFont"/>
    <w:link w:val="Heading9"/>
    <w:rsid w:val="00457877"/>
    <w:rPr>
      <w:rFonts w:ascii="Calibri" w:eastAsia="Times New Roman" w:hAnsi="Calibri"/>
      <w:b/>
      <w:i/>
      <w:color w:val="auto"/>
      <w:sz w:val="18"/>
      <w:szCs w:val="22"/>
    </w:rPr>
  </w:style>
  <w:style w:type="paragraph" w:styleId="HTMLAddress">
    <w:name w:val="HTML Address"/>
    <w:basedOn w:val="Normal"/>
    <w:link w:val="HTMLAddressChar"/>
    <w:rsid w:val="00BE10B2"/>
    <w:rPr>
      <w:i/>
      <w:iCs/>
    </w:rPr>
  </w:style>
  <w:style w:type="character" w:customStyle="1" w:styleId="HTMLAddressChar">
    <w:name w:val="HTML Address Char"/>
    <w:basedOn w:val="DefaultParagraphFont"/>
    <w:link w:val="HTMLAddress"/>
    <w:rsid w:val="00BE10B2"/>
    <w:rPr>
      <w:rFonts w:ascii="Calibri" w:eastAsia="Times New Roman" w:hAnsi="Calibri"/>
      <w:i/>
      <w:iCs/>
      <w:sz w:val="22"/>
      <w:szCs w:val="24"/>
    </w:rPr>
  </w:style>
  <w:style w:type="paragraph" w:styleId="Index1">
    <w:name w:val="index 1"/>
    <w:basedOn w:val="Normal"/>
    <w:next w:val="Normal"/>
    <w:autoRedefine/>
    <w:uiPriority w:val="99"/>
    <w:semiHidden/>
    <w:unhideWhenUsed/>
    <w:rsid w:val="00BE10B2"/>
    <w:pPr>
      <w:ind w:left="200" w:hanging="200"/>
    </w:pPr>
  </w:style>
  <w:style w:type="paragraph" w:styleId="IndexHeading">
    <w:name w:val="index heading"/>
    <w:basedOn w:val="Normal"/>
    <w:next w:val="Normal"/>
    <w:rsid w:val="00BE10B2"/>
    <w:rPr>
      <w:b/>
      <w:bCs/>
      <w:sz w:val="18"/>
    </w:rPr>
  </w:style>
  <w:style w:type="character" w:styleId="IntenseEmphasis">
    <w:name w:val="Intense Emphasis"/>
    <w:basedOn w:val="DefaultParagraphFont"/>
    <w:uiPriority w:val="21"/>
    <w:semiHidden/>
    <w:qFormat/>
    <w:rsid w:val="00BE10B2"/>
    <w:rPr>
      <w:b/>
      <w:bCs/>
      <w:i/>
      <w:iCs/>
      <w:color w:val="4F81BD" w:themeColor="accent1"/>
    </w:rPr>
  </w:style>
  <w:style w:type="character" w:styleId="IntenseReference">
    <w:name w:val="Intense Reference"/>
    <w:basedOn w:val="DefaultParagraphFont"/>
    <w:uiPriority w:val="32"/>
    <w:semiHidden/>
    <w:qFormat/>
    <w:rsid w:val="00BE10B2"/>
    <w:rPr>
      <w:b/>
      <w:bCs/>
      <w:smallCaps/>
      <w:color w:val="C0504D" w:themeColor="accent2"/>
      <w:spacing w:val="5"/>
      <w:u w:val="single"/>
    </w:rPr>
  </w:style>
  <w:style w:type="paragraph" w:styleId="List">
    <w:name w:val="List"/>
    <w:basedOn w:val="Normal"/>
    <w:uiPriority w:val="99"/>
    <w:semiHidden/>
    <w:unhideWhenUsed/>
    <w:rsid w:val="00BE10B2"/>
    <w:pPr>
      <w:ind w:left="283" w:hanging="283"/>
      <w:contextualSpacing/>
    </w:pPr>
  </w:style>
  <w:style w:type="paragraph" w:styleId="ListBullet">
    <w:name w:val="List Bullet"/>
    <w:basedOn w:val="BodyText"/>
    <w:rsid w:val="00892554"/>
    <w:pPr>
      <w:numPr>
        <w:numId w:val="2"/>
      </w:numPr>
    </w:pPr>
  </w:style>
  <w:style w:type="paragraph" w:styleId="ListBullet2">
    <w:name w:val="List Bullet 2"/>
    <w:basedOn w:val="ListBullet"/>
    <w:rsid w:val="00F0671B"/>
    <w:pPr>
      <w:numPr>
        <w:ilvl w:val="1"/>
      </w:numPr>
    </w:pPr>
  </w:style>
  <w:style w:type="paragraph" w:styleId="ListBullet3">
    <w:name w:val="List Bullet 3"/>
    <w:basedOn w:val="ListBullet2"/>
    <w:rsid w:val="00F0671B"/>
    <w:pPr>
      <w:numPr>
        <w:ilvl w:val="2"/>
      </w:numPr>
    </w:pPr>
  </w:style>
  <w:style w:type="paragraph" w:styleId="ListBullet4">
    <w:name w:val="List Bullet 4"/>
    <w:basedOn w:val="ListBullet3"/>
    <w:rsid w:val="00F0671B"/>
    <w:pPr>
      <w:numPr>
        <w:ilvl w:val="3"/>
      </w:numPr>
    </w:pPr>
  </w:style>
  <w:style w:type="paragraph" w:styleId="ListBullet5">
    <w:name w:val="List Bullet 5"/>
    <w:basedOn w:val="ListBullet4"/>
    <w:rsid w:val="00BE10B2"/>
    <w:pPr>
      <w:numPr>
        <w:ilvl w:val="4"/>
      </w:numPr>
      <w:contextualSpacing/>
    </w:pPr>
  </w:style>
  <w:style w:type="paragraph" w:customStyle="1" w:styleId="ListNumberClosed">
    <w:name w:val="List Number Closed"/>
    <w:basedOn w:val="ListNumber"/>
    <w:rsid w:val="00457877"/>
    <w:pPr>
      <w:contextualSpacing/>
    </w:pPr>
  </w:style>
  <w:style w:type="paragraph" w:styleId="ListContinue">
    <w:name w:val="List Continue"/>
    <w:basedOn w:val="BodyText"/>
    <w:rsid w:val="00892554"/>
    <w:pPr>
      <w:ind w:left="567"/>
    </w:pPr>
  </w:style>
  <w:style w:type="paragraph" w:styleId="ListContinue2">
    <w:name w:val="List Continue 2"/>
    <w:basedOn w:val="ListContinue"/>
    <w:rsid w:val="00F0671B"/>
    <w:pPr>
      <w:ind w:left="1134"/>
    </w:pPr>
  </w:style>
  <w:style w:type="paragraph" w:styleId="ListContinue3">
    <w:name w:val="List Continue 3"/>
    <w:basedOn w:val="ListContinue2"/>
    <w:rsid w:val="00BE10B2"/>
    <w:pPr>
      <w:ind w:left="1701"/>
    </w:pPr>
  </w:style>
  <w:style w:type="paragraph" w:styleId="ListContinue4">
    <w:name w:val="List Continue 4"/>
    <w:basedOn w:val="ListContinue3"/>
    <w:rsid w:val="00BE10B2"/>
    <w:pPr>
      <w:ind w:left="2268"/>
    </w:pPr>
  </w:style>
  <w:style w:type="paragraph" w:styleId="ListContinue5">
    <w:name w:val="List Continue 5"/>
    <w:basedOn w:val="ListContinue4"/>
    <w:rsid w:val="00BE10B2"/>
    <w:pPr>
      <w:ind w:left="2835"/>
    </w:pPr>
  </w:style>
  <w:style w:type="paragraph" w:styleId="ListNumber">
    <w:name w:val="List Number"/>
    <w:basedOn w:val="BodyText"/>
    <w:rsid w:val="00892554"/>
    <w:pPr>
      <w:numPr>
        <w:numId w:val="9"/>
      </w:numPr>
    </w:pPr>
  </w:style>
  <w:style w:type="paragraph" w:styleId="ListNumber2">
    <w:name w:val="List Number 2"/>
    <w:basedOn w:val="ListNumber"/>
    <w:rsid w:val="00892554"/>
    <w:pPr>
      <w:numPr>
        <w:ilvl w:val="1"/>
      </w:numPr>
    </w:pPr>
  </w:style>
  <w:style w:type="paragraph" w:styleId="ListNumber3">
    <w:name w:val="List Number 3"/>
    <w:basedOn w:val="ListNumber2"/>
    <w:rsid w:val="00F0671B"/>
    <w:pPr>
      <w:numPr>
        <w:ilvl w:val="2"/>
      </w:numPr>
    </w:pPr>
  </w:style>
  <w:style w:type="paragraph" w:styleId="ListNumber4">
    <w:name w:val="List Number 4"/>
    <w:basedOn w:val="ListNumber3"/>
    <w:rsid w:val="00BE10B2"/>
    <w:pPr>
      <w:numPr>
        <w:ilvl w:val="3"/>
      </w:numPr>
      <w:contextualSpacing/>
    </w:pPr>
  </w:style>
  <w:style w:type="paragraph" w:styleId="ListNumber5">
    <w:name w:val="List Number 5"/>
    <w:basedOn w:val="ListNumber4"/>
    <w:rsid w:val="00BE10B2"/>
    <w:pPr>
      <w:numPr>
        <w:ilvl w:val="4"/>
      </w:numPr>
    </w:pPr>
  </w:style>
  <w:style w:type="paragraph" w:styleId="ListParagraph">
    <w:name w:val="List Paragraph"/>
    <w:aliases w:val="Bullet point,List Paragraph1,List Paragraph11"/>
    <w:basedOn w:val="Normal"/>
    <w:link w:val="ListParagraphChar"/>
    <w:uiPriority w:val="99"/>
    <w:qFormat/>
    <w:rsid w:val="00BE10B2"/>
    <w:pPr>
      <w:ind w:left="567"/>
    </w:pPr>
  </w:style>
  <w:style w:type="numbering" w:customStyle="1" w:styleId="ListNumbers">
    <w:name w:val="ListNumbers"/>
    <w:rsid w:val="00BE10B2"/>
    <w:pPr>
      <w:numPr>
        <w:numId w:val="3"/>
      </w:numPr>
    </w:pPr>
  </w:style>
  <w:style w:type="paragraph" w:styleId="NormalIndent">
    <w:name w:val="Normal Indent"/>
    <w:basedOn w:val="Normal"/>
    <w:semiHidden/>
    <w:rsid w:val="00BE10B2"/>
    <w:pPr>
      <w:ind w:left="1134"/>
    </w:pPr>
  </w:style>
  <w:style w:type="paragraph" w:customStyle="1" w:styleId="Note">
    <w:name w:val="Note"/>
    <w:basedOn w:val="BodyText"/>
    <w:next w:val="BodyText"/>
    <w:rsid w:val="00BE10B2"/>
    <w:pPr>
      <w:numPr>
        <w:numId w:val="4"/>
      </w:numPr>
    </w:pPr>
  </w:style>
  <w:style w:type="paragraph" w:customStyle="1" w:styleId="Note2">
    <w:name w:val="Note 2"/>
    <w:basedOn w:val="Note"/>
    <w:next w:val="BodyText"/>
    <w:rsid w:val="00BE10B2"/>
    <w:pPr>
      <w:numPr>
        <w:ilvl w:val="1"/>
      </w:numPr>
    </w:pPr>
  </w:style>
  <w:style w:type="character" w:styleId="PageNumber">
    <w:name w:val="page number"/>
    <w:basedOn w:val="BodyTextChar"/>
    <w:semiHidden/>
    <w:rsid w:val="00BE10B2"/>
    <w:rPr>
      <w:rFonts w:eastAsia="Times New Roman"/>
      <w:sz w:val="16"/>
      <w:szCs w:val="24"/>
      <w:lang w:val="en-AU" w:eastAsia="en-US" w:bidi="ar-SA"/>
    </w:rPr>
  </w:style>
  <w:style w:type="paragraph" w:customStyle="1" w:styleId="Para2">
    <w:name w:val="Para 2"/>
    <w:basedOn w:val="Normal"/>
    <w:uiPriority w:val="99"/>
    <w:semiHidden/>
    <w:rsid w:val="00BE10B2"/>
    <w:pPr>
      <w:widowControl/>
      <w:ind w:left="1418"/>
    </w:pPr>
    <w:rPr>
      <w:rFonts w:ascii="Times New Roman" w:hAnsi="Times New Roman"/>
      <w:sz w:val="24"/>
    </w:rPr>
  </w:style>
  <w:style w:type="paragraph" w:customStyle="1" w:styleId="Picture">
    <w:name w:val="Picture"/>
    <w:basedOn w:val="BodyText"/>
    <w:next w:val="BodyText"/>
    <w:rsid w:val="00BE10B2"/>
    <w:pPr>
      <w:spacing w:line="240" w:lineRule="auto"/>
    </w:pPr>
  </w:style>
  <w:style w:type="paragraph" w:styleId="Title">
    <w:name w:val="Title"/>
    <w:aliases w:val="Figures"/>
    <w:basedOn w:val="Normal"/>
    <w:next w:val="Normal"/>
    <w:link w:val="TitleChar"/>
    <w:autoRedefine/>
    <w:uiPriority w:val="10"/>
    <w:qFormat/>
    <w:rsid w:val="00BF1EA1"/>
    <w:pPr>
      <w:shd w:val="clear" w:color="FFFFFF" w:fill="auto"/>
      <w:jc w:val="left"/>
    </w:pPr>
    <w:rPr>
      <w:b/>
      <w:lang w:eastAsia="en-AU"/>
    </w:rPr>
  </w:style>
  <w:style w:type="character" w:customStyle="1" w:styleId="TitleChar">
    <w:name w:val="Title Char"/>
    <w:aliases w:val="Figures Char"/>
    <w:basedOn w:val="DefaultParagraphFont"/>
    <w:link w:val="Title"/>
    <w:uiPriority w:val="10"/>
    <w:rsid w:val="00BF1EA1"/>
    <w:rPr>
      <w:rFonts w:ascii="Calibri" w:eastAsiaTheme="minorHAnsi" w:hAnsi="Calibri" w:cstheme="minorBidi"/>
      <w:b/>
      <w:color w:val="auto"/>
      <w:sz w:val="22"/>
      <w:szCs w:val="22"/>
      <w:shd w:val="clear" w:color="FFFFFF" w:fill="auto"/>
      <w:lang w:val="en-US" w:eastAsia="en-AU"/>
    </w:rPr>
  </w:style>
  <w:style w:type="paragraph" w:customStyle="1" w:styleId="Recommendation">
    <w:name w:val="Recommendation"/>
    <w:basedOn w:val="BodyText"/>
    <w:rsid w:val="00BE10B2"/>
    <w:pPr>
      <w:pBdr>
        <w:top w:val="single" w:sz="48" w:space="1" w:color="DDD9C3" w:themeColor="background2" w:themeShade="E6"/>
        <w:left w:val="single" w:sz="24" w:space="4" w:color="DDD9C3" w:themeColor="background2" w:themeShade="E6"/>
        <w:bottom w:val="single" w:sz="48" w:space="1" w:color="DDD9C3" w:themeColor="background2" w:themeShade="E6"/>
        <w:right w:val="single" w:sz="24" w:space="4" w:color="DDD9C3" w:themeColor="background2" w:themeShade="E6"/>
      </w:pBdr>
      <w:shd w:val="clear" w:color="auto" w:fill="DDD9C3" w:themeFill="background2" w:themeFillShade="E6"/>
    </w:pPr>
    <w:rPr>
      <w:i/>
    </w:rPr>
  </w:style>
  <w:style w:type="character" w:styleId="Strong">
    <w:name w:val="Strong"/>
    <w:basedOn w:val="BodyTextChar"/>
    <w:uiPriority w:val="22"/>
    <w:qFormat/>
    <w:rsid w:val="00BE10B2"/>
    <w:rPr>
      <w:rFonts w:eastAsia="Times New Roman"/>
      <w:b/>
      <w:bCs/>
      <w:lang w:val="en-AU" w:eastAsia="en-US" w:bidi="ar-SA"/>
    </w:rPr>
  </w:style>
  <w:style w:type="paragraph" w:customStyle="1" w:styleId="TableBodyText">
    <w:name w:val="Table Body Text"/>
    <w:basedOn w:val="BodyText"/>
    <w:rsid w:val="00D61E7D"/>
    <w:pPr>
      <w:spacing w:before="60" w:after="60"/>
    </w:pPr>
    <w:rPr>
      <w:rFonts w:cs="Arial"/>
      <w:sz w:val="18"/>
      <w:szCs w:val="20"/>
      <w:lang w:eastAsia="en-AU"/>
    </w:rPr>
  </w:style>
  <w:style w:type="table" w:styleId="TableGrid">
    <w:name w:val="Table Grid"/>
    <w:basedOn w:val="TableNormal"/>
    <w:uiPriority w:val="59"/>
    <w:rsid w:val="00BE10B2"/>
    <w:pPr>
      <w:spacing w:before="60" w:after="60" w:line="276" w:lineRule="auto"/>
    </w:pPr>
    <w:rPr>
      <w:rFonts w:ascii="Verdana" w:eastAsia="Times New Roman" w:hAnsi="Verdana"/>
      <w:sz w:val="16"/>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TableBodyText"/>
    <w:rsid w:val="00D61E7D"/>
    <w:rPr>
      <w:b/>
      <w:color w:val="FFFFFF" w:themeColor="background1"/>
    </w:rPr>
  </w:style>
  <w:style w:type="paragraph" w:customStyle="1" w:styleId="TableListBullet">
    <w:name w:val="Table List Bullet"/>
    <w:basedOn w:val="TableBodyText"/>
    <w:rsid w:val="00BE41A5"/>
    <w:pPr>
      <w:numPr>
        <w:numId w:val="5"/>
      </w:numPr>
    </w:pPr>
  </w:style>
  <w:style w:type="paragraph" w:customStyle="1" w:styleId="TableListBullet2">
    <w:name w:val="Table List Bullet 2"/>
    <w:basedOn w:val="TableListBullet"/>
    <w:rsid w:val="00FE6823"/>
    <w:pPr>
      <w:numPr>
        <w:numId w:val="6"/>
      </w:numPr>
    </w:pPr>
  </w:style>
  <w:style w:type="paragraph" w:customStyle="1" w:styleId="TableListBullet3">
    <w:name w:val="Table List Bullet 3"/>
    <w:basedOn w:val="TableListBullet2"/>
    <w:rsid w:val="00FE6823"/>
    <w:pPr>
      <w:numPr>
        <w:numId w:val="7"/>
      </w:numPr>
      <w:ind w:left="1020" w:hanging="340"/>
    </w:pPr>
    <w:rPr>
      <w:lang w:val="en-US"/>
    </w:rPr>
  </w:style>
  <w:style w:type="paragraph" w:customStyle="1" w:styleId="TableListContinue">
    <w:name w:val="Table List Continue"/>
    <w:basedOn w:val="TableBodyText"/>
    <w:rsid w:val="00BE41A5"/>
    <w:pPr>
      <w:ind w:left="340"/>
    </w:pPr>
  </w:style>
  <w:style w:type="paragraph" w:customStyle="1" w:styleId="TableListContinue2">
    <w:name w:val="Table List Continue 2"/>
    <w:basedOn w:val="TableListContinue"/>
    <w:rsid w:val="00BE10B2"/>
    <w:pPr>
      <w:spacing w:line="240" w:lineRule="auto"/>
      <w:ind w:left="680"/>
    </w:pPr>
  </w:style>
  <w:style w:type="paragraph" w:customStyle="1" w:styleId="TableListContinue3">
    <w:name w:val="Table List Continue 3"/>
    <w:basedOn w:val="TableListContinue2"/>
    <w:rsid w:val="00BE10B2"/>
    <w:pPr>
      <w:ind w:left="1021"/>
    </w:pPr>
  </w:style>
  <w:style w:type="paragraph" w:customStyle="1" w:styleId="TableListNumber">
    <w:name w:val="Table List Number"/>
    <w:basedOn w:val="TableBodyText"/>
    <w:rsid w:val="00BE10B2"/>
    <w:pPr>
      <w:numPr>
        <w:numId w:val="8"/>
      </w:numPr>
    </w:pPr>
  </w:style>
  <w:style w:type="paragraph" w:customStyle="1" w:styleId="TableListNumber2">
    <w:name w:val="Table List Number 2"/>
    <w:basedOn w:val="TableListNumber"/>
    <w:rsid w:val="00FE6823"/>
    <w:pPr>
      <w:numPr>
        <w:ilvl w:val="1"/>
      </w:numPr>
    </w:pPr>
  </w:style>
  <w:style w:type="paragraph" w:customStyle="1" w:styleId="TableListNumber3">
    <w:name w:val="Table List Number 3"/>
    <w:basedOn w:val="TableListNumber2"/>
    <w:rsid w:val="00FE6823"/>
    <w:pPr>
      <w:numPr>
        <w:ilvl w:val="2"/>
      </w:numPr>
      <w:ind w:left="1020" w:hanging="340"/>
    </w:pPr>
  </w:style>
  <w:style w:type="paragraph" w:styleId="TableofFigures">
    <w:name w:val="table of figures"/>
    <w:basedOn w:val="BodyText"/>
    <w:next w:val="BodyText"/>
    <w:uiPriority w:val="99"/>
    <w:rsid w:val="00BE10B2"/>
  </w:style>
  <w:style w:type="paragraph" w:customStyle="1" w:styleId="TemplateInstruction">
    <w:name w:val="Template Instruction"/>
    <w:basedOn w:val="BodyText"/>
    <w:semiHidden/>
    <w:rsid w:val="00BE10B2"/>
    <w:pPr>
      <w:spacing w:after="120" w:line="240" w:lineRule="atLeast"/>
      <w:ind w:left="709"/>
    </w:pPr>
    <w:rPr>
      <w:rFonts w:ascii="Times New Roman" w:hAnsi="Times New Roman"/>
      <w:i/>
      <w:color w:val="0000FF"/>
    </w:rPr>
  </w:style>
  <w:style w:type="paragraph" w:styleId="TOC1">
    <w:name w:val="toc 1"/>
    <w:basedOn w:val="BodyText"/>
    <w:next w:val="BodyText"/>
    <w:uiPriority w:val="39"/>
    <w:unhideWhenUsed/>
    <w:rsid w:val="002823C5"/>
    <w:pPr>
      <w:tabs>
        <w:tab w:val="left" w:pos="567"/>
        <w:tab w:val="right" w:leader="dot" w:pos="9072"/>
      </w:tabs>
      <w:spacing w:after="60" w:line="240" w:lineRule="auto"/>
    </w:pPr>
    <w:rPr>
      <w:rFonts w:asciiTheme="majorHAnsi" w:hAnsiTheme="majorHAnsi"/>
      <w:b/>
      <w:sz w:val="22"/>
    </w:rPr>
  </w:style>
  <w:style w:type="paragraph" w:styleId="TOC2">
    <w:name w:val="toc 2"/>
    <w:basedOn w:val="TOC1"/>
    <w:next w:val="BodyText"/>
    <w:uiPriority w:val="39"/>
    <w:unhideWhenUsed/>
    <w:rsid w:val="001D5D84"/>
    <w:pPr>
      <w:ind w:left="567" w:hanging="567"/>
    </w:pPr>
    <w:rPr>
      <w:b w:val="0"/>
    </w:rPr>
  </w:style>
  <w:style w:type="paragraph" w:styleId="TOC3">
    <w:name w:val="toc 3"/>
    <w:basedOn w:val="TOC2"/>
    <w:next w:val="BodyText"/>
    <w:uiPriority w:val="39"/>
    <w:unhideWhenUsed/>
    <w:rsid w:val="00E900C0"/>
    <w:pPr>
      <w:ind w:left="1134"/>
    </w:pPr>
  </w:style>
  <w:style w:type="paragraph" w:styleId="TOC4">
    <w:name w:val="toc 4"/>
    <w:basedOn w:val="Normal"/>
    <w:next w:val="Normal"/>
    <w:uiPriority w:val="39"/>
    <w:unhideWhenUsed/>
    <w:rsid w:val="003D7795"/>
    <w:pPr>
      <w:ind w:left="851"/>
    </w:pPr>
    <w:rPr>
      <w:sz w:val="18"/>
    </w:rPr>
  </w:style>
  <w:style w:type="paragraph" w:styleId="TOC5">
    <w:name w:val="toc 5"/>
    <w:basedOn w:val="Normal"/>
    <w:next w:val="Normal"/>
    <w:uiPriority w:val="39"/>
    <w:unhideWhenUsed/>
    <w:rsid w:val="008D3005"/>
    <w:pPr>
      <w:tabs>
        <w:tab w:val="right" w:leader="dot" w:pos="9072"/>
      </w:tabs>
      <w:spacing w:after="120"/>
    </w:pPr>
  </w:style>
  <w:style w:type="paragraph" w:styleId="TOC6">
    <w:name w:val="toc 6"/>
    <w:basedOn w:val="Normal"/>
    <w:next w:val="Normal"/>
    <w:uiPriority w:val="39"/>
    <w:unhideWhenUsed/>
    <w:rsid w:val="00BE10B2"/>
    <w:pPr>
      <w:spacing w:after="100"/>
      <w:ind w:left="1100"/>
    </w:pPr>
  </w:style>
  <w:style w:type="paragraph" w:styleId="TOC7">
    <w:name w:val="toc 7"/>
    <w:basedOn w:val="Normal"/>
    <w:next w:val="Normal"/>
    <w:uiPriority w:val="39"/>
    <w:unhideWhenUsed/>
    <w:rsid w:val="00BE10B2"/>
    <w:pPr>
      <w:spacing w:after="100"/>
      <w:ind w:left="1320"/>
    </w:pPr>
  </w:style>
  <w:style w:type="paragraph" w:styleId="TOC8">
    <w:name w:val="toc 8"/>
    <w:basedOn w:val="Normal"/>
    <w:next w:val="Normal"/>
    <w:uiPriority w:val="39"/>
    <w:unhideWhenUsed/>
    <w:rsid w:val="00BE10B2"/>
    <w:pPr>
      <w:spacing w:after="100"/>
      <w:ind w:left="1540"/>
    </w:pPr>
  </w:style>
  <w:style w:type="paragraph" w:styleId="TOC9">
    <w:name w:val="toc 9"/>
    <w:basedOn w:val="Normal"/>
    <w:next w:val="Normal"/>
    <w:uiPriority w:val="39"/>
    <w:unhideWhenUsed/>
    <w:rsid w:val="00BE10B2"/>
    <w:pPr>
      <w:spacing w:after="100"/>
      <w:ind w:left="1760"/>
    </w:pPr>
  </w:style>
  <w:style w:type="paragraph" w:styleId="TOCHeading">
    <w:name w:val="TOC Heading"/>
    <w:basedOn w:val="Heading1"/>
    <w:next w:val="BodyText"/>
    <w:autoRedefine/>
    <w:uiPriority w:val="39"/>
    <w:qFormat/>
    <w:rsid w:val="002653C1"/>
  </w:style>
  <w:style w:type="paragraph" w:customStyle="1" w:styleId="Version">
    <w:name w:val="Version"/>
    <w:basedOn w:val="BodyText"/>
    <w:rsid w:val="006D0754"/>
    <w:pPr>
      <w:spacing w:after="0" w:line="240" w:lineRule="auto"/>
      <w:jc w:val="center"/>
    </w:pPr>
    <w:rPr>
      <w:b/>
      <w:color w:val="FFFFFF" w:themeColor="background1"/>
      <w:spacing w:val="9"/>
      <w:position w:val="2"/>
    </w:rPr>
  </w:style>
  <w:style w:type="paragraph" w:customStyle="1" w:styleId="WorkflowText">
    <w:name w:val="Workflow Text"/>
    <w:basedOn w:val="TableBodyText"/>
    <w:semiHidden/>
    <w:rsid w:val="00BE10B2"/>
  </w:style>
  <w:style w:type="paragraph" w:customStyle="1" w:styleId="BodyTextIntro">
    <w:name w:val="Body Text Intro"/>
    <w:basedOn w:val="BodyText"/>
    <w:next w:val="BodyText"/>
    <w:rsid w:val="00CC3F5B"/>
    <w:rPr>
      <w:b/>
      <w:i/>
      <w:color w:val="7F7F7F" w:themeColor="text1" w:themeTint="80"/>
      <w:sz w:val="22"/>
    </w:rPr>
  </w:style>
  <w:style w:type="table" w:customStyle="1" w:styleId="PSATable">
    <w:name w:val="PSA Table"/>
    <w:basedOn w:val="TableNormal"/>
    <w:uiPriority w:val="99"/>
    <w:qFormat/>
    <w:rsid w:val="00D61E7D"/>
    <w:pPr>
      <w:spacing w:before="60" w:after="60"/>
    </w:pPr>
    <w:rPr>
      <w:color w:val="auto"/>
      <w:sz w:val="18"/>
      <w:szCs w:val="20"/>
      <w:lang w:eastAsia="en-AU"/>
    </w:rPr>
    <w:tblPr>
      <w:tblStyleRowBandSize w:val="1"/>
      <w:tblStyleColBandSize w:val="1"/>
      <w:tblBorders>
        <w:top w:val="single" w:sz="8" w:space="0" w:color="auto"/>
        <w:bottom w:val="single" w:sz="8" w:space="0" w:color="auto"/>
        <w:insideH w:val="single" w:sz="8" w:space="0" w:color="auto"/>
      </w:tblBorders>
    </w:tblPr>
    <w:tblStylePr w:type="firstRow">
      <w:pPr>
        <w:wordWrap/>
        <w:spacing w:beforeLines="0" w:beforeAutospacing="0" w:afterLines="0" w:afterAutospacing="0" w:line="240" w:lineRule="auto"/>
        <w:contextualSpacing w:val="0"/>
      </w:pPr>
      <w:rPr>
        <w:rFonts w:ascii="Arial" w:hAnsi="Arial"/>
        <w:b/>
        <w:bCs/>
        <w:color w:val="FFFFFF" w:themeColor="background1"/>
        <w:sz w:val="18"/>
      </w:rPr>
      <w:tblPr/>
      <w:tcPr>
        <w:tcBorders>
          <w:top w:val="single" w:sz="8" w:space="0" w:color="4F81BD" w:themeColor="accent1"/>
          <w:left w:val="nil"/>
          <w:bottom w:val="single" w:sz="8" w:space="0" w:color="4F81BD" w:themeColor="accent1"/>
          <w:right w:val="nil"/>
          <w:insideH w:val="nil"/>
          <w:insideV w:val="nil"/>
        </w:tcBorders>
        <w:shd w:val="clear" w:color="auto" w:fill="00748D"/>
      </w:tcPr>
    </w:tblStylePr>
    <w:tblStylePr w:type="lastRow">
      <w:pPr>
        <w:wordWrap/>
        <w:spacing w:beforeLines="0" w:beforeAutospacing="0" w:afterLines="0" w:afterAutospacing="0" w:line="360" w:lineRule="auto"/>
      </w:pPr>
      <w:rPr>
        <w:rFonts w:ascii="Arial" w:hAnsi="Arial"/>
        <w:b w:val="0"/>
        <w:bCs/>
        <w:sz w:val="18"/>
      </w:rPr>
      <w:tblPr/>
      <w:tcPr>
        <w:tcBorders>
          <w:top w:val="single" w:sz="8" w:space="0" w:color="auto"/>
          <w:left w:val="nil"/>
          <w:bottom w:val="single" w:sz="8" w:space="0" w:color="auto"/>
          <w:right w:val="nil"/>
          <w:insideH w:val="nil"/>
          <w:insideV w:val="nil"/>
        </w:tcBorders>
      </w:tcPr>
    </w:tblStylePr>
    <w:tblStylePr w:type="firstCol">
      <w:rPr>
        <w:b/>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pPr>
        <w:wordWrap/>
        <w:spacing w:beforeLines="0" w:beforeAutospacing="0" w:afterLines="0" w:afterAutospacing="0" w:line="240" w:lineRule="auto"/>
      </w:pPr>
      <w:rPr>
        <w:rFonts w:ascii="Arial" w:hAnsi="Arial"/>
        <w:sz w:val="18"/>
      </w:rPr>
      <w:tblPr/>
      <w:tcPr>
        <w:tcBorders>
          <w:left w:val="nil"/>
          <w:right w:val="nil"/>
          <w:insideH w:val="nil"/>
          <w:insideV w:val="nil"/>
        </w:tcBorders>
        <w:shd w:val="clear" w:color="auto" w:fill="D3DFEE" w:themeFill="accent1" w:themeFillTint="3F"/>
      </w:tcPr>
    </w:tblStylePr>
    <w:tblStylePr w:type="band2Horz">
      <w:rPr>
        <w:rFonts w:ascii="Arial" w:hAnsi="Arial"/>
        <w:sz w:val="18"/>
      </w:rPr>
    </w:tblStylePr>
  </w:style>
  <w:style w:type="paragraph" w:customStyle="1" w:styleId="CoverHeading1">
    <w:name w:val="Cover Heading 1"/>
    <w:basedOn w:val="BodyText"/>
    <w:semiHidden/>
    <w:rsid w:val="0098668F"/>
    <w:pPr>
      <w:spacing w:before="480" w:line="240" w:lineRule="auto"/>
    </w:pPr>
    <w:rPr>
      <w:b/>
      <w:color w:val="FFFFFF" w:themeColor="background1"/>
      <w:sz w:val="42"/>
    </w:rPr>
  </w:style>
  <w:style w:type="paragraph" w:customStyle="1" w:styleId="CoverHeading2">
    <w:name w:val="Cover Heading 2"/>
    <w:basedOn w:val="BodyText"/>
    <w:semiHidden/>
    <w:rsid w:val="0098668F"/>
    <w:pPr>
      <w:spacing w:before="200" w:line="240" w:lineRule="auto"/>
    </w:pPr>
    <w:rPr>
      <w:b/>
      <w:i/>
      <w:color w:val="FFFFFF" w:themeColor="background1"/>
      <w:sz w:val="28"/>
      <w:szCs w:val="28"/>
    </w:rPr>
  </w:style>
  <w:style w:type="paragraph" w:customStyle="1" w:styleId="ProgramTitle">
    <w:name w:val="Program Title"/>
    <w:basedOn w:val="BodyText"/>
    <w:semiHidden/>
    <w:rsid w:val="00630EAD"/>
    <w:pPr>
      <w:spacing w:before="120" w:line="240" w:lineRule="auto"/>
    </w:pPr>
    <w:rPr>
      <w:color w:val="FFFFFF" w:themeColor="background1"/>
    </w:rPr>
  </w:style>
  <w:style w:type="paragraph" w:customStyle="1" w:styleId="Year">
    <w:name w:val="Year"/>
    <w:basedOn w:val="BodyText"/>
    <w:rsid w:val="00000F0D"/>
    <w:pPr>
      <w:autoSpaceDE w:val="0"/>
      <w:autoSpaceDN w:val="0"/>
      <w:adjustRightInd w:val="0"/>
      <w:spacing w:before="120" w:after="0" w:line="240" w:lineRule="auto"/>
      <w:jc w:val="center"/>
    </w:pPr>
    <w:rPr>
      <w:rFonts w:cs="Arial"/>
      <w:color w:val="FFFFFF"/>
      <w:sz w:val="16"/>
      <w:szCs w:val="16"/>
    </w:rPr>
  </w:style>
  <w:style w:type="paragraph" w:customStyle="1" w:styleId="CopyrightText">
    <w:name w:val="Copyright Text"/>
    <w:basedOn w:val="BodyText"/>
    <w:next w:val="BodyText"/>
    <w:rsid w:val="00102880"/>
    <w:rPr>
      <w:sz w:val="18"/>
      <w:szCs w:val="18"/>
    </w:rPr>
  </w:style>
  <w:style w:type="paragraph" w:customStyle="1" w:styleId="CopyrightHeading">
    <w:name w:val="Copyright Heading"/>
    <w:basedOn w:val="CopyrightText"/>
    <w:next w:val="CopyrightText"/>
    <w:rsid w:val="002F6792"/>
    <w:rPr>
      <w:rFonts w:eastAsia="Arial Unicode MS"/>
      <w:b/>
      <w:color w:val="auto"/>
    </w:rPr>
  </w:style>
  <w:style w:type="paragraph" w:customStyle="1" w:styleId="HiddenText">
    <w:name w:val="Hidden Text"/>
    <w:basedOn w:val="BodyText"/>
    <w:rsid w:val="00AE7D0C"/>
    <w:rPr>
      <w:vanish/>
      <w:color w:val="14BA34"/>
    </w:rPr>
  </w:style>
  <w:style w:type="paragraph" w:customStyle="1" w:styleId="Reference">
    <w:name w:val="Reference"/>
    <w:basedOn w:val="Caption"/>
    <w:rsid w:val="00567185"/>
    <w:rPr>
      <w:i w:val="0"/>
      <w:color w:val="A6A6A6" w:themeColor="background1" w:themeShade="A6"/>
    </w:rPr>
  </w:style>
  <w:style w:type="paragraph" w:styleId="Quote">
    <w:name w:val="Quote"/>
    <w:basedOn w:val="Normal"/>
    <w:next w:val="Normal"/>
    <w:link w:val="QuoteChar"/>
    <w:uiPriority w:val="29"/>
    <w:qFormat/>
    <w:rsid w:val="000F5121"/>
    <w:rPr>
      <w:i/>
      <w:iCs/>
      <w:color w:val="000000" w:themeColor="text1"/>
    </w:rPr>
  </w:style>
  <w:style w:type="character" w:customStyle="1" w:styleId="QuoteChar">
    <w:name w:val="Quote Char"/>
    <w:basedOn w:val="DefaultParagraphFont"/>
    <w:link w:val="Quote"/>
    <w:uiPriority w:val="29"/>
    <w:rsid w:val="000F5121"/>
    <w:rPr>
      <w:rFonts w:ascii="Calibri" w:eastAsia="Times New Roman" w:hAnsi="Calibri"/>
      <w:i/>
      <w:iCs/>
      <w:color w:val="000000" w:themeColor="text1"/>
      <w:szCs w:val="24"/>
    </w:rPr>
  </w:style>
  <w:style w:type="paragraph" w:customStyle="1" w:styleId="VersionControlLog">
    <w:name w:val="Version Control Log"/>
    <w:basedOn w:val="Heading1"/>
    <w:next w:val="BodyText"/>
    <w:rsid w:val="008F5CE7"/>
    <w:pPr>
      <w:spacing w:before="480"/>
    </w:pPr>
  </w:style>
  <w:style w:type="paragraph" w:styleId="BodyText2">
    <w:name w:val="Body Text 2"/>
    <w:basedOn w:val="BodyText"/>
    <w:link w:val="BodyText2Char"/>
    <w:semiHidden/>
    <w:unhideWhenUsed/>
    <w:rsid w:val="00E24E07"/>
    <w:pPr>
      <w:spacing w:after="120"/>
    </w:pPr>
    <w:rPr>
      <w:i/>
    </w:rPr>
  </w:style>
  <w:style w:type="character" w:customStyle="1" w:styleId="BodyText2Char">
    <w:name w:val="Body Text 2 Char"/>
    <w:basedOn w:val="DefaultParagraphFont"/>
    <w:link w:val="BodyText2"/>
    <w:semiHidden/>
    <w:rsid w:val="00E24E07"/>
    <w:rPr>
      <w:rFonts w:eastAsia="Times New Roman"/>
      <w:i/>
    </w:rPr>
  </w:style>
  <w:style w:type="paragraph" w:styleId="BodyText3">
    <w:name w:val="Body Text 3"/>
    <w:basedOn w:val="BodyText"/>
    <w:link w:val="BodyText3Char"/>
    <w:semiHidden/>
    <w:unhideWhenUsed/>
    <w:rsid w:val="00E24E07"/>
    <w:pPr>
      <w:spacing w:after="120"/>
    </w:pPr>
    <w:rPr>
      <w:sz w:val="18"/>
      <w:szCs w:val="16"/>
    </w:rPr>
  </w:style>
  <w:style w:type="character" w:customStyle="1" w:styleId="BodyText3Char">
    <w:name w:val="Body Text 3 Char"/>
    <w:basedOn w:val="DefaultParagraphFont"/>
    <w:link w:val="BodyText3"/>
    <w:semiHidden/>
    <w:rsid w:val="00C527D3"/>
    <w:rPr>
      <w:rFonts w:eastAsia="Times New Roman"/>
      <w:sz w:val="18"/>
      <w:szCs w:val="16"/>
    </w:rPr>
  </w:style>
  <w:style w:type="paragraph" w:styleId="Subtitle">
    <w:name w:val="Subtitle"/>
    <w:basedOn w:val="Normal"/>
    <w:next w:val="Normal"/>
    <w:link w:val="SubtitleChar"/>
    <w:uiPriority w:val="11"/>
    <w:semiHidden/>
    <w:qFormat/>
    <w:rsid w:val="00C527D3"/>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semiHidden/>
    <w:rsid w:val="00C527D3"/>
    <w:rPr>
      <w:rFonts w:eastAsiaTheme="majorEastAsia" w:cstheme="majorBidi"/>
      <w:i/>
      <w:iCs/>
      <w:color w:val="auto"/>
      <w:spacing w:val="15"/>
      <w:sz w:val="24"/>
      <w:szCs w:val="24"/>
    </w:rPr>
  </w:style>
  <w:style w:type="paragraph" w:customStyle="1" w:styleId="TableHeading2">
    <w:name w:val="Table Heading 2"/>
    <w:basedOn w:val="TableHeading"/>
    <w:rsid w:val="00E2539B"/>
    <w:rPr>
      <w:color w:val="auto"/>
    </w:rPr>
  </w:style>
  <w:style w:type="paragraph" w:styleId="BalloonText">
    <w:name w:val="Balloon Text"/>
    <w:basedOn w:val="Normal"/>
    <w:link w:val="BalloonTextChar"/>
    <w:semiHidden/>
    <w:unhideWhenUsed/>
    <w:rsid w:val="00264BC0"/>
    <w:rPr>
      <w:rFonts w:ascii="Tahoma" w:hAnsi="Tahoma" w:cs="Tahoma"/>
      <w:sz w:val="16"/>
      <w:szCs w:val="16"/>
    </w:rPr>
  </w:style>
  <w:style w:type="character" w:customStyle="1" w:styleId="BalloonTextChar">
    <w:name w:val="Balloon Text Char"/>
    <w:basedOn w:val="DefaultParagraphFont"/>
    <w:link w:val="BalloonText"/>
    <w:semiHidden/>
    <w:rsid w:val="00264BC0"/>
    <w:rPr>
      <w:rFonts w:ascii="Tahoma" w:eastAsia="Times New Roman" w:hAnsi="Tahoma" w:cs="Tahoma"/>
      <w:sz w:val="16"/>
      <w:szCs w:val="16"/>
    </w:rPr>
  </w:style>
  <w:style w:type="character" w:customStyle="1" w:styleId="s1">
    <w:name w:val="s1"/>
    <w:basedOn w:val="DefaultParagraphFont"/>
    <w:rsid w:val="00CB4D8D"/>
    <w:rPr>
      <w:spacing w:val="-2"/>
    </w:rPr>
  </w:style>
  <w:style w:type="paragraph" w:customStyle="1" w:styleId="p8">
    <w:name w:val="p8"/>
    <w:basedOn w:val="Normal"/>
    <w:rsid w:val="00CB4D8D"/>
    <w:pPr>
      <w:widowControl/>
      <w:spacing w:line="150" w:lineRule="atLeast"/>
    </w:pPr>
    <w:rPr>
      <w:rFonts w:ascii="Helvetica" w:eastAsiaTheme="minorEastAsia" w:hAnsi="Helvetica" w:cs="Helvetica"/>
      <w:sz w:val="11"/>
      <w:szCs w:val="11"/>
      <w:lang w:eastAsia="ja-JP"/>
    </w:rPr>
  </w:style>
  <w:style w:type="character" w:styleId="CommentReference">
    <w:name w:val="annotation reference"/>
    <w:basedOn w:val="DefaultParagraphFont"/>
    <w:uiPriority w:val="99"/>
    <w:unhideWhenUsed/>
    <w:rsid w:val="00441253"/>
    <w:rPr>
      <w:sz w:val="16"/>
      <w:szCs w:val="16"/>
    </w:rPr>
  </w:style>
  <w:style w:type="paragraph" w:styleId="CommentSubject">
    <w:name w:val="annotation subject"/>
    <w:basedOn w:val="CommentText"/>
    <w:next w:val="CommentText"/>
    <w:link w:val="CommentSubjectChar"/>
    <w:uiPriority w:val="99"/>
    <w:semiHidden/>
    <w:unhideWhenUsed/>
    <w:rsid w:val="00441253"/>
    <w:pPr>
      <w:widowControl w:val="0"/>
      <w:spacing w:after="200" w:line="240" w:lineRule="auto"/>
    </w:pPr>
    <w:rPr>
      <w:rFonts w:asciiTheme="minorHAnsi" w:eastAsiaTheme="minorHAnsi" w:hAnsiTheme="minorHAnsi" w:cstheme="minorBidi"/>
      <w:b/>
      <w:bCs/>
      <w:color w:val="auto"/>
      <w:sz w:val="20"/>
      <w:szCs w:val="20"/>
      <w:lang w:val="en-US"/>
    </w:rPr>
  </w:style>
  <w:style w:type="character" w:customStyle="1" w:styleId="CommentSubjectChar">
    <w:name w:val="Comment Subject Char"/>
    <w:basedOn w:val="CommentTextChar"/>
    <w:link w:val="CommentSubject"/>
    <w:uiPriority w:val="99"/>
    <w:semiHidden/>
    <w:rsid w:val="00441253"/>
    <w:rPr>
      <w:rFonts w:asciiTheme="minorHAnsi" w:eastAsiaTheme="minorHAnsi" w:hAnsiTheme="minorHAnsi" w:cstheme="minorBidi"/>
      <w:b/>
      <w:bCs/>
      <w:color w:val="auto"/>
      <w:sz w:val="20"/>
      <w:szCs w:val="20"/>
      <w:lang w:val="en-US"/>
    </w:rPr>
  </w:style>
  <w:style w:type="character" w:customStyle="1" w:styleId="normaltextrun">
    <w:name w:val="normaltextrun"/>
    <w:basedOn w:val="DefaultParagraphFont"/>
    <w:rsid w:val="006862A1"/>
  </w:style>
  <w:style w:type="paragraph" w:customStyle="1" w:styleId="paragraph">
    <w:name w:val="paragraph"/>
    <w:basedOn w:val="Normal"/>
    <w:rsid w:val="006862A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862A1"/>
  </w:style>
  <w:style w:type="character" w:customStyle="1" w:styleId="contextualspellingandgrammarerror">
    <w:name w:val="contextualspellingandgrammarerror"/>
    <w:basedOn w:val="DefaultParagraphFont"/>
    <w:rsid w:val="006862A1"/>
  </w:style>
  <w:style w:type="character" w:customStyle="1" w:styleId="spellingerror">
    <w:name w:val="spellingerror"/>
    <w:basedOn w:val="DefaultParagraphFont"/>
    <w:rsid w:val="006862A1"/>
  </w:style>
  <w:style w:type="paragraph" w:styleId="NoSpacing">
    <w:name w:val="No Spacing"/>
    <w:uiPriority w:val="1"/>
    <w:qFormat/>
    <w:rsid w:val="006862A1"/>
    <w:rPr>
      <w:rFonts w:asciiTheme="minorHAnsi" w:eastAsiaTheme="minorHAnsi" w:hAnsiTheme="minorHAnsi" w:cstheme="minorBidi"/>
      <w:color w:val="auto"/>
      <w:sz w:val="22"/>
      <w:szCs w:val="22"/>
      <w:lang w:val="en-GB"/>
    </w:rPr>
  </w:style>
  <w:style w:type="table" w:customStyle="1" w:styleId="TableGrid1">
    <w:name w:val="Table Grid1"/>
    <w:basedOn w:val="TableNormal"/>
    <w:next w:val="TableGrid"/>
    <w:rsid w:val="00E7608B"/>
    <w:rPr>
      <w:rFonts w:ascii="Times New Roman" w:eastAsia="Times New Roman" w:hAnsi="Times New Roman"/>
      <w:color w:val="auto"/>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A23D3"/>
    <w:pPr>
      <w:spacing w:before="40" w:after="40"/>
    </w:pPr>
    <w:rPr>
      <w:rFonts w:ascii="Arial Narrow" w:eastAsia="Times New Roman" w:hAnsi="Arial Narrow"/>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arlett" w:hAnsi="Marlett"/>
        <w:b w:val="0"/>
        <w:sz w:val="20"/>
      </w:rPr>
    </w:tblStylePr>
  </w:style>
  <w:style w:type="table" w:customStyle="1" w:styleId="PlainTable11">
    <w:name w:val="Plain Table 11"/>
    <w:basedOn w:val="TableNormal"/>
    <w:uiPriority w:val="41"/>
    <w:rsid w:val="00962514"/>
    <w:rPr>
      <w:rFonts w:asciiTheme="minorHAnsi" w:eastAsiaTheme="minorHAnsi" w:hAnsiTheme="minorHAnsi" w:cstheme="minorBidi"/>
      <w:color w:val="auto"/>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
    <w:basedOn w:val="DefaultParagraphFont"/>
    <w:link w:val="ListParagraph"/>
    <w:uiPriority w:val="99"/>
    <w:locked/>
    <w:rsid w:val="002A09C7"/>
    <w:rPr>
      <w:rFonts w:asciiTheme="minorHAnsi" w:eastAsiaTheme="minorHAnsi" w:hAnsiTheme="minorHAnsi" w:cstheme="minorBidi"/>
      <w:color w:val="auto"/>
      <w:sz w:val="22"/>
      <w:szCs w:val="22"/>
      <w:lang w:val="en-US"/>
    </w:rPr>
  </w:style>
  <w:style w:type="paragraph" w:customStyle="1" w:styleId="Default">
    <w:name w:val="Default"/>
    <w:rsid w:val="006947B4"/>
    <w:pPr>
      <w:autoSpaceDE w:val="0"/>
      <w:autoSpaceDN w:val="0"/>
      <w:adjustRightInd w:val="0"/>
    </w:pPr>
    <w:rPr>
      <w:rFonts w:eastAsia="Times New Roman" w:cs="Arial"/>
      <w:color w:val="000000"/>
      <w:sz w:val="24"/>
      <w:szCs w:val="24"/>
      <w:lang w:val="en-US"/>
    </w:rPr>
  </w:style>
  <w:style w:type="paragraph" w:customStyle="1" w:styleId="TableParagraph">
    <w:name w:val="Table Paragraph"/>
    <w:basedOn w:val="Normal"/>
    <w:autoRedefine/>
    <w:uiPriority w:val="1"/>
    <w:qFormat/>
    <w:rsid w:val="0082142E"/>
    <w:pPr>
      <w:autoSpaceDE w:val="0"/>
      <w:autoSpaceDN w:val="0"/>
    </w:pPr>
    <w:rPr>
      <w:rFonts w:eastAsia="Arial" w:cs="Arial"/>
      <w:b/>
      <w:lang w:val="en-AU" w:eastAsia="en-AU" w:bidi="en-AU"/>
    </w:rPr>
  </w:style>
  <w:style w:type="character" w:customStyle="1" w:styleId="apple-converted-space">
    <w:name w:val="apple-converted-space"/>
    <w:basedOn w:val="DefaultParagraphFont"/>
    <w:rsid w:val="00321884"/>
  </w:style>
  <w:style w:type="paragraph" w:styleId="NormalWeb">
    <w:name w:val="Normal (Web)"/>
    <w:basedOn w:val="Normal"/>
    <w:uiPriority w:val="99"/>
    <w:semiHidden/>
    <w:unhideWhenUsed/>
    <w:rsid w:val="001B7E10"/>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C11A0"/>
    <w:rPr>
      <w:rFonts w:ascii="Calibri" w:eastAsiaTheme="minorHAnsi" w:hAnsi="Calibri" w:cstheme="minorBidi"/>
      <w:color w:val="auto"/>
      <w:sz w:val="22"/>
      <w:szCs w:val="22"/>
      <w:lang w:val="en-US"/>
    </w:rPr>
  </w:style>
  <w:style w:type="paragraph" w:customStyle="1" w:styleId="Dash">
    <w:name w:val="Dash"/>
    <w:basedOn w:val="Normal"/>
    <w:rsid w:val="00A30B5E"/>
    <w:pPr>
      <w:widowControl/>
      <w:numPr>
        <w:numId w:val="22"/>
      </w:numPr>
      <w:spacing w:after="240" w:line="312" w:lineRule="auto"/>
    </w:pPr>
    <w:rPr>
      <w:rFonts w:eastAsia="Times New Roman" w:cs="Tahoma"/>
      <w:lang w:val="en-AU" w:eastAsia="en-AU"/>
    </w:rPr>
  </w:style>
  <w:style w:type="paragraph" w:customStyle="1" w:styleId="desc">
    <w:name w:val="desc"/>
    <w:basedOn w:val="Normal"/>
    <w:rsid w:val="006658E3"/>
    <w:pPr>
      <w:widowControl/>
      <w:spacing w:before="100" w:beforeAutospacing="1" w:after="100" w:afterAutospacing="1" w:line="240" w:lineRule="auto"/>
      <w:jc w:val="left"/>
    </w:pPr>
    <w:rPr>
      <w:rFonts w:ascii="Times New Roman" w:eastAsia="Times New Roman" w:hAnsi="Times New Roman" w:cs="Times New Roman"/>
      <w:sz w:val="24"/>
      <w:szCs w:val="24"/>
      <w:lang w:val="en-AU" w:eastAsia="en-AU"/>
    </w:rPr>
  </w:style>
  <w:style w:type="table" w:customStyle="1" w:styleId="PlainTable12">
    <w:name w:val="Plain Table 12"/>
    <w:basedOn w:val="TableNormal"/>
    <w:uiPriority w:val="41"/>
    <w:rsid w:val="00E87E3C"/>
    <w:rPr>
      <w:rFonts w:asciiTheme="minorHAnsi" w:eastAsiaTheme="minorHAnsi" w:hAnsiTheme="minorHAnsi" w:cstheme="minorBidi"/>
      <w:color w:val="auto"/>
      <w:sz w:val="22"/>
      <w:szCs w:val="22"/>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1198">
      <w:bodyDiv w:val="1"/>
      <w:marLeft w:val="0"/>
      <w:marRight w:val="0"/>
      <w:marTop w:val="0"/>
      <w:marBottom w:val="0"/>
      <w:divBdr>
        <w:top w:val="none" w:sz="0" w:space="0" w:color="auto"/>
        <w:left w:val="none" w:sz="0" w:space="0" w:color="auto"/>
        <w:bottom w:val="none" w:sz="0" w:space="0" w:color="auto"/>
        <w:right w:val="none" w:sz="0" w:space="0" w:color="auto"/>
      </w:divBdr>
    </w:div>
    <w:div w:id="43869754">
      <w:bodyDiv w:val="1"/>
      <w:marLeft w:val="0"/>
      <w:marRight w:val="0"/>
      <w:marTop w:val="0"/>
      <w:marBottom w:val="0"/>
      <w:divBdr>
        <w:top w:val="none" w:sz="0" w:space="0" w:color="auto"/>
        <w:left w:val="none" w:sz="0" w:space="0" w:color="auto"/>
        <w:bottom w:val="none" w:sz="0" w:space="0" w:color="auto"/>
        <w:right w:val="none" w:sz="0" w:space="0" w:color="auto"/>
      </w:divBdr>
    </w:div>
    <w:div w:id="88701538">
      <w:bodyDiv w:val="1"/>
      <w:marLeft w:val="0"/>
      <w:marRight w:val="0"/>
      <w:marTop w:val="0"/>
      <w:marBottom w:val="0"/>
      <w:divBdr>
        <w:top w:val="none" w:sz="0" w:space="0" w:color="auto"/>
        <w:left w:val="none" w:sz="0" w:space="0" w:color="auto"/>
        <w:bottom w:val="none" w:sz="0" w:space="0" w:color="auto"/>
        <w:right w:val="none" w:sz="0" w:space="0" w:color="auto"/>
      </w:divBdr>
    </w:div>
    <w:div w:id="112329846">
      <w:bodyDiv w:val="1"/>
      <w:marLeft w:val="0"/>
      <w:marRight w:val="0"/>
      <w:marTop w:val="0"/>
      <w:marBottom w:val="0"/>
      <w:divBdr>
        <w:top w:val="none" w:sz="0" w:space="0" w:color="auto"/>
        <w:left w:val="none" w:sz="0" w:space="0" w:color="auto"/>
        <w:bottom w:val="none" w:sz="0" w:space="0" w:color="auto"/>
        <w:right w:val="none" w:sz="0" w:space="0" w:color="auto"/>
      </w:divBdr>
    </w:div>
    <w:div w:id="223295851">
      <w:bodyDiv w:val="1"/>
      <w:marLeft w:val="0"/>
      <w:marRight w:val="0"/>
      <w:marTop w:val="0"/>
      <w:marBottom w:val="0"/>
      <w:divBdr>
        <w:top w:val="none" w:sz="0" w:space="0" w:color="auto"/>
        <w:left w:val="none" w:sz="0" w:space="0" w:color="auto"/>
        <w:bottom w:val="none" w:sz="0" w:space="0" w:color="auto"/>
        <w:right w:val="none" w:sz="0" w:space="0" w:color="auto"/>
      </w:divBdr>
    </w:div>
    <w:div w:id="335303216">
      <w:bodyDiv w:val="1"/>
      <w:marLeft w:val="0"/>
      <w:marRight w:val="0"/>
      <w:marTop w:val="0"/>
      <w:marBottom w:val="0"/>
      <w:divBdr>
        <w:top w:val="none" w:sz="0" w:space="0" w:color="auto"/>
        <w:left w:val="none" w:sz="0" w:space="0" w:color="auto"/>
        <w:bottom w:val="none" w:sz="0" w:space="0" w:color="auto"/>
        <w:right w:val="none" w:sz="0" w:space="0" w:color="auto"/>
      </w:divBdr>
    </w:div>
    <w:div w:id="354381086">
      <w:bodyDiv w:val="1"/>
      <w:marLeft w:val="0"/>
      <w:marRight w:val="0"/>
      <w:marTop w:val="0"/>
      <w:marBottom w:val="0"/>
      <w:divBdr>
        <w:top w:val="none" w:sz="0" w:space="0" w:color="auto"/>
        <w:left w:val="none" w:sz="0" w:space="0" w:color="auto"/>
        <w:bottom w:val="none" w:sz="0" w:space="0" w:color="auto"/>
        <w:right w:val="none" w:sz="0" w:space="0" w:color="auto"/>
      </w:divBdr>
    </w:div>
    <w:div w:id="423114106">
      <w:bodyDiv w:val="1"/>
      <w:marLeft w:val="0"/>
      <w:marRight w:val="0"/>
      <w:marTop w:val="0"/>
      <w:marBottom w:val="0"/>
      <w:divBdr>
        <w:top w:val="none" w:sz="0" w:space="0" w:color="auto"/>
        <w:left w:val="none" w:sz="0" w:space="0" w:color="auto"/>
        <w:bottom w:val="none" w:sz="0" w:space="0" w:color="auto"/>
        <w:right w:val="none" w:sz="0" w:space="0" w:color="auto"/>
      </w:divBdr>
    </w:div>
    <w:div w:id="462845472">
      <w:bodyDiv w:val="1"/>
      <w:marLeft w:val="0"/>
      <w:marRight w:val="0"/>
      <w:marTop w:val="0"/>
      <w:marBottom w:val="0"/>
      <w:divBdr>
        <w:top w:val="none" w:sz="0" w:space="0" w:color="auto"/>
        <w:left w:val="none" w:sz="0" w:space="0" w:color="auto"/>
        <w:bottom w:val="none" w:sz="0" w:space="0" w:color="auto"/>
        <w:right w:val="none" w:sz="0" w:space="0" w:color="auto"/>
      </w:divBdr>
    </w:div>
    <w:div w:id="485897583">
      <w:bodyDiv w:val="1"/>
      <w:marLeft w:val="0"/>
      <w:marRight w:val="0"/>
      <w:marTop w:val="0"/>
      <w:marBottom w:val="0"/>
      <w:divBdr>
        <w:top w:val="none" w:sz="0" w:space="0" w:color="auto"/>
        <w:left w:val="none" w:sz="0" w:space="0" w:color="auto"/>
        <w:bottom w:val="none" w:sz="0" w:space="0" w:color="auto"/>
        <w:right w:val="none" w:sz="0" w:space="0" w:color="auto"/>
      </w:divBdr>
    </w:div>
    <w:div w:id="530650226">
      <w:bodyDiv w:val="1"/>
      <w:marLeft w:val="0"/>
      <w:marRight w:val="0"/>
      <w:marTop w:val="0"/>
      <w:marBottom w:val="0"/>
      <w:divBdr>
        <w:top w:val="none" w:sz="0" w:space="0" w:color="auto"/>
        <w:left w:val="none" w:sz="0" w:space="0" w:color="auto"/>
        <w:bottom w:val="none" w:sz="0" w:space="0" w:color="auto"/>
        <w:right w:val="none" w:sz="0" w:space="0" w:color="auto"/>
      </w:divBdr>
    </w:div>
    <w:div w:id="670761425">
      <w:bodyDiv w:val="1"/>
      <w:marLeft w:val="0"/>
      <w:marRight w:val="0"/>
      <w:marTop w:val="0"/>
      <w:marBottom w:val="0"/>
      <w:divBdr>
        <w:top w:val="none" w:sz="0" w:space="0" w:color="auto"/>
        <w:left w:val="none" w:sz="0" w:space="0" w:color="auto"/>
        <w:bottom w:val="none" w:sz="0" w:space="0" w:color="auto"/>
        <w:right w:val="none" w:sz="0" w:space="0" w:color="auto"/>
      </w:divBdr>
    </w:div>
    <w:div w:id="718213277">
      <w:bodyDiv w:val="1"/>
      <w:marLeft w:val="0"/>
      <w:marRight w:val="0"/>
      <w:marTop w:val="0"/>
      <w:marBottom w:val="0"/>
      <w:divBdr>
        <w:top w:val="none" w:sz="0" w:space="0" w:color="auto"/>
        <w:left w:val="none" w:sz="0" w:space="0" w:color="auto"/>
        <w:bottom w:val="none" w:sz="0" w:space="0" w:color="auto"/>
        <w:right w:val="none" w:sz="0" w:space="0" w:color="auto"/>
      </w:divBdr>
    </w:div>
    <w:div w:id="766538378">
      <w:bodyDiv w:val="1"/>
      <w:marLeft w:val="0"/>
      <w:marRight w:val="0"/>
      <w:marTop w:val="0"/>
      <w:marBottom w:val="0"/>
      <w:divBdr>
        <w:top w:val="none" w:sz="0" w:space="0" w:color="auto"/>
        <w:left w:val="none" w:sz="0" w:space="0" w:color="auto"/>
        <w:bottom w:val="none" w:sz="0" w:space="0" w:color="auto"/>
        <w:right w:val="none" w:sz="0" w:space="0" w:color="auto"/>
      </w:divBdr>
    </w:div>
    <w:div w:id="806507950">
      <w:bodyDiv w:val="1"/>
      <w:marLeft w:val="0"/>
      <w:marRight w:val="0"/>
      <w:marTop w:val="0"/>
      <w:marBottom w:val="0"/>
      <w:divBdr>
        <w:top w:val="none" w:sz="0" w:space="0" w:color="auto"/>
        <w:left w:val="none" w:sz="0" w:space="0" w:color="auto"/>
        <w:bottom w:val="none" w:sz="0" w:space="0" w:color="auto"/>
        <w:right w:val="none" w:sz="0" w:space="0" w:color="auto"/>
      </w:divBdr>
    </w:div>
    <w:div w:id="1131826270">
      <w:bodyDiv w:val="1"/>
      <w:marLeft w:val="0"/>
      <w:marRight w:val="0"/>
      <w:marTop w:val="0"/>
      <w:marBottom w:val="0"/>
      <w:divBdr>
        <w:top w:val="none" w:sz="0" w:space="0" w:color="auto"/>
        <w:left w:val="none" w:sz="0" w:space="0" w:color="auto"/>
        <w:bottom w:val="none" w:sz="0" w:space="0" w:color="auto"/>
        <w:right w:val="none" w:sz="0" w:space="0" w:color="auto"/>
      </w:divBdr>
    </w:div>
    <w:div w:id="1257131756">
      <w:bodyDiv w:val="1"/>
      <w:marLeft w:val="0"/>
      <w:marRight w:val="0"/>
      <w:marTop w:val="0"/>
      <w:marBottom w:val="0"/>
      <w:divBdr>
        <w:top w:val="none" w:sz="0" w:space="0" w:color="auto"/>
        <w:left w:val="none" w:sz="0" w:space="0" w:color="auto"/>
        <w:bottom w:val="none" w:sz="0" w:space="0" w:color="auto"/>
        <w:right w:val="none" w:sz="0" w:space="0" w:color="auto"/>
      </w:divBdr>
    </w:div>
    <w:div w:id="1268853703">
      <w:bodyDiv w:val="1"/>
      <w:marLeft w:val="0"/>
      <w:marRight w:val="0"/>
      <w:marTop w:val="0"/>
      <w:marBottom w:val="0"/>
      <w:divBdr>
        <w:top w:val="none" w:sz="0" w:space="0" w:color="auto"/>
        <w:left w:val="none" w:sz="0" w:space="0" w:color="auto"/>
        <w:bottom w:val="none" w:sz="0" w:space="0" w:color="auto"/>
        <w:right w:val="none" w:sz="0" w:space="0" w:color="auto"/>
      </w:divBdr>
    </w:div>
    <w:div w:id="1312515442">
      <w:bodyDiv w:val="1"/>
      <w:marLeft w:val="0"/>
      <w:marRight w:val="0"/>
      <w:marTop w:val="0"/>
      <w:marBottom w:val="0"/>
      <w:divBdr>
        <w:top w:val="none" w:sz="0" w:space="0" w:color="auto"/>
        <w:left w:val="none" w:sz="0" w:space="0" w:color="auto"/>
        <w:bottom w:val="none" w:sz="0" w:space="0" w:color="auto"/>
        <w:right w:val="none" w:sz="0" w:space="0" w:color="auto"/>
      </w:divBdr>
    </w:div>
    <w:div w:id="1340279710">
      <w:bodyDiv w:val="1"/>
      <w:marLeft w:val="0"/>
      <w:marRight w:val="0"/>
      <w:marTop w:val="0"/>
      <w:marBottom w:val="0"/>
      <w:divBdr>
        <w:top w:val="none" w:sz="0" w:space="0" w:color="auto"/>
        <w:left w:val="none" w:sz="0" w:space="0" w:color="auto"/>
        <w:bottom w:val="none" w:sz="0" w:space="0" w:color="auto"/>
        <w:right w:val="none" w:sz="0" w:space="0" w:color="auto"/>
      </w:divBdr>
    </w:div>
    <w:div w:id="1350914868">
      <w:bodyDiv w:val="1"/>
      <w:marLeft w:val="0"/>
      <w:marRight w:val="0"/>
      <w:marTop w:val="0"/>
      <w:marBottom w:val="0"/>
      <w:divBdr>
        <w:top w:val="none" w:sz="0" w:space="0" w:color="auto"/>
        <w:left w:val="none" w:sz="0" w:space="0" w:color="auto"/>
        <w:bottom w:val="none" w:sz="0" w:space="0" w:color="auto"/>
        <w:right w:val="none" w:sz="0" w:space="0" w:color="auto"/>
      </w:divBdr>
    </w:div>
    <w:div w:id="1448618389">
      <w:bodyDiv w:val="1"/>
      <w:marLeft w:val="0"/>
      <w:marRight w:val="0"/>
      <w:marTop w:val="0"/>
      <w:marBottom w:val="0"/>
      <w:divBdr>
        <w:top w:val="none" w:sz="0" w:space="0" w:color="auto"/>
        <w:left w:val="none" w:sz="0" w:space="0" w:color="auto"/>
        <w:bottom w:val="none" w:sz="0" w:space="0" w:color="auto"/>
        <w:right w:val="none" w:sz="0" w:space="0" w:color="auto"/>
      </w:divBdr>
    </w:div>
    <w:div w:id="1499492611">
      <w:bodyDiv w:val="1"/>
      <w:marLeft w:val="0"/>
      <w:marRight w:val="0"/>
      <w:marTop w:val="0"/>
      <w:marBottom w:val="0"/>
      <w:divBdr>
        <w:top w:val="none" w:sz="0" w:space="0" w:color="auto"/>
        <w:left w:val="none" w:sz="0" w:space="0" w:color="auto"/>
        <w:bottom w:val="none" w:sz="0" w:space="0" w:color="auto"/>
        <w:right w:val="none" w:sz="0" w:space="0" w:color="auto"/>
      </w:divBdr>
    </w:div>
    <w:div w:id="1532917609">
      <w:bodyDiv w:val="1"/>
      <w:marLeft w:val="0"/>
      <w:marRight w:val="0"/>
      <w:marTop w:val="0"/>
      <w:marBottom w:val="0"/>
      <w:divBdr>
        <w:top w:val="none" w:sz="0" w:space="0" w:color="auto"/>
        <w:left w:val="none" w:sz="0" w:space="0" w:color="auto"/>
        <w:bottom w:val="none" w:sz="0" w:space="0" w:color="auto"/>
        <w:right w:val="none" w:sz="0" w:space="0" w:color="auto"/>
      </w:divBdr>
    </w:div>
    <w:div w:id="1553735981">
      <w:bodyDiv w:val="1"/>
      <w:marLeft w:val="0"/>
      <w:marRight w:val="0"/>
      <w:marTop w:val="0"/>
      <w:marBottom w:val="0"/>
      <w:divBdr>
        <w:top w:val="none" w:sz="0" w:space="0" w:color="auto"/>
        <w:left w:val="none" w:sz="0" w:space="0" w:color="auto"/>
        <w:bottom w:val="none" w:sz="0" w:space="0" w:color="auto"/>
        <w:right w:val="none" w:sz="0" w:space="0" w:color="auto"/>
      </w:divBdr>
    </w:div>
    <w:div w:id="1726954397">
      <w:bodyDiv w:val="1"/>
      <w:marLeft w:val="0"/>
      <w:marRight w:val="0"/>
      <w:marTop w:val="0"/>
      <w:marBottom w:val="0"/>
      <w:divBdr>
        <w:top w:val="none" w:sz="0" w:space="0" w:color="auto"/>
        <w:left w:val="none" w:sz="0" w:space="0" w:color="auto"/>
        <w:bottom w:val="none" w:sz="0" w:space="0" w:color="auto"/>
        <w:right w:val="none" w:sz="0" w:space="0" w:color="auto"/>
      </w:divBdr>
    </w:div>
    <w:div w:id="1763650102">
      <w:bodyDiv w:val="1"/>
      <w:marLeft w:val="0"/>
      <w:marRight w:val="0"/>
      <w:marTop w:val="0"/>
      <w:marBottom w:val="0"/>
      <w:divBdr>
        <w:top w:val="none" w:sz="0" w:space="0" w:color="auto"/>
        <w:left w:val="none" w:sz="0" w:space="0" w:color="auto"/>
        <w:bottom w:val="none" w:sz="0" w:space="0" w:color="auto"/>
        <w:right w:val="none" w:sz="0" w:space="0" w:color="auto"/>
      </w:divBdr>
    </w:div>
    <w:div w:id="1771464231">
      <w:bodyDiv w:val="1"/>
      <w:marLeft w:val="0"/>
      <w:marRight w:val="0"/>
      <w:marTop w:val="0"/>
      <w:marBottom w:val="0"/>
      <w:divBdr>
        <w:top w:val="none" w:sz="0" w:space="0" w:color="auto"/>
        <w:left w:val="none" w:sz="0" w:space="0" w:color="auto"/>
        <w:bottom w:val="none" w:sz="0" w:space="0" w:color="auto"/>
        <w:right w:val="none" w:sz="0" w:space="0" w:color="auto"/>
      </w:divBdr>
    </w:div>
    <w:div w:id="1787385389">
      <w:bodyDiv w:val="1"/>
      <w:marLeft w:val="0"/>
      <w:marRight w:val="0"/>
      <w:marTop w:val="0"/>
      <w:marBottom w:val="0"/>
      <w:divBdr>
        <w:top w:val="none" w:sz="0" w:space="0" w:color="auto"/>
        <w:left w:val="none" w:sz="0" w:space="0" w:color="auto"/>
        <w:bottom w:val="none" w:sz="0" w:space="0" w:color="auto"/>
        <w:right w:val="none" w:sz="0" w:space="0" w:color="auto"/>
      </w:divBdr>
    </w:div>
    <w:div w:id="190043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ajp.com.au/columns/talking-heads/could-gp-pharmacists-worsen-rural-shortage/" TargetMode="External"/><Relationship Id="rId2" Type="http://schemas.openxmlformats.org/officeDocument/2006/relationships/hyperlink" Target="https://www.guild.org.au/__data/assets/pdf_file/0009/6120/Pharmacists-in-General-Practice-May-2019.pdf" TargetMode="External"/><Relationship Id="rId1" Type="http://schemas.openxmlformats.org/officeDocument/2006/relationships/hyperlink" Target="https://doi.org/10.5694/j.1326-5377.2010.tb03502.x" TargetMode="External"/><Relationship Id="rId5" Type="http://schemas.openxmlformats.org/officeDocument/2006/relationships/hyperlink" Target="https://www.naccho.org.au/" TargetMode="External"/><Relationship Id="rId4" Type="http://schemas.openxmlformats.org/officeDocument/2006/relationships/hyperlink" Target="https://www.servicesaustralia.gov.au/organisations/health-professionals/services/medicare/closing-gap-pbs-co-payment-meas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D151C-3AD9-4AB8-B01E-8C0054FC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6100</Words>
  <Characters>34773</Characters>
  <Application>Microsoft Office Word</Application>
  <DocSecurity>0</DocSecurity>
  <Lines>289</Lines>
  <Paragraphs>81</Paragraphs>
  <ScaleCrop>false</ScaleCrop>
  <Company/>
  <LinksUpToDate>false</LinksUpToDate>
  <CharactersWithSpaces>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2021-10-18T08:33:00Z</dcterms:created>
  <dcterms:modified xsi:type="dcterms:W3CDTF">2021-10-19T03:11:00Z</dcterms:modified>
</cp:coreProperties>
</file>