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14496" w14:textId="77777777" w:rsidR="00832851" w:rsidRPr="00323092" w:rsidRDefault="00832851" w:rsidP="00832851">
      <w:pPr>
        <w:spacing w:before="120" w:line="312" w:lineRule="auto"/>
        <w:jc w:val="center"/>
      </w:pPr>
      <w:r w:rsidRPr="008D5584">
        <w:rPr>
          <w:b/>
          <w:noProof/>
          <w:lang w:eastAsia="en-AU"/>
        </w:rPr>
        <w:drawing>
          <wp:inline distT="0" distB="0" distL="0" distR="0" wp14:anchorId="0C287ED0" wp14:editId="08959F6C">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3620E4BE" w14:textId="77777777" w:rsidR="00832851" w:rsidRPr="00F4622B" w:rsidRDefault="00832851" w:rsidP="00832851">
      <w:pPr>
        <w:pStyle w:val="Heading10"/>
        <w:jc w:val="center"/>
        <w:rPr>
          <w:sz w:val="120"/>
          <w:szCs w:val="120"/>
        </w:rPr>
      </w:pPr>
    </w:p>
    <w:p w14:paraId="26F413FB" w14:textId="77777777" w:rsidR="00832851" w:rsidRDefault="00832851" w:rsidP="00832851">
      <w:pPr>
        <w:pStyle w:val="Heading10"/>
        <w:jc w:val="center"/>
        <w:rPr>
          <w:sz w:val="48"/>
          <w:szCs w:val="48"/>
        </w:rPr>
      </w:pPr>
      <w:r>
        <w:rPr>
          <w:sz w:val="48"/>
          <w:szCs w:val="48"/>
        </w:rPr>
        <w:t>Application 1590:</w:t>
      </w:r>
      <w:bookmarkStart w:id="0" w:name="_GoBack"/>
      <w:bookmarkEnd w:id="0"/>
    </w:p>
    <w:p w14:paraId="7CAF5E8B" w14:textId="77777777" w:rsidR="00832851" w:rsidRPr="00303C94" w:rsidRDefault="00832851" w:rsidP="00832851">
      <w:pPr>
        <w:pStyle w:val="Heading10"/>
        <w:jc w:val="center"/>
        <w:rPr>
          <w:sz w:val="48"/>
          <w:szCs w:val="48"/>
        </w:rPr>
      </w:pPr>
      <w:r>
        <w:rPr>
          <w:color w:val="548DD4"/>
          <w:sz w:val="48"/>
          <w:szCs w:val="48"/>
        </w:rPr>
        <w:t>Multifocal motor neuropathy (MMN)</w:t>
      </w:r>
    </w:p>
    <w:p w14:paraId="6ECAFCF2" w14:textId="77777777" w:rsidR="00832851" w:rsidRDefault="00832851" w:rsidP="00832851">
      <w:pPr>
        <w:pStyle w:val="Heading10"/>
        <w:tabs>
          <w:tab w:val="left" w:pos="5613"/>
        </w:tabs>
        <w:jc w:val="center"/>
        <w:rPr>
          <w:sz w:val="72"/>
          <w:szCs w:val="72"/>
        </w:rPr>
      </w:pPr>
    </w:p>
    <w:p w14:paraId="7C56B2E4" w14:textId="77777777" w:rsidR="00832851" w:rsidRDefault="00832851" w:rsidP="00832851">
      <w:pPr>
        <w:pStyle w:val="Heading10"/>
        <w:jc w:val="center"/>
        <w:rPr>
          <w:sz w:val="72"/>
          <w:szCs w:val="72"/>
        </w:rPr>
      </w:pPr>
      <w:r>
        <w:rPr>
          <w:sz w:val="72"/>
          <w:szCs w:val="72"/>
        </w:rPr>
        <w:t>PICO Confirmation</w:t>
      </w:r>
    </w:p>
    <w:p w14:paraId="2519D316" w14:textId="77777777" w:rsidR="00832851" w:rsidRDefault="00832851" w:rsidP="00832851">
      <w:pPr>
        <w:spacing w:before="180"/>
        <w:jc w:val="center"/>
        <w:rPr>
          <w:rFonts w:ascii="Arial" w:hAnsi="Arial" w:cs="Arial"/>
          <w:b/>
          <w:sz w:val="32"/>
          <w:szCs w:val="32"/>
        </w:rPr>
      </w:pPr>
      <w:r w:rsidRPr="00606857">
        <w:rPr>
          <w:rFonts w:ascii="Arial" w:hAnsi="Arial" w:cs="Arial"/>
          <w:b/>
          <w:sz w:val="32"/>
          <w:szCs w:val="32"/>
        </w:rPr>
        <w:t>(</w:t>
      </w:r>
      <w:r>
        <w:rPr>
          <w:rFonts w:ascii="Arial" w:hAnsi="Arial" w:cs="Arial"/>
          <w:b/>
          <w:sz w:val="32"/>
          <w:szCs w:val="32"/>
        </w:rPr>
        <w:t>to guide a new application to MSAC</w:t>
      </w:r>
      <w:r w:rsidRPr="00606857">
        <w:rPr>
          <w:rFonts w:ascii="Arial" w:hAnsi="Arial" w:cs="Arial"/>
          <w:b/>
          <w:sz w:val="32"/>
          <w:szCs w:val="32"/>
        </w:rPr>
        <w:t>)</w:t>
      </w:r>
    </w:p>
    <w:p w14:paraId="6AC3A903" w14:textId="77777777" w:rsidR="00832851" w:rsidRPr="00EE7A1F" w:rsidRDefault="00832851" w:rsidP="00832851">
      <w:pPr>
        <w:spacing w:before="180"/>
        <w:jc w:val="center"/>
        <w:rPr>
          <w:rFonts w:ascii="Arial" w:hAnsi="Arial" w:cs="Arial"/>
          <w:b/>
          <w:sz w:val="32"/>
          <w:szCs w:val="32"/>
        </w:rPr>
      </w:pPr>
      <w:r w:rsidRPr="00EE7A1F">
        <w:rPr>
          <w:rFonts w:ascii="Arial" w:hAnsi="Arial" w:cs="Arial"/>
          <w:b/>
          <w:sz w:val="32"/>
          <w:szCs w:val="32"/>
        </w:rPr>
        <w:t xml:space="preserve">(Version </w:t>
      </w:r>
      <w:r>
        <w:rPr>
          <w:rFonts w:ascii="Arial" w:hAnsi="Arial" w:cs="Arial"/>
          <w:b/>
          <w:sz w:val="32"/>
          <w:szCs w:val="32"/>
        </w:rPr>
        <w:t>1</w:t>
      </w:r>
      <w:r w:rsidRPr="00EE7A1F">
        <w:rPr>
          <w:rFonts w:ascii="Arial" w:hAnsi="Arial" w:cs="Arial"/>
          <w:b/>
          <w:sz w:val="32"/>
          <w:szCs w:val="32"/>
        </w:rPr>
        <w:t>.</w:t>
      </w:r>
      <w:r>
        <w:rPr>
          <w:rFonts w:ascii="Arial" w:hAnsi="Arial" w:cs="Arial"/>
          <w:b/>
          <w:sz w:val="32"/>
          <w:szCs w:val="32"/>
        </w:rPr>
        <w:t>0</w:t>
      </w:r>
      <w:r w:rsidRPr="00EE7A1F">
        <w:rPr>
          <w:rFonts w:ascii="Arial" w:hAnsi="Arial" w:cs="Arial"/>
          <w:b/>
          <w:sz w:val="32"/>
          <w:szCs w:val="32"/>
        </w:rPr>
        <w:t>)</w:t>
      </w:r>
    </w:p>
    <w:p w14:paraId="6F37D6DE" w14:textId="77777777" w:rsidR="00832851" w:rsidRPr="00606857" w:rsidRDefault="00832851" w:rsidP="00832851">
      <w:pPr>
        <w:spacing w:before="180"/>
        <w:jc w:val="center"/>
        <w:rPr>
          <w:rFonts w:ascii="Arial" w:hAnsi="Arial" w:cs="Arial"/>
          <w:b/>
          <w:sz w:val="32"/>
          <w:szCs w:val="32"/>
        </w:rPr>
      </w:pPr>
    </w:p>
    <w:p w14:paraId="3B0BA185" w14:textId="77777777" w:rsidR="00832851" w:rsidRDefault="00832851">
      <w:pPr>
        <w:jc w:val="left"/>
        <w:rPr>
          <w:rFonts w:asciiTheme="majorHAnsi" w:eastAsia="MS Gothic" w:hAnsiTheme="majorHAnsi" w:cstheme="majorBidi"/>
          <w:b/>
          <w:bCs/>
          <w:color w:val="365F91" w:themeColor="accent1" w:themeShade="BF"/>
          <w:sz w:val="28"/>
          <w:szCs w:val="28"/>
        </w:rPr>
      </w:pPr>
      <w:r>
        <w:rPr>
          <w:rFonts w:eastAsia="MS Gothic"/>
        </w:rPr>
        <w:br w:type="page"/>
      </w:r>
    </w:p>
    <w:p w14:paraId="51C7F69C" w14:textId="1C791D36" w:rsidR="00832851" w:rsidRPr="00F12E59" w:rsidRDefault="00832851" w:rsidP="004857CA">
      <w:pPr>
        <w:pStyle w:val="Subtitle"/>
        <w:rPr>
          <w:i/>
        </w:rPr>
      </w:pPr>
      <w:r w:rsidRPr="00F12E59">
        <w:lastRenderedPageBreak/>
        <w:t>Summary of PICO/PPICO criteria to define the question(s) to be addressed in an Assessment Report to the Medical Services Advisory Committee (MSAC)</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811"/>
        <w:gridCol w:w="7200"/>
      </w:tblGrid>
      <w:tr w:rsidR="00832851" w:rsidRPr="00E86090" w14:paraId="04213522" w14:textId="77777777" w:rsidTr="004857CA">
        <w:trPr>
          <w:tblHeader/>
        </w:trPr>
        <w:tc>
          <w:tcPr>
            <w:tcW w:w="1005" w:type="pct"/>
            <w:tcBorders>
              <w:top w:val="single" w:sz="8" w:space="0" w:color="auto"/>
              <w:bottom w:val="single" w:sz="8" w:space="0" w:color="auto"/>
              <w:right w:val="single" w:sz="4" w:space="0" w:color="auto"/>
            </w:tcBorders>
            <w:shd w:val="clear" w:color="auto" w:fill="D9D9D9"/>
            <w:vAlign w:val="center"/>
          </w:tcPr>
          <w:p w14:paraId="3C71BE00" w14:textId="77777777" w:rsidR="00832851" w:rsidRPr="00E86090" w:rsidRDefault="00832851" w:rsidP="00E86090">
            <w:pPr>
              <w:spacing w:after="0"/>
              <w:rPr>
                <w:sz w:val="20"/>
                <w:szCs w:val="20"/>
              </w:rPr>
            </w:pPr>
            <w:r w:rsidRPr="00E86090">
              <w:rPr>
                <w:sz w:val="20"/>
                <w:szCs w:val="20"/>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tcPr>
          <w:p w14:paraId="7292C875" w14:textId="77777777" w:rsidR="00832851" w:rsidRPr="00E86090" w:rsidRDefault="00832851" w:rsidP="00E86090">
            <w:pPr>
              <w:spacing w:after="0"/>
              <w:rPr>
                <w:sz w:val="20"/>
                <w:szCs w:val="20"/>
              </w:rPr>
            </w:pPr>
            <w:r w:rsidRPr="00E86090">
              <w:rPr>
                <w:sz w:val="20"/>
                <w:szCs w:val="20"/>
              </w:rPr>
              <w:t>Description</w:t>
            </w:r>
          </w:p>
        </w:tc>
      </w:tr>
      <w:tr w:rsidR="00832851" w:rsidRPr="00E86090" w14:paraId="1932E6E2" w14:textId="77777777" w:rsidTr="004857CA">
        <w:tc>
          <w:tcPr>
            <w:tcW w:w="1005" w:type="pct"/>
            <w:tcBorders>
              <w:top w:val="single" w:sz="8" w:space="0" w:color="auto"/>
              <w:right w:val="single" w:sz="4" w:space="0" w:color="auto"/>
            </w:tcBorders>
            <w:vAlign w:val="center"/>
          </w:tcPr>
          <w:p w14:paraId="08FFF9F3" w14:textId="71CC8B98" w:rsidR="00832851" w:rsidRPr="00E86090" w:rsidRDefault="0097477A" w:rsidP="00E86090">
            <w:pPr>
              <w:spacing w:after="0"/>
              <w:rPr>
                <w:sz w:val="20"/>
                <w:szCs w:val="20"/>
              </w:rPr>
            </w:pPr>
            <w:r w:rsidRPr="00E86090">
              <w:rPr>
                <w:sz w:val="20"/>
                <w:szCs w:val="20"/>
              </w:rPr>
              <w:t>Population</w:t>
            </w:r>
          </w:p>
        </w:tc>
        <w:tc>
          <w:tcPr>
            <w:tcW w:w="3995" w:type="pct"/>
            <w:tcBorders>
              <w:top w:val="single" w:sz="4" w:space="0" w:color="auto"/>
              <w:left w:val="single" w:sz="4" w:space="0" w:color="auto"/>
              <w:bottom w:val="single" w:sz="4" w:space="0" w:color="auto"/>
              <w:right w:val="single" w:sz="4" w:space="0" w:color="auto"/>
            </w:tcBorders>
            <w:vAlign w:val="center"/>
          </w:tcPr>
          <w:p w14:paraId="5F249347" w14:textId="48E7FB9B" w:rsidR="00832851" w:rsidRPr="00E86090" w:rsidRDefault="00B00B35" w:rsidP="00E86090">
            <w:pPr>
              <w:spacing w:after="0"/>
              <w:rPr>
                <w:color w:val="FF0000"/>
                <w:sz w:val="20"/>
                <w:szCs w:val="20"/>
                <w:u w:val="dotted"/>
              </w:rPr>
            </w:pPr>
            <w:r w:rsidRPr="00E86090">
              <w:rPr>
                <w:sz w:val="20"/>
                <w:szCs w:val="20"/>
              </w:rPr>
              <w:t>Patients diagnosed with multifocal motor neuropathy (MMN) who are currently eligible for the use of intravenous immunoglobulin (IVIg) treatment in Australia according to Version 3 of ‘</w:t>
            </w:r>
            <w:r w:rsidRPr="00E86090">
              <w:rPr>
                <w:i/>
                <w:sz w:val="20"/>
                <w:szCs w:val="20"/>
              </w:rPr>
              <w:t>The Criteria for the clinical use of immunoglobulin in Australia</w:t>
            </w:r>
            <w:r w:rsidRPr="00E86090">
              <w:rPr>
                <w:sz w:val="20"/>
                <w:szCs w:val="20"/>
              </w:rPr>
              <w:t>’.</w:t>
            </w:r>
          </w:p>
        </w:tc>
      </w:tr>
      <w:tr w:rsidR="00832851" w:rsidRPr="00E86090" w14:paraId="31F34CB6" w14:textId="77777777" w:rsidTr="004857CA">
        <w:tc>
          <w:tcPr>
            <w:tcW w:w="1005" w:type="pct"/>
            <w:tcBorders>
              <w:right w:val="single" w:sz="4" w:space="0" w:color="auto"/>
            </w:tcBorders>
            <w:vAlign w:val="center"/>
          </w:tcPr>
          <w:p w14:paraId="15786E2E" w14:textId="77777777" w:rsidR="00832851" w:rsidRPr="00E86090" w:rsidRDefault="00832851" w:rsidP="00E86090">
            <w:pPr>
              <w:spacing w:after="0"/>
              <w:rPr>
                <w:sz w:val="20"/>
                <w:szCs w:val="20"/>
              </w:rPr>
            </w:pPr>
            <w:r w:rsidRPr="00E86090">
              <w:rPr>
                <w:sz w:val="20"/>
                <w:szCs w:val="20"/>
              </w:rPr>
              <w:t>Intervention</w:t>
            </w:r>
          </w:p>
        </w:tc>
        <w:tc>
          <w:tcPr>
            <w:tcW w:w="3995" w:type="pct"/>
            <w:tcBorders>
              <w:top w:val="single" w:sz="4" w:space="0" w:color="auto"/>
              <w:left w:val="single" w:sz="4" w:space="0" w:color="auto"/>
              <w:bottom w:val="single" w:sz="4" w:space="0" w:color="auto"/>
              <w:right w:val="single" w:sz="4" w:space="0" w:color="auto"/>
            </w:tcBorders>
            <w:vAlign w:val="center"/>
          </w:tcPr>
          <w:p w14:paraId="482797B1" w14:textId="662D7F29" w:rsidR="00832851" w:rsidRPr="00E86090" w:rsidRDefault="00B00B35" w:rsidP="00E86090">
            <w:pPr>
              <w:spacing w:after="0"/>
              <w:rPr>
                <w:rFonts w:eastAsiaTheme="minorHAnsi"/>
                <w:sz w:val="20"/>
                <w:szCs w:val="20"/>
              </w:rPr>
            </w:pPr>
            <w:r w:rsidRPr="00E86090">
              <w:rPr>
                <w:rFonts w:eastAsiaTheme="minorHAnsi"/>
                <w:sz w:val="20"/>
                <w:szCs w:val="20"/>
              </w:rPr>
              <w:t xml:space="preserve">The intervention is </w:t>
            </w:r>
            <w:r w:rsidR="00C95B69" w:rsidRPr="00E86090">
              <w:rPr>
                <w:rFonts w:eastAsiaTheme="minorHAnsi"/>
                <w:sz w:val="20"/>
                <w:szCs w:val="20"/>
              </w:rPr>
              <w:t>IVIg</w:t>
            </w:r>
            <w:r w:rsidRPr="00E86090">
              <w:rPr>
                <w:rFonts w:eastAsiaTheme="minorHAnsi"/>
                <w:sz w:val="20"/>
                <w:szCs w:val="20"/>
              </w:rPr>
              <w:t>.</w:t>
            </w:r>
          </w:p>
        </w:tc>
      </w:tr>
      <w:tr w:rsidR="00832851" w:rsidRPr="00E86090" w14:paraId="5311C5E8" w14:textId="77777777" w:rsidTr="004857CA">
        <w:tc>
          <w:tcPr>
            <w:tcW w:w="1005" w:type="pct"/>
            <w:tcBorders>
              <w:right w:val="single" w:sz="4" w:space="0" w:color="auto"/>
            </w:tcBorders>
            <w:vAlign w:val="center"/>
          </w:tcPr>
          <w:p w14:paraId="5DD2B762" w14:textId="77777777" w:rsidR="00832851" w:rsidRPr="00E86090" w:rsidRDefault="00832851" w:rsidP="00E86090">
            <w:pPr>
              <w:spacing w:after="0"/>
              <w:rPr>
                <w:sz w:val="20"/>
                <w:szCs w:val="20"/>
              </w:rPr>
            </w:pPr>
            <w:r w:rsidRPr="00E86090">
              <w:rPr>
                <w:sz w:val="20"/>
                <w:szCs w:val="20"/>
              </w:rPr>
              <w:t>Comparator</w:t>
            </w:r>
          </w:p>
        </w:tc>
        <w:tc>
          <w:tcPr>
            <w:tcW w:w="3995" w:type="pct"/>
            <w:tcBorders>
              <w:top w:val="single" w:sz="4" w:space="0" w:color="auto"/>
              <w:left w:val="single" w:sz="4" w:space="0" w:color="auto"/>
              <w:bottom w:val="single" w:sz="4" w:space="0" w:color="auto"/>
              <w:right w:val="single" w:sz="4" w:space="0" w:color="auto"/>
            </w:tcBorders>
            <w:vAlign w:val="center"/>
          </w:tcPr>
          <w:p w14:paraId="77D21F90" w14:textId="25AA1173" w:rsidR="00832851" w:rsidRPr="00E86090" w:rsidRDefault="00C050C5" w:rsidP="00E86090">
            <w:pPr>
              <w:spacing w:after="0"/>
              <w:rPr>
                <w:color w:val="FF0000"/>
                <w:sz w:val="20"/>
                <w:szCs w:val="20"/>
                <w:u w:val="dotted"/>
              </w:rPr>
            </w:pPr>
            <w:r>
              <w:rPr>
                <w:rFonts w:eastAsiaTheme="minorHAnsi"/>
                <w:sz w:val="20"/>
                <w:szCs w:val="20"/>
              </w:rPr>
              <w:t>The comparator is n</w:t>
            </w:r>
            <w:r w:rsidR="00EB1835" w:rsidRPr="00E86090">
              <w:rPr>
                <w:rFonts w:eastAsiaTheme="minorHAnsi"/>
                <w:sz w:val="20"/>
                <w:szCs w:val="20"/>
              </w:rPr>
              <w:t>o IVIg</w:t>
            </w:r>
            <w:r w:rsidR="008654C5" w:rsidRPr="00E86090">
              <w:rPr>
                <w:rFonts w:eastAsiaTheme="minorHAnsi"/>
                <w:sz w:val="20"/>
                <w:szCs w:val="20"/>
              </w:rPr>
              <w:t xml:space="preserve"> with active disease surveillance</w:t>
            </w:r>
            <w:r w:rsidR="00EB1835" w:rsidRPr="00E86090">
              <w:rPr>
                <w:rFonts w:eastAsiaTheme="minorHAnsi"/>
                <w:sz w:val="20"/>
                <w:szCs w:val="20"/>
              </w:rPr>
              <w:t>.</w:t>
            </w:r>
          </w:p>
        </w:tc>
      </w:tr>
      <w:tr w:rsidR="00832851" w:rsidRPr="00E86090" w14:paraId="568441D6" w14:textId="77777777" w:rsidTr="004857CA">
        <w:tc>
          <w:tcPr>
            <w:tcW w:w="1005" w:type="pct"/>
            <w:tcBorders>
              <w:right w:val="single" w:sz="4" w:space="0" w:color="auto"/>
            </w:tcBorders>
            <w:vAlign w:val="center"/>
          </w:tcPr>
          <w:p w14:paraId="6BE23304" w14:textId="77777777" w:rsidR="00832851" w:rsidRPr="00E86090" w:rsidRDefault="00832851" w:rsidP="00E86090">
            <w:pPr>
              <w:spacing w:after="0"/>
              <w:rPr>
                <w:sz w:val="20"/>
                <w:szCs w:val="20"/>
              </w:rPr>
            </w:pPr>
            <w:r w:rsidRPr="00E86090">
              <w:rPr>
                <w:sz w:val="20"/>
                <w:szCs w:val="20"/>
              </w:rPr>
              <w:t>Outcomes</w:t>
            </w:r>
          </w:p>
        </w:tc>
        <w:tc>
          <w:tcPr>
            <w:tcW w:w="3995" w:type="pct"/>
            <w:tcBorders>
              <w:top w:val="single" w:sz="4" w:space="0" w:color="auto"/>
              <w:left w:val="single" w:sz="4" w:space="0" w:color="auto"/>
              <w:bottom w:val="single" w:sz="4" w:space="0" w:color="auto"/>
              <w:right w:val="single" w:sz="4" w:space="0" w:color="auto"/>
            </w:tcBorders>
            <w:vAlign w:val="center"/>
          </w:tcPr>
          <w:p w14:paraId="16616C56" w14:textId="4B310221" w:rsidR="001A3437" w:rsidRPr="00E86090" w:rsidRDefault="001A3437" w:rsidP="00E86090">
            <w:pPr>
              <w:spacing w:after="0"/>
              <w:rPr>
                <w:sz w:val="20"/>
                <w:szCs w:val="20"/>
              </w:rPr>
            </w:pPr>
            <w:r w:rsidRPr="00E86090">
              <w:rPr>
                <w:sz w:val="20"/>
                <w:szCs w:val="20"/>
              </w:rPr>
              <w:t>The outcomes listed below are those identified as relevant in the development of the PICO Confirmation. Additional relevant outcomes may be identified during the evaluation process. The outcomes identified are:</w:t>
            </w:r>
          </w:p>
          <w:p w14:paraId="6568BD1F" w14:textId="4A594603" w:rsidR="00EB1835" w:rsidRPr="00E86090" w:rsidRDefault="00EB1835" w:rsidP="00E86090">
            <w:pPr>
              <w:spacing w:after="0"/>
              <w:rPr>
                <w:b/>
                <w:sz w:val="20"/>
                <w:szCs w:val="20"/>
              </w:rPr>
            </w:pPr>
            <w:r w:rsidRPr="00E86090">
              <w:rPr>
                <w:b/>
                <w:sz w:val="20"/>
                <w:szCs w:val="20"/>
              </w:rPr>
              <w:t xml:space="preserve">Safety outcomes: </w:t>
            </w:r>
          </w:p>
          <w:p w14:paraId="75897662" w14:textId="593B0277" w:rsidR="00EB1835" w:rsidRPr="00E86090" w:rsidRDefault="00EB1835" w:rsidP="00660A3B">
            <w:pPr>
              <w:pStyle w:val="ListParagraph"/>
              <w:numPr>
                <w:ilvl w:val="0"/>
                <w:numId w:val="21"/>
              </w:numPr>
              <w:spacing w:after="0"/>
              <w:rPr>
                <w:sz w:val="20"/>
                <w:szCs w:val="20"/>
              </w:rPr>
            </w:pPr>
            <w:r w:rsidRPr="00E86090">
              <w:rPr>
                <w:sz w:val="20"/>
                <w:szCs w:val="20"/>
              </w:rPr>
              <w:t>Adverse events (AEs) including hypersensitivity</w:t>
            </w:r>
            <w:r w:rsidR="00147FB7">
              <w:rPr>
                <w:sz w:val="20"/>
                <w:szCs w:val="20"/>
              </w:rPr>
              <w:t xml:space="preserve"> reactions,</w:t>
            </w:r>
            <w:r w:rsidRPr="00E86090">
              <w:rPr>
                <w:sz w:val="20"/>
                <w:szCs w:val="20"/>
              </w:rPr>
              <w:t xml:space="preserve"> fall in blood pressure with anaphylactic reaction; thromboembolic reactions such as myocardial infarction, stroke, pulmonary embolism, deep vein thromboses; a</w:t>
            </w:r>
            <w:r w:rsidR="00147FB7">
              <w:rPr>
                <w:sz w:val="20"/>
                <w:szCs w:val="20"/>
              </w:rPr>
              <w:t>cute renal failure; anaphylaxis,</w:t>
            </w:r>
            <w:r w:rsidRPr="00E86090">
              <w:rPr>
                <w:sz w:val="20"/>
                <w:szCs w:val="20"/>
              </w:rPr>
              <w:t xml:space="preserve"> veno-occlusive events.</w:t>
            </w:r>
          </w:p>
          <w:p w14:paraId="6B009F9B" w14:textId="43C6B2B3" w:rsidR="00EB1835" w:rsidRPr="00E86090" w:rsidRDefault="00EB1835" w:rsidP="00E86090">
            <w:pPr>
              <w:spacing w:after="0"/>
              <w:rPr>
                <w:b/>
                <w:sz w:val="20"/>
                <w:szCs w:val="20"/>
              </w:rPr>
            </w:pPr>
            <w:r w:rsidRPr="00E86090">
              <w:rPr>
                <w:b/>
                <w:sz w:val="20"/>
                <w:szCs w:val="20"/>
              </w:rPr>
              <w:t>Clinical effectiveness outcomes:</w:t>
            </w:r>
          </w:p>
          <w:p w14:paraId="11F7E097" w14:textId="77777777" w:rsidR="00EB1835" w:rsidRPr="00E86090" w:rsidRDefault="00EB1835" w:rsidP="00660A3B">
            <w:pPr>
              <w:pStyle w:val="ListParagraph"/>
              <w:numPr>
                <w:ilvl w:val="0"/>
                <w:numId w:val="21"/>
              </w:numPr>
              <w:spacing w:after="0"/>
              <w:rPr>
                <w:sz w:val="20"/>
                <w:szCs w:val="20"/>
              </w:rPr>
            </w:pPr>
            <w:r w:rsidRPr="00E86090">
              <w:rPr>
                <w:sz w:val="20"/>
                <w:szCs w:val="20"/>
              </w:rPr>
              <w:t xml:space="preserve">Disease remission; </w:t>
            </w:r>
          </w:p>
          <w:p w14:paraId="6D6FCE41" w14:textId="77777777" w:rsidR="00EB1835" w:rsidRPr="00E86090" w:rsidRDefault="00EB1835" w:rsidP="00660A3B">
            <w:pPr>
              <w:pStyle w:val="ListParagraph"/>
              <w:numPr>
                <w:ilvl w:val="0"/>
                <w:numId w:val="21"/>
              </w:numPr>
              <w:spacing w:after="0"/>
              <w:rPr>
                <w:sz w:val="20"/>
                <w:szCs w:val="20"/>
              </w:rPr>
            </w:pPr>
            <w:r w:rsidRPr="00E86090">
              <w:rPr>
                <w:sz w:val="20"/>
                <w:szCs w:val="20"/>
              </w:rPr>
              <w:t>Change in motor muscle weakness;</w:t>
            </w:r>
          </w:p>
          <w:p w14:paraId="754885CD" w14:textId="77777777" w:rsidR="00EB1835" w:rsidRPr="00E86090" w:rsidRDefault="00EB1835" w:rsidP="00660A3B">
            <w:pPr>
              <w:pStyle w:val="ListParagraph"/>
              <w:numPr>
                <w:ilvl w:val="0"/>
                <w:numId w:val="21"/>
              </w:numPr>
              <w:spacing w:after="0"/>
              <w:rPr>
                <w:sz w:val="20"/>
                <w:szCs w:val="20"/>
              </w:rPr>
            </w:pPr>
            <w:r w:rsidRPr="00E86090">
              <w:rPr>
                <w:sz w:val="20"/>
                <w:szCs w:val="20"/>
              </w:rPr>
              <w:t>Change in disability (e.g. measured by the ONLS);</w:t>
            </w:r>
          </w:p>
          <w:p w14:paraId="19A6A6B2" w14:textId="77777777" w:rsidR="00154648" w:rsidRDefault="00EB1835" w:rsidP="00660A3B">
            <w:pPr>
              <w:pStyle w:val="ListParagraph"/>
              <w:numPr>
                <w:ilvl w:val="0"/>
                <w:numId w:val="21"/>
              </w:numPr>
              <w:spacing w:after="0"/>
              <w:rPr>
                <w:sz w:val="20"/>
                <w:szCs w:val="20"/>
              </w:rPr>
            </w:pPr>
            <w:r w:rsidRPr="00E86090">
              <w:rPr>
                <w:sz w:val="20"/>
                <w:szCs w:val="20"/>
              </w:rPr>
              <w:t>Change in quality of life (QoL)</w:t>
            </w:r>
            <w:r w:rsidR="00154648">
              <w:rPr>
                <w:sz w:val="20"/>
                <w:szCs w:val="20"/>
              </w:rPr>
              <w:t>;</w:t>
            </w:r>
          </w:p>
          <w:p w14:paraId="7A4202C7" w14:textId="247CFDAE" w:rsidR="00EB1835" w:rsidRPr="00E86090" w:rsidRDefault="00154648" w:rsidP="00660A3B">
            <w:pPr>
              <w:pStyle w:val="ListParagraph"/>
              <w:numPr>
                <w:ilvl w:val="0"/>
                <w:numId w:val="21"/>
              </w:numPr>
              <w:spacing w:after="0"/>
              <w:rPr>
                <w:sz w:val="20"/>
                <w:szCs w:val="20"/>
              </w:rPr>
            </w:pPr>
            <w:r>
              <w:rPr>
                <w:sz w:val="20"/>
                <w:szCs w:val="20"/>
              </w:rPr>
              <w:t>Quality adjusted life year.</w:t>
            </w:r>
            <w:r w:rsidR="00EB1835" w:rsidRPr="00E86090">
              <w:rPr>
                <w:sz w:val="20"/>
                <w:szCs w:val="20"/>
              </w:rPr>
              <w:t xml:space="preserve">  </w:t>
            </w:r>
          </w:p>
          <w:p w14:paraId="4147CBED" w14:textId="45992AAB" w:rsidR="00EB1835" w:rsidRPr="00E86090" w:rsidRDefault="00EB1835" w:rsidP="00E86090">
            <w:pPr>
              <w:spacing w:after="0"/>
              <w:rPr>
                <w:b/>
                <w:sz w:val="20"/>
                <w:szCs w:val="20"/>
              </w:rPr>
            </w:pPr>
            <w:r w:rsidRPr="00E86090">
              <w:rPr>
                <w:b/>
                <w:sz w:val="20"/>
                <w:szCs w:val="20"/>
              </w:rPr>
              <w:t>Healthcare system resources utilisation as identified in the Referral</w:t>
            </w:r>
            <w:r w:rsidR="002F0C6A">
              <w:rPr>
                <w:b/>
                <w:sz w:val="20"/>
                <w:szCs w:val="20"/>
              </w:rPr>
              <w:t>:</w:t>
            </w:r>
          </w:p>
          <w:p w14:paraId="7A671B23" w14:textId="1756BA56" w:rsidR="00EB1835" w:rsidRPr="00E86090" w:rsidRDefault="00EB1835" w:rsidP="00660A3B">
            <w:pPr>
              <w:pStyle w:val="ListParagraph"/>
              <w:numPr>
                <w:ilvl w:val="0"/>
                <w:numId w:val="22"/>
              </w:numPr>
              <w:spacing w:after="0"/>
              <w:rPr>
                <w:sz w:val="20"/>
                <w:szCs w:val="20"/>
              </w:rPr>
            </w:pPr>
            <w:r w:rsidRPr="00E86090">
              <w:rPr>
                <w:sz w:val="20"/>
                <w:szCs w:val="20"/>
              </w:rPr>
              <w:t>Changes in health system resource utilisation associated with the intervention compared to the comparator</w:t>
            </w:r>
            <w:r w:rsidR="00C95B69" w:rsidRPr="00E86090">
              <w:rPr>
                <w:sz w:val="20"/>
                <w:szCs w:val="20"/>
              </w:rPr>
              <w:t xml:space="preserve"> for the following:</w:t>
            </w:r>
          </w:p>
          <w:p w14:paraId="6088F7F6" w14:textId="0C7CCBF5" w:rsidR="00EB1835" w:rsidRPr="00E86090" w:rsidRDefault="00EB1835" w:rsidP="00660A3B">
            <w:pPr>
              <w:pStyle w:val="ListParagraph"/>
              <w:numPr>
                <w:ilvl w:val="1"/>
                <w:numId w:val="22"/>
              </w:numPr>
              <w:spacing w:after="0"/>
              <w:rPr>
                <w:sz w:val="20"/>
                <w:szCs w:val="20"/>
              </w:rPr>
            </w:pPr>
            <w:r w:rsidRPr="00E86090">
              <w:rPr>
                <w:sz w:val="20"/>
                <w:szCs w:val="20"/>
              </w:rPr>
              <w:t>IVIg products</w:t>
            </w:r>
            <w:r w:rsidR="009B1589" w:rsidRPr="00E86090">
              <w:rPr>
                <w:sz w:val="20"/>
                <w:szCs w:val="20"/>
              </w:rPr>
              <w:t>;</w:t>
            </w:r>
          </w:p>
          <w:p w14:paraId="019D8817" w14:textId="7004A4E8" w:rsidR="00EB1835" w:rsidRPr="00E86090" w:rsidRDefault="00EB1835" w:rsidP="00660A3B">
            <w:pPr>
              <w:pStyle w:val="ListParagraph"/>
              <w:numPr>
                <w:ilvl w:val="1"/>
                <w:numId w:val="22"/>
              </w:numPr>
              <w:spacing w:after="0"/>
              <w:rPr>
                <w:sz w:val="20"/>
                <w:szCs w:val="20"/>
              </w:rPr>
            </w:pPr>
            <w:r w:rsidRPr="00E86090">
              <w:rPr>
                <w:sz w:val="20"/>
                <w:szCs w:val="20"/>
              </w:rPr>
              <w:t>Other t</w:t>
            </w:r>
            <w:r w:rsidR="00C95B69" w:rsidRPr="00E86090">
              <w:rPr>
                <w:sz w:val="20"/>
                <w:szCs w:val="20"/>
              </w:rPr>
              <w:t xml:space="preserve">herapies used in </w:t>
            </w:r>
            <w:r w:rsidR="008654C5" w:rsidRPr="00E86090">
              <w:rPr>
                <w:sz w:val="20"/>
                <w:szCs w:val="20"/>
              </w:rPr>
              <w:t>patients</w:t>
            </w:r>
            <w:r w:rsidR="00C95B69" w:rsidRPr="00E86090">
              <w:rPr>
                <w:sz w:val="20"/>
                <w:szCs w:val="20"/>
              </w:rPr>
              <w:t xml:space="preserve"> with </w:t>
            </w:r>
            <w:r w:rsidR="008654C5" w:rsidRPr="00E86090">
              <w:rPr>
                <w:sz w:val="20"/>
                <w:szCs w:val="20"/>
              </w:rPr>
              <w:t xml:space="preserve">progressive </w:t>
            </w:r>
            <w:r w:rsidR="00C95B69" w:rsidRPr="00E86090">
              <w:rPr>
                <w:sz w:val="20"/>
                <w:szCs w:val="20"/>
              </w:rPr>
              <w:t>MMN</w:t>
            </w:r>
            <w:r w:rsidR="009B1589" w:rsidRPr="00E86090">
              <w:rPr>
                <w:sz w:val="20"/>
                <w:szCs w:val="20"/>
              </w:rPr>
              <w:t>;</w:t>
            </w:r>
          </w:p>
          <w:p w14:paraId="137A872A" w14:textId="289C8B4F" w:rsidR="00EB1835" w:rsidRPr="00E86090" w:rsidRDefault="00EB1835" w:rsidP="00660A3B">
            <w:pPr>
              <w:pStyle w:val="ListParagraph"/>
              <w:numPr>
                <w:ilvl w:val="1"/>
                <w:numId w:val="22"/>
              </w:numPr>
              <w:spacing w:after="0"/>
              <w:rPr>
                <w:sz w:val="20"/>
                <w:szCs w:val="20"/>
              </w:rPr>
            </w:pPr>
            <w:r w:rsidRPr="00E86090">
              <w:rPr>
                <w:sz w:val="20"/>
                <w:szCs w:val="20"/>
              </w:rPr>
              <w:t>Infusion equipment</w:t>
            </w:r>
            <w:r w:rsidR="009B1589" w:rsidRPr="00E86090">
              <w:rPr>
                <w:sz w:val="20"/>
                <w:szCs w:val="20"/>
              </w:rPr>
              <w:t>;</w:t>
            </w:r>
          </w:p>
          <w:p w14:paraId="5EA0218F" w14:textId="34B20D51" w:rsidR="00EB1835" w:rsidRPr="00E86090" w:rsidRDefault="00EB1835" w:rsidP="00660A3B">
            <w:pPr>
              <w:pStyle w:val="ListParagraph"/>
              <w:numPr>
                <w:ilvl w:val="1"/>
                <w:numId w:val="22"/>
              </w:numPr>
              <w:spacing w:after="0"/>
              <w:rPr>
                <w:sz w:val="20"/>
                <w:szCs w:val="20"/>
              </w:rPr>
            </w:pPr>
            <w:r w:rsidRPr="00E86090">
              <w:rPr>
                <w:sz w:val="20"/>
                <w:szCs w:val="20"/>
              </w:rPr>
              <w:t>Administrative and clinician time (e.g. resources associated with requesting, and authorising, access to Ig)</w:t>
            </w:r>
            <w:r w:rsidR="009B1589" w:rsidRPr="00E86090">
              <w:rPr>
                <w:sz w:val="20"/>
                <w:szCs w:val="20"/>
              </w:rPr>
              <w:t>;</w:t>
            </w:r>
          </w:p>
          <w:p w14:paraId="40346558" w14:textId="0400CED6" w:rsidR="00EB1835" w:rsidRPr="00E86090" w:rsidRDefault="00EB1835" w:rsidP="00660A3B">
            <w:pPr>
              <w:pStyle w:val="ListParagraph"/>
              <w:numPr>
                <w:ilvl w:val="1"/>
                <w:numId w:val="22"/>
              </w:numPr>
              <w:spacing w:after="0"/>
              <w:rPr>
                <w:sz w:val="20"/>
                <w:szCs w:val="20"/>
              </w:rPr>
            </w:pPr>
            <w:r w:rsidRPr="00E86090">
              <w:rPr>
                <w:sz w:val="20"/>
                <w:szCs w:val="20"/>
              </w:rPr>
              <w:t xml:space="preserve">Nursing time (for treatment initiation and monitoring </w:t>
            </w:r>
            <w:r w:rsidR="00BE2026" w:rsidRPr="00E86090">
              <w:rPr>
                <w:sz w:val="20"/>
                <w:szCs w:val="20"/>
              </w:rPr>
              <w:t>o</w:t>
            </w:r>
            <w:r w:rsidRPr="00E86090">
              <w:rPr>
                <w:sz w:val="20"/>
                <w:szCs w:val="20"/>
              </w:rPr>
              <w:t>f IVIg)</w:t>
            </w:r>
            <w:r w:rsidR="009B1589" w:rsidRPr="00E86090">
              <w:rPr>
                <w:sz w:val="20"/>
                <w:szCs w:val="20"/>
              </w:rPr>
              <w:t>;</w:t>
            </w:r>
          </w:p>
          <w:p w14:paraId="3520C2D3" w14:textId="0159DB79" w:rsidR="00EB1835" w:rsidRPr="00E86090" w:rsidRDefault="00EB1835" w:rsidP="00660A3B">
            <w:pPr>
              <w:pStyle w:val="ListParagraph"/>
              <w:numPr>
                <w:ilvl w:val="1"/>
                <w:numId w:val="22"/>
              </w:numPr>
              <w:spacing w:after="0"/>
              <w:rPr>
                <w:sz w:val="20"/>
                <w:szCs w:val="20"/>
              </w:rPr>
            </w:pPr>
            <w:r w:rsidRPr="00E86090">
              <w:rPr>
                <w:sz w:val="20"/>
                <w:szCs w:val="20"/>
              </w:rPr>
              <w:t>Hospitalisation (including use of hospital resources)</w:t>
            </w:r>
            <w:r w:rsidR="009B1589" w:rsidRPr="00E86090">
              <w:rPr>
                <w:sz w:val="20"/>
                <w:szCs w:val="20"/>
              </w:rPr>
              <w:t>;</w:t>
            </w:r>
          </w:p>
          <w:p w14:paraId="44DEFB09" w14:textId="00857153" w:rsidR="00EB1835" w:rsidRPr="00E86090" w:rsidRDefault="00BE2026" w:rsidP="00660A3B">
            <w:pPr>
              <w:pStyle w:val="ListParagraph"/>
              <w:numPr>
                <w:ilvl w:val="1"/>
                <w:numId w:val="22"/>
              </w:numPr>
              <w:spacing w:after="0"/>
              <w:rPr>
                <w:sz w:val="20"/>
                <w:szCs w:val="20"/>
              </w:rPr>
            </w:pPr>
            <w:r w:rsidRPr="00E86090">
              <w:rPr>
                <w:sz w:val="20"/>
                <w:szCs w:val="20"/>
              </w:rPr>
              <w:t>Additional t</w:t>
            </w:r>
            <w:r w:rsidR="00EB1835" w:rsidRPr="00E86090">
              <w:rPr>
                <w:sz w:val="20"/>
                <w:szCs w:val="20"/>
              </w:rPr>
              <w:t>reatment</w:t>
            </w:r>
            <w:r w:rsidRPr="00E86090">
              <w:rPr>
                <w:sz w:val="20"/>
                <w:szCs w:val="20"/>
              </w:rPr>
              <w:t>s used for the occurrence</w:t>
            </w:r>
            <w:r w:rsidR="00EB1835" w:rsidRPr="00E86090">
              <w:rPr>
                <w:sz w:val="20"/>
                <w:szCs w:val="20"/>
              </w:rPr>
              <w:t xml:space="preserve"> of adverse events (e.g. analgesia or antihistamines)</w:t>
            </w:r>
            <w:r w:rsidR="009B1589" w:rsidRPr="00E86090">
              <w:rPr>
                <w:sz w:val="20"/>
                <w:szCs w:val="20"/>
              </w:rPr>
              <w:t>;</w:t>
            </w:r>
          </w:p>
          <w:p w14:paraId="39514EB4" w14:textId="755B3A63" w:rsidR="00EB1835" w:rsidRPr="00E86090" w:rsidRDefault="00EB1835" w:rsidP="00660A3B">
            <w:pPr>
              <w:pStyle w:val="ListParagraph"/>
              <w:numPr>
                <w:ilvl w:val="1"/>
                <w:numId w:val="22"/>
              </w:numPr>
              <w:spacing w:after="0"/>
              <w:rPr>
                <w:sz w:val="20"/>
                <w:szCs w:val="20"/>
              </w:rPr>
            </w:pPr>
            <w:r w:rsidRPr="00E86090">
              <w:rPr>
                <w:sz w:val="20"/>
                <w:szCs w:val="20"/>
              </w:rPr>
              <w:t>Product dispensing and disposal of any unused product</w:t>
            </w:r>
            <w:r w:rsidR="009B1589" w:rsidRPr="00E86090">
              <w:rPr>
                <w:sz w:val="20"/>
                <w:szCs w:val="20"/>
              </w:rPr>
              <w:t>;</w:t>
            </w:r>
          </w:p>
          <w:p w14:paraId="7F451F56" w14:textId="4BCBF225" w:rsidR="00EB1835" w:rsidRPr="00E86090" w:rsidRDefault="00EB1835" w:rsidP="00660A3B">
            <w:pPr>
              <w:pStyle w:val="ListParagraph"/>
              <w:numPr>
                <w:ilvl w:val="1"/>
                <w:numId w:val="22"/>
              </w:numPr>
              <w:spacing w:after="0"/>
              <w:rPr>
                <w:sz w:val="20"/>
                <w:szCs w:val="20"/>
              </w:rPr>
            </w:pPr>
            <w:r w:rsidRPr="00E86090">
              <w:rPr>
                <w:sz w:val="20"/>
                <w:szCs w:val="20"/>
              </w:rPr>
              <w:t>Follow-up and/or monitoring visits, including regular neurology visits</w:t>
            </w:r>
            <w:r w:rsidR="009B1589" w:rsidRPr="00E86090">
              <w:rPr>
                <w:sz w:val="20"/>
                <w:szCs w:val="20"/>
              </w:rPr>
              <w:t>;</w:t>
            </w:r>
          </w:p>
          <w:p w14:paraId="19D01F2E" w14:textId="28229034" w:rsidR="00EB1835" w:rsidRPr="00E86090" w:rsidRDefault="00F028EF" w:rsidP="00660A3B">
            <w:pPr>
              <w:pStyle w:val="ListParagraph"/>
              <w:numPr>
                <w:ilvl w:val="1"/>
                <w:numId w:val="22"/>
              </w:numPr>
              <w:spacing w:after="0"/>
              <w:rPr>
                <w:sz w:val="20"/>
                <w:szCs w:val="20"/>
              </w:rPr>
            </w:pPr>
            <w:r w:rsidRPr="00E86090">
              <w:rPr>
                <w:sz w:val="20"/>
                <w:szCs w:val="20"/>
              </w:rPr>
              <w:t>D</w:t>
            </w:r>
            <w:r w:rsidR="00EB1835" w:rsidRPr="00E86090">
              <w:rPr>
                <w:sz w:val="20"/>
                <w:szCs w:val="20"/>
              </w:rPr>
              <w:t>isability support services</w:t>
            </w:r>
            <w:r w:rsidR="009B1589" w:rsidRPr="00E86090">
              <w:rPr>
                <w:sz w:val="20"/>
                <w:szCs w:val="20"/>
              </w:rPr>
              <w:t>;</w:t>
            </w:r>
          </w:p>
          <w:p w14:paraId="37C6890B" w14:textId="78BBF9BF" w:rsidR="00832851" w:rsidRPr="00E86090" w:rsidRDefault="00F028EF" w:rsidP="00660A3B">
            <w:pPr>
              <w:pStyle w:val="ListParagraph"/>
              <w:numPr>
                <w:ilvl w:val="1"/>
                <w:numId w:val="22"/>
              </w:numPr>
              <w:spacing w:after="0"/>
              <w:rPr>
                <w:sz w:val="20"/>
                <w:szCs w:val="20"/>
              </w:rPr>
            </w:pPr>
            <w:r w:rsidRPr="00E86090">
              <w:rPr>
                <w:sz w:val="20"/>
                <w:szCs w:val="20"/>
              </w:rPr>
              <w:t>H</w:t>
            </w:r>
            <w:r w:rsidR="00EB1835" w:rsidRPr="00E86090">
              <w:rPr>
                <w:sz w:val="20"/>
                <w:szCs w:val="20"/>
              </w:rPr>
              <w:t>ome nursing and support needs</w:t>
            </w:r>
            <w:r w:rsidRPr="00E86090">
              <w:rPr>
                <w:sz w:val="20"/>
                <w:szCs w:val="20"/>
              </w:rPr>
              <w:t xml:space="preserve">. </w:t>
            </w:r>
          </w:p>
        </w:tc>
      </w:tr>
    </w:tbl>
    <w:p w14:paraId="392A0B45" w14:textId="08918D93" w:rsidR="00832851" w:rsidRDefault="0057294E" w:rsidP="00E86090">
      <w:pPr>
        <w:pStyle w:val="NoSpacing"/>
        <w:rPr>
          <w:rFonts w:eastAsia="MS Gothic"/>
          <w:b/>
          <w:bCs/>
          <w:i/>
          <w:szCs w:val="26"/>
          <w:u w:val="single"/>
        </w:rPr>
      </w:pPr>
      <w:r w:rsidRPr="0057294E">
        <w:t>Abbreviations:</w:t>
      </w:r>
      <w:r>
        <w:t xml:space="preserve"> AE= adverse events; IVIg= intravenous immunoglobulins; </w:t>
      </w:r>
      <w:r w:rsidRPr="0057294E">
        <w:t>ONLS</w:t>
      </w:r>
      <w:r>
        <w:t>= Overall Neuropathy Limitations Scale</w:t>
      </w:r>
      <w:r w:rsidR="008654C5">
        <w:t>; QoL= quality of life</w:t>
      </w:r>
      <w:r>
        <w:t xml:space="preserve">. </w:t>
      </w:r>
      <w:r w:rsidR="00832851">
        <w:rPr>
          <w:rFonts w:eastAsia="MS Gothic"/>
          <w:b/>
          <w:bCs/>
          <w:i/>
          <w:szCs w:val="26"/>
          <w:u w:val="single"/>
        </w:rPr>
        <w:br w:type="page"/>
      </w:r>
    </w:p>
    <w:p w14:paraId="3ABA5EC2" w14:textId="77777777" w:rsidR="000F66B6" w:rsidRDefault="000F66B6" w:rsidP="000F66B6">
      <w:pPr>
        <w:pStyle w:val="Subtitle"/>
        <w:rPr>
          <w:rFonts w:eastAsia="MS Gothic"/>
        </w:rPr>
      </w:pPr>
      <w:r w:rsidRPr="00E364F7">
        <w:rPr>
          <w:rFonts w:eastAsia="MS Gothic"/>
        </w:rPr>
        <w:lastRenderedPageBreak/>
        <w:t>PICO</w:t>
      </w:r>
      <w:r>
        <w:rPr>
          <w:rFonts w:eastAsia="MS Gothic"/>
        </w:rPr>
        <w:t xml:space="preserve"> </w:t>
      </w:r>
      <w:r w:rsidRPr="00E364F7">
        <w:rPr>
          <w:rFonts w:eastAsia="MS Gothic"/>
        </w:rPr>
        <w:t>rationale</w:t>
      </w:r>
      <w:r>
        <w:rPr>
          <w:rFonts w:eastAsia="MS Gothic"/>
        </w:rPr>
        <w:t xml:space="preserve"> for therapeutic medical services </w:t>
      </w:r>
    </w:p>
    <w:p w14:paraId="1AD1FBD7" w14:textId="51CFD3A1" w:rsidR="000F66B6" w:rsidRDefault="000F66B6" w:rsidP="00154648">
      <w:r>
        <w:t>Pu</w:t>
      </w:r>
      <w:r w:rsidR="002F0C6A">
        <w:t>blic funding for immunoglobulin</w:t>
      </w:r>
      <w:r>
        <w:t xml:space="preserve"> (Ig) is available in Australia through the National Blood Authority (NBA), </w:t>
      </w:r>
      <w:r w:rsidRPr="0042597C">
        <w:t>a statutory agency within the Australian Government that manages and coordinates arrangements for the supply of blood and blood products</w:t>
      </w:r>
      <w:r>
        <w:t xml:space="preserve">. The National Blood Agreement within the National Policy, ‘Access to Government Funded Immunoglobulin Products in Australia’ ensures that delivery of the </w:t>
      </w:r>
      <w:r w:rsidR="002F0C6A">
        <w:t xml:space="preserve">highest quality </w:t>
      </w:r>
      <w:r>
        <w:t>products occurs at the effective</w:t>
      </w:r>
      <w:r w:rsidR="002F0C6A">
        <w:t>ly</w:t>
      </w:r>
      <w:r>
        <w:t xml:space="preserve"> and efficiently </w:t>
      </w:r>
      <w:r w:rsidR="00E61B6E">
        <w:fldChar w:fldCharType="begin"/>
      </w:r>
      <w:r w:rsidR="00E61B6E">
        <w:instrText xml:space="preserve"> ADDIN EN.CITE &lt;EndNote&gt;&lt;Cite ExcludeAuth="1"&gt;&lt;Year&gt;2002&lt;/Year&gt;&lt;RecNum&gt;57&lt;/RecNum&gt;&lt;DisplayText&gt;(1)&lt;/DisplayText&gt;&lt;record&gt;&lt;rec-number&gt;57&lt;/rec-number&gt;&lt;foreign-keys&gt;&lt;key app="EN" db-id="vz5vz5xro5d25hepedvpvr0o0v5axp5r99sw" timestamp="1568869160"&gt;57&lt;/key&gt;&lt;/foreign-keys&gt;&lt;ref-type name="Legal Rule or Regulation"&gt;50&lt;/ref-type&gt;&lt;contributors&gt;&lt;secondary-authors&gt;&lt;author&gt;National Blood Authority&lt;/author&gt;&lt;/secondary-authors&gt;&lt;/contributors&gt;&lt;titles&gt;&lt;title&gt;National Blood Agreement&lt;/title&gt;&lt;/titles&gt;&lt;pages&gt;36&lt;/pages&gt;&lt;dates&gt;&lt;year&gt;2002&lt;/year&gt;&lt;/dates&gt;&lt;urls&gt;&lt;/urls&gt;&lt;/record&gt;&lt;/Cite&gt;&lt;/EndNote&gt;</w:instrText>
      </w:r>
      <w:r w:rsidR="00E61B6E">
        <w:fldChar w:fldCharType="separate"/>
      </w:r>
      <w:r w:rsidR="00E61B6E">
        <w:rPr>
          <w:noProof/>
        </w:rPr>
        <w:t>(1)</w:t>
      </w:r>
      <w:r w:rsidR="00E61B6E">
        <w:fldChar w:fldCharType="end"/>
      </w:r>
      <w:r>
        <w:t>.</w:t>
      </w:r>
    </w:p>
    <w:p w14:paraId="04B725E6" w14:textId="7CF6E4C7" w:rsidR="000F66B6" w:rsidRDefault="000F66B6" w:rsidP="00154648">
      <w:r>
        <w:t xml:space="preserve">The NBA, through </w:t>
      </w:r>
      <w:r w:rsidRPr="00F20734">
        <w:t>the Criteria for the clinical use of immunoglobulins in Australia</w:t>
      </w:r>
      <w:r>
        <w:t>, Version 3</w:t>
      </w:r>
      <w:r w:rsidRPr="00F20734">
        <w:t xml:space="preserve"> </w:t>
      </w:r>
      <w:r w:rsidR="00E61B6E">
        <w:fldChar w:fldCharType="begin"/>
      </w:r>
      <w:r w:rsidR="00E61B6E">
        <w:instrText xml:space="preserve"> ADDIN EN.CITE &lt;EndNote&gt;&lt;Cite&gt;&lt;Author&gt;BloodSTAR&lt;/Author&gt;&lt;Year&gt;2018&lt;/Year&gt;&lt;RecNum&gt;7&lt;/RecNum&gt;&lt;DisplayText&gt;(2)&lt;/DisplayText&gt;&lt;record&gt;&lt;rec-number&gt;7&lt;/rec-number&gt;&lt;foreign-keys&gt;&lt;key app="EN" db-id="vz5vz5xro5d25hepedvpvr0o0v5axp5r99sw" timestamp="1567648378"&gt;7&lt;/key&gt;&lt;/foreign-keys&gt;&lt;ref-type name="Journal Article"&gt;17&lt;/ref-type&gt;&lt;contributors&gt;&lt;authors&gt;&lt;author&gt;BloodSTAR&lt;/author&gt;&lt;/authors&gt;&lt;/contributors&gt;&lt;titles&gt;&lt;title&gt;Current Ig use in Australia: Multifocal motor neuropathy&lt;/title&gt;&lt;/titles&gt;&lt;pages&gt;7&lt;/pages&gt;&lt;dates&gt;&lt;year&gt;2018&lt;/year&gt;&lt;/dates&gt;&lt;urls&gt;&lt;related-urls&gt;&lt;url&gt; (https://www.criteria.blood.gov.au/MedicalCondition/View/2558).&lt;/url&gt;&lt;/related-urls&gt;&lt;/urls&gt;&lt;/record&gt;&lt;/Cite&gt;&lt;/EndNote&gt;</w:instrText>
      </w:r>
      <w:r w:rsidR="00E61B6E">
        <w:fldChar w:fldCharType="separate"/>
      </w:r>
      <w:r w:rsidR="00E61B6E">
        <w:rPr>
          <w:noProof/>
        </w:rPr>
        <w:t>(2)</w:t>
      </w:r>
      <w:r w:rsidR="00E61B6E">
        <w:fldChar w:fldCharType="end"/>
      </w:r>
      <w:r>
        <w:t xml:space="preserve"> (</w:t>
      </w:r>
      <w:r w:rsidR="00BC057E">
        <w:t xml:space="preserve">from </w:t>
      </w:r>
      <w:r>
        <w:t xml:space="preserve">hereon referred to as </w:t>
      </w:r>
      <w:r w:rsidRPr="002F0C6A">
        <w:t>The Criteria</w:t>
      </w:r>
      <w:r>
        <w:t xml:space="preserve">), identifies medical conditions and other circumstances for which the use of Ig is clinically appropriate and for which patients can access </w:t>
      </w:r>
      <w:r w:rsidR="0054114F">
        <w:t xml:space="preserve">publicly funded </w:t>
      </w:r>
      <w:r>
        <w:t>Ig</w:t>
      </w:r>
      <w:r w:rsidR="0054114F">
        <w:t>,</w:t>
      </w:r>
      <w:r>
        <w:t xml:space="preserve"> under the National Blood Agreement. </w:t>
      </w:r>
      <w:r w:rsidR="0054114F">
        <w:t xml:space="preserve">The medical conditions for which </w:t>
      </w:r>
      <w:r>
        <w:t xml:space="preserve">Ig is available under this agreement </w:t>
      </w:r>
      <w:r w:rsidR="0054114F">
        <w:t xml:space="preserve">have been grouped into three categories according to </w:t>
      </w:r>
      <w:r w:rsidR="002F0C6A">
        <w:t xml:space="preserve">the </w:t>
      </w:r>
      <w:r w:rsidR="0054114F">
        <w:t xml:space="preserve">therapeutic role that Ig plays: </w:t>
      </w:r>
      <w:r>
        <w:t xml:space="preserve"> ‘</w:t>
      </w:r>
      <w:r w:rsidR="0054114F">
        <w:t xml:space="preserve">established </w:t>
      </w:r>
      <w:r>
        <w:t>therapeutic role’</w:t>
      </w:r>
      <w:r w:rsidR="0054114F">
        <w:t>;</w:t>
      </w:r>
      <w:r w:rsidR="0002422D">
        <w:t xml:space="preserve"> ‘</w:t>
      </w:r>
      <w:r>
        <w:t>emerging therapeutic role’</w:t>
      </w:r>
      <w:r w:rsidR="0054114F">
        <w:t xml:space="preserve">; </w:t>
      </w:r>
      <w:r>
        <w:t xml:space="preserve">or </w:t>
      </w:r>
      <w:r w:rsidR="00CD2153">
        <w:t>‘exceptional circumstances only’</w:t>
      </w:r>
      <w:r>
        <w:t xml:space="preserve">. The use of Ig in multifocal motor neuropathy (MMN) has been </w:t>
      </w:r>
      <w:r w:rsidR="004F2324">
        <w:t>categorised as having an ‘</w:t>
      </w:r>
      <w:r>
        <w:t>established therapeutic role</w:t>
      </w:r>
      <w:r w:rsidR="004F2324">
        <w:t>’</w:t>
      </w:r>
      <w:r>
        <w:t xml:space="preserve">. More specifically, </w:t>
      </w:r>
      <w:r w:rsidRPr="00F65D8D">
        <w:t>The Criteria</w:t>
      </w:r>
      <w:r>
        <w:t xml:space="preserve"> establishes access for the treatment of patients diagnosed with MMN with or without </w:t>
      </w:r>
      <w:r w:rsidRPr="00B576D7">
        <w:t xml:space="preserve">persistent conduction block </w:t>
      </w:r>
      <w:r>
        <w:t>(CB).</w:t>
      </w:r>
    </w:p>
    <w:p w14:paraId="0135A447" w14:textId="6DCD4032" w:rsidR="000F66B6" w:rsidRPr="00F32829" w:rsidRDefault="000F66B6" w:rsidP="00154648">
      <w:r>
        <w:t xml:space="preserve">Because Ig for patients with MMN is listed under </w:t>
      </w:r>
      <w:r w:rsidRPr="002F0C6A">
        <w:t>The Criteria</w:t>
      </w:r>
      <w:r>
        <w:t xml:space="preserve">, patients in Australia currently receive Ig as a standard of care. The initial funding via the NBA was supported by evidence on clinical effectiveness; evidence </w:t>
      </w:r>
      <w:r w:rsidR="002F0C6A">
        <w:t>on</w:t>
      </w:r>
      <w:r w:rsidR="00D34CD3">
        <w:t xml:space="preserve"> cost</w:t>
      </w:r>
      <w:r>
        <w:t xml:space="preserve">-effectiveness was not presented. This PICO </w:t>
      </w:r>
      <w:r w:rsidR="00D34CD3">
        <w:t xml:space="preserve">Confirmation </w:t>
      </w:r>
      <w:r>
        <w:t>was commissioned as part of the process to establish the effectiveness and cost-effectiveness of intravenous immunoglobulin (IVIg) for the treatment of MMN with or without persistent CB.</w:t>
      </w:r>
      <w:r w:rsidRPr="00A84548">
        <w:t xml:space="preserve"> </w:t>
      </w:r>
    </w:p>
    <w:p w14:paraId="01EBE25B" w14:textId="77777777" w:rsidR="000F66B6" w:rsidRPr="00D34CD3" w:rsidRDefault="000F66B6" w:rsidP="00D34CD3">
      <w:pPr>
        <w:rPr>
          <w:b/>
          <w:u w:val="single"/>
        </w:rPr>
      </w:pPr>
      <w:r w:rsidRPr="00D34CD3">
        <w:rPr>
          <w:b/>
          <w:u w:val="single"/>
        </w:rPr>
        <w:t>Disease background</w:t>
      </w:r>
    </w:p>
    <w:p w14:paraId="51577721" w14:textId="1D327C32" w:rsidR="000F66B6" w:rsidRDefault="000F66B6" w:rsidP="00154648">
      <w:r>
        <w:t xml:space="preserve">MMN is a rare motor neuropathy characterised by motor deficits that present as slowly progressive, predominantly distal, asymmetrical limb weakness without associated sensory loss </w:t>
      </w:r>
      <w:r w:rsidR="00E61B6E">
        <w:fldChar w:fldCharType="begin">
          <w:fldData xml:space="preserve">PEVuZE5vdGU+PENpdGU+PEF1dGhvcj5VbWFwYXRoaTwvQXV0aG9yPjxZZWFyPjIwMTU8L1llYXI+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</w:fldData>
        </w:fldChar>
      </w:r>
      <w:r w:rsidR="00E61B6E">
        <w:instrText xml:space="preserve"> ADDIN EN.CITE </w:instrText>
      </w:r>
      <w:r w:rsidR="00E61B6E">
        <w:fldChar w:fldCharType="begin">
          <w:fldData xml:space="preserve">PEVuZE5vdGU+PENpdGU+PEF1dGhvcj5VbWFwYXRoaTwvQXV0aG9yPjxZZWFyPjIwMTU8L1llYXI+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</w:fldData>
        </w:fldChar>
      </w:r>
      <w:r w:rsidR="00E61B6E">
        <w:instrText xml:space="preserve"> ADDIN EN.CITE.DATA </w:instrText>
      </w:r>
      <w:r w:rsidR="00E61B6E">
        <w:fldChar w:fldCharType="end"/>
      </w:r>
      <w:r w:rsidR="00E61B6E">
        <w:fldChar w:fldCharType="separate"/>
      </w:r>
      <w:r w:rsidR="00E61B6E">
        <w:rPr>
          <w:noProof/>
        </w:rPr>
        <w:t>(2-4)</w:t>
      </w:r>
      <w:r w:rsidR="00E61B6E">
        <w:fldChar w:fldCharType="end"/>
      </w:r>
      <w:r>
        <w:t xml:space="preserve">. The most commonly affected muscles are in the upper limbs, particularly the hands, and to a lesser extent, the lower limbs. The cranial nerves and proximal limbs are often not affected </w:t>
      </w:r>
      <w:r w:rsidR="00E61B6E">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instrText xml:space="preserve"> ADDIN EN.CITE </w:instrText>
      </w:r>
      <w:r w:rsidR="00E61B6E">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instrText xml:space="preserve"> ADDIN EN.CITE.DATA </w:instrText>
      </w:r>
      <w:r w:rsidR="00E61B6E">
        <w:fldChar w:fldCharType="end"/>
      </w:r>
      <w:r w:rsidR="00E61B6E">
        <w:fldChar w:fldCharType="separate"/>
      </w:r>
      <w:r w:rsidR="00E61B6E">
        <w:rPr>
          <w:noProof/>
        </w:rPr>
        <w:t>(3)</w:t>
      </w:r>
      <w:r w:rsidR="00E61B6E">
        <w:fldChar w:fldCharType="end"/>
      </w:r>
      <w:r>
        <w:t xml:space="preserve">. The prognosis for MMN is usually good given that around 70-80% of patients respond to treatment with Ig. For patients who do not respond, disease progression generally occurs slowly and the majority of patients are able to maintain usual activities, including employment </w:t>
      </w:r>
      <w:r w:rsidR="00E61B6E">
        <w:fldChar w:fldCharType="begin"/>
      </w:r>
      <w:r w:rsidR="00E61B6E">
        <w:instrText xml:space="preserve"> ADDIN EN.CITE &lt;EndNote&gt;&lt;Cite&gt;&lt;Author&gt;Taylor&lt;/Author&gt;&lt;Year&gt;2000&lt;/Year&gt;&lt;RecNum&gt;38&lt;/RecNum&gt;&lt;DisplayText&gt;(5)&lt;/DisplayText&gt;&lt;record&gt;&lt;rec-number&gt;38&lt;/rec-number&gt;&lt;foreign-keys&gt;&lt;key app="EN" db-id="vz5vz5xro5d25hepedvpvr0o0v5axp5r99sw" timestamp="1568857545"&gt;38&lt;/key&gt;&lt;/foreign-keys&gt;&lt;ref-type name="Journal Article"&gt;17&lt;/ref-type&gt;&lt;contributors&gt;&lt;authors&gt;&lt;author&gt;Taylor, Bruce V.&lt;/author&gt;&lt;author&gt;Wright, R. Alan&lt;/author&gt;&lt;author&gt;Harper, C. Michel&lt;/author&gt;&lt;author&gt;Dyck, Peter J.&lt;/author&gt;&lt;/authors&gt;&lt;/contributors&gt;&lt;titles&gt;&lt;title&gt;Natural history of 46 patients with multifocal motor neuropathy with conduction block&lt;/title&gt;&lt;secondary-title&gt;Muscle &amp;amp; Nerve&lt;/secondary-title&gt;&lt;/titles&gt;&lt;periodical&gt;&lt;full-title&gt;Muscle Nerve&lt;/full-title&gt;&lt;abbr-1&gt;Muscle &amp;amp; nerve&lt;/abbr-1&gt;&lt;/periodical&gt;&lt;pages&gt;900-908&lt;/pages&gt;&lt;volume&gt;23&lt;/volume&gt;&lt;number&gt;6&lt;/number&gt;&lt;keywords&gt;&lt;keyword&gt;electrodiagnostic characteristics&lt;/keyword&gt;&lt;keyword&gt;longitudinal changes&lt;/keyword&gt;&lt;keyword&gt;multilocal motor neuropathy with conduction block (MMN-CB)&lt;/keyword&gt;&lt;keyword&gt;natural history&lt;/keyword&gt;&lt;keyword&gt;outcomes&lt;/keyword&gt;&lt;/keywords&gt;&lt;dates&gt;&lt;year&gt;2000&lt;/year&gt;&lt;pub-dates&gt;&lt;date&gt;2000/06/01&lt;/date&gt;&lt;/pub-dates&gt;&lt;/dates&gt;&lt;publisher&gt;John Wiley &amp;amp; Sons, Ltd&lt;/publisher&gt;&lt;isbn&gt;0148-639X&lt;/isbn&gt;&lt;urls&gt;&lt;related-urls&gt;&lt;url&gt;https://doi.org/10.1002/(SICI)1097-4598(200006)23:6&amp;lt;900::AID-MUS9&amp;gt;3.0.CO;2-Y&lt;/url&gt;&lt;/related-urls&gt;&lt;/urls&gt;&lt;electronic-resource-num&gt;10.1002/(SICI)1097-4598(200006)23:6&amp;lt;900::AID-MUS9&amp;gt;3.0.CO;2-Y&lt;/electronic-resource-num&gt;&lt;access-date&gt;2019/09/18&lt;/access-date&gt;&lt;/record&gt;&lt;/Cite&gt;&lt;/EndNote&gt;</w:instrText>
      </w:r>
      <w:r w:rsidR="00E61B6E">
        <w:fldChar w:fldCharType="separate"/>
      </w:r>
      <w:r w:rsidR="00E61B6E">
        <w:rPr>
          <w:noProof/>
        </w:rPr>
        <w:t>(5)</w:t>
      </w:r>
      <w:r w:rsidR="00E61B6E">
        <w:fldChar w:fldCharType="end"/>
      </w:r>
      <w:r>
        <w:t>.</w:t>
      </w:r>
    </w:p>
    <w:p w14:paraId="23820990" w14:textId="08AA8F51" w:rsidR="000F66B6" w:rsidRDefault="000F66B6" w:rsidP="00617A1F">
      <w:r>
        <w:t xml:space="preserve">At </w:t>
      </w:r>
      <w:r w:rsidR="00BC057E">
        <w:t xml:space="preserve">the </w:t>
      </w:r>
      <w:r>
        <w:t>onset of MMN, weakness usually begins in the arms in combination with cramps, wasting and fasciculations. These symptoms are also often observed in patients with a diagnosis of motor neuron disease (MND). However, MMN differs from its principal differential diagnosis –</w:t>
      </w:r>
      <w:r w:rsidR="00A46495">
        <w:t xml:space="preserve"> </w:t>
      </w:r>
      <w:r>
        <w:t xml:space="preserve">MND </w:t>
      </w:r>
      <w:r w:rsidR="00A46495">
        <w:t>– in</w:t>
      </w:r>
      <w:r>
        <w:t xml:space="preserve"> that motor deficits in MMN occur in the distribution of a single nerve whilst in MND </w:t>
      </w:r>
      <w:r w:rsidR="00BC057E">
        <w:t xml:space="preserve">they </w:t>
      </w:r>
      <w:r>
        <w:t>occur in the distribution of spinal segments. In contrast to MMN, the upper motor neuron component of MND is also characterised by muscle rigidity, inability to move muscles and loss of the ability to control muscles over</w:t>
      </w:r>
      <w:r w:rsidR="005E5F15">
        <w:t xml:space="preserve"> </w:t>
      </w:r>
      <w:r>
        <w:t xml:space="preserve">time </w:t>
      </w:r>
      <w:r w:rsidR="00E61B6E">
        <w:fldChar w:fldCharType="begin"/>
      </w:r>
      <w:r w:rsidR="00E61B6E">
        <w:instrText xml:space="preserve"> ADDIN EN.CITE &lt;EndNote&gt;&lt;Cite&gt;&lt;Author&gt;Norris&lt;/Author&gt;&lt;Year&gt;1993&lt;/Year&gt;&lt;RecNum&gt;37&lt;/RecNum&gt;&lt;DisplayText&gt;(6)&lt;/DisplayText&gt;&lt;record&gt;&lt;rec-number&gt;37&lt;/rec-number&gt;&lt;foreign-keys&gt;&lt;key app="EN" db-id="vz5vz5xro5d25hepedvpvr0o0v5axp5r99sw" timestamp="1568856446"&gt;37&lt;/key&gt;&lt;/foreign-keys&gt;&lt;ref-type name="Journal Article"&gt;17&lt;/ref-type&gt;&lt;contributors&gt;&lt;authors&gt;&lt;author&gt;Norris, Forbes&lt;/author&gt;&lt;author&gt;Shepherd, Rodger&lt;/author&gt;&lt;author&gt;Denys, Eric&lt;/author&gt;&lt;author&gt;U, Kwei&lt;/author&gt;&lt;author&gt;Mukai, Eichiro&lt;/author&gt;&lt;author&gt;Elias, Linda&lt;/author&gt;&lt;author&gt;Holden, Dolores&lt;/author&gt;&lt;author&gt;Norris, Holten&lt;/author&gt;&lt;/authors&gt;&lt;/contributors&gt;&lt;titles&gt;&lt;title&gt;Onset, natural history and outcome in idiopathic adult motor neuron disease&lt;/title&gt;&lt;secondary-title&gt;Journal of the Neurological Sciences&lt;/secondary-title&gt;&lt;/titles&gt;&lt;periodical&gt;&lt;full-title&gt;Journal of the Neurological Sciences&lt;/full-title&gt;&lt;/periodical&gt;&lt;pages&gt;48-55&lt;/pages&gt;&lt;volume&gt;118&lt;/volume&gt;&lt;number&gt;1&lt;/number&gt;&lt;keywords&gt;&lt;keyword&gt;Natural history&lt;/keyword&gt;&lt;keyword&gt;Motor neuron disease&lt;/keyword&gt;&lt;keyword&gt;Amyotrophic lateral sclerosis&lt;/keyword&gt;&lt;keyword&gt;Prospective series&lt;/keyword&gt;&lt;keyword&gt;Outcome&lt;/keyword&gt;&lt;/keywords&gt;&lt;dates&gt;&lt;year&gt;1993&lt;/year&gt;&lt;pub-dates&gt;&lt;date&gt;1993/08/01/&lt;/date&gt;&lt;/pub-dates&gt;&lt;/dates&gt;&lt;isbn&gt;0022-510X&lt;/isbn&gt;&lt;urls&gt;&lt;related-urls&gt;&lt;url&gt;http://www.sciencedirect.com/science/article/pii/0022510X9390245T&lt;/url&gt;&lt;/related-urls&gt;&lt;/urls&gt;&lt;electronic-resource-num&gt;https://doi.org/10.1016/0022-510X(93)90245-T&lt;/electronic-resource-num&gt;&lt;/record&gt;&lt;/Cite&gt;&lt;/EndNote&gt;</w:instrText>
      </w:r>
      <w:r w:rsidR="00E61B6E">
        <w:fldChar w:fldCharType="separate"/>
      </w:r>
      <w:r w:rsidR="00E61B6E">
        <w:rPr>
          <w:noProof/>
        </w:rPr>
        <w:t>(6)</w:t>
      </w:r>
      <w:r w:rsidR="00E61B6E">
        <w:fldChar w:fldCharType="end"/>
      </w:r>
      <w:r>
        <w:t>. In addition, CB is ind</w:t>
      </w:r>
      <w:r w:rsidR="005E5F15">
        <w:t>icative of the diagnosis of MMN;</w:t>
      </w:r>
      <w:r>
        <w:t xml:space="preserve"> however</w:t>
      </w:r>
      <w:r w:rsidR="005E5F15">
        <w:t>,</w:t>
      </w:r>
      <w:r>
        <w:t xml:space="preserve"> there may be cases where a patient will exhibit the clinical symptoms of MMN without CB </w:t>
      </w:r>
      <w:r w:rsidR="00E61B6E">
        <w:fldChar w:fldCharType="begin"/>
      </w:r>
      <w:r w:rsidR="00E61B6E">
        <w:instrText xml:space="preserve"> ADDIN EN.CITE &lt;EndNote&gt;&lt;Cite&gt;&lt;Author&gt;Lawson&lt;/Author&gt;&lt;Year&gt;2014&lt;/Year&gt;&lt;RecNum&gt;12&lt;/RecNum&gt;&lt;DisplayText&gt;(4)&lt;/DisplayText&gt;&lt;record&gt;&lt;rec-number&gt;12&lt;/rec-number&gt;&lt;foreign-keys&gt;&lt;key app="EN" db-id="vz5vz5xro5d25hepedvpvr0o0v5axp5r99sw" timestamp="1568858996"&gt;12&lt;/key&gt;&lt;key app="ENWeb" db-id=""&gt;0&lt;/key&gt;&lt;/foreign-keys&gt;&lt;ref-type name="Journal Article"&gt;17&lt;/ref-type&gt;&lt;contributors&gt;&lt;authors&gt;&lt;author&gt;Lawson, V. H.&lt;/author&gt;&lt;author&gt;Arnold, W. D.&lt;/author&gt;&lt;/authors&gt;&lt;/contributors&gt;&lt;auth-address&gt;Division of Neuromuscular Disorders, Department of Neurology, Wexner Medical Center at The Ohio State University, Columbus, Ohio, USA.&amp;#xD;Division of Neuromuscular Disorders, Department of Neurology, Wexner Medical Center at The Ohio State University, Columbus, Ohio, USA ; Department of Physical Medicine and Rehabilitation, Wexner Medical Center at The Ohio State University, Columbus, Ohio, USA.&lt;/auth-address&gt;&lt;titles&gt;&lt;title&gt;Multifocal motor neuropathy: a review of pathogenesis, diagnosis, and treatment&lt;/title&gt;&lt;secondary-title&gt;Neuropsychiatr Dis Treat&lt;/secondary-title&gt;&lt;alt-title&gt;Neuropsychiatric disease and treatment&lt;/alt-title&gt;&lt;/titles&gt;&lt;periodical&gt;&lt;full-title&gt;Neuropsychiatr Dis Treat&lt;/full-title&gt;&lt;abbr-1&gt;Neuropsychiatric disease and treatment&lt;/abbr-1&gt;&lt;/periodical&gt;&lt;alt-periodical&gt;&lt;full-title&gt;Neuropsychiatr Dis Treat&lt;/full-title&gt;&lt;abbr-1&gt;Neuropsychiatric disease and treatment&lt;/abbr-1&gt;&lt;/alt-periodical&gt;&lt;pages&gt;567-76&lt;/pages&gt;&lt;volume&gt;10&lt;/volume&gt;&lt;dates&gt;&lt;year&gt;2014&lt;/year&gt;&lt;/dates&gt;&lt;isbn&gt;1176-6328 (Print)&amp;#xD;1176-6328 (Linking)&lt;/isbn&gt;&lt;accession-num&gt;24741315&lt;/accession-num&gt;&lt;urls&gt;&lt;related-urls&gt;&lt;url&gt;http://www.ncbi.nlm.nih.gov/pubmed/24741315&lt;/url&gt;&lt;/related-urls&gt;&lt;/urls&gt;&lt;custom2&gt;3983019&lt;/custom2&gt;&lt;electronic-resource-num&gt;10.2147/NDT.S39592&lt;/electronic-resource-num&gt;&lt;/record&gt;&lt;/Cite&gt;&lt;/EndNote&gt;</w:instrText>
      </w:r>
      <w:r w:rsidR="00E61B6E">
        <w:fldChar w:fldCharType="separate"/>
      </w:r>
      <w:r w:rsidR="00E61B6E">
        <w:rPr>
          <w:noProof/>
        </w:rPr>
        <w:t>(4)</w:t>
      </w:r>
      <w:r w:rsidR="00E61B6E">
        <w:fldChar w:fldCharType="end"/>
      </w:r>
      <w:r>
        <w:t xml:space="preserve">. Another condition in the differential diagnosis of MMN is a rare variant of chronic inflammatory demyelinating neuropathy (CIDP) known as multifocal acquired demyelinating sensory and motor neuropathy (MADSAM) which can also affect single nerves. MMN can be distinguished from MADSAM through clinical examination and electro-diagnostic studies that will show absence of sensory involvement in MMN </w:t>
      </w:r>
      <w:r w:rsidR="00E61B6E">
        <w:fldChar w:fldCharType="begin"/>
      </w:r>
      <w:r w:rsidR="00E61B6E">
        <w:instrText xml:space="preserve"> ADDIN EN.CITE &lt;EndNote&gt;&lt;Cite&gt;&lt;Author&gt;Lawson&lt;/Author&gt;&lt;Year&gt;2014&lt;/Year&gt;&lt;RecNum&gt;12&lt;/RecNum&gt;&lt;DisplayText&gt;(4)&lt;/DisplayText&gt;&lt;record&gt;&lt;rec-number&gt;12&lt;/rec-number&gt;&lt;foreign-keys&gt;&lt;key app="EN" db-id="vz5vz5xro5d25hepedvpvr0o0v5axp5r99sw" timestamp="1568858996"&gt;12&lt;/key&gt;&lt;key app="ENWeb" db-id=""&gt;0&lt;/key&gt;&lt;/foreign-keys&gt;&lt;ref-type name="Journal Article"&gt;17&lt;/ref-type&gt;&lt;contributors&gt;&lt;authors&gt;&lt;author&gt;Lawson, V. H.&lt;/author&gt;&lt;author&gt;Arnold, W. D.&lt;/author&gt;&lt;/authors&gt;&lt;/contributors&gt;&lt;auth-address&gt;Division of Neuromuscular Disorders, Department of Neurology, Wexner Medical Center at The Ohio State University, Columbus, Ohio, USA.&amp;#xD;Division of Neuromuscular Disorders, Department of Neurology, Wexner Medical Center at The Ohio State University, Columbus, Ohio, USA ; Department of Physical Medicine and Rehabilitation, Wexner Medical Center at The Ohio State University, Columbus, Ohio, USA.&lt;/auth-address&gt;&lt;titles&gt;&lt;title&gt;Multifocal motor neuropathy: a review of pathogenesis, diagnosis, and treatment&lt;/title&gt;&lt;secondary-title&gt;Neuropsychiatr Dis Treat&lt;/secondary-title&gt;&lt;alt-title&gt;Neuropsychiatric disease and treatment&lt;/alt-title&gt;&lt;/titles&gt;&lt;periodical&gt;&lt;full-title&gt;Neuropsychiatr Dis Treat&lt;/full-title&gt;&lt;abbr-1&gt;Neuropsychiatric disease and treatment&lt;/abbr-1&gt;&lt;/periodical&gt;&lt;alt-periodical&gt;&lt;full-title&gt;Neuropsychiatr Dis Treat&lt;/full-title&gt;&lt;abbr-1&gt;Neuropsychiatric disease and treatment&lt;/abbr-1&gt;&lt;/alt-periodical&gt;&lt;pages&gt;567-76&lt;/pages&gt;&lt;volume&gt;10&lt;/volume&gt;&lt;dates&gt;&lt;year&gt;2014&lt;/year&gt;&lt;/dates&gt;&lt;isbn&gt;1176-6328 (Print)&amp;#xD;1176-6328 (Linking)&lt;/isbn&gt;&lt;accession-num&gt;24741315&lt;/accession-num&gt;&lt;urls&gt;&lt;related-urls&gt;&lt;url&gt;http://www.ncbi.nlm.nih.gov/pubmed/24741315&lt;/url&gt;&lt;/related-urls&gt;&lt;/urls&gt;&lt;custom2&gt;3983019&lt;/custom2&gt;&lt;electronic-resource-num&gt;10.2147/NDT.S39592&lt;/electronic-resource-num&gt;&lt;/record&gt;&lt;/Cite&gt;&lt;/EndNote&gt;</w:instrText>
      </w:r>
      <w:r w:rsidR="00E61B6E">
        <w:fldChar w:fldCharType="separate"/>
      </w:r>
      <w:r w:rsidR="00E61B6E">
        <w:rPr>
          <w:noProof/>
        </w:rPr>
        <w:t>(4)</w:t>
      </w:r>
      <w:r w:rsidR="00E61B6E">
        <w:fldChar w:fldCharType="end"/>
      </w:r>
      <w:r>
        <w:t>.</w:t>
      </w:r>
    </w:p>
    <w:p w14:paraId="4EB59900" w14:textId="7855BC9E" w:rsidR="000F66B6" w:rsidRDefault="000F66B6" w:rsidP="00617A1F">
      <w:r>
        <w:lastRenderedPageBreak/>
        <w:t xml:space="preserve">There is incomplete understanding of the pathophysiology of MMN and there is variation in the pathology observed in case series. For example, whilst some patients may exhibit persistent CB, some do not. Furthermore, MMN is reported to be most likely an immune-mediated disorder as some studies have reported the presence of IgM anti-GM1 antibodies in about 30-80% of MMN patients </w:t>
      </w:r>
      <w:r w:rsidR="00E61B6E">
        <w:fldChar w:fldCharType="begin">
          <w:fldData xml:space="preserve">PEVuZE5vdGU+PENpdGU+PEF1dGhvcj5VbWFwYXRoaTwvQXV0aG9yPjxZZWFyPjIwMTU8L1llYXI+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cmV2aWV3czwvYWJici0xPjwvYWx0LXBlcmlvZGljYWw+PHBhZ2VzPkNEMDAzMjE3PC9wYWdlcz48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</w:fldData>
        </w:fldChar>
      </w:r>
      <w:r w:rsidR="00C472E6">
        <w:instrText xml:space="preserve"> ADDIN EN.CITE </w:instrText>
      </w:r>
      <w:r w:rsidR="00C472E6">
        <w:fldChar w:fldCharType="begin">
          <w:fldData xml:space="preserve">PEVuZE5vdGU+PENpdGU+PEF1dGhvcj5VbWFwYXRoaTwvQXV0aG9yPjxZZWFyPjIwMTU8L1llYXI+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</w:fldData>
        </w:fldChar>
      </w:r>
      <w:r w:rsidR="00C472E6">
        <w:instrText xml:space="preserve"> ADDIN EN.CITE.DATA </w:instrText>
      </w:r>
      <w:r w:rsidR="00C472E6">
        <w:fldChar w:fldCharType="end"/>
      </w:r>
      <w:r w:rsidR="00E61B6E">
        <w:fldChar w:fldCharType="separate"/>
      </w:r>
      <w:r w:rsidR="00E61B6E">
        <w:rPr>
          <w:noProof/>
        </w:rPr>
        <w:t>(3, 7)</w:t>
      </w:r>
      <w:r w:rsidR="00E61B6E">
        <w:fldChar w:fldCharType="end"/>
      </w:r>
      <w:r>
        <w:t>.</w:t>
      </w:r>
    </w:p>
    <w:p w14:paraId="27BB7DFA" w14:textId="554CFA0D" w:rsidR="000F66B6" w:rsidRPr="00617A1F" w:rsidRDefault="005E5F15" w:rsidP="005026AC">
      <w:r>
        <w:t>IVIg has</w:t>
      </w:r>
      <w:r w:rsidR="000F66B6">
        <w:t xml:space="preserve"> been the standard of treatment for MMN since</w:t>
      </w:r>
      <w:r>
        <w:t xml:space="preserve"> the early 1990s. Before Ig was</w:t>
      </w:r>
      <w:r w:rsidR="000F66B6">
        <w:t xml:space="preserve"> the standard of treatment</w:t>
      </w:r>
      <w:r>
        <w:t>,</w:t>
      </w:r>
      <w:r w:rsidR="000F66B6">
        <w:t xml:space="preserve"> patients were trialled with cortico</w:t>
      </w:r>
      <w:r w:rsidR="000F66B6" w:rsidRPr="006B41B1">
        <w:t xml:space="preserve">steroids </w:t>
      </w:r>
      <w:r w:rsidR="000F66B6">
        <w:t xml:space="preserve">(mainly prednisone and methylprednisolone) </w:t>
      </w:r>
      <w:r w:rsidR="000F66B6" w:rsidRPr="006B41B1">
        <w:t>and plasma exchange</w:t>
      </w:r>
      <w:r>
        <w:t>;</w:t>
      </w:r>
      <w:r w:rsidR="000F66B6">
        <w:t xml:space="preserve"> however, no improvement was observed and in some cases their condition worsened </w:t>
      </w:r>
      <w:r w:rsidR="00E61B6E">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instrText xml:space="preserve"> ADDIN EN.CITE </w:instrText>
      </w:r>
      <w:r w:rsidR="00E61B6E">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instrText xml:space="preserve"> ADDIN EN.CITE.DATA </w:instrText>
      </w:r>
      <w:r w:rsidR="00E61B6E">
        <w:fldChar w:fldCharType="end"/>
      </w:r>
      <w:r w:rsidR="00E61B6E">
        <w:fldChar w:fldCharType="separate"/>
      </w:r>
      <w:r w:rsidR="00E61B6E">
        <w:rPr>
          <w:noProof/>
        </w:rPr>
        <w:t>(3)</w:t>
      </w:r>
      <w:r w:rsidR="00E61B6E">
        <w:fldChar w:fldCharType="end"/>
      </w:r>
      <w:r w:rsidR="000F66B6">
        <w:t>. Cyclophosphamide is the only immunosuppressant therapy with which improv</w:t>
      </w:r>
      <w:r>
        <w:t>ement has been observed, but</w:t>
      </w:r>
      <w:r w:rsidR="000F66B6">
        <w:t xml:space="preserve"> there are no randomised controlled trial</w:t>
      </w:r>
      <w:r w:rsidR="00D34CD3">
        <w:t>s</w:t>
      </w:r>
      <w:r w:rsidR="000F66B6">
        <w:t xml:space="preserve"> (RCT</w:t>
      </w:r>
      <w:r>
        <w:t>s</w:t>
      </w:r>
      <w:r w:rsidR="000F66B6">
        <w:t>) to establish its effect</w:t>
      </w:r>
      <w:r>
        <w:t>iveness</w:t>
      </w:r>
      <w:r w:rsidR="000F66B6">
        <w:t xml:space="preserve"> and its unfavourable safety profile has limited its use</w:t>
      </w:r>
      <w:r w:rsidR="002B19F3">
        <w:t xml:space="preserve"> </w:t>
      </w:r>
      <w:r w:rsidR="002B19F3">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2B19F3">
        <w:instrText xml:space="preserve"> ADDIN EN.CITE </w:instrText>
      </w:r>
      <w:r w:rsidR="002B19F3">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2B19F3">
        <w:instrText xml:space="preserve"> ADDIN EN.CITE.DATA </w:instrText>
      </w:r>
      <w:r w:rsidR="002B19F3">
        <w:fldChar w:fldCharType="end"/>
      </w:r>
      <w:r w:rsidR="002B19F3">
        <w:fldChar w:fldCharType="separate"/>
      </w:r>
      <w:r w:rsidR="002B19F3">
        <w:rPr>
          <w:noProof/>
        </w:rPr>
        <w:t>(3)</w:t>
      </w:r>
      <w:r w:rsidR="002B19F3">
        <w:fldChar w:fldCharType="end"/>
      </w:r>
      <w:r w:rsidR="000F66B6">
        <w:t>. Other treatments have been tested, but have not proven to be effective, including: i</w:t>
      </w:r>
      <w:r>
        <w:t>nterferon beta</w:t>
      </w:r>
      <w:r w:rsidR="000F66B6" w:rsidRPr="00921C6B">
        <w:t xml:space="preserve">, </w:t>
      </w:r>
      <w:r w:rsidR="000F66B6" w:rsidRPr="006B41B1">
        <w:t>mycophenolate mofetil</w:t>
      </w:r>
      <w:r w:rsidR="000F66B6">
        <w:t>, cy</w:t>
      </w:r>
      <w:r w:rsidR="000F66B6" w:rsidRPr="00921C6B">
        <w:t xml:space="preserve">closporine, </w:t>
      </w:r>
      <w:r w:rsidR="000F66B6">
        <w:t>a</w:t>
      </w:r>
      <w:r w:rsidR="000F66B6" w:rsidRPr="00921C6B">
        <w:t xml:space="preserve">zathioprine, </w:t>
      </w:r>
      <w:r w:rsidR="000F66B6">
        <w:t>r</w:t>
      </w:r>
      <w:r w:rsidR="000F66B6" w:rsidRPr="00921C6B">
        <w:t xml:space="preserve">ituximab and </w:t>
      </w:r>
      <w:r w:rsidR="000F66B6">
        <w:t>i</w:t>
      </w:r>
      <w:r w:rsidR="000F66B6" w:rsidRPr="00921C6B">
        <w:t>nfliximab</w:t>
      </w:r>
      <w:r w:rsidR="00DE39C8">
        <w:rPr>
          <w:rStyle w:val="FootnoteReference"/>
        </w:rPr>
        <w:footnoteReference w:id="1"/>
      </w:r>
      <w:r w:rsidR="000F66B6">
        <w:t>. Some of these treatments, with the exception of mycophenolate mofetil, have been tested a</w:t>
      </w:r>
      <w:r>
        <w:t>s adjunctive treatments to IVIg;</w:t>
      </w:r>
      <w:r w:rsidR="000F66B6">
        <w:t xml:space="preserve"> however</w:t>
      </w:r>
      <w:r>
        <w:t>,</w:t>
      </w:r>
      <w:r w:rsidR="000F66B6">
        <w:t xml:space="preserve"> the limited evidence available comes from case reports </w:t>
      </w:r>
      <w:r w:rsidR="00E61B6E">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instrText xml:space="preserve"> ADDIN EN.CITE </w:instrText>
      </w:r>
      <w:r w:rsidR="00E61B6E">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instrText xml:space="preserve"> ADDIN EN.CITE.DATA </w:instrText>
      </w:r>
      <w:r w:rsidR="00E61B6E">
        <w:fldChar w:fldCharType="end"/>
      </w:r>
      <w:r w:rsidR="00E61B6E">
        <w:fldChar w:fldCharType="separate"/>
      </w:r>
      <w:r w:rsidR="00E61B6E">
        <w:rPr>
          <w:noProof/>
        </w:rPr>
        <w:t>(3)</w:t>
      </w:r>
      <w:r w:rsidR="00E61B6E">
        <w:fldChar w:fldCharType="end"/>
      </w:r>
      <w:r w:rsidR="000F66B6">
        <w:t xml:space="preserve">. MMN </w:t>
      </w:r>
      <w:r w:rsidR="000F66B6" w:rsidRPr="006B41B1">
        <w:t>i</w:t>
      </w:r>
      <w:r w:rsidR="000F66B6">
        <w:t>s</w:t>
      </w:r>
      <w:r w:rsidR="000F66B6" w:rsidRPr="006B41B1">
        <w:t xml:space="preserve"> a non-life-threatening illness</w:t>
      </w:r>
      <w:r w:rsidR="000F66B6">
        <w:t xml:space="preserve"> that progresses very slowly, hence the use of treatments with an unfavourable safety profile should only be considered in those cases where the risks (sometimes serious or life-threatening) are outweighed by the potential benefits. </w:t>
      </w:r>
    </w:p>
    <w:p w14:paraId="5EDCA5A7" w14:textId="77777777" w:rsidR="000F66B6" w:rsidRPr="00E364F7" w:rsidRDefault="000F66B6" w:rsidP="00E5089D">
      <w:pPr>
        <w:pStyle w:val="Heading1"/>
      </w:pPr>
      <w:r w:rsidRPr="00E364F7">
        <w:t>Population</w:t>
      </w:r>
    </w:p>
    <w:p w14:paraId="51CBDC98" w14:textId="45482F08" w:rsidR="000F66B6" w:rsidRPr="000A4316" w:rsidRDefault="003C154C" w:rsidP="000145E4">
      <w:pPr>
        <w:pStyle w:val="Heading2"/>
      </w:pPr>
      <w:r>
        <w:t xml:space="preserve">1.1 </w:t>
      </w:r>
      <w:r w:rsidR="000F66B6">
        <w:t>Immunoglobulin use for MMN</w:t>
      </w:r>
    </w:p>
    <w:p w14:paraId="14DAA6C3" w14:textId="61F358CB" w:rsidR="000F66B6" w:rsidRDefault="00405F4B" w:rsidP="00E5089D">
      <w:r>
        <w:t>V</w:t>
      </w:r>
      <w:r w:rsidR="000F66B6">
        <w:t>ersion</w:t>
      </w:r>
      <w:r w:rsidR="000F66B6" w:rsidRPr="002775A6">
        <w:t xml:space="preserve"> </w:t>
      </w:r>
      <w:r w:rsidR="000F66B6">
        <w:t xml:space="preserve">3 of </w:t>
      </w:r>
      <w:r w:rsidR="000F66B6" w:rsidRPr="00405F4B">
        <w:t>The Criteria</w:t>
      </w:r>
      <w:r w:rsidR="000F66B6">
        <w:t xml:space="preserve"> considers the use of IVIg in the treatment of MMN with or without persistent CB for the following indications:</w:t>
      </w:r>
    </w:p>
    <w:p w14:paraId="233C3DC4" w14:textId="77777777" w:rsidR="000F66B6" w:rsidRPr="00E9264A" w:rsidRDefault="000F66B6" w:rsidP="00E9264A">
      <w:pPr>
        <w:pStyle w:val="ListParagraph"/>
      </w:pPr>
      <w:r w:rsidRPr="00E9264A">
        <w:t xml:space="preserve">First-line and subsequent maintenance therapy and; </w:t>
      </w:r>
    </w:p>
    <w:p w14:paraId="591A4126" w14:textId="77777777" w:rsidR="000F66B6" w:rsidRPr="00E9264A" w:rsidRDefault="000F66B6" w:rsidP="00E9264A">
      <w:pPr>
        <w:pStyle w:val="ListParagraph"/>
      </w:pPr>
      <w:r w:rsidRPr="00E9264A">
        <w:t>Further and subsequent maintenance therapy for patients who relapse within six months of commencement of trial off Ig therapy.</w:t>
      </w:r>
    </w:p>
    <w:p w14:paraId="5F422A71" w14:textId="39E32325" w:rsidR="000F66B6" w:rsidRPr="00C5720E" w:rsidRDefault="000F66B6" w:rsidP="00E5089D">
      <w:r>
        <w:t xml:space="preserve">The criteria for commencing and continuing IVIg therapy for MMN patients with or without persistent CB under the two indications approved in Australia are summarised in Table 1. For both indications, diagnosis of MMN has to be made by a neurologist. In addition, IVIg should be used for a maximum of four months in the initial treatment phase. </w:t>
      </w:r>
      <w:r w:rsidR="00C5720E">
        <w:t xml:space="preserve">This requirement was introduced in </w:t>
      </w:r>
      <w:r w:rsidR="00405F4B">
        <w:t xml:space="preserve">the </w:t>
      </w:r>
      <w:r w:rsidR="00C5720E">
        <w:t>Version 3 Criteria.</w:t>
      </w:r>
      <w:r w:rsidR="00DE39C8">
        <w:t xml:space="preserve"> </w:t>
      </w:r>
      <w:r>
        <w:t xml:space="preserve">After this </w:t>
      </w:r>
      <w:r w:rsidR="001C15A0">
        <w:t xml:space="preserve">initial </w:t>
      </w:r>
      <w:r>
        <w:t xml:space="preserve">induction treatment phase, the patient is assessed by a neurologist who will determine whether the patient has responded to treatment. If the patient </w:t>
      </w:r>
      <w:r w:rsidR="001C15A0">
        <w:t>benefits</w:t>
      </w:r>
      <w:r w:rsidR="00D73DB1">
        <w:t xml:space="preserve"> </w:t>
      </w:r>
      <w:r w:rsidR="001C15A0">
        <w:t>from</w:t>
      </w:r>
      <w:r>
        <w:t xml:space="preserve"> IVIg</w:t>
      </w:r>
      <w:r w:rsidR="00D73DB1">
        <w:t xml:space="preserve"> (see Table 6)</w:t>
      </w:r>
      <w:r>
        <w:t xml:space="preserve">, a subsequent maintenance therapy is commenced for up to 12 months. IVIg therapy should be discontinued in cases where the patient does not benefit from therapy during the initial treatment phase. A patient is said to benefit from IVIg therapy when there is improvement in (or </w:t>
      </w:r>
      <w:r w:rsidR="00D34CD3">
        <w:t>disease remains stable</w:t>
      </w:r>
      <w:r>
        <w:t>) muscle weakness and improvement in the level of disability as measured by the adjusted Overall Neuropathy Limitation</w:t>
      </w:r>
      <w:r w:rsidR="00405F4B">
        <w:t>s</w:t>
      </w:r>
      <w:r>
        <w:t xml:space="preserve"> Scale (ONLS) (see Table 6 for </w:t>
      </w:r>
      <w:r w:rsidR="00D34CD3">
        <w:t xml:space="preserve">further </w:t>
      </w:r>
      <w:r>
        <w:t>details</w:t>
      </w:r>
      <w:r w:rsidR="00D34CD3">
        <w:t>)</w:t>
      </w:r>
      <w:r>
        <w:t xml:space="preserve">. </w:t>
      </w:r>
      <w:r w:rsidRPr="0077688D">
        <w:t>For patients in remission</w:t>
      </w:r>
      <w:r>
        <w:t xml:space="preserve"> (reduction or stabilisation of the intensity of the symptoms)</w:t>
      </w:r>
      <w:r w:rsidRPr="0077688D">
        <w:t xml:space="preserve"> </w:t>
      </w:r>
      <w:r>
        <w:t xml:space="preserve">while </w:t>
      </w:r>
      <w:r w:rsidRPr="0077688D">
        <w:t>on maintenance therapy, a trial of weaning leading to treatment discontinuation should be considered if not otherwise contraindicated.</w:t>
      </w:r>
      <w:r w:rsidR="00D73DB1">
        <w:t xml:space="preserve"> </w:t>
      </w:r>
      <w:r w:rsidR="00D73DB1">
        <w:lastRenderedPageBreak/>
        <w:t xml:space="preserve">This requirement was introduced in </w:t>
      </w:r>
      <w:r w:rsidR="00405F4B">
        <w:t xml:space="preserve">the </w:t>
      </w:r>
      <w:r w:rsidR="00D73DB1">
        <w:t>Version 3</w:t>
      </w:r>
      <w:r w:rsidR="00C5720E">
        <w:t xml:space="preserve"> Criteria</w:t>
      </w:r>
      <w:r w:rsidR="00D73DB1">
        <w:t xml:space="preserve">. </w:t>
      </w:r>
      <w:r w:rsidRPr="0077688D">
        <w:t xml:space="preserve"> If the patient relapses within six months, they may be eligible for further </w:t>
      </w:r>
      <w:r>
        <w:t>IV</w:t>
      </w:r>
      <w:r w:rsidRPr="0077688D">
        <w:t>Ig therapy under the indication ‘</w:t>
      </w:r>
      <w:r>
        <w:rPr>
          <w:i/>
        </w:rPr>
        <w:t xml:space="preserve">Further and subsequent maintenance therapy for </w:t>
      </w:r>
      <w:r w:rsidRPr="0077688D">
        <w:rPr>
          <w:i/>
        </w:rPr>
        <w:t xml:space="preserve">MMN patients </w:t>
      </w:r>
      <w:r>
        <w:rPr>
          <w:i/>
        </w:rPr>
        <w:t xml:space="preserve">who relapse </w:t>
      </w:r>
      <w:r w:rsidRPr="0077688D">
        <w:rPr>
          <w:i/>
        </w:rPr>
        <w:t xml:space="preserve">within six months of commencement of a </w:t>
      </w:r>
      <w:r>
        <w:rPr>
          <w:i/>
        </w:rPr>
        <w:t>trial</w:t>
      </w:r>
      <w:r w:rsidRPr="0077688D">
        <w:rPr>
          <w:i/>
        </w:rPr>
        <w:t xml:space="preserve"> off Ig therapy’.</w:t>
      </w:r>
      <w:r w:rsidR="00D73DB1">
        <w:rPr>
          <w:i/>
        </w:rPr>
        <w:t xml:space="preserve"> </w:t>
      </w:r>
      <w:r w:rsidR="00D73DB1">
        <w:t xml:space="preserve">This indication was introduced in </w:t>
      </w:r>
      <w:r w:rsidR="00405F4B">
        <w:t xml:space="preserve">the </w:t>
      </w:r>
      <w:r w:rsidR="00D73DB1">
        <w:t>Version 3</w:t>
      </w:r>
      <w:r w:rsidR="00C5720E">
        <w:t xml:space="preserve"> Criteria. </w:t>
      </w:r>
    </w:p>
    <w:p w14:paraId="719EF2EA" w14:textId="77777777" w:rsidR="00037D5B" w:rsidRDefault="00037D5B" w:rsidP="00E5089D"/>
    <w:p w14:paraId="08631083" w14:textId="77777777" w:rsidR="000F66B6" w:rsidRPr="00CD2153" w:rsidRDefault="000F66B6" w:rsidP="00E5089D">
      <w:pPr>
        <w:spacing w:after="0" w:line="240" w:lineRule="auto"/>
        <w:rPr>
          <w:b/>
          <w:sz w:val="20"/>
          <w:szCs w:val="20"/>
        </w:rPr>
      </w:pPr>
      <w:r w:rsidRPr="00CD2153">
        <w:rPr>
          <w:b/>
          <w:sz w:val="20"/>
          <w:szCs w:val="20"/>
        </w:rPr>
        <w:t>Table 1: Current qualifying criteria for the use of IVIg therapy in MMN in Australia</w:t>
      </w:r>
    </w:p>
    <w:tbl>
      <w:tblPr>
        <w:tblStyle w:val="TableGrid"/>
        <w:tblW w:w="0" w:type="auto"/>
        <w:tblLook w:val="04A0" w:firstRow="1" w:lastRow="0" w:firstColumn="1" w:lastColumn="0" w:noHBand="0" w:noVBand="1"/>
        <w:tblCaption w:val="Table 1: Current qualifying criteria for the use of IVIg therapy in MMN in Australia"/>
      </w:tblPr>
      <w:tblGrid>
        <w:gridCol w:w="2405"/>
        <w:gridCol w:w="6611"/>
      </w:tblGrid>
      <w:tr w:rsidR="000F66B6" w:rsidRPr="00765B59" w14:paraId="01E61144" w14:textId="77777777" w:rsidTr="00765B59">
        <w:trPr>
          <w:tblHeader/>
        </w:trPr>
        <w:tc>
          <w:tcPr>
            <w:tcW w:w="2405" w:type="dxa"/>
            <w:vAlign w:val="center"/>
          </w:tcPr>
          <w:p w14:paraId="5B7D34CD" w14:textId="77777777" w:rsidR="000F66B6" w:rsidRPr="00765B59" w:rsidRDefault="000F66B6" w:rsidP="0002422D">
            <w:pPr>
              <w:spacing w:after="0"/>
              <w:jc w:val="left"/>
              <w:rPr>
                <w:rFonts w:asciiTheme="minorHAnsi" w:hAnsiTheme="minorHAnsi" w:cstheme="minorHAnsi"/>
                <w:b/>
                <w:sz w:val="20"/>
                <w:szCs w:val="20"/>
              </w:rPr>
            </w:pPr>
            <w:r w:rsidRPr="00765B59">
              <w:rPr>
                <w:rFonts w:asciiTheme="minorHAnsi" w:hAnsiTheme="minorHAnsi" w:cstheme="minorHAnsi"/>
                <w:b/>
                <w:sz w:val="20"/>
                <w:szCs w:val="20"/>
              </w:rPr>
              <w:t xml:space="preserve">Indication </w:t>
            </w:r>
          </w:p>
        </w:tc>
        <w:tc>
          <w:tcPr>
            <w:tcW w:w="6611" w:type="dxa"/>
            <w:vAlign w:val="center"/>
          </w:tcPr>
          <w:p w14:paraId="6D5F73B0" w14:textId="77777777" w:rsidR="000F66B6" w:rsidRPr="00765B59" w:rsidRDefault="000F66B6" w:rsidP="0002422D">
            <w:pPr>
              <w:spacing w:after="0"/>
              <w:jc w:val="left"/>
              <w:rPr>
                <w:rFonts w:asciiTheme="minorHAnsi" w:hAnsiTheme="minorHAnsi" w:cstheme="minorHAnsi"/>
                <w:b/>
                <w:sz w:val="20"/>
                <w:szCs w:val="20"/>
              </w:rPr>
            </w:pPr>
            <w:r w:rsidRPr="00765B59">
              <w:rPr>
                <w:rFonts w:asciiTheme="minorHAnsi" w:hAnsiTheme="minorHAnsi" w:cstheme="minorHAnsi"/>
                <w:b/>
                <w:sz w:val="20"/>
                <w:szCs w:val="20"/>
              </w:rPr>
              <w:t>Qualifying criteria for IVIg therapy</w:t>
            </w:r>
          </w:p>
        </w:tc>
      </w:tr>
      <w:tr w:rsidR="000F66B6" w:rsidRPr="00765B59" w14:paraId="6475DCAB" w14:textId="77777777" w:rsidTr="00765B59">
        <w:tc>
          <w:tcPr>
            <w:tcW w:w="2405" w:type="dxa"/>
            <w:vAlign w:val="center"/>
          </w:tcPr>
          <w:p w14:paraId="72310796" w14:textId="77777777"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First-line and subsequent maintenance therapy for MMN</w:t>
            </w:r>
          </w:p>
        </w:tc>
        <w:tc>
          <w:tcPr>
            <w:tcW w:w="6611" w:type="dxa"/>
            <w:vAlign w:val="center"/>
          </w:tcPr>
          <w:p w14:paraId="5DFCF3F0" w14:textId="77777777" w:rsidR="000F66B6" w:rsidRPr="00765B59" w:rsidRDefault="000F66B6" w:rsidP="0002422D">
            <w:pPr>
              <w:spacing w:after="0"/>
              <w:jc w:val="left"/>
              <w:rPr>
                <w:rFonts w:asciiTheme="minorHAnsi" w:hAnsiTheme="minorHAnsi" w:cstheme="minorHAnsi"/>
                <w:sz w:val="20"/>
                <w:szCs w:val="20"/>
                <w:u w:val="single"/>
              </w:rPr>
            </w:pPr>
            <w:r w:rsidRPr="00765B59">
              <w:rPr>
                <w:rFonts w:asciiTheme="minorHAnsi" w:hAnsiTheme="minorHAnsi" w:cstheme="minorHAnsi"/>
                <w:sz w:val="20"/>
                <w:szCs w:val="20"/>
                <w:u w:val="single"/>
              </w:rPr>
              <w:t>Criteria:</w:t>
            </w:r>
          </w:p>
          <w:p w14:paraId="4C272510" w14:textId="77777777"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Newly diagnosed MMN patient, with a typical clinical phenotype, usually with persistent motor CB;</w:t>
            </w:r>
          </w:p>
          <w:p w14:paraId="14C5BFB7" w14:textId="77777777" w:rsidR="000F66B6" w:rsidRPr="00765B59" w:rsidRDefault="000F66B6" w:rsidP="0002422D">
            <w:pPr>
              <w:spacing w:after="0"/>
              <w:jc w:val="left"/>
              <w:rPr>
                <w:rFonts w:asciiTheme="minorHAnsi" w:hAnsiTheme="minorHAnsi" w:cstheme="minorHAnsi"/>
                <w:b/>
                <w:sz w:val="20"/>
                <w:szCs w:val="20"/>
              </w:rPr>
            </w:pPr>
            <w:r w:rsidRPr="00765B59">
              <w:rPr>
                <w:rFonts w:asciiTheme="minorHAnsi" w:hAnsiTheme="minorHAnsi" w:cstheme="minorHAnsi"/>
                <w:b/>
                <w:sz w:val="20"/>
                <w:szCs w:val="20"/>
              </w:rPr>
              <w:t>AND</w:t>
            </w:r>
          </w:p>
          <w:p w14:paraId="01588E59" w14:textId="48C06D19"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Demonstrates progressive motor weakness in the distribution of individual peripheral nerves</w:t>
            </w:r>
            <w:r w:rsidR="00405F4B">
              <w:rPr>
                <w:rFonts w:asciiTheme="minorHAnsi" w:hAnsiTheme="minorHAnsi" w:cstheme="minorHAnsi"/>
                <w:sz w:val="20"/>
                <w:szCs w:val="20"/>
              </w:rPr>
              <w:t>;</w:t>
            </w:r>
          </w:p>
          <w:p w14:paraId="3D59AF05" w14:textId="77777777" w:rsidR="000F66B6" w:rsidRPr="00765B59" w:rsidRDefault="000F66B6" w:rsidP="0002422D">
            <w:pPr>
              <w:spacing w:after="0"/>
              <w:jc w:val="left"/>
              <w:rPr>
                <w:rFonts w:asciiTheme="minorHAnsi" w:hAnsiTheme="minorHAnsi" w:cstheme="minorHAnsi"/>
                <w:b/>
                <w:sz w:val="20"/>
                <w:szCs w:val="20"/>
              </w:rPr>
            </w:pPr>
            <w:r w:rsidRPr="00765B59">
              <w:rPr>
                <w:rFonts w:asciiTheme="minorHAnsi" w:hAnsiTheme="minorHAnsi" w:cstheme="minorHAnsi"/>
                <w:b/>
                <w:sz w:val="20"/>
                <w:szCs w:val="20"/>
              </w:rPr>
              <w:t>AND</w:t>
            </w:r>
          </w:p>
          <w:p w14:paraId="349C1F9F" w14:textId="5298E6EC" w:rsidR="000F66B6" w:rsidRPr="00765B59" w:rsidRDefault="000F66B6" w:rsidP="002F6579">
            <w:pPr>
              <w:spacing w:after="0"/>
              <w:jc w:val="left"/>
              <w:rPr>
                <w:rFonts w:asciiTheme="minorHAnsi" w:hAnsiTheme="minorHAnsi" w:cstheme="minorHAnsi"/>
                <w:sz w:val="20"/>
                <w:szCs w:val="20"/>
              </w:rPr>
            </w:pPr>
            <w:r w:rsidRPr="00765B59">
              <w:rPr>
                <w:rFonts w:asciiTheme="minorHAnsi" w:hAnsiTheme="minorHAnsi" w:cstheme="minorHAnsi"/>
                <w:sz w:val="20"/>
                <w:szCs w:val="20"/>
              </w:rPr>
              <w:t>Demonstrates disability as measured by the Overall Neuropathy Limitation</w:t>
            </w:r>
            <w:r w:rsidR="00405F4B">
              <w:rPr>
                <w:rFonts w:asciiTheme="minorHAnsi" w:hAnsiTheme="minorHAnsi" w:cstheme="minorHAnsi"/>
                <w:sz w:val="20"/>
                <w:szCs w:val="20"/>
              </w:rPr>
              <w:t>s</w:t>
            </w:r>
            <w:r w:rsidRPr="00765B59">
              <w:rPr>
                <w:rFonts w:asciiTheme="minorHAnsi" w:hAnsiTheme="minorHAnsi" w:cstheme="minorHAnsi"/>
                <w:sz w:val="20"/>
                <w:szCs w:val="20"/>
              </w:rPr>
              <w:t xml:space="preserve"> Scale</w:t>
            </w:r>
            <w:r w:rsidRPr="00765B59">
              <w:rPr>
                <w:rFonts w:asciiTheme="minorHAnsi" w:hAnsiTheme="minorHAnsi" w:cstheme="minorHAnsi"/>
                <w:sz w:val="20"/>
                <w:szCs w:val="20"/>
                <w:vertAlign w:val="superscript"/>
              </w:rPr>
              <w:t>a</w:t>
            </w:r>
            <w:r w:rsidRPr="00765B59">
              <w:rPr>
                <w:rFonts w:asciiTheme="minorHAnsi" w:hAnsiTheme="minorHAnsi" w:cstheme="minorHAnsi"/>
                <w:sz w:val="20"/>
                <w:szCs w:val="20"/>
              </w:rPr>
              <w:t xml:space="preserve"> (ONLS) score of at least two points.</w:t>
            </w:r>
          </w:p>
        </w:tc>
      </w:tr>
      <w:tr w:rsidR="000F66B6" w:rsidRPr="00765B59" w14:paraId="3A7D8C3D" w14:textId="77777777" w:rsidTr="00765B59">
        <w:tc>
          <w:tcPr>
            <w:tcW w:w="2405" w:type="dxa"/>
            <w:vAlign w:val="center"/>
          </w:tcPr>
          <w:p w14:paraId="189F7805" w14:textId="77777777"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Further and subsequent maintenance therapy for MMN patients who relapse within six months of commencement of a trial off Ig therapy</w:t>
            </w:r>
          </w:p>
        </w:tc>
        <w:tc>
          <w:tcPr>
            <w:tcW w:w="6611" w:type="dxa"/>
            <w:vAlign w:val="center"/>
          </w:tcPr>
          <w:p w14:paraId="38CC20DF" w14:textId="77777777" w:rsidR="000F66B6" w:rsidRPr="00765B59" w:rsidRDefault="000F66B6" w:rsidP="0002422D">
            <w:pPr>
              <w:spacing w:after="0"/>
              <w:jc w:val="left"/>
              <w:rPr>
                <w:rFonts w:asciiTheme="minorHAnsi" w:hAnsiTheme="minorHAnsi" w:cstheme="minorHAnsi"/>
                <w:sz w:val="20"/>
                <w:szCs w:val="20"/>
                <w:u w:val="single"/>
              </w:rPr>
            </w:pPr>
            <w:r w:rsidRPr="00765B59">
              <w:rPr>
                <w:rFonts w:asciiTheme="minorHAnsi" w:hAnsiTheme="minorHAnsi" w:cstheme="minorHAnsi"/>
                <w:sz w:val="20"/>
                <w:szCs w:val="20"/>
                <w:u w:val="single"/>
              </w:rPr>
              <w:t>Criteria:</w:t>
            </w:r>
          </w:p>
          <w:p w14:paraId="0A15E8AD" w14:textId="5A0DC6EA"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MMN patients who are responding to Ig therapy, but have relapsed within six months of commenc</w:t>
            </w:r>
            <w:r w:rsidR="00405F4B">
              <w:rPr>
                <w:rFonts w:asciiTheme="minorHAnsi" w:hAnsiTheme="minorHAnsi" w:cstheme="minorHAnsi"/>
                <w:sz w:val="20"/>
                <w:szCs w:val="20"/>
              </w:rPr>
              <w:t>ement of a trial off Ig therapy;</w:t>
            </w:r>
          </w:p>
          <w:p w14:paraId="058BEA47" w14:textId="77777777" w:rsidR="000F66B6" w:rsidRPr="00765B59" w:rsidRDefault="000F66B6" w:rsidP="0002422D">
            <w:pPr>
              <w:spacing w:after="0"/>
              <w:jc w:val="left"/>
              <w:rPr>
                <w:rFonts w:asciiTheme="minorHAnsi" w:hAnsiTheme="minorHAnsi" w:cstheme="minorHAnsi"/>
                <w:b/>
                <w:sz w:val="20"/>
                <w:szCs w:val="20"/>
              </w:rPr>
            </w:pPr>
            <w:r w:rsidRPr="00765B59">
              <w:rPr>
                <w:rFonts w:asciiTheme="minorHAnsi" w:hAnsiTheme="minorHAnsi" w:cstheme="minorHAnsi"/>
                <w:b/>
                <w:sz w:val="20"/>
                <w:szCs w:val="20"/>
              </w:rPr>
              <w:t>AND</w:t>
            </w:r>
          </w:p>
          <w:p w14:paraId="63A74676" w14:textId="77777777"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Following a trial off Ig therapy, deterioration in motor weakness</w:t>
            </w:r>
          </w:p>
          <w:p w14:paraId="2346FE33" w14:textId="77777777"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compared to the level of weakness at the last review in a patient who</w:t>
            </w:r>
          </w:p>
          <w:p w14:paraId="7592C27D" w14:textId="31F8E0A9"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was previously stable while on Ig therapy</w:t>
            </w:r>
            <w:r w:rsidR="00405F4B">
              <w:rPr>
                <w:rFonts w:asciiTheme="minorHAnsi" w:hAnsiTheme="minorHAnsi" w:cstheme="minorHAnsi"/>
                <w:sz w:val="20"/>
                <w:szCs w:val="20"/>
              </w:rPr>
              <w:t>;</w:t>
            </w:r>
          </w:p>
          <w:p w14:paraId="1A3C3F0E" w14:textId="77777777" w:rsidR="000F66B6" w:rsidRPr="00765B59" w:rsidRDefault="000F66B6" w:rsidP="0002422D">
            <w:pPr>
              <w:spacing w:after="0"/>
              <w:jc w:val="left"/>
              <w:rPr>
                <w:rFonts w:asciiTheme="minorHAnsi" w:hAnsiTheme="minorHAnsi" w:cstheme="minorHAnsi"/>
                <w:b/>
                <w:sz w:val="20"/>
                <w:szCs w:val="20"/>
              </w:rPr>
            </w:pPr>
            <w:r w:rsidRPr="00765B59">
              <w:rPr>
                <w:rFonts w:asciiTheme="minorHAnsi" w:hAnsiTheme="minorHAnsi" w:cstheme="minorHAnsi"/>
                <w:b/>
                <w:sz w:val="20"/>
                <w:szCs w:val="20"/>
              </w:rPr>
              <w:t>AND</w:t>
            </w:r>
          </w:p>
          <w:p w14:paraId="144BC97D" w14:textId="7F34016C" w:rsidR="000F66B6" w:rsidRPr="00765B59" w:rsidRDefault="000F66B6" w:rsidP="0002422D">
            <w:pPr>
              <w:spacing w:after="0"/>
              <w:jc w:val="left"/>
              <w:rPr>
                <w:rFonts w:asciiTheme="minorHAnsi" w:hAnsiTheme="minorHAnsi" w:cstheme="minorHAnsi"/>
                <w:sz w:val="20"/>
                <w:szCs w:val="20"/>
              </w:rPr>
            </w:pPr>
            <w:r w:rsidRPr="00765B59">
              <w:rPr>
                <w:rFonts w:asciiTheme="minorHAnsi" w:hAnsiTheme="minorHAnsi" w:cstheme="minorHAnsi"/>
                <w:sz w:val="20"/>
                <w:szCs w:val="20"/>
              </w:rPr>
              <w:t>An increased level of disability as measured by the adjusted ONLS with an increase of at least one point compared to the score at last review.</w:t>
            </w:r>
          </w:p>
        </w:tc>
      </w:tr>
    </w:tbl>
    <w:p w14:paraId="7D79D31A" w14:textId="77777777" w:rsidR="000F66B6" w:rsidRDefault="000F66B6" w:rsidP="003A3782">
      <w:pPr>
        <w:pStyle w:val="NoSpacing"/>
        <w:spacing w:after="0"/>
      </w:pPr>
      <w:r w:rsidRPr="00595131">
        <w:t>Abbreviations:</w:t>
      </w:r>
      <w:r>
        <w:t xml:space="preserve"> IVIg = intravenous immunoglobulin; MMN = multifocal motor neuropathy; ONLS = overall neuropathy limitations scale.</w:t>
      </w:r>
    </w:p>
    <w:p w14:paraId="45A48F92" w14:textId="77777777" w:rsidR="000F66B6" w:rsidRPr="00595131" w:rsidRDefault="000F66B6" w:rsidP="003A3782">
      <w:pPr>
        <w:pStyle w:val="NoSpacing"/>
        <w:spacing w:after="0"/>
      </w:pPr>
      <w:r>
        <w:t xml:space="preserve">Note: The ONLS is a modified version of the overall disability sum score which was the first scale designed to assess the limitations of patients with immune-mediated peripheral neuropathies. The ONLS consists of two parts: arm scale and leg scale. The ONLS is scored by adding the total of the arm scale score (0-5) and leg scale score (0-7), making a total score up to 12. To </w:t>
      </w:r>
      <w:r w:rsidRPr="00883A98">
        <w:t>evaluate a change in d</w:t>
      </w:r>
      <w:r>
        <w:t>isability on patient review an a</w:t>
      </w:r>
      <w:r w:rsidRPr="00883A98">
        <w:t>djusted ONLS is recorded. The adjusted score is identical to the ONLS disability score except for the exclusion of changes in upper limb function from 0 to 1 or from 1 to 0, because these changes have not been judged to be clinically significant in all patients. All other 1-point steps in either the arm or leg scale represent clinically meaningful changes in disability</w:t>
      </w:r>
      <w:r>
        <w:t>.</w:t>
      </w:r>
    </w:p>
    <w:p w14:paraId="5524A915" w14:textId="015BCBB3" w:rsidR="000F66B6" w:rsidRPr="00595131" w:rsidRDefault="000F66B6" w:rsidP="00765B59">
      <w:pPr>
        <w:pStyle w:val="NoSpacing"/>
      </w:pPr>
      <w:r w:rsidRPr="00595131">
        <w:t xml:space="preserve">Source: </w:t>
      </w:r>
      <w:r>
        <w:t>BloodSTAR (2018). T</w:t>
      </w:r>
      <w:hyperlink r:id="rId9" w:history="1">
        <w:r w:rsidRPr="00405F4B">
          <w:rPr>
            <w:rStyle w:val="Hyperlink"/>
          </w:rPr>
          <w:t>he Criteria for clinical use of immunoglobulin in Australia (the Criteria); multifocal motor neuropathy</w:t>
        </w:r>
      </w:hyperlink>
      <w:r w:rsidR="00405F4B">
        <w:t>, Version 3</w:t>
      </w:r>
      <w:r>
        <w:t>.</w:t>
      </w:r>
    </w:p>
    <w:p w14:paraId="7A776AAF" w14:textId="7BC2F83C" w:rsidR="000F66B6" w:rsidRPr="009B2D1D" w:rsidRDefault="003C154C" w:rsidP="00962E77">
      <w:pPr>
        <w:pStyle w:val="Heading2"/>
      </w:pPr>
      <w:r>
        <w:t xml:space="preserve">1.2 </w:t>
      </w:r>
      <w:r w:rsidR="000F66B6" w:rsidRPr="009B2D1D">
        <w:t>Diagnosis</w:t>
      </w:r>
      <w:r w:rsidR="000F66B6">
        <w:t xml:space="preserve"> of MMN</w:t>
      </w:r>
    </w:p>
    <w:p w14:paraId="5244B688" w14:textId="7C20E871" w:rsidR="000F66B6" w:rsidRDefault="000F66B6" w:rsidP="00E5089D">
      <w:r w:rsidRPr="00405F4B">
        <w:t>The Criteria</w:t>
      </w:r>
      <w:r w:rsidRPr="00C83932">
        <w:rPr>
          <w:i/>
        </w:rPr>
        <w:t xml:space="preserve"> </w:t>
      </w:r>
      <w:r>
        <w:t xml:space="preserve">requires that a diagnosis of MMN be made by a neurologist. </w:t>
      </w:r>
      <w:r w:rsidRPr="003414ED">
        <w:t xml:space="preserve"> </w:t>
      </w:r>
      <w:r>
        <w:t xml:space="preserve">As indicated in Table </w:t>
      </w:r>
      <w:r w:rsidR="00C8526E">
        <w:t>1</w:t>
      </w:r>
      <w:r>
        <w:t xml:space="preserve">, the clinical criteria for assessing IVIg therapy for MMN in Australia include progressive motor weakness and a disability of </w:t>
      </w:r>
      <w:r>
        <w:rPr>
          <w:rFonts w:cs="Calibri"/>
        </w:rPr>
        <w:t>≥</w:t>
      </w:r>
      <w:r>
        <w:t xml:space="preserve">2 as measured by the ONLS </w:t>
      </w:r>
      <w:r w:rsidR="00E61B6E">
        <w:fldChar w:fldCharType="begin"/>
      </w:r>
      <w:r w:rsidR="00E61B6E">
        <w:instrText xml:space="preserve"> ADDIN EN.CITE &lt;EndNote&gt;&lt;Cite&gt;&lt;Author&gt;BloodSTAR&lt;/Author&gt;&lt;Year&gt;2018&lt;/Year&gt;&lt;RecNum&gt;7&lt;/RecNum&gt;&lt;DisplayText&gt;(2)&lt;/DisplayText&gt;&lt;record&gt;&lt;rec-number&gt;7&lt;/rec-number&gt;&lt;foreign-keys&gt;&lt;key app="EN" db-id="vz5vz5xro5d25hepedvpvr0o0v5axp5r99sw" timestamp="1567648378"&gt;7&lt;/key&gt;&lt;/foreign-keys&gt;&lt;ref-type name="Journal Article"&gt;17&lt;/ref-type&gt;&lt;contributors&gt;&lt;authors&gt;&lt;author&gt;BloodSTAR&lt;/author&gt;&lt;/authors&gt;&lt;/contributors&gt;&lt;titles&gt;&lt;title&gt;Current Ig use in Australia: Multifocal motor neuropathy&lt;/title&gt;&lt;/titles&gt;&lt;pages&gt;7&lt;/pages&gt;&lt;dates&gt;&lt;year&gt;2018&lt;/year&gt;&lt;/dates&gt;&lt;urls&gt;&lt;related-urls&gt;&lt;url&gt; (https://www.criteria.blood.gov.au/MedicalCondition/View/2558).&lt;/url&gt;&lt;/related-urls&gt;&lt;/urls&gt;&lt;/record&gt;&lt;/Cite&gt;&lt;/EndNote&gt;</w:instrText>
      </w:r>
      <w:r w:rsidR="00E61B6E">
        <w:fldChar w:fldCharType="separate"/>
      </w:r>
      <w:r w:rsidR="00E61B6E">
        <w:rPr>
          <w:noProof/>
        </w:rPr>
        <w:t>(2)</w:t>
      </w:r>
      <w:r w:rsidR="00E61B6E">
        <w:fldChar w:fldCharType="end"/>
      </w:r>
      <w:r>
        <w:t xml:space="preserve">. </w:t>
      </w:r>
      <w:r w:rsidR="00671F12">
        <w:t>The incomplete understanding of the pathophysiology of MMN and the similarities of some of the clinical symptoms of MMN to MND and CIDP makes it difficult to diagnose MMN. In particular, there is difficulty in distinguishing between MMN and MND clinically because both are characterised by weakness in the arms in combination with cramps, wasting and fasciculation. However, as noted earlier, a principal differential diagnosis of MMN to MND is that motor deficits in MMN occur in the distribution of a single nerve whilst in MND they occur in the distribution of spinal segments. In addition, in contrast to MMN, MND is characterised by muscle rigidity, inability to move muscles and loss of the ability to control muscles over</w:t>
      </w:r>
      <w:r w:rsidR="00405F4B">
        <w:t xml:space="preserve"> </w:t>
      </w:r>
      <w:r w:rsidR="00671F12">
        <w:t xml:space="preserve">time </w:t>
      </w:r>
      <w:r w:rsidR="00671F12">
        <w:fldChar w:fldCharType="begin"/>
      </w:r>
      <w:r w:rsidR="00671F12">
        <w:instrText xml:space="preserve"> ADDIN EN.CITE &lt;EndNote&gt;&lt;Cite&gt;&lt;Author&gt;Norris&lt;/Author&gt;&lt;Year&gt;1993&lt;/Year&gt;&lt;RecNum&gt;37&lt;/RecNum&gt;&lt;DisplayText&gt;(6)&lt;/DisplayText&gt;&lt;record&gt;&lt;rec-number&gt;37&lt;/rec-number&gt;&lt;foreign-keys&gt;&lt;key app="EN" db-id="vz5vz5xro5d25hepedvpvr0o0v5axp5r99sw" timestamp="1568856446"&gt;37&lt;/key&gt;&lt;/foreign-keys&gt;&lt;ref-type name="Journal Article"&gt;17&lt;/ref-type&gt;&lt;contributors&gt;&lt;authors&gt;&lt;author&gt;Norris, Forbes&lt;/author&gt;&lt;author&gt;Shepherd, Rodger&lt;/author&gt;&lt;author&gt;Denys, Eric&lt;/author&gt;&lt;author&gt;U, Kwei&lt;/author&gt;&lt;author&gt;Mukai, Eichiro&lt;/author&gt;&lt;author&gt;Elias, Linda&lt;/author&gt;&lt;author&gt;Holden, Dolores&lt;/author&gt;&lt;author&gt;Norris, Holten&lt;/author&gt;&lt;/authors&gt;&lt;/contributors&gt;&lt;titles&gt;&lt;title&gt;Onset, natural history and outcome in idiopathic adult motor neuron disease&lt;/title&gt;&lt;secondary-title&gt;Journal of the Neurological Sciences&lt;/secondary-title&gt;&lt;/titles&gt;&lt;periodical&gt;&lt;full-title&gt;Journal of the Neurological Sciences&lt;/full-title&gt;&lt;/periodical&gt;&lt;pages&gt;48-55&lt;/pages&gt;&lt;volume&gt;118&lt;/volume&gt;&lt;number&gt;1&lt;/number&gt;&lt;keywords&gt;&lt;keyword&gt;Natural history&lt;/keyword&gt;&lt;keyword&gt;Motor neuron disease&lt;/keyword&gt;&lt;keyword&gt;Amyotrophic lateral sclerosis&lt;/keyword&gt;&lt;keyword&gt;Prospective series&lt;/keyword&gt;&lt;keyword&gt;Outcome&lt;/keyword&gt;&lt;/keywords&gt;&lt;dates&gt;&lt;year&gt;1993&lt;/year&gt;&lt;pub-dates&gt;&lt;date&gt;1993/08/01/&lt;/date&gt;&lt;/pub-dates&gt;&lt;/dates&gt;&lt;isbn&gt;0022-510X&lt;/isbn&gt;&lt;urls&gt;&lt;related-urls&gt;&lt;url&gt;http://www.sciencedirect.com/science/article/pii/0022510X9390245T&lt;/url&gt;&lt;/related-urls&gt;&lt;/urls&gt;&lt;electronic-resource-num&gt;https://doi.org/10.1016/0022-510X(93)90245-T&lt;/electronic-resource-num&gt;&lt;/record&gt;&lt;/Cite&gt;&lt;/EndNote&gt;</w:instrText>
      </w:r>
      <w:r w:rsidR="00671F12">
        <w:fldChar w:fldCharType="separate"/>
      </w:r>
      <w:r w:rsidR="00671F12">
        <w:rPr>
          <w:noProof/>
        </w:rPr>
        <w:t>(6)</w:t>
      </w:r>
      <w:r w:rsidR="00671F12">
        <w:fldChar w:fldCharType="end"/>
      </w:r>
      <w:r w:rsidR="00671F12">
        <w:t xml:space="preserve">. Due to the difficulty in diagnosing MMN, </w:t>
      </w:r>
      <w:r w:rsidR="00471DBB">
        <w:t>t</w:t>
      </w:r>
      <w:r w:rsidR="00671F12">
        <w:t xml:space="preserve">he </w:t>
      </w:r>
      <w:r w:rsidR="00405F4B">
        <w:t xml:space="preserve">Ig Review </w:t>
      </w:r>
      <w:r w:rsidR="00671F12">
        <w:t xml:space="preserve">Reference Group noted that MMN should </w:t>
      </w:r>
      <w:r w:rsidR="00471DBB">
        <w:t xml:space="preserve">preferably </w:t>
      </w:r>
      <w:r w:rsidR="00671F12">
        <w:t>be diagnosed by two clinicians (neurologists)</w:t>
      </w:r>
      <w:r w:rsidR="00405F4B">
        <w:t>,</w:t>
      </w:r>
      <w:r w:rsidR="00471DBB">
        <w:t xml:space="preserve"> but</w:t>
      </w:r>
      <w:r w:rsidR="00405F4B">
        <w:t xml:space="preserve"> that</w:t>
      </w:r>
      <w:r w:rsidR="00471DBB">
        <w:t xml:space="preserve"> this may</w:t>
      </w:r>
      <w:r w:rsidR="009B5ABB">
        <w:t xml:space="preserve"> have an</w:t>
      </w:r>
      <w:r w:rsidR="00471DBB">
        <w:t xml:space="preserve"> </w:t>
      </w:r>
      <w:r w:rsidR="009B5ABB">
        <w:t xml:space="preserve">impact on access </w:t>
      </w:r>
      <w:r w:rsidR="009B5ABB">
        <w:lastRenderedPageBreak/>
        <w:t>and equity</w:t>
      </w:r>
      <w:r w:rsidR="00671F12">
        <w:t xml:space="preserve">. </w:t>
      </w:r>
      <w:r>
        <w:t>The draft Referral for MMN 1590 noted that referral pathways to a neurologist are vari</w:t>
      </w:r>
      <w:r w:rsidR="001C15A0">
        <w:t>ed</w:t>
      </w:r>
      <w:r>
        <w:t xml:space="preserve"> including general practitioners (GP) or other specialists</w:t>
      </w:r>
      <w:r w:rsidR="00405F4B">
        <w:t>,</w:t>
      </w:r>
      <w:r>
        <w:t xml:space="preserve"> such as rheumatologist</w:t>
      </w:r>
      <w:r w:rsidR="002B6806">
        <w:t>s</w:t>
      </w:r>
      <w:r>
        <w:t xml:space="preserve"> or orthopaedic surgeons. </w:t>
      </w:r>
      <w:r w:rsidR="001C15A0">
        <w:t>The draft Referral</w:t>
      </w:r>
      <w:r>
        <w:t xml:space="preserve"> further stated that to rule out the main differential diagnosis, MND, ge</w:t>
      </w:r>
      <w:r w:rsidR="00405F4B">
        <w:t xml:space="preserve">netic testing may be conducted; </w:t>
      </w:r>
      <w:r>
        <w:t>however</w:t>
      </w:r>
      <w:r w:rsidR="00405F4B">
        <w:t>,</w:t>
      </w:r>
      <w:r>
        <w:t xml:space="preserve"> this diagnostic test is not currently funded under the </w:t>
      </w:r>
      <w:r w:rsidR="00405F4B">
        <w:t>Medical Benefits Scheme (</w:t>
      </w:r>
      <w:r>
        <w:t>MBS</w:t>
      </w:r>
      <w:r w:rsidR="00405F4B">
        <w:t>)</w:t>
      </w:r>
      <w:r>
        <w:t xml:space="preserve">. </w:t>
      </w:r>
    </w:p>
    <w:p w14:paraId="311B5C18" w14:textId="0F3E12C2" w:rsidR="000F66B6" w:rsidRDefault="000F66B6" w:rsidP="002E4F05">
      <w:r>
        <w:t xml:space="preserve">The European Federation of Neurological Societies/Peripheral Nerve Society (EFNS/PNS) guideline </w:t>
      </w:r>
      <w:r w:rsidR="00E61B6E">
        <w:fldChar w:fldCharType="begin"/>
      </w:r>
      <w:r w:rsidR="00C472E6">
        <w:instrText xml:space="preserve"> ADDIN EN.CITE &lt;EndNote&gt;&lt;Cite&gt;&lt;Author&gt;Joint Task Force of the&lt;/Author&gt;&lt;Year&gt;2010&lt;/Year&gt;&lt;RecNum&gt;47&lt;/RecNum&gt;&lt;DisplayText&gt;(7)&lt;/DisplayText&gt;&lt;record&gt;&lt;rec-number&gt;47&lt;/rec-number&gt;&lt;foreign-keys&gt;&lt;key app="EN" db-id="vz5vz5xro5d25hepedvpvr0o0v5axp5r99sw" timestamp="1568859981"&gt;47&lt;/key&gt;&lt;/foreign-keys&gt;&lt;ref-type name="Journal Article"&gt;17&lt;/ref-type&gt;&lt;contributors&gt;&lt;authors&gt;&lt;author&gt;Joint Task Force of the EFNS and PNS,&lt;/author&gt;&lt;/authors&gt;&lt;/contributors&gt;&lt;titles&gt;&lt;title&gt;European Federation of Neurological Societies/Peripheral Nerve Society Guideline on management of multifocal motor neuropathy. Report of a Joint Task Force of the European Federation of Neurological Societies and the Peripheral Nerve Society – first revision&lt;/title&gt;&lt;secondary-title&gt;Journal of the Peripheral Nervous System&lt;/secondary-title&gt;&lt;/titles&gt;&lt;periodical&gt;&lt;full-title&gt;Journal of the Peripheral Nervous System&lt;/full-title&gt;&lt;/periodical&gt;&lt;pages&gt;295-301&lt;/pages&gt;&lt;volume&gt;15&lt;/volume&gt;&lt;number&gt;4&lt;/number&gt;&lt;keywords&gt;&lt;keyword&gt;definition&lt;/keyword&gt;&lt;keyword&gt;diagnosis&lt;/keyword&gt;&lt;keyword&gt;guidelines&lt;/keyword&gt;&lt;keyword&gt;multifocal motor neuropathy&lt;/keyword&gt;&lt;keyword&gt;treatment&lt;/keyword&gt;&lt;/keywords&gt;&lt;dates&gt;&lt;year&gt;2010&lt;/year&gt;&lt;pub-dates&gt;&lt;date&gt;2010/12/01&lt;/date&gt;&lt;/pub-dates&gt;&lt;/dates&gt;&lt;publisher&gt;John Wiley &amp;amp; Sons, Ltd (10.1111)&lt;/publisher&gt;&lt;isbn&gt;1085-9489&lt;/isbn&gt;&lt;urls&gt;&lt;related-urls&gt;&lt;url&gt;https://doi.org/10.1111/j.1529-8027.2010.00290.x&lt;/url&gt;&lt;/related-urls&gt;&lt;/urls&gt;&lt;electronic-resource-num&gt;10.1111/j.1529-8027.2010.00290.x&lt;/electronic-resource-num&gt;&lt;access-date&gt;2019/09/18&lt;/access-date&gt;&lt;/record&gt;&lt;/Cite&gt;&lt;/EndNote&gt;</w:instrText>
      </w:r>
      <w:r w:rsidR="00E61B6E">
        <w:fldChar w:fldCharType="separate"/>
      </w:r>
      <w:r w:rsidR="00E61B6E">
        <w:rPr>
          <w:noProof/>
        </w:rPr>
        <w:t>(7)</w:t>
      </w:r>
      <w:r w:rsidR="00E61B6E">
        <w:fldChar w:fldCharType="end"/>
      </w:r>
      <w:r>
        <w:t xml:space="preserve"> suggests that the diagnosis of MMN should be based on clinical and electrophysiological criteria, and supplemented with other supportive criteria. The criteria for these diagnostics and recommendations for good practice as included in the 2010 </w:t>
      </w:r>
      <w:r w:rsidRPr="002A00FB">
        <w:t>EFNS/PNS</w:t>
      </w:r>
      <w:r>
        <w:t xml:space="preserve"> guideline</w:t>
      </w:r>
      <w:r w:rsidRPr="002A00FB">
        <w:t xml:space="preserve"> </w:t>
      </w:r>
      <w:r>
        <w:t xml:space="preserve">are presented in Table </w:t>
      </w:r>
      <w:r w:rsidR="00D34CD3">
        <w:t>2</w:t>
      </w:r>
      <w:r w:rsidRPr="000967E6">
        <w:t>.</w:t>
      </w:r>
      <w:r>
        <w:t xml:space="preserve"> </w:t>
      </w:r>
      <w:r w:rsidRPr="000967E6">
        <w:t>The main clinical characteristics of MMN are slowly progressive or stepwise progressive course</w:t>
      </w:r>
      <w:r>
        <w:t xml:space="preserve"> of weakness</w:t>
      </w:r>
      <w:r w:rsidRPr="000967E6">
        <w:t xml:space="preserve">, weakness without objective sensory loss, asymmetric involvement of two or more nerves, and the absence of upper motor neuron signs. </w:t>
      </w:r>
      <w:r>
        <w:t>The criteria used for IVIg therapy for MMN in Australia are consistent with the clinical diagnostic criteria of EFNS/PNS. In addition, t</w:t>
      </w:r>
      <w:r w:rsidRPr="000967E6">
        <w:t xml:space="preserve">he electrophysiological criteria </w:t>
      </w:r>
      <w:r>
        <w:t>include</w:t>
      </w:r>
      <w:r w:rsidRPr="000967E6">
        <w:t xml:space="preserve"> definite</w:t>
      </w:r>
      <w:r>
        <w:t xml:space="preserve"> or</w:t>
      </w:r>
      <w:r w:rsidRPr="000967E6">
        <w:t xml:space="preserve"> probable motor CB</w:t>
      </w:r>
      <w:r>
        <w:t xml:space="preserve"> and normal sensory nerve conduction.</w:t>
      </w:r>
    </w:p>
    <w:p w14:paraId="01A8D2A6" w14:textId="5FA7D256" w:rsidR="000F66B6" w:rsidRDefault="000F66B6" w:rsidP="00E5089D">
      <w:r>
        <w:t>Other tests that could support the diagnosis of MMN are: elevated IgM anti-ganglioside GM1 antibodies</w:t>
      </w:r>
      <w:r w:rsidR="00FE5FC7">
        <w:t>;</w:t>
      </w:r>
      <w:r>
        <w:t xml:space="preserve"> normal or mildly increased cerebrospinal fluid protein (&lt;1 g/l)</w:t>
      </w:r>
      <w:r w:rsidR="00FE5FC7">
        <w:t>;</w:t>
      </w:r>
      <w:r>
        <w:t xml:space="preserve"> and increased signal intensity on T2-weighted  magnetic resonance imaging (MRI) scans of the brachial plexus associated with a diffuse nerve swelling. An objective clinical improvement following IVIg treatment could also support the diagnosis of MMN. </w:t>
      </w:r>
      <w:r w:rsidR="00CE6140">
        <w:t>However, IVIg therapy can also have a placebo effect on MND patients for a short term. Therefore, i</w:t>
      </w:r>
      <w:r>
        <w:t>t should be noted that</w:t>
      </w:r>
      <w:r w:rsidR="00CE6140">
        <w:t>, objective clinic</w:t>
      </w:r>
      <w:r w:rsidR="00726989">
        <w:t>al response to IVIg therapy and</w:t>
      </w:r>
      <w:r>
        <w:t xml:space="preserve"> all of these </w:t>
      </w:r>
      <w:r w:rsidR="00CE6140">
        <w:t xml:space="preserve">other </w:t>
      </w:r>
      <w:r>
        <w:t>tests (</w:t>
      </w:r>
      <w:r w:rsidR="00765B59">
        <w:t>for</w:t>
      </w:r>
      <w:r>
        <w:t xml:space="preserve"> supportive criteria) are not required for patients who satisfy the clinical and electro-diagnostic criteria of MMN: that is</w:t>
      </w:r>
      <w:r w:rsidR="00765B59">
        <w:t xml:space="preserve"> when </w:t>
      </w:r>
      <w:r>
        <w:t>a definit</w:t>
      </w:r>
      <w:r w:rsidR="002B6806">
        <w:t>iv</w:t>
      </w:r>
      <w:r>
        <w:t>e diagnosis of MMN can be made (see Table 2).</w:t>
      </w:r>
    </w:p>
    <w:p w14:paraId="44A5DA2F" w14:textId="7A7DD77C" w:rsidR="000F66B6" w:rsidRPr="00CD2153" w:rsidRDefault="000F66B6" w:rsidP="00E5089D">
      <w:pPr>
        <w:keepNext/>
        <w:keepLines/>
        <w:spacing w:after="0" w:line="240" w:lineRule="auto"/>
        <w:rPr>
          <w:b/>
          <w:sz w:val="20"/>
          <w:szCs w:val="20"/>
        </w:rPr>
      </w:pPr>
      <w:r w:rsidRPr="00CD2153">
        <w:rPr>
          <w:b/>
          <w:sz w:val="20"/>
          <w:szCs w:val="20"/>
        </w:rPr>
        <w:t xml:space="preserve">Table 2: Diagnostic criteria and diagnostic tests for MMN as presented in the 2010 EFNS/PNS guideline </w:t>
      </w:r>
      <w:r w:rsidR="00E61B6E" w:rsidRPr="00CD2153">
        <w:rPr>
          <w:b/>
          <w:sz w:val="20"/>
          <w:szCs w:val="20"/>
        </w:rPr>
        <w:fldChar w:fldCharType="begin"/>
      </w:r>
      <w:r w:rsidR="00C472E6" w:rsidRPr="00CD2153">
        <w:rPr>
          <w:b/>
          <w:sz w:val="20"/>
          <w:szCs w:val="20"/>
        </w:rPr>
        <w:instrText xml:space="preserve"> ADDIN EN.CITE &lt;EndNote&gt;&lt;Cite&gt;&lt;Author&gt;Joint Task Force of the&lt;/Author&gt;&lt;Year&gt;2010&lt;/Year&gt;&lt;RecNum&gt;47&lt;/RecNum&gt;&lt;DisplayText&gt;(7)&lt;/DisplayText&gt;&lt;record&gt;&lt;rec-number&gt;47&lt;/rec-number&gt;&lt;foreign-keys&gt;&lt;key app="EN" db-id="vz5vz5xro5d25hepedvpvr0o0v5axp5r99sw" timestamp="1568859981"&gt;47&lt;/key&gt;&lt;/foreign-keys&gt;&lt;ref-type name="Journal Article"&gt;17&lt;/ref-type&gt;&lt;contributors&gt;&lt;authors&gt;&lt;author&gt;Joint Task Force of the EFNS and PNS,&lt;/author&gt;&lt;/authors&gt;&lt;/contributors&gt;&lt;titles&gt;&lt;title&gt;European Federation of Neurological Societies/Peripheral Nerve Society Guideline on management of multifocal motor neuropathy. Report of a Joint Task Force of the European Federation of Neurological Societies and the Peripheral Nerve Society – first revision&lt;/title&gt;&lt;secondary-title&gt;Journal of the Peripheral Nervous System&lt;/secondary-title&gt;&lt;/titles&gt;&lt;periodical&gt;&lt;full-title&gt;Journal of the Peripheral Nervous System&lt;/full-title&gt;&lt;/periodical&gt;&lt;pages&gt;295-301&lt;/pages&gt;&lt;volume&gt;15&lt;/volume&gt;&lt;number&gt;4&lt;/number&gt;&lt;keywords&gt;&lt;keyword&gt;definition&lt;/keyword&gt;&lt;keyword&gt;diagnosis&lt;/keyword&gt;&lt;keyword&gt;guidelines&lt;/keyword&gt;&lt;keyword&gt;multifocal motor neuropathy&lt;/keyword&gt;&lt;keyword&gt;treatment&lt;/keyword&gt;&lt;/keywords&gt;&lt;dates&gt;&lt;year&gt;2010&lt;/year&gt;&lt;pub-dates&gt;&lt;date&gt;2010/12/01&lt;/date&gt;&lt;/pub-dates&gt;&lt;/dates&gt;&lt;publisher&gt;John Wiley &amp;amp; Sons, Ltd (10.1111)&lt;/publisher&gt;&lt;isbn&gt;1085-9489&lt;/isbn&gt;&lt;urls&gt;&lt;related-urls&gt;&lt;url&gt;https://doi.org/10.1111/j.1529-8027.2010.00290.x&lt;/url&gt;&lt;/related-urls&gt;&lt;/urls&gt;&lt;electronic-resource-num&gt;10.1111/j.1529-8027.2010.00290.x&lt;/electronic-resource-num&gt;&lt;access-date&gt;2019/09/18&lt;/access-date&gt;&lt;/record&gt;&lt;/Cite&gt;&lt;/EndNote&gt;</w:instrText>
      </w:r>
      <w:r w:rsidR="00E61B6E" w:rsidRPr="00CD2153">
        <w:rPr>
          <w:b/>
          <w:sz w:val="20"/>
          <w:szCs w:val="20"/>
        </w:rPr>
        <w:fldChar w:fldCharType="separate"/>
      </w:r>
      <w:r w:rsidR="00E61B6E" w:rsidRPr="00CD2153">
        <w:rPr>
          <w:b/>
          <w:noProof/>
          <w:sz w:val="20"/>
          <w:szCs w:val="20"/>
        </w:rPr>
        <w:t>(7)</w:t>
      </w:r>
      <w:r w:rsidR="00E61B6E" w:rsidRPr="00CD2153">
        <w:rPr>
          <w:b/>
          <w:sz w:val="20"/>
          <w:szCs w:val="20"/>
        </w:rPr>
        <w:fldChar w:fldCharType="end"/>
      </w:r>
    </w:p>
    <w:tbl>
      <w:tblPr>
        <w:tblStyle w:val="TableGrid"/>
        <w:tblW w:w="0" w:type="auto"/>
        <w:tblLook w:val="04A0" w:firstRow="1" w:lastRow="0" w:firstColumn="1" w:lastColumn="0" w:noHBand="0" w:noVBand="1"/>
        <w:tblCaption w:val="Table 2: Diagnostic criteria and diagnostic tests for MMN as presented in the 2010 EFNS/PNS guideline (7)"/>
      </w:tblPr>
      <w:tblGrid>
        <w:gridCol w:w="3005"/>
        <w:gridCol w:w="3369"/>
        <w:gridCol w:w="2642"/>
      </w:tblGrid>
      <w:tr w:rsidR="000F66B6" w:rsidRPr="00765B59" w14:paraId="6EE6BE89" w14:textId="77777777" w:rsidTr="00765B59">
        <w:trPr>
          <w:tblHeader/>
        </w:trPr>
        <w:tc>
          <w:tcPr>
            <w:tcW w:w="3005" w:type="dxa"/>
            <w:vAlign w:val="center"/>
          </w:tcPr>
          <w:p w14:paraId="29B0198A" w14:textId="77777777" w:rsidR="000F66B6" w:rsidRPr="00765B59" w:rsidRDefault="000F66B6" w:rsidP="002E4F05">
            <w:pPr>
              <w:keepNext/>
              <w:keepLines/>
              <w:spacing w:after="0"/>
              <w:jc w:val="left"/>
              <w:rPr>
                <w:rFonts w:asciiTheme="minorHAnsi" w:hAnsiTheme="minorHAnsi" w:cstheme="minorHAnsi"/>
                <w:b/>
                <w:sz w:val="20"/>
                <w:szCs w:val="20"/>
              </w:rPr>
            </w:pPr>
            <w:r w:rsidRPr="00765B59">
              <w:rPr>
                <w:rFonts w:asciiTheme="minorHAnsi" w:hAnsiTheme="minorHAnsi" w:cstheme="minorHAnsi"/>
                <w:b/>
                <w:sz w:val="20"/>
                <w:szCs w:val="20"/>
              </w:rPr>
              <w:t xml:space="preserve">Clinical criteria </w:t>
            </w:r>
          </w:p>
        </w:tc>
        <w:tc>
          <w:tcPr>
            <w:tcW w:w="3369" w:type="dxa"/>
            <w:vAlign w:val="center"/>
          </w:tcPr>
          <w:p w14:paraId="63D0879E" w14:textId="77777777" w:rsidR="000F66B6" w:rsidRPr="00765B59" w:rsidRDefault="000F66B6" w:rsidP="002E4F05">
            <w:pPr>
              <w:keepNext/>
              <w:keepLines/>
              <w:spacing w:after="0"/>
              <w:jc w:val="left"/>
              <w:rPr>
                <w:rFonts w:asciiTheme="minorHAnsi" w:hAnsiTheme="minorHAnsi" w:cstheme="minorHAnsi"/>
                <w:b/>
                <w:sz w:val="20"/>
                <w:szCs w:val="20"/>
              </w:rPr>
            </w:pPr>
            <w:r w:rsidRPr="00765B59">
              <w:rPr>
                <w:rFonts w:asciiTheme="minorHAnsi" w:hAnsiTheme="minorHAnsi" w:cstheme="minorHAnsi"/>
                <w:b/>
                <w:sz w:val="20"/>
                <w:szCs w:val="20"/>
              </w:rPr>
              <w:t>Electrophysiological criteria</w:t>
            </w:r>
          </w:p>
        </w:tc>
        <w:tc>
          <w:tcPr>
            <w:tcW w:w="2642" w:type="dxa"/>
            <w:vAlign w:val="center"/>
          </w:tcPr>
          <w:p w14:paraId="51EF92FC" w14:textId="77777777" w:rsidR="000F66B6" w:rsidRPr="00765B59" w:rsidRDefault="000F66B6" w:rsidP="002E4F05">
            <w:pPr>
              <w:keepNext/>
              <w:keepLines/>
              <w:spacing w:after="0"/>
              <w:jc w:val="left"/>
              <w:rPr>
                <w:rFonts w:asciiTheme="minorHAnsi" w:hAnsiTheme="minorHAnsi" w:cstheme="minorHAnsi"/>
                <w:b/>
                <w:sz w:val="20"/>
                <w:szCs w:val="20"/>
              </w:rPr>
            </w:pPr>
            <w:r w:rsidRPr="00765B59">
              <w:rPr>
                <w:rFonts w:asciiTheme="minorHAnsi" w:hAnsiTheme="minorHAnsi" w:cstheme="minorHAnsi"/>
                <w:b/>
                <w:sz w:val="20"/>
                <w:szCs w:val="20"/>
              </w:rPr>
              <w:t>Supportive criteria</w:t>
            </w:r>
          </w:p>
        </w:tc>
      </w:tr>
      <w:tr w:rsidR="000F66B6" w:rsidRPr="00765B59" w14:paraId="5D619F29" w14:textId="77777777" w:rsidTr="00765B59">
        <w:tc>
          <w:tcPr>
            <w:tcW w:w="3005" w:type="dxa"/>
            <w:vAlign w:val="center"/>
          </w:tcPr>
          <w:p w14:paraId="25288AAD" w14:textId="77777777"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Core (required)</w:t>
            </w:r>
          </w:p>
          <w:p w14:paraId="1F5CE0E5"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t>Slowly progressive or stepwise progressive, focal, asymmetric limb weakness; that is, motor involvement in the motor nerve distribution of at least two nerves for more than 1 month. If symptoms and signs are present only in the distribution of one nerve, only a possible diagnosis can be made.</w:t>
            </w:r>
          </w:p>
          <w:p w14:paraId="492C870F"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t>No objective sensory abnormalities except for minor vibration sense abnormalities in the lower limbs.</w:t>
            </w:r>
          </w:p>
          <w:p w14:paraId="4C462A6F"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b/>
                <w:sz w:val="20"/>
                <w:szCs w:val="20"/>
              </w:rPr>
              <w:t>Supportive</w:t>
            </w:r>
          </w:p>
          <w:p w14:paraId="3AD6B1F3"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t>Predominant upper limb involvement.</w:t>
            </w:r>
          </w:p>
          <w:p w14:paraId="59759802"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t>Decreased or absent tendon reflexes in the affected limb.</w:t>
            </w:r>
          </w:p>
          <w:p w14:paraId="0F5571AD"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lastRenderedPageBreak/>
              <w:t>Absence of cranial nerve involvement.</w:t>
            </w:r>
          </w:p>
          <w:p w14:paraId="5BF6B15E"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t>Cramps and fasciculations in the affected limb.</w:t>
            </w:r>
          </w:p>
          <w:p w14:paraId="21FF53D8"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t>Response in terms of disability or muscle strength to immunomodulatory therapy.</w:t>
            </w:r>
          </w:p>
          <w:p w14:paraId="5B404023"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b/>
                <w:sz w:val="20"/>
                <w:szCs w:val="20"/>
              </w:rPr>
              <w:t>Exclusion criteria</w:t>
            </w:r>
          </w:p>
          <w:p w14:paraId="4AE9612C"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t>Upper motor neuron signs.</w:t>
            </w:r>
          </w:p>
          <w:p w14:paraId="7641A262" w14:textId="77777777" w:rsidR="000F66B6" w:rsidRPr="00765B59" w:rsidRDefault="000F66B6" w:rsidP="002E4F05">
            <w:pPr>
              <w:pStyle w:val="ListParagraph"/>
              <w:numPr>
                <w:ilvl w:val="0"/>
                <w:numId w:val="2"/>
              </w:numPr>
              <w:spacing w:after="0"/>
              <w:ind w:left="313" w:hanging="219"/>
              <w:jc w:val="left"/>
              <w:rPr>
                <w:rFonts w:asciiTheme="minorHAnsi" w:hAnsiTheme="minorHAnsi" w:cstheme="minorHAnsi"/>
                <w:sz w:val="20"/>
                <w:szCs w:val="20"/>
              </w:rPr>
            </w:pPr>
            <w:r w:rsidRPr="00765B59">
              <w:rPr>
                <w:rFonts w:asciiTheme="minorHAnsi" w:hAnsiTheme="minorHAnsi" w:cstheme="minorHAnsi"/>
                <w:sz w:val="20"/>
                <w:szCs w:val="20"/>
              </w:rPr>
              <w:t>Marked bulbar involvement.</w:t>
            </w:r>
          </w:p>
          <w:p w14:paraId="4EFF7BCB" w14:textId="77777777" w:rsidR="000F66B6" w:rsidRPr="00765B59" w:rsidRDefault="000F66B6" w:rsidP="002E4F05">
            <w:pPr>
              <w:pStyle w:val="ListParagraph"/>
              <w:numPr>
                <w:ilvl w:val="0"/>
                <w:numId w:val="2"/>
              </w:numPr>
              <w:spacing w:after="0"/>
              <w:ind w:left="313" w:hanging="313"/>
              <w:jc w:val="left"/>
              <w:rPr>
                <w:rFonts w:asciiTheme="minorHAnsi" w:hAnsiTheme="minorHAnsi" w:cstheme="minorHAnsi"/>
                <w:sz w:val="20"/>
                <w:szCs w:val="20"/>
              </w:rPr>
            </w:pPr>
            <w:r w:rsidRPr="00765B59">
              <w:rPr>
                <w:rFonts w:asciiTheme="minorHAnsi" w:hAnsiTheme="minorHAnsi" w:cstheme="minorHAnsi"/>
                <w:sz w:val="20"/>
                <w:szCs w:val="20"/>
              </w:rPr>
              <w:t>Sensory impairment more marked than minor vibration loss in the lower limbs.</w:t>
            </w:r>
          </w:p>
          <w:p w14:paraId="3A3CEDB1" w14:textId="77777777" w:rsidR="000F66B6" w:rsidRPr="00765B59" w:rsidRDefault="000F66B6" w:rsidP="002E4F05">
            <w:pPr>
              <w:pStyle w:val="ListParagraph"/>
              <w:numPr>
                <w:ilvl w:val="0"/>
                <w:numId w:val="2"/>
              </w:numPr>
              <w:spacing w:after="0"/>
              <w:ind w:left="313" w:hanging="313"/>
              <w:jc w:val="left"/>
              <w:rPr>
                <w:rFonts w:asciiTheme="minorHAnsi" w:hAnsiTheme="minorHAnsi" w:cstheme="minorHAnsi"/>
                <w:sz w:val="20"/>
                <w:szCs w:val="20"/>
              </w:rPr>
            </w:pPr>
            <w:r w:rsidRPr="00765B59">
              <w:rPr>
                <w:rFonts w:asciiTheme="minorHAnsi" w:hAnsiTheme="minorHAnsi" w:cstheme="minorHAnsi"/>
                <w:sz w:val="20"/>
                <w:szCs w:val="20"/>
              </w:rPr>
              <w:t>Diffuse symmetric weakness during initial weeks.</w:t>
            </w:r>
          </w:p>
        </w:tc>
        <w:tc>
          <w:tcPr>
            <w:tcW w:w="3369" w:type="dxa"/>
            <w:vAlign w:val="center"/>
          </w:tcPr>
          <w:p w14:paraId="4E777C10" w14:textId="77777777" w:rsidR="000F66B6" w:rsidRPr="00765B59" w:rsidRDefault="000F66B6" w:rsidP="002E4F05">
            <w:pPr>
              <w:pStyle w:val="ListParagraph"/>
              <w:numPr>
                <w:ilvl w:val="0"/>
                <w:numId w:val="3"/>
              </w:numPr>
              <w:spacing w:after="0"/>
              <w:ind w:left="426" w:hanging="283"/>
              <w:jc w:val="left"/>
              <w:rPr>
                <w:rFonts w:asciiTheme="minorHAnsi" w:hAnsiTheme="minorHAnsi" w:cstheme="minorHAnsi"/>
                <w:b/>
                <w:sz w:val="20"/>
                <w:szCs w:val="20"/>
              </w:rPr>
            </w:pPr>
            <w:r w:rsidRPr="00765B59">
              <w:rPr>
                <w:rFonts w:asciiTheme="minorHAnsi" w:hAnsiTheme="minorHAnsi" w:cstheme="minorHAnsi"/>
                <w:b/>
                <w:sz w:val="20"/>
                <w:szCs w:val="20"/>
              </w:rPr>
              <w:lastRenderedPageBreak/>
              <w:t>Definite motor CB</w:t>
            </w:r>
            <w:r w:rsidRPr="00765B59">
              <w:rPr>
                <w:rFonts w:asciiTheme="minorHAnsi" w:hAnsiTheme="minorHAnsi" w:cstheme="minorHAnsi"/>
                <w:b/>
                <w:sz w:val="20"/>
                <w:szCs w:val="20"/>
                <w:vertAlign w:val="superscript"/>
              </w:rPr>
              <w:t>a</w:t>
            </w:r>
          </w:p>
          <w:p w14:paraId="58DF46B4" w14:textId="77777777" w:rsidR="000F66B6" w:rsidRPr="00765B59" w:rsidRDefault="000F66B6" w:rsidP="002E4F05">
            <w:pPr>
              <w:pStyle w:val="ListParagraph"/>
              <w:spacing w:after="0"/>
              <w:ind w:left="426"/>
              <w:jc w:val="left"/>
              <w:rPr>
                <w:rFonts w:asciiTheme="minorHAnsi" w:hAnsiTheme="minorHAnsi" w:cstheme="minorHAnsi"/>
                <w:sz w:val="20"/>
                <w:szCs w:val="20"/>
              </w:rPr>
            </w:pPr>
            <w:r w:rsidRPr="00765B59">
              <w:rPr>
                <w:rFonts w:asciiTheme="minorHAnsi" w:hAnsiTheme="minorHAnsi" w:cstheme="minorHAnsi"/>
                <w:sz w:val="20"/>
                <w:szCs w:val="20"/>
              </w:rPr>
              <w:t xml:space="preserve">Negative peak CMAP area reduction on proximal versus distal stimulation of at least 50% regardless of nerve segment length (median, ulnar, and peroneal). </w:t>
            </w:r>
          </w:p>
          <w:p w14:paraId="08A85FE1" w14:textId="77777777" w:rsidR="000F66B6" w:rsidRPr="00765B59" w:rsidRDefault="000F66B6" w:rsidP="002E4F05">
            <w:pPr>
              <w:pStyle w:val="ListParagraph"/>
              <w:spacing w:after="0"/>
              <w:ind w:left="426"/>
              <w:jc w:val="left"/>
              <w:rPr>
                <w:rFonts w:asciiTheme="minorHAnsi" w:hAnsiTheme="minorHAnsi" w:cstheme="minorHAnsi"/>
                <w:sz w:val="20"/>
                <w:szCs w:val="20"/>
              </w:rPr>
            </w:pPr>
            <w:r w:rsidRPr="00765B59">
              <w:rPr>
                <w:rFonts w:asciiTheme="minorHAnsi" w:hAnsiTheme="minorHAnsi" w:cstheme="minorHAnsi"/>
                <w:sz w:val="20"/>
                <w:szCs w:val="20"/>
              </w:rPr>
              <w:t xml:space="preserve">Negative peak CMAP amplitude on stimulation of the distal nerve segment &gt;20% of the lower limit of normal and &gt;1 mV. </w:t>
            </w:r>
          </w:p>
          <w:p w14:paraId="3E72F136" w14:textId="77777777" w:rsidR="000F66B6" w:rsidRPr="00765B59" w:rsidRDefault="000F66B6" w:rsidP="002E4F05">
            <w:pPr>
              <w:pStyle w:val="ListParagraph"/>
              <w:spacing w:after="0"/>
              <w:ind w:left="426"/>
              <w:jc w:val="left"/>
              <w:rPr>
                <w:rFonts w:asciiTheme="minorHAnsi" w:hAnsiTheme="minorHAnsi" w:cstheme="minorHAnsi"/>
                <w:sz w:val="20"/>
                <w:szCs w:val="20"/>
              </w:rPr>
            </w:pPr>
            <w:r w:rsidRPr="00765B59">
              <w:rPr>
                <w:rFonts w:asciiTheme="minorHAnsi" w:hAnsiTheme="minorHAnsi" w:cstheme="minorHAnsi"/>
                <w:sz w:val="20"/>
                <w:szCs w:val="20"/>
              </w:rPr>
              <w:t>Increase of proximal to distal negative peak CMAP duration of ≤30%.</w:t>
            </w:r>
          </w:p>
          <w:p w14:paraId="5A9C807A" w14:textId="77777777" w:rsidR="000F66B6" w:rsidRPr="00765B59" w:rsidRDefault="000F66B6" w:rsidP="002E4F05">
            <w:pPr>
              <w:pStyle w:val="ListParagraph"/>
              <w:numPr>
                <w:ilvl w:val="0"/>
                <w:numId w:val="3"/>
              </w:numPr>
              <w:spacing w:after="0"/>
              <w:ind w:left="426" w:hanging="283"/>
              <w:jc w:val="left"/>
              <w:rPr>
                <w:rFonts w:asciiTheme="minorHAnsi" w:hAnsiTheme="minorHAnsi" w:cstheme="minorHAnsi"/>
                <w:b/>
                <w:sz w:val="20"/>
                <w:szCs w:val="20"/>
              </w:rPr>
            </w:pPr>
            <w:r w:rsidRPr="00765B59">
              <w:rPr>
                <w:rFonts w:asciiTheme="minorHAnsi" w:hAnsiTheme="minorHAnsi" w:cstheme="minorHAnsi"/>
                <w:b/>
                <w:sz w:val="20"/>
                <w:szCs w:val="20"/>
              </w:rPr>
              <w:t>Probable motor CB</w:t>
            </w:r>
            <w:r w:rsidRPr="00765B59">
              <w:rPr>
                <w:rFonts w:asciiTheme="minorHAnsi" w:hAnsiTheme="minorHAnsi" w:cstheme="minorHAnsi"/>
                <w:b/>
                <w:sz w:val="20"/>
                <w:szCs w:val="20"/>
                <w:vertAlign w:val="superscript"/>
              </w:rPr>
              <w:t>a</w:t>
            </w:r>
          </w:p>
          <w:p w14:paraId="40F9BCAF" w14:textId="77777777" w:rsidR="000F66B6" w:rsidRPr="00765B59" w:rsidRDefault="000F66B6" w:rsidP="002E4F05">
            <w:pPr>
              <w:pStyle w:val="ListParagraph"/>
              <w:spacing w:after="0"/>
              <w:ind w:left="426"/>
              <w:jc w:val="left"/>
              <w:rPr>
                <w:rFonts w:asciiTheme="minorHAnsi" w:hAnsiTheme="minorHAnsi" w:cstheme="minorHAnsi"/>
                <w:sz w:val="20"/>
                <w:szCs w:val="20"/>
              </w:rPr>
            </w:pPr>
            <w:r w:rsidRPr="00765B59">
              <w:rPr>
                <w:rFonts w:asciiTheme="minorHAnsi" w:hAnsiTheme="minorHAnsi" w:cstheme="minorHAnsi"/>
                <w:sz w:val="20"/>
                <w:szCs w:val="20"/>
              </w:rPr>
              <w:t xml:space="preserve">Negative peak CMAP area reduction of at least 30% over a long segment (eg, wrist to elbow or elbow to axilla) of an upper limb nerve with increase of proximal to distal negative peak CMAP duration of ≤30%. </w:t>
            </w:r>
          </w:p>
          <w:p w14:paraId="47C862C9" w14:textId="77777777" w:rsidR="000F66B6" w:rsidRPr="00765B59" w:rsidRDefault="000F66B6" w:rsidP="002E4F05">
            <w:pPr>
              <w:pStyle w:val="ListParagraph"/>
              <w:spacing w:after="0"/>
              <w:ind w:left="426"/>
              <w:jc w:val="left"/>
              <w:rPr>
                <w:rFonts w:asciiTheme="minorHAnsi" w:hAnsiTheme="minorHAnsi" w:cstheme="minorHAnsi"/>
                <w:sz w:val="20"/>
                <w:szCs w:val="20"/>
              </w:rPr>
            </w:pPr>
            <w:r w:rsidRPr="00765B59">
              <w:rPr>
                <w:rFonts w:asciiTheme="minorHAnsi" w:hAnsiTheme="minorHAnsi" w:cstheme="minorHAnsi"/>
                <w:sz w:val="20"/>
                <w:szCs w:val="20"/>
              </w:rPr>
              <w:t>OR</w:t>
            </w:r>
          </w:p>
          <w:p w14:paraId="6D82915C" w14:textId="77777777" w:rsidR="000F66B6" w:rsidRPr="00765B59" w:rsidRDefault="000F66B6" w:rsidP="002E4F05">
            <w:pPr>
              <w:pStyle w:val="ListParagraph"/>
              <w:spacing w:after="0"/>
              <w:ind w:left="426"/>
              <w:jc w:val="left"/>
              <w:rPr>
                <w:rFonts w:asciiTheme="minorHAnsi" w:hAnsiTheme="minorHAnsi" w:cstheme="minorHAnsi"/>
                <w:sz w:val="20"/>
                <w:szCs w:val="20"/>
              </w:rPr>
            </w:pPr>
            <w:r w:rsidRPr="00765B59">
              <w:rPr>
                <w:rFonts w:asciiTheme="minorHAnsi" w:hAnsiTheme="minorHAnsi" w:cstheme="minorHAnsi"/>
                <w:sz w:val="20"/>
                <w:szCs w:val="20"/>
              </w:rPr>
              <w:lastRenderedPageBreak/>
              <w:t>Negative peak CMAP area reduction of at least 50% with an increase of proximal to distal negative peak CMAP duration of &gt;30%.</w:t>
            </w:r>
          </w:p>
          <w:p w14:paraId="450F562E" w14:textId="77777777" w:rsidR="000F66B6" w:rsidRPr="00765B59" w:rsidRDefault="000F66B6" w:rsidP="002E4F05">
            <w:pPr>
              <w:pStyle w:val="ListParagraph"/>
              <w:numPr>
                <w:ilvl w:val="0"/>
                <w:numId w:val="3"/>
              </w:numPr>
              <w:spacing w:after="0"/>
              <w:ind w:left="426" w:hanging="283"/>
              <w:jc w:val="left"/>
              <w:rPr>
                <w:rFonts w:asciiTheme="minorHAnsi" w:hAnsiTheme="minorHAnsi" w:cstheme="minorHAnsi"/>
                <w:sz w:val="20"/>
                <w:szCs w:val="20"/>
              </w:rPr>
            </w:pPr>
            <w:r w:rsidRPr="00765B59">
              <w:rPr>
                <w:rFonts w:asciiTheme="minorHAnsi" w:hAnsiTheme="minorHAnsi" w:cstheme="minorHAnsi"/>
                <w:b/>
                <w:bCs/>
                <w:sz w:val="20"/>
                <w:szCs w:val="20"/>
              </w:rPr>
              <w:t>Normal sensory nerve conduction</w:t>
            </w:r>
            <w:r w:rsidRPr="00765B59">
              <w:rPr>
                <w:rFonts w:asciiTheme="minorHAnsi" w:hAnsiTheme="minorHAnsi" w:cstheme="minorHAnsi"/>
                <w:sz w:val="20"/>
                <w:szCs w:val="20"/>
              </w:rPr>
              <w:t xml:space="preserve"> in upper limb segments with CB (see exclusion criteria under clinical criteria).</w:t>
            </w:r>
          </w:p>
        </w:tc>
        <w:tc>
          <w:tcPr>
            <w:tcW w:w="2642" w:type="dxa"/>
            <w:vAlign w:val="center"/>
          </w:tcPr>
          <w:p w14:paraId="786A01F1" w14:textId="77777777" w:rsidR="000F66B6" w:rsidRPr="00765B59" w:rsidRDefault="000F66B6" w:rsidP="002E4F05">
            <w:pPr>
              <w:pStyle w:val="ListParagraph"/>
              <w:numPr>
                <w:ilvl w:val="0"/>
                <w:numId w:val="4"/>
              </w:numPr>
              <w:spacing w:after="0"/>
              <w:ind w:left="460" w:hanging="283"/>
              <w:jc w:val="left"/>
              <w:rPr>
                <w:rFonts w:asciiTheme="minorHAnsi" w:hAnsiTheme="minorHAnsi" w:cstheme="minorHAnsi"/>
                <w:sz w:val="20"/>
                <w:szCs w:val="20"/>
              </w:rPr>
            </w:pPr>
            <w:r w:rsidRPr="00765B59">
              <w:rPr>
                <w:rFonts w:asciiTheme="minorHAnsi" w:hAnsiTheme="minorHAnsi" w:cstheme="minorHAnsi"/>
                <w:sz w:val="20"/>
                <w:szCs w:val="20"/>
              </w:rPr>
              <w:lastRenderedPageBreak/>
              <w:t>Elevated IgM anti-ganglioside GM1 antibodies.</w:t>
            </w:r>
          </w:p>
          <w:p w14:paraId="15D97596" w14:textId="77777777" w:rsidR="000F66B6" w:rsidRPr="00765B59" w:rsidRDefault="000F66B6" w:rsidP="002E4F05">
            <w:pPr>
              <w:pStyle w:val="ListParagraph"/>
              <w:numPr>
                <w:ilvl w:val="0"/>
                <w:numId w:val="4"/>
              </w:numPr>
              <w:spacing w:after="0"/>
              <w:ind w:left="460" w:hanging="283"/>
              <w:jc w:val="left"/>
              <w:rPr>
                <w:rFonts w:asciiTheme="minorHAnsi" w:hAnsiTheme="minorHAnsi" w:cstheme="minorHAnsi"/>
                <w:sz w:val="20"/>
                <w:szCs w:val="20"/>
              </w:rPr>
            </w:pPr>
            <w:r w:rsidRPr="00765B59">
              <w:rPr>
                <w:rFonts w:asciiTheme="minorHAnsi" w:hAnsiTheme="minorHAnsi" w:cstheme="minorHAnsi"/>
                <w:sz w:val="20"/>
                <w:szCs w:val="20"/>
              </w:rPr>
              <w:t>Increased CSF protein (</w:t>
            </w:r>
            <w:r w:rsidRPr="00765B59">
              <w:rPr>
                <w:rFonts w:asciiTheme="minorHAnsi" w:hAnsiTheme="minorHAnsi" w:cstheme="minorHAnsi"/>
                <w:i/>
                <w:iCs/>
                <w:sz w:val="20"/>
                <w:szCs w:val="20"/>
              </w:rPr>
              <w:t>&lt;</w:t>
            </w:r>
            <w:r w:rsidRPr="00765B59">
              <w:rPr>
                <w:rFonts w:asciiTheme="minorHAnsi" w:hAnsiTheme="minorHAnsi" w:cstheme="minorHAnsi"/>
                <w:sz w:val="20"/>
                <w:szCs w:val="20"/>
              </w:rPr>
              <w:t>1 g/l).</w:t>
            </w:r>
          </w:p>
          <w:p w14:paraId="5280B8DC" w14:textId="77777777" w:rsidR="000F66B6" w:rsidRPr="00765B59" w:rsidRDefault="000F66B6" w:rsidP="002E4F05">
            <w:pPr>
              <w:pStyle w:val="ListParagraph"/>
              <w:numPr>
                <w:ilvl w:val="0"/>
                <w:numId w:val="4"/>
              </w:numPr>
              <w:spacing w:after="0"/>
              <w:ind w:left="460" w:hanging="283"/>
              <w:jc w:val="left"/>
              <w:rPr>
                <w:rFonts w:asciiTheme="minorHAnsi" w:hAnsiTheme="minorHAnsi" w:cstheme="minorHAnsi"/>
                <w:sz w:val="20"/>
                <w:szCs w:val="20"/>
              </w:rPr>
            </w:pPr>
            <w:r w:rsidRPr="00765B59">
              <w:rPr>
                <w:rFonts w:asciiTheme="minorHAnsi" w:hAnsiTheme="minorHAnsi" w:cstheme="minorHAnsi"/>
                <w:sz w:val="20"/>
                <w:szCs w:val="20"/>
              </w:rPr>
              <w:t>Magnetic resonance imaging showing increased signal intensity on T2-weighted imaging associated with a diffuse nerve swelling of the brachial plexus.</w:t>
            </w:r>
          </w:p>
          <w:p w14:paraId="2F40A0B2" w14:textId="77777777" w:rsidR="000F66B6" w:rsidRPr="00765B59" w:rsidRDefault="000F66B6" w:rsidP="002E4F05">
            <w:pPr>
              <w:pStyle w:val="ListParagraph"/>
              <w:numPr>
                <w:ilvl w:val="0"/>
                <w:numId w:val="4"/>
              </w:numPr>
              <w:spacing w:after="0"/>
              <w:ind w:left="460" w:hanging="283"/>
              <w:jc w:val="left"/>
              <w:rPr>
                <w:rFonts w:asciiTheme="minorHAnsi" w:hAnsiTheme="minorHAnsi" w:cstheme="minorHAnsi"/>
                <w:sz w:val="20"/>
                <w:szCs w:val="20"/>
              </w:rPr>
            </w:pPr>
            <w:r w:rsidRPr="00765B59">
              <w:rPr>
                <w:rFonts w:asciiTheme="minorHAnsi" w:hAnsiTheme="minorHAnsi" w:cstheme="minorHAnsi"/>
                <w:sz w:val="20"/>
                <w:szCs w:val="20"/>
              </w:rPr>
              <w:t>Objective clinical improvement following IVIg treatment.</w:t>
            </w:r>
          </w:p>
        </w:tc>
      </w:tr>
      <w:tr w:rsidR="000F66B6" w:rsidRPr="00765B59" w14:paraId="3513390D" w14:textId="77777777" w:rsidTr="00765B59">
        <w:tc>
          <w:tcPr>
            <w:tcW w:w="9016" w:type="dxa"/>
            <w:gridSpan w:val="3"/>
            <w:vAlign w:val="center"/>
          </w:tcPr>
          <w:p w14:paraId="0523C137"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b/>
                <w:sz w:val="20"/>
                <w:szCs w:val="20"/>
              </w:rPr>
              <w:t>Diagnostic categories</w:t>
            </w:r>
            <w:r w:rsidRPr="00765B59">
              <w:rPr>
                <w:rFonts w:asciiTheme="minorHAnsi" w:hAnsiTheme="minorHAnsi" w:cstheme="minorHAnsi"/>
                <w:sz w:val="20"/>
                <w:szCs w:val="20"/>
              </w:rPr>
              <w:t xml:space="preserve"> </w:t>
            </w:r>
          </w:p>
          <w:p w14:paraId="47B7FBE0"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 xml:space="preserve">Definite MMN: </w:t>
            </w:r>
          </w:p>
          <w:p w14:paraId="7846903F" w14:textId="77777777" w:rsidR="000F66B6" w:rsidRPr="00765B59" w:rsidRDefault="000F66B6" w:rsidP="002E4F05">
            <w:pPr>
              <w:pStyle w:val="ListParagraph"/>
              <w:numPr>
                <w:ilvl w:val="0"/>
                <w:numId w:val="18"/>
              </w:numPr>
              <w:spacing w:after="0"/>
              <w:jc w:val="left"/>
              <w:rPr>
                <w:rFonts w:asciiTheme="minorHAnsi" w:hAnsiTheme="minorHAnsi" w:cstheme="minorHAnsi"/>
                <w:sz w:val="20"/>
                <w:szCs w:val="20"/>
              </w:rPr>
            </w:pPr>
            <w:r w:rsidRPr="00765B59">
              <w:rPr>
                <w:rFonts w:asciiTheme="minorHAnsi" w:hAnsiTheme="minorHAnsi" w:cstheme="minorHAnsi"/>
                <w:sz w:val="20"/>
                <w:szCs w:val="20"/>
              </w:rPr>
              <w:t>clinical criteria 1,2, AND 8-11 AND electrophysiological criteria 1 and 3 in one nerve.</w:t>
            </w:r>
          </w:p>
          <w:p w14:paraId="4618B2DA"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 xml:space="preserve">Probable MMN: </w:t>
            </w:r>
          </w:p>
          <w:p w14:paraId="3C9239AD" w14:textId="77777777" w:rsidR="000F66B6" w:rsidRPr="00765B59" w:rsidRDefault="000F66B6" w:rsidP="002E4F05">
            <w:pPr>
              <w:pStyle w:val="ListParagraph"/>
              <w:numPr>
                <w:ilvl w:val="0"/>
                <w:numId w:val="14"/>
              </w:numPr>
              <w:spacing w:after="0"/>
              <w:jc w:val="left"/>
              <w:rPr>
                <w:rFonts w:asciiTheme="minorHAnsi" w:hAnsiTheme="minorHAnsi" w:cstheme="minorHAnsi"/>
                <w:sz w:val="20"/>
                <w:szCs w:val="20"/>
              </w:rPr>
            </w:pPr>
            <w:r w:rsidRPr="00765B59">
              <w:rPr>
                <w:rFonts w:asciiTheme="minorHAnsi" w:hAnsiTheme="minorHAnsi" w:cstheme="minorHAnsi"/>
                <w:sz w:val="20"/>
                <w:szCs w:val="20"/>
              </w:rPr>
              <w:t xml:space="preserve">clinical criteria 1,2, AND 8-11 AND electrophysiological criteria 2 and 3 in two nerves; </w:t>
            </w:r>
          </w:p>
          <w:p w14:paraId="50BB6B94" w14:textId="77777777" w:rsidR="000F66B6" w:rsidRPr="00765B59" w:rsidRDefault="000F66B6" w:rsidP="002E4F05">
            <w:pPr>
              <w:pStyle w:val="ListParagraph"/>
              <w:numPr>
                <w:ilvl w:val="0"/>
                <w:numId w:val="14"/>
              </w:numPr>
              <w:spacing w:after="0"/>
              <w:jc w:val="left"/>
              <w:rPr>
                <w:rFonts w:asciiTheme="minorHAnsi" w:hAnsiTheme="minorHAnsi" w:cstheme="minorHAnsi"/>
                <w:sz w:val="20"/>
                <w:szCs w:val="20"/>
              </w:rPr>
            </w:pPr>
            <w:r w:rsidRPr="00765B59">
              <w:rPr>
                <w:rFonts w:asciiTheme="minorHAnsi" w:hAnsiTheme="minorHAnsi" w:cstheme="minorHAnsi"/>
                <w:sz w:val="20"/>
                <w:szCs w:val="20"/>
              </w:rPr>
              <w:t>clinical criteria 1,2, and 8-11 AND electrophysiological criteria 2 and 3 in two nerves AND at least two supportive criteria 1-4.</w:t>
            </w:r>
          </w:p>
          <w:p w14:paraId="411ADC6A"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 xml:space="preserve">Possible MMN: </w:t>
            </w:r>
          </w:p>
          <w:p w14:paraId="3E86AB92" w14:textId="77777777" w:rsidR="000F66B6" w:rsidRPr="00765B59" w:rsidRDefault="000F66B6" w:rsidP="002E4F05">
            <w:pPr>
              <w:pStyle w:val="ListParagraph"/>
              <w:numPr>
                <w:ilvl w:val="0"/>
                <w:numId w:val="15"/>
              </w:numPr>
              <w:spacing w:after="0"/>
              <w:jc w:val="left"/>
              <w:rPr>
                <w:rFonts w:asciiTheme="minorHAnsi" w:hAnsiTheme="minorHAnsi" w:cstheme="minorHAnsi"/>
                <w:sz w:val="20"/>
                <w:szCs w:val="20"/>
              </w:rPr>
            </w:pPr>
            <w:r w:rsidRPr="00765B59">
              <w:rPr>
                <w:rFonts w:asciiTheme="minorHAnsi" w:hAnsiTheme="minorHAnsi" w:cstheme="minorHAnsi"/>
                <w:sz w:val="20"/>
                <w:szCs w:val="20"/>
              </w:rPr>
              <w:t xml:space="preserve">clinical criteria 1, 2, AND 8-11 AND normal sensory nerve conduction studies AND supportive criteria 4; </w:t>
            </w:r>
          </w:p>
          <w:p w14:paraId="4F70CA71" w14:textId="77777777" w:rsidR="000F66B6" w:rsidRPr="00765B59" w:rsidRDefault="000F66B6" w:rsidP="002E4F05">
            <w:pPr>
              <w:pStyle w:val="ListParagraph"/>
              <w:numPr>
                <w:ilvl w:val="0"/>
                <w:numId w:val="15"/>
              </w:numPr>
              <w:spacing w:after="0"/>
              <w:jc w:val="left"/>
              <w:rPr>
                <w:rFonts w:asciiTheme="minorHAnsi" w:hAnsiTheme="minorHAnsi" w:cstheme="minorHAnsi"/>
                <w:sz w:val="20"/>
                <w:szCs w:val="20"/>
              </w:rPr>
            </w:pPr>
            <w:r w:rsidRPr="00765B59">
              <w:rPr>
                <w:rFonts w:asciiTheme="minorHAnsi" w:hAnsiTheme="minorHAnsi" w:cstheme="minorHAnsi"/>
                <w:sz w:val="20"/>
                <w:szCs w:val="20"/>
              </w:rPr>
              <w:t>clinical criteria 1 with clinical signs present in only one nerve, clinical criteria 2 AND 8-11 AND electrophysiological criteria 1 or 2 and 3 in one nerve.</w:t>
            </w:r>
          </w:p>
        </w:tc>
      </w:tr>
      <w:tr w:rsidR="000F66B6" w:rsidRPr="00765B59" w14:paraId="445155B4" w14:textId="77777777" w:rsidTr="00765B59">
        <w:tc>
          <w:tcPr>
            <w:tcW w:w="9016" w:type="dxa"/>
            <w:gridSpan w:val="3"/>
            <w:vAlign w:val="center"/>
          </w:tcPr>
          <w:p w14:paraId="3D80860F" w14:textId="77777777"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Good practice points for diagnostic criteria</w:t>
            </w:r>
          </w:p>
          <w:p w14:paraId="06A3BB3B" w14:textId="77777777" w:rsidR="000F66B6" w:rsidRPr="00765B59" w:rsidRDefault="000F66B6" w:rsidP="002E4F05">
            <w:pPr>
              <w:pStyle w:val="ListParagraph"/>
              <w:numPr>
                <w:ilvl w:val="0"/>
                <w:numId w:val="5"/>
              </w:numPr>
              <w:spacing w:after="0"/>
              <w:ind w:left="313" w:hanging="266"/>
              <w:jc w:val="left"/>
              <w:rPr>
                <w:rFonts w:asciiTheme="minorHAnsi" w:hAnsiTheme="minorHAnsi" w:cstheme="minorHAnsi"/>
                <w:sz w:val="20"/>
                <w:szCs w:val="20"/>
              </w:rPr>
            </w:pPr>
            <w:r w:rsidRPr="00765B59">
              <w:rPr>
                <w:rFonts w:asciiTheme="minorHAnsi" w:hAnsiTheme="minorHAnsi" w:cstheme="minorHAnsi"/>
                <w:sz w:val="20"/>
                <w:szCs w:val="20"/>
              </w:rPr>
              <w:t>Clinical: the two core criteria and all exclusion criteria should be met.</w:t>
            </w:r>
          </w:p>
          <w:p w14:paraId="52526860" w14:textId="77777777" w:rsidR="000F66B6" w:rsidRPr="00765B59" w:rsidRDefault="000F66B6" w:rsidP="002E4F05">
            <w:pPr>
              <w:pStyle w:val="ListParagraph"/>
              <w:numPr>
                <w:ilvl w:val="0"/>
                <w:numId w:val="5"/>
              </w:numPr>
              <w:spacing w:after="0"/>
              <w:ind w:left="313" w:hanging="266"/>
              <w:jc w:val="left"/>
              <w:rPr>
                <w:rFonts w:asciiTheme="minorHAnsi" w:hAnsiTheme="minorHAnsi" w:cstheme="minorHAnsi"/>
                <w:sz w:val="20"/>
                <w:szCs w:val="20"/>
              </w:rPr>
            </w:pPr>
            <w:r w:rsidRPr="00765B59">
              <w:rPr>
                <w:rFonts w:asciiTheme="minorHAnsi" w:hAnsiTheme="minorHAnsi" w:cstheme="minorHAnsi"/>
                <w:sz w:val="20"/>
                <w:szCs w:val="20"/>
              </w:rPr>
              <w:t>Electro-diagnostic: definite or probable CB in at least one nerve.</w:t>
            </w:r>
          </w:p>
          <w:p w14:paraId="3E7B0F94" w14:textId="77777777" w:rsidR="000F66B6" w:rsidRPr="00765B59" w:rsidRDefault="000F66B6" w:rsidP="002E4F05">
            <w:pPr>
              <w:pStyle w:val="ListParagraph"/>
              <w:numPr>
                <w:ilvl w:val="0"/>
                <w:numId w:val="5"/>
              </w:numPr>
              <w:spacing w:after="0"/>
              <w:ind w:left="313" w:hanging="266"/>
              <w:jc w:val="left"/>
              <w:rPr>
                <w:rFonts w:asciiTheme="minorHAnsi" w:hAnsiTheme="minorHAnsi" w:cstheme="minorHAnsi"/>
                <w:sz w:val="20"/>
                <w:szCs w:val="20"/>
              </w:rPr>
            </w:pPr>
            <w:r w:rsidRPr="00765B59">
              <w:rPr>
                <w:rFonts w:asciiTheme="minorHAnsi" w:hAnsiTheme="minorHAnsi" w:cstheme="minorHAnsi"/>
                <w:sz w:val="20"/>
                <w:szCs w:val="20"/>
              </w:rPr>
              <w:t xml:space="preserve">Supportive: </w:t>
            </w:r>
            <w:r w:rsidRPr="00EF333E">
              <w:rPr>
                <w:rFonts w:asciiTheme="minorHAnsi" w:hAnsiTheme="minorHAnsi" w:cstheme="minorHAnsi"/>
                <w:sz w:val="20"/>
                <w:szCs w:val="20"/>
              </w:rPr>
              <w:t>anti-GM1</w:t>
            </w:r>
            <w:r w:rsidRPr="00765B59">
              <w:rPr>
                <w:rFonts w:asciiTheme="minorHAnsi" w:hAnsiTheme="minorHAnsi" w:cstheme="minorHAnsi"/>
                <w:sz w:val="20"/>
                <w:szCs w:val="20"/>
              </w:rPr>
              <w:t xml:space="preserve"> antibodies, MRI, CSF, and treatment response</w:t>
            </w:r>
          </w:p>
          <w:p w14:paraId="12117F67" w14:textId="77777777" w:rsidR="000F66B6" w:rsidRPr="00765B59" w:rsidRDefault="000F66B6" w:rsidP="002E4F05">
            <w:pPr>
              <w:pStyle w:val="ListParagraph"/>
              <w:numPr>
                <w:ilvl w:val="0"/>
                <w:numId w:val="5"/>
              </w:numPr>
              <w:spacing w:after="0"/>
              <w:ind w:left="313" w:hanging="266"/>
              <w:jc w:val="left"/>
              <w:rPr>
                <w:rFonts w:asciiTheme="minorHAnsi" w:hAnsiTheme="minorHAnsi" w:cstheme="minorHAnsi"/>
                <w:sz w:val="20"/>
                <w:szCs w:val="20"/>
              </w:rPr>
            </w:pPr>
            <w:r w:rsidRPr="00765B59">
              <w:rPr>
                <w:rFonts w:asciiTheme="minorHAnsi" w:hAnsiTheme="minorHAnsi" w:cstheme="minorHAnsi"/>
                <w:sz w:val="20"/>
                <w:szCs w:val="20"/>
              </w:rPr>
              <w:t>Categories: definite and probable MMN</w:t>
            </w:r>
          </w:p>
        </w:tc>
      </w:tr>
      <w:tr w:rsidR="000F66B6" w:rsidRPr="00765B59" w14:paraId="1EDFDB24" w14:textId="77777777" w:rsidTr="00765B59">
        <w:tc>
          <w:tcPr>
            <w:tcW w:w="9016" w:type="dxa"/>
            <w:gridSpan w:val="3"/>
            <w:vAlign w:val="center"/>
          </w:tcPr>
          <w:p w14:paraId="7F51B892" w14:textId="77777777"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Good practice points for diagnostic tests</w:t>
            </w:r>
          </w:p>
          <w:p w14:paraId="7D22C59A" w14:textId="77777777" w:rsidR="000F66B6" w:rsidRPr="00765B59" w:rsidRDefault="000F66B6" w:rsidP="002E4F05">
            <w:pPr>
              <w:pStyle w:val="ListParagraph"/>
              <w:numPr>
                <w:ilvl w:val="0"/>
                <w:numId w:val="6"/>
              </w:numPr>
              <w:spacing w:after="0"/>
              <w:ind w:left="313" w:hanging="284"/>
              <w:jc w:val="left"/>
              <w:rPr>
                <w:rFonts w:asciiTheme="minorHAnsi" w:hAnsiTheme="minorHAnsi" w:cstheme="minorHAnsi"/>
                <w:sz w:val="20"/>
                <w:szCs w:val="20"/>
              </w:rPr>
            </w:pPr>
            <w:r w:rsidRPr="00765B59">
              <w:rPr>
                <w:rFonts w:asciiTheme="minorHAnsi" w:hAnsiTheme="minorHAnsi" w:cstheme="minorHAnsi"/>
                <w:sz w:val="20"/>
                <w:szCs w:val="20"/>
              </w:rPr>
              <w:t>Clinical examination and electro-diagnostic tests should be done in all patients.</w:t>
            </w:r>
          </w:p>
          <w:p w14:paraId="3A039BDB" w14:textId="21EE6823" w:rsidR="000F66B6" w:rsidRPr="00765B59" w:rsidRDefault="000F66B6" w:rsidP="002E4F05">
            <w:pPr>
              <w:pStyle w:val="ListParagraph"/>
              <w:numPr>
                <w:ilvl w:val="0"/>
                <w:numId w:val="6"/>
              </w:numPr>
              <w:spacing w:after="0"/>
              <w:ind w:left="313" w:hanging="284"/>
              <w:jc w:val="left"/>
              <w:rPr>
                <w:rFonts w:asciiTheme="minorHAnsi" w:hAnsiTheme="minorHAnsi" w:cstheme="minorHAnsi"/>
                <w:sz w:val="20"/>
                <w:szCs w:val="20"/>
              </w:rPr>
            </w:pPr>
            <w:r w:rsidRPr="00EF333E">
              <w:rPr>
                <w:rFonts w:asciiTheme="minorHAnsi" w:hAnsiTheme="minorHAnsi" w:cstheme="minorHAnsi"/>
                <w:sz w:val="20"/>
                <w:szCs w:val="20"/>
              </w:rPr>
              <w:t>Anti-GM1</w:t>
            </w:r>
            <w:r w:rsidRPr="00765B59">
              <w:rPr>
                <w:rFonts w:asciiTheme="minorHAnsi" w:hAnsiTheme="minorHAnsi" w:cstheme="minorHAnsi"/>
                <w:sz w:val="20"/>
                <w:szCs w:val="20"/>
              </w:rPr>
              <w:t xml:space="preserve"> antibody testing, MRI of the brachial plexus, and CSF examination should be considered in selected patients.</w:t>
            </w:r>
          </w:p>
          <w:p w14:paraId="377F0497" w14:textId="77777777" w:rsidR="000F66B6" w:rsidRPr="00765B59" w:rsidRDefault="000F66B6" w:rsidP="002E4F05">
            <w:pPr>
              <w:pStyle w:val="ListParagraph"/>
              <w:numPr>
                <w:ilvl w:val="0"/>
                <w:numId w:val="6"/>
              </w:numPr>
              <w:spacing w:after="0"/>
              <w:ind w:left="313" w:hanging="284"/>
              <w:jc w:val="left"/>
              <w:rPr>
                <w:rFonts w:asciiTheme="minorHAnsi" w:hAnsiTheme="minorHAnsi" w:cstheme="minorHAnsi"/>
                <w:sz w:val="20"/>
                <w:szCs w:val="20"/>
              </w:rPr>
            </w:pPr>
            <w:r w:rsidRPr="00765B59">
              <w:rPr>
                <w:rFonts w:asciiTheme="minorHAnsi" w:hAnsiTheme="minorHAnsi" w:cstheme="minorHAnsi"/>
                <w:sz w:val="20"/>
                <w:szCs w:val="20"/>
              </w:rPr>
              <w:t>Investigations to discover concomitant disease or exclude other possible causes should be considered, but the choice of tests will depend on the individual circumstances</w:t>
            </w:r>
          </w:p>
        </w:tc>
      </w:tr>
    </w:tbl>
    <w:p w14:paraId="0CE6B618" w14:textId="77777777" w:rsidR="000F66B6" w:rsidRDefault="000F66B6" w:rsidP="003A3782">
      <w:pPr>
        <w:pStyle w:val="NoSpacing"/>
        <w:spacing w:after="0"/>
      </w:pPr>
      <w:r>
        <w:t>Abbreviations: CB = conduction block; CMAP = compound muscle action potential; CSF = cerebrospinal fluid; MMN = multifocal motor neuropathy; MRI = magnetic resonance imaging</w:t>
      </w:r>
    </w:p>
    <w:p w14:paraId="09E46B2C" w14:textId="77334E1C" w:rsidR="000F66B6" w:rsidRDefault="000F66B6" w:rsidP="003A3782">
      <w:pPr>
        <w:pStyle w:val="NoSpacing"/>
        <w:spacing w:after="0"/>
      </w:pPr>
      <w:r>
        <w:t xml:space="preserve">Note: </w:t>
      </w:r>
      <w:r>
        <w:rPr>
          <w:vertAlign w:val="superscript"/>
        </w:rPr>
        <w:t>a</w:t>
      </w:r>
      <w:r w:rsidR="008456F6">
        <w:rPr>
          <w:vertAlign w:val="superscript"/>
        </w:rPr>
        <w:t xml:space="preserve"> </w:t>
      </w:r>
      <w:r w:rsidR="00E9264A">
        <w:t>E</w:t>
      </w:r>
      <w:r>
        <w:t xml:space="preserve">vidence of </w:t>
      </w:r>
      <w:r w:rsidR="00E9264A">
        <w:t>CB</w:t>
      </w:r>
      <w:r>
        <w:t xml:space="preserve"> must be found at sites distinct from common entrapment or compression syndromes.</w:t>
      </w:r>
    </w:p>
    <w:p w14:paraId="1AF03028" w14:textId="29E0A8F5" w:rsidR="000F66B6" w:rsidRDefault="00E9264A" w:rsidP="00765B59">
      <w:pPr>
        <w:pStyle w:val="NoSpacing"/>
      </w:pPr>
      <w:r>
        <w:t>Source: van Schaik et al,</w:t>
      </w:r>
      <w:r w:rsidR="000F66B6">
        <w:t xml:space="preserve"> 2010 (Table 1, p.298; Table 2, p.297; Table 3, p.298; Table 4, p.299; and text p298).</w:t>
      </w:r>
    </w:p>
    <w:p w14:paraId="04B07137" w14:textId="56FDABA3" w:rsidR="000F66B6" w:rsidRPr="003E5D99" w:rsidRDefault="003C154C" w:rsidP="0097477A">
      <w:pPr>
        <w:pStyle w:val="Heading2"/>
      </w:pPr>
      <w:r>
        <w:t xml:space="preserve">1.3 </w:t>
      </w:r>
      <w:r w:rsidR="000F66B6" w:rsidRPr="003E5D99">
        <w:t>Epidemiology of MMN and patient characteristics</w:t>
      </w:r>
    </w:p>
    <w:p w14:paraId="7FF40F50" w14:textId="6D6D178B" w:rsidR="000F66B6" w:rsidRDefault="000F66B6" w:rsidP="00F302D4">
      <w:r>
        <w:t xml:space="preserve">MMN is a rare </w:t>
      </w:r>
      <w:r w:rsidRPr="00104961">
        <w:t xml:space="preserve">inflammatory neuropathy </w:t>
      </w:r>
      <w:r>
        <w:t xml:space="preserve">with a reported prevalence that ranges from 0.3 to 2 cases per 100,000 depending on jurisdiction and on how the estimates were derived </w:t>
      </w:r>
      <w:r w:rsidR="00E61B6E">
        <w:fldChar w:fldCharType="begin">
          <w:fldData xml:space="preserve">PEVuZE5vdGU+PENpdGU+PEF1dGhvcj5NaXlhc2hpcm88L0F1dGhvcj48WWVhcj4yMDE0PC9ZZWFy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</w:fldData>
        </w:fldChar>
      </w:r>
      <w:r w:rsidR="00E61B6E">
        <w:instrText xml:space="preserve"> ADDIN EN.CITE </w:instrText>
      </w:r>
      <w:r w:rsidR="00E61B6E">
        <w:fldChar w:fldCharType="begin">
          <w:fldData xml:space="preserve">PEVuZE5vdGU+PENpdGU+PEF1dGhvcj5NaXlhc2hpcm88L0F1dGhvcj48WWVhcj4yMDE0PC9ZZWFy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</w:fldData>
        </w:fldChar>
      </w:r>
      <w:r w:rsidR="00E61B6E">
        <w:instrText xml:space="preserve"> ADDIN EN.CITE.DATA </w:instrText>
      </w:r>
      <w:r w:rsidR="00E61B6E">
        <w:fldChar w:fldCharType="end"/>
      </w:r>
      <w:r w:rsidR="00E61B6E">
        <w:fldChar w:fldCharType="separate"/>
      </w:r>
      <w:r w:rsidR="00E61B6E">
        <w:rPr>
          <w:noProof/>
        </w:rPr>
        <w:t>(8-10)</w:t>
      </w:r>
      <w:r w:rsidR="00E61B6E">
        <w:fldChar w:fldCharType="end"/>
      </w:r>
      <w:r w:rsidR="00755502">
        <w:t xml:space="preserve"> (s</w:t>
      </w:r>
      <w:r>
        <w:t>ee Table 3). The age at disease onset is va</w:t>
      </w:r>
      <w:r w:rsidR="00755502">
        <w:t>riable ranging from 15-74 years;</w:t>
      </w:r>
      <w:r>
        <w:t xml:space="preserve"> however this is a disease m</w:t>
      </w:r>
      <w:r w:rsidR="00755502">
        <w:t>ost common</w:t>
      </w:r>
      <w:r>
        <w:t xml:space="preserve">ly diagnosed in adults, with a mean </w:t>
      </w:r>
      <w:r w:rsidRPr="00961726">
        <w:t xml:space="preserve">age of onset </w:t>
      </w:r>
      <w:r>
        <w:t>of</w:t>
      </w:r>
      <w:r w:rsidRPr="00961726">
        <w:t xml:space="preserve"> 41 (Table 3). </w:t>
      </w:r>
      <w:r w:rsidR="00755502">
        <w:t xml:space="preserve"> </w:t>
      </w:r>
      <w:r w:rsidRPr="00961726">
        <w:t>MMN is very rare in paediatric populations with very few cases being reported as case reports in</w:t>
      </w:r>
      <w:r>
        <w:t xml:space="preserve"> the literature </w:t>
      </w:r>
      <w:r w:rsidR="00E61B6E">
        <w:fldChar w:fldCharType="begin">
          <w:fldData xml:space="preserve">PEVuZE5vdGU+PENpdGU+PEF1dGhvcj5Jc2hpZ2FraTwvQXV0aG9yPjxZZWFyPjIwMTY8L1llYXI+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</w:fldData>
        </w:fldChar>
      </w:r>
      <w:r w:rsidR="00E61B6E">
        <w:instrText xml:space="preserve"> ADDIN EN.CITE </w:instrText>
      </w:r>
      <w:r w:rsidR="00E61B6E">
        <w:fldChar w:fldCharType="begin">
          <w:fldData xml:space="preserve">PEVuZE5vdGU+PENpdGU+PEF1dGhvcj5Jc2hpZ2FraTwvQXV0aG9yPjxZZWFyPjIwMTY8L1llYXI+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</w:fldData>
        </w:fldChar>
      </w:r>
      <w:r w:rsidR="00E61B6E">
        <w:instrText xml:space="preserve"> ADDIN EN.CITE.DATA </w:instrText>
      </w:r>
      <w:r w:rsidR="00E61B6E">
        <w:fldChar w:fldCharType="end"/>
      </w:r>
      <w:r w:rsidR="00E61B6E">
        <w:fldChar w:fldCharType="separate"/>
      </w:r>
      <w:r w:rsidR="00E61B6E">
        <w:rPr>
          <w:noProof/>
        </w:rPr>
        <w:t>(11)</w:t>
      </w:r>
      <w:r w:rsidR="00E61B6E">
        <w:fldChar w:fldCharType="end"/>
      </w:r>
      <w:r>
        <w:t xml:space="preserve">. The available epidemiological studies consistently show that this </w:t>
      </w:r>
      <w:r w:rsidR="00ED4105">
        <w:t xml:space="preserve">is </w:t>
      </w:r>
      <w:r>
        <w:t xml:space="preserve">a disease more commonly observed in males compared to females, with a reported ratio of 2.5-2.7 : 1 </w:t>
      </w:r>
      <w:r w:rsidR="00E61B6E">
        <w:fldChar w:fldCharType="begin">
          <w:fldData xml:space="preserve">PEVuZE5vdGU+PENpdGU+PEF1dGhvcj5NaXlhc2hpcm88L0F1dGhvcj48WWVhcj4yMDE0PC9ZZWFy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</w:fldData>
        </w:fldChar>
      </w:r>
      <w:r w:rsidR="00E61B6E">
        <w:instrText xml:space="preserve"> ADDIN EN.CITE </w:instrText>
      </w:r>
      <w:r w:rsidR="00E61B6E">
        <w:fldChar w:fldCharType="begin">
          <w:fldData xml:space="preserve">PEVuZE5vdGU+PENpdGU+PEF1dGhvcj5NaXlhc2hpcm88L0F1dGhvcj48WWVhcj4yMDE0PC9ZZWFy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</w:fldData>
        </w:fldChar>
      </w:r>
      <w:r w:rsidR="00E61B6E">
        <w:instrText xml:space="preserve"> ADDIN EN.CITE.DATA </w:instrText>
      </w:r>
      <w:r w:rsidR="00E61B6E">
        <w:fldChar w:fldCharType="end"/>
      </w:r>
      <w:r w:rsidR="00E61B6E">
        <w:fldChar w:fldCharType="separate"/>
      </w:r>
      <w:r w:rsidR="00E61B6E">
        <w:rPr>
          <w:noProof/>
        </w:rPr>
        <w:t>(8-10)</w:t>
      </w:r>
      <w:r w:rsidR="00E61B6E">
        <w:fldChar w:fldCharType="end"/>
      </w:r>
      <w:r w:rsidRPr="00961726">
        <w:t xml:space="preserve">. </w:t>
      </w:r>
    </w:p>
    <w:p w14:paraId="50FC6314" w14:textId="060A419E" w:rsidR="000F66B6" w:rsidRDefault="000F66B6" w:rsidP="00154648">
      <w:r>
        <w:lastRenderedPageBreak/>
        <w:t xml:space="preserve">Given the rarity of the disease and lack of </w:t>
      </w:r>
      <w:r w:rsidR="001C15A0">
        <w:t xml:space="preserve">complete </w:t>
      </w:r>
      <w:r w:rsidRPr="008D00DD">
        <w:t>understanding of the underlying pathophysiological mechanism of MMN</w:t>
      </w:r>
      <w:r>
        <w:t>, there is a risk of misdiagnos</w:t>
      </w:r>
      <w:r w:rsidR="001C15A0">
        <w:t>is</w:t>
      </w:r>
      <w:r>
        <w:t xml:space="preserve"> and/or under diagnosis and hence estimates of the </w:t>
      </w:r>
      <w:r w:rsidR="00755502">
        <w:t xml:space="preserve">prevalence </w:t>
      </w:r>
      <w:r>
        <w:t>of the condition should be interpreted with caution.</w:t>
      </w:r>
    </w:p>
    <w:p w14:paraId="1140F962" w14:textId="77777777" w:rsidR="000F66B6" w:rsidRPr="00CD2153" w:rsidRDefault="000F66B6" w:rsidP="00E0061E">
      <w:pPr>
        <w:keepNext/>
        <w:spacing w:after="0" w:line="240" w:lineRule="auto"/>
        <w:rPr>
          <w:b/>
          <w:sz w:val="20"/>
          <w:szCs w:val="20"/>
        </w:rPr>
      </w:pPr>
      <w:r w:rsidRPr="00CD2153">
        <w:rPr>
          <w:b/>
          <w:sz w:val="20"/>
          <w:szCs w:val="20"/>
        </w:rPr>
        <w:t>Table 3: Overview of MMN prevalence estimates in the literature</w:t>
      </w:r>
    </w:p>
    <w:tbl>
      <w:tblPr>
        <w:tblStyle w:val="TableGrid"/>
        <w:tblW w:w="5000" w:type="pct"/>
        <w:tblLook w:val="04A0" w:firstRow="1" w:lastRow="0" w:firstColumn="1" w:lastColumn="0" w:noHBand="0" w:noVBand="1"/>
        <w:tblCaption w:val="Table 3: Overview of MMN prevalence estimates in the literature"/>
      </w:tblPr>
      <w:tblGrid>
        <w:gridCol w:w="1401"/>
        <w:gridCol w:w="1216"/>
        <w:gridCol w:w="2198"/>
        <w:gridCol w:w="1601"/>
        <w:gridCol w:w="1251"/>
        <w:gridCol w:w="1349"/>
      </w:tblGrid>
      <w:tr w:rsidR="000F66B6" w:rsidRPr="00765B59" w14:paraId="2D5F5851" w14:textId="77777777" w:rsidTr="003125EA">
        <w:trPr>
          <w:tblHeader/>
        </w:trPr>
        <w:tc>
          <w:tcPr>
            <w:tcW w:w="777" w:type="pct"/>
            <w:vAlign w:val="center"/>
          </w:tcPr>
          <w:p w14:paraId="04ABD349" w14:textId="77777777"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Study (author, year)</w:t>
            </w:r>
          </w:p>
        </w:tc>
        <w:tc>
          <w:tcPr>
            <w:tcW w:w="674" w:type="pct"/>
            <w:vAlign w:val="center"/>
          </w:tcPr>
          <w:p w14:paraId="4ED55137" w14:textId="77777777"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 xml:space="preserve">Country </w:t>
            </w:r>
          </w:p>
        </w:tc>
        <w:tc>
          <w:tcPr>
            <w:tcW w:w="1219" w:type="pct"/>
            <w:vAlign w:val="center"/>
          </w:tcPr>
          <w:p w14:paraId="68997F93" w14:textId="77777777"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Study design/method</w:t>
            </w:r>
          </w:p>
        </w:tc>
        <w:tc>
          <w:tcPr>
            <w:tcW w:w="888" w:type="pct"/>
            <w:vAlign w:val="center"/>
          </w:tcPr>
          <w:p w14:paraId="63C00703" w14:textId="04331156"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Estimated prevalence per 100,000</w:t>
            </w:r>
          </w:p>
        </w:tc>
        <w:tc>
          <w:tcPr>
            <w:tcW w:w="694" w:type="pct"/>
            <w:vAlign w:val="center"/>
          </w:tcPr>
          <w:p w14:paraId="58D9EB69" w14:textId="77777777"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Male: female ratio</w:t>
            </w:r>
          </w:p>
        </w:tc>
        <w:tc>
          <w:tcPr>
            <w:tcW w:w="748" w:type="pct"/>
            <w:vAlign w:val="center"/>
          </w:tcPr>
          <w:p w14:paraId="3B28F582" w14:textId="1EAA2F0B" w:rsidR="000F66B6" w:rsidRPr="00765B59" w:rsidRDefault="000F66B6" w:rsidP="002E4F05">
            <w:pPr>
              <w:spacing w:after="0"/>
              <w:jc w:val="left"/>
              <w:rPr>
                <w:rFonts w:asciiTheme="minorHAnsi" w:hAnsiTheme="minorHAnsi" w:cstheme="minorHAnsi"/>
                <w:b/>
                <w:sz w:val="20"/>
                <w:szCs w:val="20"/>
              </w:rPr>
            </w:pPr>
            <w:r w:rsidRPr="00765B59">
              <w:rPr>
                <w:rFonts w:asciiTheme="minorHAnsi" w:hAnsiTheme="minorHAnsi" w:cstheme="minorHAnsi"/>
                <w:b/>
                <w:sz w:val="20"/>
                <w:szCs w:val="20"/>
              </w:rPr>
              <w:t>Mean age of onset</w:t>
            </w:r>
            <w:r w:rsidR="00CD2153">
              <w:rPr>
                <w:rFonts w:asciiTheme="minorHAnsi" w:hAnsiTheme="minorHAnsi" w:cstheme="minorHAnsi"/>
                <w:b/>
                <w:sz w:val="20"/>
                <w:szCs w:val="20"/>
              </w:rPr>
              <w:t xml:space="preserve"> </w:t>
            </w:r>
            <w:r w:rsidR="00CD2153" w:rsidRPr="00765B59">
              <w:rPr>
                <w:rFonts w:asciiTheme="minorHAnsi" w:hAnsiTheme="minorHAnsi" w:cstheme="minorHAnsi"/>
                <w:b/>
                <w:sz w:val="20"/>
                <w:szCs w:val="20"/>
              </w:rPr>
              <w:t>(range)</w:t>
            </w:r>
          </w:p>
        </w:tc>
      </w:tr>
      <w:tr w:rsidR="000F66B6" w:rsidRPr="00765B59" w14:paraId="0BA7BF7F" w14:textId="77777777" w:rsidTr="003125EA">
        <w:trPr>
          <w:tblHeader/>
        </w:trPr>
        <w:tc>
          <w:tcPr>
            <w:tcW w:w="777" w:type="pct"/>
            <w:vAlign w:val="center"/>
          </w:tcPr>
          <w:p w14:paraId="3DCBD7F8" w14:textId="64477785"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Miyashiro et al</w:t>
            </w:r>
            <w:r w:rsidR="00CD2153">
              <w:rPr>
                <w:rFonts w:asciiTheme="minorHAnsi" w:hAnsiTheme="minorHAnsi" w:cstheme="minorHAnsi"/>
                <w:sz w:val="20"/>
                <w:szCs w:val="20"/>
              </w:rPr>
              <w:t>,</w:t>
            </w:r>
            <w:r w:rsidRPr="00765B59">
              <w:rPr>
                <w:rFonts w:asciiTheme="minorHAnsi" w:hAnsiTheme="minorHAnsi" w:cstheme="minorHAnsi"/>
                <w:sz w:val="20"/>
                <w:szCs w:val="20"/>
              </w:rPr>
              <w:t xml:space="preserve"> 2014</w:t>
            </w:r>
          </w:p>
        </w:tc>
        <w:tc>
          <w:tcPr>
            <w:tcW w:w="674" w:type="pct"/>
            <w:vAlign w:val="center"/>
          </w:tcPr>
          <w:p w14:paraId="502915F1"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Japan</w:t>
            </w:r>
          </w:p>
        </w:tc>
        <w:tc>
          <w:tcPr>
            <w:tcW w:w="1219" w:type="pct"/>
            <w:vAlign w:val="center"/>
          </w:tcPr>
          <w:p w14:paraId="533B9804" w14:textId="517DB1C8"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Retrospective analysis using a nationwide survey. Diagnosis of MMN was based on 2006 EFNS/PNS criteria</w:t>
            </w:r>
            <w:r w:rsidR="00755502">
              <w:rPr>
                <w:rFonts w:asciiTheme="minorHAnsi" w:hAnsiTheme="minorHAnsi" w:cstheme="minorHAnsi"/>
                <w:sz w:val="20"/>
                <w:szCs w:val="20"/>
              </w:rPr>
              <w:t>.</w:t>
            </w:r>
          </w:p>
        </w:tc>
        <w:tc>
          <w:tcPr>
            <w:tcW w:w="888" w:type="pct"/>
            <w:vAlign w:val="center"/>
          </w:tcPr>
          <w:p w14:paraId="3043A6A6"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0.29</w:t>
            </w:r>
          </w:p>
        </w:tc>
        <w:tc>
          <w:tcPr>
            <w:tcW w:w="694" w:type="pct"/>
            <w:vAlign w:val="center"/>
          </w:tcPr>
          <w:p w14:paraId="2E5CF5F0"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2.5 : 1</w:t>
            </w:r>
          </w:p>
        </w:tc>
        <w:tc>
          <w:tcPr>
            <w:tcW w:w="748" w:type="pct"/>
            <w:vAlign w:val="center"/>
          </w:tcPr>
          <w:p w14:paraId="3F53C48A"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42.5 (16-74)</w:t>
            </w:r>
          </w:p>
        </w:tc>
      </w:tr>
      <w:tr w:rsidR="000F66B6" w:rsidRPr="00765B59" w14:paraId="37152F38" w14:textId="77777777" w:rsidTr="003125EA">
        <w:trPr>
          <w:tblHeader/>
        </w:trPr>
        <w:tc>
          <w:tcPr>
            <w:tcW w:w="777" w:type="pct"/>
            <w:vAlign w:val="center"/>
          </w:tcPr>
          <w:p w14:paraId="3D6A2B0D" w14:textId="18B9DCC2"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Nobile-Orazio</w:t>
            </w:r>
            <w:r w:rsidR="00CD2153">
              <w:rPr>
                <w:rFonts w:asciiTheme="minorHAnsi" w:hAnsiTheme="minorHAnsi" w:cstheme="minorHAnsi"/>
                <w:sz w:val="20"/>
                <w:szCs w:val="20"/>
              </w:rPr>
              <w:t>,</w:t>
            </w:r>
            <w:r w:rsidRPr="00765B59">
              <w:rPr>
                <w:rFonts w:asciiTheme="minorHAnsi" w:hAnsiTheme="minorHAnsi" w:cstheme="minorHAnsi"/>
                <w:sz w:val="20"/>
                <w:szCs w:val="20"/>
              </w:rPr>
              <w:t xml:space="preserve"> 2001</w:t>
            </w:r>
          </w:p>
        </w:tc>
        <w:tc>
          <w:tcPr>
            <w:tcW w:w="674" w:type="pct"/>
            <w:vAlign w:val="center"/>
          </w:tcPr>
          <w:p w14:paraId="2D02693E"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Italy</w:t>
            </w:r>
          </w:p>
        </w:tc>
        <w:tc>
          <w:tcPr>
            <w:tcW w:w="1219" w:type="pct"/>
            <w:vAlign w:val="center"/>
          </w:tcPr>
          <w:p w14:paraId="508C28FE" w14:textId="75D54D02"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Approximate estimate using proportion of MMN in patients initially diagnosed of MND (i.e. 10%)</w:t>
            </w:r>
            <w:r w:rsidR="00755502">
              <w:rPr>
                <w:rFonts w:asciiTheme="minorHAnsi" w:hAnsiTheme="minorHAnsi" w:cstheme="minorHAnsi"/>
                <w:sz w:val="20"/>
                <w:szCs w:val="20"/>
              </w:rPr>
              <w:t>.</w:t>
            </w:r>
          </w:p>
        </w:tc>
        <w:tc>
          <w:tcPr>
            <w:tcW w:w="888" w:type="pct"/>
            <w:vAlign w:val="center"/>
          </w:tcPr>
          <w:p w14:paraId="2C0D7E54"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Approximately 1 to 2</w:t>
            </w:r>
          </w:p>
        </w:tc>
        <w:tc>
          <w:tcPr>
            <w:tcW w:w="694" w:type="pct"/>
            <w:vAlign w:val="center"/>
          </w:tcPr>
          <w:p w14:paraId="1CB41F21"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2.6 : 1</w:t>
            </w:r>
          </w:p>
        </w:tc>
        <w:tc>
          <w:tcPr>
            <w:tcW w:w="748" w:type="pct"/>
            <w:vAlign w:val="center"/>
          </w:tcPr>
          <w:p w14:paraId="451AFAD2"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41 (15-72)</w:t>
            </w:r>
          </w:p>
        </w:tc>
      </w:tr>
      <w:tr w:rsidR="000F66B6" w:rsidRPr="00765B59" w14:paraId="23624BBC" w14:textId="77777777" w:rsidTr="003125EA">
        <w:trPr>
          <w:tblHeader/>
        </w:trPr>
        <w:tc>
          <w:tcPr>
            <w:tcW w:w="777" w:type="pct"/>
            <w:vAlign w:val="center"/>
          </w:tcPr>
          <w:p w14:paraId="42C14485" w14:textId="55429BC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Cats et al</w:t>
            </w:r>
            <w:r w:rsidR="00CD2153">
              <w:rPr>
                <w:rFonts w:asciiTheme="minorHAnsi" w:hAnsiTheme="minorHAnsi" w:cstheme="minorHAnsi"/>
                <w:sz w:val="20"/>
                <w:szCs w:val="20"/>
              </w:rPr>
              <w:t>,</w:t>
            </w:r>
            <w:r w:rsidRPr="00765B59">
              <w:rPr>
                <w:rFonts w:asciiTheme="minorHAnsi" w:hAnsiTheme="minorHAnsi" w:cstheme="minorHAnsi"/>
                <w:sz w:val="20"/>
                <w:szCs w:val="20"/>
              </w:rPr>
              <w:t xml:space="preserve"> 2010</w:t>
            </w:r>
          </w:p>
        </w:tc>
        <w:tc>
          <w:tcPr>
            <w:tcW w:w="674" w:type="pct"/>
            <w:vAlign w:val="center"/>
          </w:tcPr>
          <w:p w14:paraId="0B6E7F9B"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 xml:space="preserve">Netherlands </w:t>
            </w:r>
          </w:p>
        </w:tc>
        <w:tc>
          <w:tcPr>
            <w:tcW w:w="1219" w:type="pct"/>
            <w:vAlign w:val="center"/>
          </w:tcPr>
          <w:p w14:paraId="29221641"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Nationwide survey. MMN was diagnosed using the proposed diagnostic criteria recommended by Berg-Vos et al. 2000.</w:t>
            </w:r>
          </w:p>
        </w:tc>
        <w:tc>
          <w:tcPr>
            <w:tcW w:w="888" w:type="pct"/>
            <w:vAlign w:val="center"/>
          </w:tcPr>
          <w:p w14:paraId="1BBC9741"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0.6</w:t>
            </w:r>
          </w:p>
        </w:tc>
        <w:tc>
          <w:tcPr>
            <w:tcW w:w="694" w:type="pct"/>
            <w:vAlign w:val="center"/>
          </w:tcPr>
          <w:p w14:paraId="2D0351B6"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2.7 : 1</w:t>
            </w:r>
          </w:p>
        </w:tc>
        <w:tc>
          <w:tcPr>
            <w:tcW w:w="748" w:type="pct"/>
            <w:vAlign w:val="center"/>
          </w:tcPr>
          <w:p w14:paraId="73627653" w14:textId="77777777" w:rsidR="000F66B6" w:rsidRPr="00765B59" w:rsidRDefault="000F66B6" w:rsidP="002E4F05">
            <w:pPr>
              <w:spacing w:after="0"/>
              <w:jc w:val="left"/>
              <w:rPr>
                <w:rFonts w:asciiTheme="minorHAnsi" w:hAnsiTheme="minorHAnsi" w:cstheme="minorHAnsi"/>
                <w:sz w:val="20"/>
                <w:szCs w:val="20"/>
              </w:rPr>
            </w:pPr>
            <w:r w:rsidRPr="00765B59">
              <w:rPr>
                <w:rFonts w:asciiTheme="minorHAnsi" w:hAnsiTheme="minorHAnsi" w:cstheme="minorHAnsi"/>
                <w:sz w:val="20"/>
                <w:szCs w:val="20"/>
              </w:rPr>
              <w:t>40 (22-66)</w:t>
            </w:r>
          </w:p>
        </w:tc>
      </w:tr>
    </w:tbl>
    <w:p w14:paraId="0D002F43" w14:textId="0C402411" w:rsidR="000F66B6" w:rsidRPr="007636CB" w:rsidRDefault="000F66B6" w:rsidP="00765B59">
      <w:pPr>
        <w:pStyle w:val="NoSpacing"/>
      </w:pPr>
      <w:r w:rsidRPr="007636CB">
        <w:t>Abbreviations:</w:t>
      </w:r>
      <w:r w:rsidR="00755502">
        <w:t xml:space="preserve"> EFNS/PNS = European Federation of Neurological Societies/Peripheral Nerve S</w:t>
      </w:r>
      <w:r>
        <w:t>ociety; MMN = multifocal motor neuropathy</w:t>
      </w:r>
      <w:r w:rsidR="00755502">
        <w:t>.</w:t>
      </w:r>
    </w:p>
    <w:p w14:paraId="39E1E448" w14:textId="35ABF389" w:rsidR="000F66B6" w:rsidRDefault="000F66B6" w:rsidP="00E5089D">
      <w:r>
        <w:t xml:space="preserve">There are currently no epidemiological data available for MMN in Australia. This PICO Confirmation used the population-based prevalence rate estimates for MMN reported by </w:t>
      </w:r>
      <w:r w:rsidR="00DE39C8">
        <w:t xml:space="preserve">Cats et al. 2010 </w:t>
      </w:r>
      <w:r w:rsidR="00FB0686">
        <w:fldChar w:fldCharType="begin"/>
      </w:r>
      <w:r w:rsidR="00FB0686">
        <w:instrText xml:space="preserve"> ADDIN EN.CITE &lt;EndNote&gt;&lt;Cite&gt;&lt;Author&gt;Cats&lt;/Author&gt;&lt;Year&gt;2010&lt;/Year&gt;&lt;RecNum&gt;54&lt;/RecNum&gt;&lt;DisplayText&gt;(10)&lt;/DisplayText&gt;&lt;record&gt;&lt;rec-number&gt;54&lt;/rec-number&gt;&lt;foreign-keys&gt;&lt;key app="EN" db-id="vz5vz5xro5d25hepedvpvr0o0v5axp5r99sw" timestamp="1568861644"&gt;54&lt;/key&gt;&lt;/foreign-keys&gt;&lt;ref-type name="Journal Article"&gt;17&lt;/ref-type&gt;&lt;contributors&gt;&lt;authors&gt;&lt;author&gt;Cats, E. A.&lt;/author&gt;&lt;author&gt;van der Pol, W. L.&lt;/author&gt;&lt;author&gt;Piepers, S.&lt;/author&gt;&lt;author&gt;Franssen, H.&lt;/author&gt;&lt;author&gt;Jacobs, B. C.&lt;/author&gt;&lt;author&gt;van den Berg-Vos, R. M.&lt;/author&gt;&lt;author&gt;Kuks, J. B.&lt;/author&gt;&lt;author&gt;van Doorn, P. A.&lt;/author&gt;&lt;author&gt;van Engelen, B. G.&lt;/author&gt;&lt;author&gt;Verschuuren, J. J.&lt;/author&gt;&lt;author&gt;Wokke, J. H.&lt;/author&gt;&lt;author&gt;Veldink, J. H.&lt;/author&gt;&lt;author&gt;van den Berg, L. H.&lt;/author&gt;&lt;/authors&gt;&lt;/contributors&gt;&lt;titles&gt;&lt;title&gt;Correlates of outcome and response to IVIg in 88 patients with multifocal motor neuropathy&lt;/title&gt;&lt;secondary-title&gt;Neurology&lt;/secondary-title&gt;&lt;/titles&gt;&lt;periodical&gt;&lt;full-title&gt;Neurology&lt;/full-title&gt;&lt;/periodical&gt;&lt;pages&gt;818&lt;/pages&gt;&lt;volume&gt;75&lt;/volume&gt;&lt;number&gt;9&lt;/number&gt;&lt;dates&gt;&lt;year&gt;2010&lt;/year&gt;&lt;/dates&gt;&lt;urls&gt;&lt;related-urls&gt;&lt;url&gt;http://n.neurology.org/content/75/9/818.abstract&lt;/url&gt;&lt;/related-urls&gt;&lt;/urls&gt;&lt;electronic-resource-num&gt;10.1212/WNL.0b013e3181f0738e&lt;/electronic-resource-num&gt;&lt;/record&gt;&lt;/Cite&gt;&lt;/EndNote&gt;</w:instrText>
      </w:r>
      <w:r w:rsidR="00FB0686">
        <w:fldChar w:fldCharType="separate"/>
      </w:r>
      <w:r w:rsidR="00FB0686">
        <w:rPr>
          <w:noProof/>
        </w:rPr>
        <w:t>(10)</w:t>
      </w:r>
      <w:r w:rsidR="00FB0686">
        <w:fldChar w:fldCharType="end"/>
      </w:r>
      <w:r>
        <w:t xml:space="preserve"> as a proxy to project the number of Australians likely to be living with MMN. This prevalence estimate was </w:t>
      </w:r>
      <w:r w:rsidR="00FB0686">
        <w:t xml:space="preserve">recommended by the </w:t>
      </w:r>
      <w:r w:rsidR="00755502">
        <w:t xml:space="preserve">Ig Review </w:t>
      </w:r>
      <w:r w:rsidR="00AA2CF9">
        <w:t>Reference Group</w:t>
      </w:r>
      <w:r w:rsidR="00755502">
        <w:t>,</w:t>
      </w:r>
      <w:r w:rsidR="002F6579">
        <w:t xml:space="preserve"> </w:t>
      </w:r>
      <w:r>
        <w:t xml:space="preserve">because the </w:t>
      </w:r>
      <w:r w:rsidR="00297DF0">
        <w:t>study was conduct</w:t>
      </w:r>
      <w:r w:rsidR="00755502">
        <w:t>ed in a systematic way and the</w:t>
      </w:r>
      <w:r w:rsidR="00297DF0">
        <w:t xml:space="preserve"> findings are widely used. The clinical </w:t>
      </w:r>
      <w:r>
        <w:t xml:space="preserve">criteria used for IVIg therapy for MMN </w:t>
      </w:r>
      <w:r w:rsidR="00297DF0">
        <w:t xml:space="preserve">in the Cat et al. 2010 study </w:t>
      </w:r>
      <w:r w:rsidR="00297DF0">
        <w:fldChar w:fldCharType="begin"/>
      </w:r>
      <w:r w:rsidR="00297DF0">
        <w:instrText xml:space="preserve"> ADDIN EN.CITE &lt;EndNote&gt;&lt;Cite&gt;&lt;Author&gt;Van Den Berg-Vos&lt;/Author&gt;&lt;Year&gt;2000&lt;/Year&gt;&lt;RecNum&gt;43&lt;/RecNum&gt;&lt;DisplayText&gt;(12)&lt;/DisplayText&gt;&lt;record&gt;&lt;rec-number&gt;43&lt;/rec-number&gt;&lt;foreign-keys&gt;&lt;key app="EN" db-id="vz5vz5xro5d25hepedvpvr0o0v5axp5r99sw" timestamp="1568859087"&gt;43&lt;/key&gt;&lt;/foreign-keys&gt;&lt;ref-type name="Journal Article"&gt;17&lt;/ref-type&gt;&lt;contributors&gt;&lt;authors&gt;&lt;author&gt;Van Den Berg-Vos, R. M.&lt;/author&gt;&lt;author&gt;Franssen, H.&lt;/author&gt;&lt;author&gt;Wokke, J. H. J.&lt;/author&gt;&lt;author&gt;Van Es, H. W.&lt;/author&gt;&lt;author&gt;Van Den Berg, L. H.&lt;/author&gt;&lt;/authors&gt;&lt;/contributors&gt;&lt;titles&gt;&lt;title&gt;Multifocal motor neuropathy: Diagnostic criteria that predict the response to immunoglobulin treatment&lt;/title&gt;&lt;secondary-title&gt;Annals of Neurology&lt;/secondary-title&gt;&lt;/titles&gt;&lt;periodical&gt;&lt;full-title&gt;Ann Neurol&lt;/full-title&gt;&lt;abbr-1&gt;Annals of neurology&lt;/abbr-1&gt;&lt;/periodical&gt;&lt;pages&gt;919-926&lt;/pages&gt;&lt;volume&gt;48&lt;/volume&gt;&lt;number&gt;6&lt;/number&gt;&lt;dates&gt;&lt;year&gt;2000&lt;/year&gt;&lt;/dates&gt;&lt;isbn&gt;0364-5134&lt;/isbn&gt;&lt;urls&gt;&lt;related-urls&gt;&lt;url&gt;https://onlinelibrary.wiley.com/doi/abs/10.1002/1531-8249%28200012%2948%3A6%3C919%3A%3AAID-ANA13%3E3.0.CO%3B2-J&lt;/url&gt;&lt;/related-urls&gt;&lt;/urls&gt;&lt;electronic-resource-num&gt;10.1002/1531-8249(200012)48:6&amp;lt;919::aid-ana13&amp;gt;3.0.co;2-j&lt;/electronic-resource-num&gt;&lt;/record&gt;&lt;/Cite&gt;&lt;/EndNote&gt;</w:instrText>
      </w:r>
      <w:r w:rsidR="00297DF0">
        <w:fldChar w:fldCharType="separate"/>
      </w:r>
      <w:r w:rsidR="00297DF0">
        <w:rPr>
          <w:noProof/>
        </w:rPr>
        <w:t>(12)</w:t>
      </w:r>
      <w:r w:rsidR="00297DF0">
        <w:fldChar w:fldCharType="end"/>
      </w:r>
      <w:r w:rsidR="00297DF0">
        <w:t xml:space="preserve"> </w:t>
      </w:r>
      <w:r w:rsidR="00755502">
        <w:t xml:space="preserve">were consistent with the </w:t>
      </w:r>
      <w:r w:rsidR="00297DF0">
        <w:t xml:space="preserve">quality </w:t>
      </w:r>
      <w:r>
        <w:t>criteria</w:t>
      </w:r>
      <w:r w:rsidR="00297DF0">
        <w:t xml:space="preserve"> (</w:t>
      </w:r>
      <w:r w:rsidR="00954392">
        <w:t>The Criteria Version 3</w:t>
      </w:r>
      <w:r w:rsidR="00297DF0">
        <w:t>)</w:t>
      </w:r>
      <w:r>
        <w:t xml:space="preserve"> </w:t>
      </w:r>
      <w:r w:rsidR="00297DF0">
        <w:t xml:space="preserve">for IVIg therapy for MMN </w:t>
      </w:r>
      <w:r>
        <w:t xml:space="preserve">used in Australia. </w:t>
      </w:r>
    </w:p>
    <w:p w14:paraId="29FF7214" w14:textId="7CE42FDD" w:rsidR="000F66B6" w:rsidRDefault="000F66B6" w:rsidP="00E5089D">
      <w:r>
        <w:t>In order to estimate MMN prevalence, we applied the estimated prevalence rate from</w:t>
      </w:r>
      <w:r w:rsidR="0015328D">
        <w:t xml:space="preserve"> Cats et al. 2010</w:t>
      </w:r>
      <w:r>
        <w:t xml:space="preserve"> to an estimate of the </w:t>
      </w:r>
      <w:r w:rsidR="00D34CD3">
        <w:t>Australian population</w:t>
      </w:r>
      <w:r>
        <w:t xml:space="preserve"> as at the end of December 2018 of 25,180,2</w:t>
      </w:r>
      <w:r w:rsidR="00693548">
        <w:t>34</w:t>
      </w:r>
      <w:r>
        <w:t xml:space="preserve"> individuals </w:t>
      </w:r>
      <w:r w:rsidR="00E61B6E">
        <w:fldChar w:fldCharType="begin"/>
      </w:r>
      <w:r w:rsidR="00297DF0">
        <w:instrText xml:space="preserve"> ADDIN EN.CITE &lt;EndNote&gt;&lt;Cite&gt;&lt;Author&gt;ABS&lt;/Author&gt;&lt;Year&gt;2018&lt;/Year&gt;&lt;RecNum&gt;59&lt;/RecNum&gt;&lt;DisplayText&gt;(13)&lt;/DisplayText&gt;&lt;record&gt;&lt;rec-number&gt;59&lt;/rec-number&gt;&lt;foreign-keys&gt;&lt;key app="EN" db-id="vz5vz5xro5d25hepedvpvr0o0v5axp5r99sw" timestamp="1569207576"&gt;59&lt;/key&gt;&lt;/foreign-keys&gt;&lt;ref-type name="Dataset"&gt;59&lt;/ref-type&gt;&lt;contributors&gt;&lt;authors&gt;&lt;author&gt;ABS&lt;/author&gt;&lt;/authors&gt;&lt;secondary-authors&gt;&lt;author&gt;Australian Bureau of Statistics&lt;/author&gt;&lt;/secondary-authors&gt;&lt;/contributors&gt;&lt;titles&gt;&lt;title&gt;Quarterly Population Estimates (ERP), by State/Territory, Sex and Age&lt;/title&gt;&lt;/titles&gt;&lt;dates&gt;&lt;year&gt;2018&lt;/year&gt;&lt;/dates&gt;&lt;pub-location&gt;Canberra&lt;/pub-location&gt;&lt;urls&gt;&lt;/urls&gt;&lt;access-date&gt;10/09/2019&lt;/access-date&gt;&lt;/record&gt;&lt;/Cite&gt;&lt;/EndNote&gt;</w:instrText>
      </w:r>
      <w:r w:rsidR="00E61B6E">
        <w:fldChar w:fldCharType="separate"/>
      </w:r>
      <w:r w:rsidR="00297DF0">
        <w:rPr>
          <w:noProof/>
        </w:rPr>
        <w:t>(13)</w:t>
      </w:r>
      <w:r w:rsidR="00E61B6E">
        <w:fldChar w:fldCharType="end"/>
      </w:r>
      <w:r>
        <w:t>. By assuming a prevalence rate of 0.</w:t>
      </w:r>
      <w:r w:rsidR="00297DF0">
        <w:t>6</w:t>
      </w:r>
      <w:r>
        <w:t xml:space="preserve"> per 100,000 population, this would equate to </w:t>
      </w:r>
      <w:r w:rsidR="00297DF0">
        <w:t>151</w:t>
      </w:r>
      <w:r>
        <w:t xml:space="preserve"> patients with a definite MMN diagnosis. However, this estimate is lower than the number of patients </w:t>
      </w:r>
      <w:r w:rsidR="00F158C3">
        <w:t xml:space="preserve">who </w:t>
      </w:r>
      <w:r>
        <w:t>receiv</w:t>
      </w:r>
      <w:r w:rsidR="00F158C3">
        <w:t>ed</w:t>
      </w:r>
      <w:r>
        <w:t xml:space="preserve"> IVIg treatment for MMN in Australia</w:t>
      </w:r>
      <w:r w:rsidR="00755502">
        <w:t xml:space="preserve"> under</w:t>
      </w:r>
      <w:r w:rsidR="00F158C3">
        <w:t xml:space="preserve"> </w:t>
      </w:r>
      <w:r w:rsidR="00954392">
        <w:t>The Criteria Version 2</w:t>
      </w:r>
      <w:r>
        <w:t xml:space="preserve"> (see Table 4). The differences observed could be due to patients treated </w:t>
      </w:r>
      <w:r w:rsidR="00F158C3">
        <w:t xml:space="preserve">according to </w:t>
      </w:r>
      <w:r w:rsidR="00954392">
        <w:t>The Criteria Version 2</w:t>
      </w:r>
      <w:r w:rsidR="00F158C3">
        <w:t xml:space="preserve"> </w:t>
      </w:r>
      <w:r>
        <w:t xml:space="preserve">having been categorised in all the diagnostic categories of MMN: definite, probable and possible. In addition, </w:t>
      </w:r>
      <w:r w:rsidR="00755502">
        <w:t xml:space="preserve">it </w:t>
      </w:r>
      <w:r w:rsidR="00D34CD3">
        <w:t xml:space="preserve">was also noted in </w:t>
      </w:r>
      <w:r>
        <w:t xml:space="preserve">the </w:t>
      </w:r>
      <w:r w:rsidR="00755502">
        <w:t>Referral that</w:t>
      </w:r>
      <w:r w:rsidR="00D34CD3">
        <w:t xml:space="preserve"> </w:t>
      </w:r>
      <w:r>
        <w:t xml:space="preserve">the higher number of patients in Australia being treated with IVIg for MMN compared to the estimated prevalence could be a result of misdiagnosing MND as MMN and thus commencing and maintaining treatment with IVIg therapy as long as patients demonstrate objective clinical improvement. </w:t>
      </w:r>
      <w:r w:rsidR="007F39EC">
        <w:t xml:space="preserve">The Reference Group agreed with this explanation. </w:t>
      </w:r>
      <w:r w:rsidR="00F158C3">
        <w:t xml:space="preserve">It should also be noted that </w:t>
      </w:r>
      <w:r w:rsidR="00954392">
        <w:t>The Criteria Version 3</w:t>
      </w:r>
      <w:r w:rsidR="00F158C3">
        <w:t xml:space="preserve"> is more sensitive in differentiating</w:t>
      </w:r>
      <w:r w:rsidR="007F39EC">
        <w:t xml:space="preserve"> between MMN and MND</w:t>
      </w:r>
      <w:r w:rsidR="00954392">
        <w:t xml:space="preserve"> than T</w:t>
      </w:r>
      <w:r w:rsidR="007F39EC">
        <w:t xml:space="preserve">he </w:t>
      </w:r>
      <w:r w:rsidR="00954392">
        <w:t xml:space="preserve">Criteria </w:t>
      </w:r>
      <w:r w:rsidR="007F39EC">
        <w:t>Version 2 due to new requirements for diagnosing and continuing treatment with IVIg for MMN. For example</w:t>
      </w:r>
      <w:r w:rsidR="00755502">
        <w:t>, the addition of the</w:t>
      </w:r>
      <w:r w:rsidR="007F39EC">
        <w:t xml:space="preserve"> qualifying criteria </w:t>
      </w:r>
      <w:r w:rsidR="00755502">
        <w:t>for IVIg therapy for MMN of</w:t>
      </w:r>
      <w:r w:rsidR="007F39EC">
        <w:t xml:space="preserve"> ‘progressive motor weakness that is demonstrated in the distribution of individual peripheral nerve</w:t>
      </w:r>
      <w:r w:rsidR="00755502">
        <w:t>s</w:t>
      </w:r>
      <w:r w:rsidR="007F39EC">
        <w:t>’.</w:t>
      </w:r>
      <w:r w:rsidR="00F158C3">
        <w:t xml:space="preserve">  </w:t>
      </w:r>
      <w:r w:rsidR="00954392">
        <w:t>Also, T</w:t>
      </w:r>
      <w:r w:rsidR="007F39EC">
        <w:t xml:space="preserve">he </w:t>
      </w:r>
      <w:r w:rsidR="00954392">
        <w:lastRenderedPageBreak/>
        <w:t xml:space="preserve">Criteria </w:t>
      </w:r>
      <w:r w:rsidR="007F39EC">
        <w:t xml:space="preserve">Version </w:t>
      </w:r>
      <w:r w:rsidR="00954392">
        <w:t>3</w:t>
      </w:r>
      <w:r w:rsidR="007F39EC">
        <w:t xml:space="preserve"> requires that newly diagnosed MMN patients on IVIg therapy be reviewed at 4 months to eliminate non-responders and </w:t>
      </w:r>
      <w:r w:rsidR="003700F9">
        <w:t xml:space="preserve">also </w:t>
      </w:r>
      <w:r w:rsidR="001A288D">
        <w:t xml:space="preserve">a trial </w:t>
      </w:r>
      <w:r w:rsidR="003700F9">
        <w:t>off treatment for MMN patients in remission on maintenance therapy</w:t>
      </w:r>
      <w:r w:rsidR="007F39EC">
        <w:t xml:space="preserve">. </w:t>
      </w:r>
      <w:r w:rsidR="00FB32BC">
        <w:t>The</w:t>
      </w:r>
      <w:r>
        <w:t xml:space="preserve"> use </w:t>
      </w:r>
      <w:r w:rsidR="00C8526E">
        <w:t xml:space="preserve">of </w:t>
      </w:r>
      <w:r w:rsidR="00954392">
        <w:t>T</w:t>
      </w:r>
      <w:r>
        <w:t xml:space="preserve">he </w:t>
      </w:r>
      <w:r w:rsidR="00954392">
        <w:t>Criteria Version 3</w:t>
      </w:r>
      <w:r w:rsidR="007F39EC">
        <w:t xml:space="preserve"> and/or </w:t>
      </w:r>
      <w:r>
        <w:t xml:space="preserve">EFNS/PNS guideline for diagnosing MMN </w:t>
      </w:r>
      <w:r w:rsidR="00FB32BC">
        <w:t>may</w:t>
      </w:r>
      <w:r w:rsidR="001A288D">
        <w:t xml:space="preserve"> reduce misdiagnosis of MN</w:t>
      </w:r>
      <w:r>
        <w:t>D as MMN.</w:t>
      </w:r>
    </w:p>
    <w:p w14:paraId="23CA82FC" w14:textId="77777777" w:rsidR="00362F8A" w:rsidRPr="00961D22" w:rsidRDefault="00D34CD3" w:rsidP="00362F8A">
      <w:pPr>
        <w:rPr>
          <w:sz w:val="18"/>
        </w:rPr>
      </w:pPr>
      <w:r>
        <w:t>By</w:t>
      </w:r>
      <w:r w:rsidR="000F66B6">
        <w:t xml:space="preserve"> us</w:t>
      </w:r>
      <w:r>
        <w:t>ing the</w:t>
      </w:r>
      <w:r w:rsidR="000F66B6">
        <w:t xml:space="preserve"> NBA utilisation data on IVIg for MMN</w:t>
      </w:r>
      <w:r>
        <w:t>, the</w:t>
      </w:r>
      <w:r w:rsidR="000F66B6">
        <w:t xml:space="preserve"> estimate</w:t>
      </w:r>
      <w:r>
        <w:t>d</w:t>
      </w:r>
      <w:r w:rsidR="000F66B6">
        <w:t xml:space="preserve"> prevalence of MMN </w:t>
      </w:r>
      <w:r>
        <w:t xml:space="preserve">was </w:t>
      </w:r>
      <w:r w:rsidR="000F66B6">
        <w:t xml:space="preserve">2.2 per 100,000 population for </w:t>
      </w:r>
      <w:r w:rsidR="00362F8A">
        <w:t>2017-</w:t>
      </w:r>
      <w:r w:rsidR="000F66B6">
        <w:t xml:space="preserve">2018. </w:t>
      </w:r>
      <w:r>
        <w:t>Similarly, t</w:t>
      </w:r>
      <w:r w:rsidR="000F66B6">
        <w:t xml:space="preserve">he corresponding incidence of MMN in Australia was also estimated as 0.5 per 100,000 persons (Table 4). </w:t>
      </w:r>
      <w:r w:rsidR="00765B59">
        <w:t xml:space="preserve">It should be noted that as stated above, </w:t>
      </w:r>
      <w:r w:rsidR="000F66B6">
        <w:t xml:space="preserve">these estimates </w:t>
      </w:r>
      <w:r w:rsidR="00765B59">
        <w:t xml:space="preserve">may </w:t>
      </w:r>
      <w:r w:rsidR="000F66B6">
        <w:t>not tru</w:t>
      </w:r>
      <w:r w:rsidR="00765B59">
        <w:t>ly</w:t>
      </w:r>
      <w:r w:rsidR="000F66B6">
        <w:t xml:space="preserve"> represent the prevalence of MMN in Australia</w:t>
      </w:r>
      <w:r w:rsidR="00765B59">
        <w:t xml:space="preserve">. </w:t>
      </w:r>
      <w:r w:rsidR="000F66B6">
        <w:t xml:space="preserve">In addition, according to </w:t>
      </w:r>
      <w:r w:rsidR="000F66B6" w:rsidRPr="00362F8A">
        <w:t>The Criteria</w:t>
      </w:r>
      <w:r w:rsidR="000F66B6">
        <w:t xml:space="preserve">, only MMN patients who demonstrate progressive muscle weakness and disability according to the adjusted ONLS (see Table 1) </w:t>
      </w:r>
      <w:r w:rsidR="00765B59">
        <w:t xml:space="preserve">are eligible to </w:t>
      </w:r>
      <w:r w:rsidR="000F66B6">
        <w:t xml:space="preserve">receive IVIg, hence those with MMN who do not exhibit these symptoms are not </w:t>
      </w:r>
      <w:r w:rsidR="00765B59">
        <w:t xml:space="preserve">being </w:t>
      </w:r>
      <w:r w:rsidR="000F66B6">
        <w:t>captured in the NBA IVIg for MMN utilisation data.</w:t>
      </w:r>
      <w:r w:rsidR="00362F8A">
        <w:t xml:space="preserve"> The prevalence as calculated using the NBA data resulted in a higher estimate compared to other estimates reported in the literature, potentially representing use in a non-MMN population.</w:t>
      </w:r>
    </w:p>
    <w:p w14:paraId="658759B9" w14:textId="71E6B966" w:rsidR="000F66B6" w:rsidRPr="00CD2153" w:rsidRDefault="000F66B6" w:rsidP="00E9264A">
      <w:pPr>
        <w:keepNext/>
        <w:spacing w:after="0" w:line="240" w:lineRule="auto"/>
        <w:rPr>
          <w:b/>
          <w:sz w:val="20"/>
          <w:szCs w:val="20"/>
        </w:rPr>
      </w:pPr>
      <w:r w:rsidRPr="00CD2153">
        <w:rPr>
          <w:b/>
          <w:sz w:val="20"/>
          <w:szCs w:val="20"/>
        </w:rPr>
        <w:t>Table 4: Incidence and prevalence of MMN in Australia using data on the use of IVIg therapy from the National Blood Authority</w:t>
      </w:r>
      <w:r w:rsidR="00C5720E">
        <w:rPr>
          <w:b/>
          <w:sz w:val="20"/>
          <w:szCs w:val="20"/>
        </w:rPr>
        <w:t xml:space="preserve"> based on The Criteria Version 2.</w:t>
      </w:r>
    </w:p>
    <w:tbl>
      <w:tblPr>
        <w:tblStyle w:val="TableGrid"/>
        <w:tblW w:w="0" w:type="auto"/>
        <w:tblLook w:val="04A0" w:firstRow="1" w:lastRow="0" w:firstColumn="1" w:lastColumn="0" w:noHBand="0" w:noVBand="1"/>
        <w:tblCaption w:val="Table 4: Incidence and prevalence of MMN in Australia using data on the use of IVIg therapy from the National Blood Authority based on The Criteria Version 2."/>
      </w:tblPr>
      <w:tblGrid>
        <w:gridCol w:w="3256"/>
        <w:gridCol w:w="1147"/>
        <w:gridCol w:w="1127"/>
        <w:gridCol w:w="1232"/>
        <w:gridCol w:w="1127"/>
        <w:gridCol w:w="1127"/>
      </w:tblGrid>
      <w:tr w:rsidR="000F66B6" w:rsidRPr="004D159E" w14:paraId="3C7C3AA1" w14:textId="77777777" w:rsidTr="00A50C1F">
        <w:trPr>
          <w:tblHeader/>
        </w:trPr>
        <w:tc>
          <w:tcPr>
            <w:tcW w:w="3256" w:type="dxa"/>
          </w:tcPr>
          <w:p w14:paraId="148A0B91" w14:textId="77777777" w:rsidR="000F66B6" w:rsidRPr="004D159E" w:rsidRDefault="000F66B6" w:rsidP="002E4F05">
            <w:pPr>
              <w:keepNext/>
              <w:spacing w:after="0"/>
              <w:rPr>
                <w:sz w:val="20"/>
              </w:rPr>
            </w:pPr>
          </w:p>
        </w:tc>
        <w:tc>
          <w:tcPr>
            <w:tcW w:w="1147" w:type="dxa"/>
          </w:tcPr>
          <w:p w14:paraId="0EEA68BC" w14:textId="77777777" w:rsidR="000F66B6" w:rsidRPr="004D159E" w:rsidRDefault="000F66B6" w:rsidP="002E4F05">
            <w:pPr>
              <w:keepNext/>
              <w:spacing w:after="0"/>
              <w:rPr>
                <w:b/>
                <w:sz w:val="20"/>
              </w:rPr>
            </w:pPr>
            <w:r w:rsidRPr="004D159E">
              <w:rPr>
                <w:b/>
                <w:sz w:val="20"/>
              </w:rPr>
              <w:t>2013-14</w:t>
            </w:r>
          </w:p>
        </w:tc>
        <w:tc>
          <w:tcPr>
            <w:tcW w:w="1127" w:type="dxa"/>
          </w:tcPr>
          <w:p w14:paraId="51C0AA78" w14:textId="77777777" w:rsidR="000F66B6" w:rsidRPr="004D159E" w:rsidRDefault="000F66B6" w:rsidP="002E4F05">
            <w:pPr>
              <w:keepNext/>
              <w:spacing w:after="0"/>
              <w:rPr>
                <w:b/>
                <w:sz w:val="20"/>
              </w:rPr>
            </w:pPr>
            <w:r w:rsidRPr="004D159E">
              <w:rPr>
                <w:b/>
                <w:sz w:val="20"/>
              </w:rPr>
              <w:t>2014-15</w:t>
            </w:r>
          </w:p>
        </w:tc>
        <w:tc>
          <w:tcPr>
            <w:tcW w:w="1232" w:type="dxa"/>
          </w:tcPr>
          <w:p w14:paraId="6758A3F2" w14:textId="77777777" w:rsidR="000F66B6" w:rsidRPr="004D159E" w:rsidRDefault="000F66B6" w:rsidP="002E4F05">
            <w:pPr>
              <w:keepNext/>
              <w:spacing w:after="0"/>
              <w:rPr>
                <w:b/>
                <w:sz w:val="20"/>
              </w:rPr>
            </w:pPr>
            <w:r w:rsidRPr="004D159E">
              <w:rPr>
                <w:b/>
                <w:sz w:val="20"/>
              </w:rPr>
              <w:t>2015-16</w:t>
            </w:r>
          </w:p>
        </w:tc>
        <w:tc>
          <w:tcPr>
            <w:tcW w:w="1127" w:type="dxa"/>
          </w:tcPr>
          <w:p w14:paraId="4E965966" w14:textId="77777777" w:rsidR="000F66B6" w:rsidRPr="004D159E" w:rsidRDefault="000F66B6" w:rsidP="002E4F05">
            <w:pPr>
              <w:keepNext/>
              <w:spacing w:after="0"/>
              <w:rPr>
                <w:b/>
                <w:sz w:val="20"/>
              </w:rPr>
            </w:pPr>
            <w:r w:rsidRPr="004D159E">
              <w:rPr>
                <w:b/>
                <w:sz w:val="20"/>
              </w:rPr>
              <w:t>2016-17</w:t>
            </w:r>
          </w:p>
        </w:tc>
        <w:tc>
          <w:tcPr>
            <w:tcW w:w="1127" w:type="dxa"/>
          </w:tcPr>
          <w:p w14:paraId="78F079C4" w14:textId="77777777" w:rsidR="000F66B6" w:rsidRPr="004D159E" w:rsidRDefault="000F66B6" w:rsidP="002E4F05">
            <w:pPr>
              <w:keepNext/>
              <w:spacing w:after="0"/>
              <w:rPr>
                <w:b/>
                <w:sz w:val="20"/>
              </w:rPr>
            </w:pPr>
            <w:r w:rsidRPr="004D159E">
              <w:rPr>
                <w:b/>
                <w:sz w:val="20"/>
              </w:rPr>
              <w:t>2017-18</w:t>
            </w:r>
          </w:p>
        </w:tc>
      </w:tr>
      <w:tr w:rsidR="000F66B6" w:rsidRPr="004D159E" w14:paraId="2B7FE4C0" w14:textId="77777777" w:rsidTr="00153CEA">
        <w:tc>
          <w:tcPr>
            <w:tcW w:w="3256" w:type="dxa"/>
          </w:tcPr>
          <w:p w14:paraId="04E21805" w14:textId="77777777" w:rsidR="000F66B6" w:rsidRDefault="000F66B6" w:rsidP="002E4F05">
            <w:pPr>
              <w:keepNext/>
              <w:spacing w:after="0"/>
              <w:rPr>
                <w:sz w:val="20"/>
              </w:rPr>
            </w:pPr>
            <w:r>
              <w:rPr>
                <w:sz w:val="20"/>
              </w:rPr>
              <w:t xml:space="preserve">Australian population </w:t>
            </w:r>
          </w:p>
        </w:tc>
        <w:tc>
          <w:tcPr>
            <w:tcW w:w="1147" w:type="dxa"/>
          </w:tcPr>
          <w:p w14:paraId="70C03003" w14:textId="77777777" w:rsidR="000F66B6" w:rsidRDefault="000F66B6" w:rsidP="002E4F05">
            <w:pPr>
              <w:keepNext/>
              <w:spacing w:after="0"/>
              <w:rPr>
                <w:sz w:val="20"/>
              </w:rPr>
            </w:pPr>
            <w:r>
              <w:rPr>
                <w:sz w:val="20"/>
              </w:rPr>
              <w:t>23,640,331</w:t>
            </w:r>
          </w:p>
        </w:tc>
        <w:tc>
          <w:tcPr>
            <w:tcW w:w="1127" w:type="dxa"/>
          </w:tcPr>
          <w:p w14:paraId="17FEC5C6" w14:textId="77777777" w:rsidR="000F66B6" w:rsidRDefault="000F66B6" w:rsidP="002E4F05">
            <w:pPr>
              <w:keepNext/>
              <w:spacing w:after="0"/>
              <w:rPr>
                <w:sz w:val="20"/>
              </w:rPr>
            </w:pPr>
            <w:r>
              <w:rPr>
                <w:sz w:val="20"/>
              </w:rPr>
              <w:t>23,984,581</w:t>
            </w:r>
          </w:p>
        </w:tc>
        <w:tc>
          <w:tcPr>
            <w:tcW w:w="1232" w:type="dxa"/>
          </w:tcPr>
          <w:p w14:paraId="23F5F8F3" w14:textId="77777777" w:rsidR="000F66B6" w:rsidRDefault="000F66B6" w:rsidP="002E4F05">
            <w:pPr>
              <w:keepNext/>
              <w:spacing w:after="0"/>
              <w:rPr>
                <w:sz w:val="20"/>
              </w:rPr>
            </w:pPr>
            <w:r>
              <w:rPr>
                <w:sz w:val="20"/>
              </w:rPr>
              <w:t>24,389,684</w:t>
            </w:r>
          </w:p>
        </w:tc>
        <w:tc>
          <w:tcPr>
            <w:tcW w:w="1127" w:type="dxa"/>
          </w:tcPr>
          <w:p w14:paraId="2E5C48B6" w14:textId="77777777" w:rsidR="000F66B6" w:rsidRDefault="000F66B6" w:rsidP="002E4F05">
            <w:pPr>
              <w:keepNext/>
              <w:spacing w:after="0"/>
              <w:rPr>
                <w:sz w:val="20"/>
              </w:rPr>
            </w:pPr>
            <w:r>
              <w:rPr>
                <w:sz w:val="20"/>
              </w:rPr>
              <w:t>24,775,451</w:t>
            </w:r>
          </w:p>
        </w:tc>
        <w:tc>
          <w:tcPr>
            <w:tcW w:w="1127" w:type="dxa"/>
          </w:tcPr>
          <w:p w14:paraId="255E3E11" w14:textId="77777777" w:rsidR="000F66B6" w:rsidRDefault="000F66B6" w:rsidP="002E4F05">
            <w:pPr>
              <w:keepNext/>
              <w:spacing w:after="0"/>
              <w:rPr>
                <w:sz w:val="20"/>
              </w:rPr>
            </w:pPr>
            <w:r>
              <w:rPr>
                <w:sz w:val="20"/>
              </w:rPr>
              <w:t>25,180,234</w:t>
            </w:r>
          </w:p>
        </w:tc>
      </w:tr>
      <w:tr w:rsidR="000F66B6" w:rsidRPr="004D159E" w14:paraId="1A562011" w14:textId="77777777" w:rsidTr="00153CEA">
        <w:tc>
          <w:tcPr>
            <w:tcW w:w="3256" w:type="dxa"/>
          </w:tcPr>
          <w:p w14:paraId="647753AB" w14:textId="15DA2AFF" w:rsidR="000F66B6" w:rsidRPr="004D159E" w:rsidRDefault="000F66B6" w:rsidP="002E4F05">
            <w:pPr>
              <w:keepNext/>
              <w:spacing w:after="0"/>
              <w:rPr>
                <w:sz w:val="20"/>
              </w:rPr>
            </w:pPr>
            <w:r>
              <w:rPr>
                <w:sz w:val="20"/>
              </w:rPr>
              <w:t>New patient</w:t>
            </w:r>
            <w:r w:rsidR="00DA015A">
              <w:rPr>
                <w:sz w:val="20"/>
              </w:rPr>
              <w:t>s</w:t>
            </w:r>
            <w:r>
              <w:rPr>
                <w:sz w:val="20"/>
              </w:rPr>
              <w:t xml:space="preserve"> diagnosed</w:t>
            </w:r>
          </w:p>
        </w:tc>
        <w:tc>
          <w:tcPr>
            <w:tcW w:w="1147" w:type="dxa"/>
          </w:tcPr>
          <w:p w14:paraId="50D1B09F" w14:textId="77777777" w:rsidR="000F66B6" w:rsidRPr="004D159E" w:rsidRDefault="000F66B6" w:rsidP="002E4F05">
            <w:pPr>
              <w:keepNext/>
              <w:spacing w:after="0"/>
              <w:rPr>
                <w:sz w:val="20"/>
              </w:rPr>
            </w:pPr>
            <w:r>
              <w:rPr>
                <w:sz w:val="20"/>
              </w:rPr>
              <w:t>127</w:t>
            </w:r>
          </w:p>
        </w:tc>
        <w:tc>
          <w:tcPr>
            <w:tcW w:w="1127" w:type="dxa"/>
          </w:tcPr>
          <w:p w14:paraId="17719403" w14:textId="77777777" w:rsidR="000F66B6" w:rsidRPr="004D159E" w:rsidRDefault="000F66B6" w:rsidP="002E4F05">
            <w:pPr>
              <w:keepNext/>
              <w:spacing w:after="0"/>
              <w:rPr>
                <w:sz w:val="20"/>
              </w:rPr>
            </w:pPr>
            <w:r>
              <w:rPr>
                <w:sz w:val="20"/>
              </w:rPr>
              <w:t>105</w:t>
            </w:r>
          </w:p>
        </w:tc>
        <w:tc>
          <w:tcPr>
            <w:tcW w:w="1232" w:type="dxa"/>
          </w:tcPr>
          <w:p w14:paraId="7B47FF2B" w14:textId="77777777" w:rsidR="000F66B6" w:rsidRPr="004D159E" w:rsidRDefault="000F66B6" w:rsidP="002E4F05">
            <w:pPr>
              <w:keepNext/>
              <w:spacing w:after="0"/>
              <w:rPr>
                <w:sz w:val="20"/>
              </w:rPr>
            </w:pPr>
            <w:r>
              <w:rPr>
                <w:sz w:val="20"/>
              </w:rPr>
              <w:t>137</w:t>
            </w:r>
          </w:p>
        </w:tc>
        <w:tc>
          <w:tcPr>
            <w:tcW w:w="1127" w:type="dxa"/>
          </w:tcPr>
          <w:p w14:paraId="14150AC9" w14:textId="77777777" w:rsidR="000F66B6" w:rsidRPr="004D159E" w:rsidRDefault="000F66B6" w:rsidP="002E4F05">
            <w:pPr>
              <w:keepNext/>
              <w:spacing w:after="0"/>
              <w:rPr>
                <w:sz w:val="20"/>
              </w:rPr>
            </w:pPr>
            <w:r>
              <w:rPr>
                <w:sz w:val="20"/>
              </w:rPr>
              <w:t>126</w:t>
            </w:r>
          </w:p>
        </w:tc>
        <w:tc>
          <w:tcPr>
            <w:tcW w:w="1127" w:type="dxa"/>
          </w:tcPr>
          <w:p w14:paraId="064B85BC" w14:textId="77777777" w:rsidR="000F66B6" w:rsidRPr="004D159E" w:rsidRDefault="000F66B6" w:rsidP="002E4F05">
            <w:pPr>
              <w:keepNext/>
              <w:spacing w:after="0"/>
              <w:rPr>
                <w:sz w:val="20"/>
              </w:rPr>
            </w:pPr>
            <w:r>
              <w:rPr>
                <w:sz w:val="20"/>
              </w:rPr>
              <w:t>125</w:t>
            </w:r>
          </w:p>
        </w:tc>
      </w:tr>
      <w:tr w:rsidR="000F66B6" w:rsidRPr="004D159E" w14:paraId="5FA95488" w14:textId="77777777" w:rsidTr="00153CEA">
        <w:tc>
          <w:tcPr>
            <w:tcW w:w="3256" w:type="dxa"/>
          </w:tcPr>
          <w:p w14:paraId="7518EA70" w14:textId="77777777" w:rsidR="000F66B6" w:rsidRPr="004D159E" w:rsidRDefault="000F66B6" w:rsidP="002E4F05">
            <w:pPr>
              <w:keepNext/>
              <w:spacing w:after="0"/>
              <w:rPr>
                <w:sz w:val="20"/>
              </w:rPr>
            </w:pPr>
            <w:r>
              <w:rPr>
                <w:sz w:val="20"/>
              </w:rPr>
              <w:t>Total patients</w:t>
            </w:r>
          </w:p>
        </w:tc>
        <w:tc>
          <w:tcPr>
            <w:tcW w:w="1147" w:type="dxa"/>
          </w:tcPr>
          <w:p w14:paraId="57E6C8B7" w14:textId="77777777" w:rsidR="000F66B6" w:rsidRPr="004D159E" w:rsidRDefault="000F66B6" w:rsidP="002E4F05">
            <w:pPr>
              <w:keepNext/>
              <w:spacing w:after="0"/>
              <w:rPr>
                <w:sz w:val="20"/>
              </w:rPr>
            </w:pPr>
            <w:r>
              <w:rPr>
                <w:sz w:val="20"/>
              </w:rPr>
              <w:t>438</w:t>
            </w:r>
          </w:p>
        </w:tc>
        <w:tc>
          <w:tcPr>
            <w:tcW w:w="1127" w:type="dxa"/>
          </w:tcPr>
          <w:p w14:paraId="4BAF0266" w14:textId="77777777" w:rsidR="000F66B6" w:rsidRPr="004D159E" w:rsidRDefault="000F66B6" w:rsidP="002E4F05">
            <w:pPr>
              <w:keepNext/>
              <w:spacing w:after="0"/>
              <w:rPr>
                <w:sz w:val="20"/>
              </w:rPr>
            </w:pPr>
            <w:r>
              <w:rPr>
                <w:sz w:val="20"/>
              </w:rPr>
              <w:t>444</w:t>
            </w:r>
          </w:p>
        </w:tc>
        <w:tc>
          <w:tcPr>
            <w:tcW w:w="1232" w:type="dxa"/>
          </w:tcPr>
          <w:p w14:paraId="13FBEECE" w14:textId="77777777" w:rsidR="000F66B6" w:rsidRPr="004D159E" w:rsidRDefault="000F66B6" w:rsidP="002E4F05">
            <w:pPr>
              <w:keepNext/>
              <w:spacing w:after="0"/>
              <w:rPr>
                <w:sz w:val="20"/>
              </w:rPr>
            </w:pPr>
            <w:r>
              <w:rPr>
                <w:sz w:val="20"/>
              </w:rPr>
              <w:t>496</w:t>
            </w:r>
          </w:p>
        </w:tc>
        <w:tc>
          <w:tcPr>
            <w:tcW w:w="1127" w:type="dxa"/>
          </w:tcPr>
          <w:p w14:paraId="43050FF4" w14:textId="77777777" w:rsidR="000F66B6" w:rsidRPr="004D159E" w:rsidRDefault="000F66B6" w:rsidP="002E4F05">
            <w:pPr>
              <w:keepNext/>
              <w:spacing w:after="0"/>
              <w:rPr>
                <w:sz w:val="20"/>
              </w:rPr>
            </w:pPr>
            <w:r>
              <w:rPr>
                <w:sz w:val="20"/>
              </w:rPr>
              <w:t>527</w:t>
            </w:r>
          </w:p>
        </w:tc>
        <w:tc>
          <w:tcPr>
            <w:tcW w:w="1127" w:type="dxa"/>
          </w:tcPr>
          <w:p w14:paraId="3441E98B" w14:textId="77777777" w:rsidR="000F66B6" w:rsidRPr="004D159E" w:rsidRDefault="000F66B6" w:rsidP="002E4F05">
            <w:pPr>
              <w:keepNext/>
              <w:spacing w:after="0"/>
              <w:rPr>
                <w:sz w:val="20"/>
              </w:rPr>
            </w:pPr>
            <w:r>
              <w:rPr>
                <w:sz w:val="20"/>
              </w:rPr>
              <w:t>560</w:t>
            </w:r>
          </w:p>
        </w:tc>
      </w:tr>
      <w:tr w:rsidR="000F66B6" w:rsidRPr="004D159E" w14:paraId="1C27339A" w14:textId="77777777" w:rsidTr="00153CEA">
        <w:tc>
          <w:tcPr>
            <w:tcW w:w="3256" w:type="dxa"/>
          </w:tcPr>
          <w:p w14:paraId="7E1CD9D7" w14:textId="77777777" w:rsidR="000F66B6" w:rsidRDefault="000F66B6" w:rsidP="002E4F05">
            <w:pPr>
              <w:keepNext/>
              <w:spacing w:after="0"/>
              <w:rPr>
                <w:sz w:val="20"/>
              </w:rPr>
            </w:pPr>
            <w:r>
              <w:rPr>
                <w:sz w:val="20"/>
              </w:rPr>
              <w:t>Estimated incidence per 100, 000</w:t>
            </w:r>
          </w:p>
        </w:tc>
        <w:tc>
          <w:tcPr>
            <w:tcW w:w="1147" w:type="dxa"/>
          </w:tcPr>
          <w:p w14:paraId="33DE17A6" w14:textId="77777777" w:rsidR="000F66B6" w:rsidRDefault="000F66B6" w:rsidP="002E4F05">
            <w:pPr>
              <w:keepNext/>
              <w:spacing w:after="0"/>
              <w:rPr>
                <w:sz w:val="20"/>
              </w:rPr>
            </w:pPr>
            <w:r>
              <w:rPr>
                <w:sz w:val="20"/>
              </w:rPr>
              <w:t>0.5</w:t>
            </w:r>
          </w:p>
        </w:tc>
        <w:tc>
          <w:tcPr>
            <w:tcW w:w="1127" w:type="dxa"/>
          </w:tcPr>
          <w:p w14:paraId="6A3E0F99" w14:textId="77777777" w:rsidR="000F66B6" w:rsidRDefault="000F66B6" w:rsidP="002E4F05">
            <w:pPr>
              <w:keepNext/>
              <w:spacing w:after="0"/>
              <w:rPr>
                <w:sz w:val="20"/>
              </w:rPr>
            </w:pPr>
            <w:r>
              <w:rPr>
                <w:sz w:val="20"/>
              </w:rPr>
              <w:t>0.4</w:t>
            </w:r>
          </w:p>
        </w:tc>
        <w:tc>
          <w:tcPr>
            <w:tcW w:w="1232" w:type="dxa"/>
          </w:tcPr>
          <w:p w14:paraId="69E947AE" w14:textId="77777777" w:rsidR="000F66B6" w:rsidRDefault="000F66B6" w:rsidP="002E4F05">
            <w:pPr>
              <w:keepNext/>
              <w:spacing w:after="0"/>
              <w:rPr>
                <w:sz w:val="20"/>
              </w:rPr>
            </w:pPr>
            <w:r>
              <w:rPr>
                <w:sz w:val="20"/>
              </w:rPr>
              <w:t>0.6</w:t>
            </w:r>
          </w:p>
        </w:tc>
        <w:tc>
          <w:tcPr>
            <w:tcW w:w="1127" w:type="dxa"/>
          </w:tcPr>
          <w:p w14:paraId="356FDC04" w14:textId="77777777" w:rsidR="000F66B6" w:rsidRDefault="000F66B6" w:rsidP="002E4F05">
            <w:pPr>
              <w:keepNext/>
              <w:spacing w:after="0"/>
              <w:rPr>
                <w:sz w:val="20"/>
              </w:rPr>
            </w:pPr>
            <w:r>
              <w:rPr>
                <w:sz w:val="20"/>
              </w:rPr>
              <w:t>0.5</w:t>
            </w:r>
          </w:p>
        </w:tc>
        <w:tc>
          <w:tcPr>
            <w:tcW w:w="1127" w:type="dxa"/>
          </w:tcPr>
          <w:p w14:paraId="1F585E52" w14:textId="77777777" w:rsidR="000F66B6" w:rsidRDefault="000F66B6" w:rsidP="002E4F05">
            <w:pPr>
              <w:keepNext/>
              <w:spacing w:after="0"/>
              <w:rPr>
                <w:sz w:val="20"/>
              </w:rPr>
            </w:pPr>
            <w:r>
              <w:rPr>
                <w:sz w:val="20"/>
              </w:rPr>
              <w:t>0.5</w:t>
            </w:r>
          </w:p>
        </w:tc>
      </w:tr>
      <w:tr w:rsidR="000F66B6" w:rsidRPr="004D159E" w14:paraId="2E614F39" w14:textId="77777777" w:rsidTr="00153CEA">
        <w:tc>
          <w:tcPr>
            <w:tcW w:w="3256" w:type="dxa"/>
          </w:tcPr>
          <w:p w14:paraId="26F35D2F" w14:textId="77777777" w:rsidR="000F66B6" w:rsidRPr="004D159E" w:rsidRDefault="000F66B6" w:rsidP="002E4F05">
            <w:pPr>
              <w:keepNext/>
              <w:spacing w:after="0"/>
              <w:rPr>
                <w:sz w:val="20"/>
              </w:rPr>
            </w:pPr>
            <w:r>
              <w:rPr>
                <w:sz w:val="20"/>
              </w:rPr>
              <w:t>Estimated prevalence per 100,000</w:t>
            </w:r>
          </w:p>
        </w:tc>
        <w:tc>
          <w:tcPr>
            <w:tcW w:w="1147" w:type="dxa"/>
          </w:tcPr>
          <w:p w14:paraId="614A9D6D" w14:textId="77777777" w:rsidR="000F66B6" w:rsidRPr="004D159E" w:rsidRDefault="000F66B6" w:rsidP="002E4F05">
            <w:pPr>
              <w:keepNext/>
              <w:spacing w:after="0"/>
              <w:rPr>
                <w:sz w:val="20"/>
              </w:rPr>
            </w:pPr>
            <w:r>
              <w:rPr>
                <w:sz w:val="20"/>
              </w:rPr>
              <w:t>1.9</w:t>
            </w:r>
          </w:p>
        </w:tc>
        <w:tc>
          <w:tcPr>
            <w:tcW w:w="1127" w:type="dxa"/>
          </w:tcPr>
          <w:p w14:paraId="06865823" w14:textId="77777777" w:rsidR="000F66B6" w:rsidRPr="004D159E" w:rsidRDefault="000F66B6" w:rsidP="002E4F05">
            <w:pPr>
              <w:keepNext/>
              <w:spacing w:after="0"/>
              <w:rPr>
                <w:sz w:val="20"/>
              </w:rPr>
            </w:pPr>
            <w:r>
              <w:rPr>
                <w:sz w:val="20"/>
              </w:rPr>
              <w:t>1.9</w:t>
            </w:r>
          </w:p>
        </w:tc>
        <w:tc>
          <w:tcPr>
            <w:tcW w:w="1232" w:type="dxa"/>
          </w:tcPr>
          <w:p w14:paraId="6AEFDBA7" w14:textId="77777777" w:rsidR="000F66B6" w:rsidRPr="004D159E" w:rsidRDefault="000F66B6" w:rsidP="002E4F05">
            <w:pPr>
              <w:keepNext/>
              <w:spacing w:after="0"/>
              <w:rPr>
                <w:sz w:val="20"/>
              </w:rPr>
            </w:pPr>
            <w:r>
              <w:rPr>
                <w:sz w:val="20"/>
              </w:rPr>
              <w:t>2.0</w:t>
            </w:r>
          </w:p>
        </w:tc>
        <w:tc>
          <w:tcPr>
            <w:tcW w:w="1127" w:type="dxa"/>
          </w:tcPr>
          <w:p w14:paraId="0ECA8491" w14:textId="77777777" w:rsidR="000F66B6" w:rsidRPr="004D159E" w:rsidRDefault="000F66B6" w:rsidP="002E4F05">
            <w:pPr>
              <w:keepNext/>
              <w:spacing w:after="0"/>
              <w:rPr>
                <w:sz w:val="20"/>
              </w:rPr>
            </w:pPr>
            <w:r>
              <w:rPr>
                <w:sz w:val="20"/>
              </w:rPr>
              <w:t>2.1</w:t>
            </w:r>
          </w:p>
        </w:tc>
        <w:tc>
          <w:tcPr>
            <w:tcW w:w="1127" w:type="dxa"/>
          </w:tcPr>
          <w:p w14:paraId="0A4C5B90" w14:textId="77777777" w:rsidR="000F66B6" w:rsidRPr="004D159E" w:rsidRDefault="000F66B6" w:rsidP="002E4F05">
            <w:pPr>
              <w:keepNext/>
              <w:spacing w:after="0"/>
              <w:rPr>
                <w:sz w:val="20"/>
              </w:rPr>
            </w:pPr>
            <w:r>
              <w:rPr>
                <w:sz w:val="20"/>
              </w:rPr>
              <w:t>2.2</w:t>
            </w:r>
          </w:p>
        </w:tc>
      </w:tr>
    </w:tbl>
    <w:p w14:paraId="6629021D" w14:textId="77777777" w:rsidR="000F66B6" w:rsidRDefault="000F66B6" w:rsidP="003A3782">
      <w:pPr>
        <w:pStyle w:val="NoSpacing"/>
        <w:spacing w:after="0"/>
      </w:pPr>
      <w:r>
        <w:t>Abbreviations: Ig = immunoglobulin; MMN = multifocal motor neuropathy</w:t>
      </w:r>
    </w:p>
    <w:p w14:paraId="4E430C85" w14:textId="018FD63F" w:rsidR="000F66B6" w:rsidRDefault="000F66B6" w:rsidP="003A3782">
      <w:pPr>
        <w:pStyle w:val="NoSpacing"/>
        <w:spacing w:after="0"/>
      </w:pPr>
      <w:r>
        <w:t>Note: the total population of Australia used in estimating the prevalence rate of MMN was the estimate for the end of December qu</w:t>
      </w:r>
      <w:r w:rsidR="00362F8A">
        <w:t>arter for the end of the year, e</w:t>
      </w:r>
      <w:r>
        <w:t>.g. at the end of 2014 December quarter the total population of Australia was 23,640,331.</w:t>
      </w:r>
    </w:p>
    <w:p w14:paraId="316EF3E9" w14:textId="6BF9696A" w:rsidR="00297DF0" w:rsidRDefault="00A34F75" w:rsidP="003A3782">
      <w:pPr>
        <w:pStyle w:val="NoSpacing"/>
        <w:spacing w:after="0"/>
      </w:pPr>
      <w:r>
        <w:t>T</w:t>
      </w:r>
      <w:r w:rsidRPr="00A34F75">
        <w:t>hese data reflect usage under The Criteria V2, prior to the introduction of key changes in The Criteria V3 which aimed to address leakage.</w:t>
      </w:r>
      <w:r>
        <w:t xml:space="preserve"> </w:t>
      </w:r>
      <w:r w:rsidR="00297DF0">
        <w:t>This number is likely to be less using the qualifying criteria for IVIg therapy for MMN und</w:t>
      </w:r>
      <w:r w:rsidR="00362F8A">
        <w:t>er of the current Version 3 of T</w:t>
      </w:r>
      <w:r w:rsidR="00297DF0">
        <w:t xml:space="preserve">he Criteria due to the differences in the qualifying criteria between </w:t>
      </w:r>
      <w:r w:rsidR="001D1530">
        <w:t>The Criteria Version 2 and V</w:t>
      </w:r>
      <w:r w:rsidR="00297DF0">
        <w:t>ersion 3, with the latter being more sensitive in diagnosing true MMN patients eligible for IVIg therapy.</w:t>
      </w:r>
    </w:p>
    <w:p w14:paraId="7D441910" w14:textId="637CE5C4" w:rsidR="000F66B6" w:rsidRDefault="000F66B6" w:rsidP="002B0931">
      <w:pPr>
        <w:pStyle w:val="NoSpacing"/>
      </w:pPr>
      <w:r w:rsidRPr="00961D22">
        <w:t xml:space="preserve">Source: </w:t>
      </w:r>
      <w:r w:rsidR="00362F8A">
        <w:t xml:space="preserve">Australian Bureau of Statistics, </w:t>
      </w:r>
      <w:hyperlink r:id="rId10" w:history="1">
        <w:r w:rsidR="00362F8A" w:rsidRPr="00362F8A">
          <w:rPr>
            <w:rStyle w:val="Hyperlink"/>
          </w:rPr>
          <w:t>Quarterly Population Estimates (ERP), by State/Territory, Sex and Age</w:t>
        </w:r>
      </w:hyperlink>
      <w:r>
        <w:t xml:space="preserve">; </w:t>
      </w:r>
      <w:r w:rsidR="005956A0">
        <w:t xml:space="preserve">Table 30, p. 25 of the 1590 MMN </w:t>
      </w:r>
      <w:r w:rsidR="003125EA">
        <w:t>draft</w:t>
      </w:r>
      <w:r>
        <w:t xml:space="preserve"> Referral form.</w:t>
      </w:r>
    </w:p>
    <w:p w14:paraId="476DDA17" w14:textId="1A973AB9" w:rsidR="00E5089D" w:rsidRDefault="00E5089D" w:rsidP="00E5089D">
      <w:pPr>
        <w:pStyle w:val="Heading1"/>
      </w:pPr>
      <w:r w:rsidRPr="00E364F7">
        <w:t>Intervention</w:t>
      </w:r>
    </w:p>
    <w:p w14:paraId="457CDF2D" w14:textId="3E924102" w:rsidR="008F443A" w:rsidRDefault="00E5089D" w:rsidP="00E5089D">
      <w:r>
        <w:t xml:space="preserve">The intervention under review is </w:t>
      </w:r>
      <w:r w:rsidR="009F0EDA">
        <w:t>IV</w:t>
      </w:r>
      <w:r>
        <w:t xml:space="preserve">Ig for the treatment of MMN with or without </w:t>
      </w:r>
      <w:r w:rsidR="009F0EDA">
        <w:t xml:space="preserve">persistent </w:t>
      </w:r>
      <w:r>
        <w:t>CB</w:t>
      </w:r>
      <w:r w:rsidR="00C5720E">
        <w:t xml:space="preserve"> as described in The Criteria Version 3</w:t>
      </w:r>
      <w:r>
        <w:t xml:space="preserve">. In the Australian setting, Ig </w:t>
      </w:r>
      <w:r w:rsidR="009F0EDA">
        <w:t xml:space="preserve">for the treatment of MMN </w:t>
      </w:r>
      <w:r>
        <w:t>is administered intravenously.</w:t>
      </w:r>
      <w:r w:rsidR="00F771DE">
        <w:t xml:space="preserve"> </w:t>
      </w:r>
      <w:r w:rsidR="008F443A">
        <w:t xml:space="preserve">The subcutaneous (SC) form of Ig is not funded by the NBA for the treatment of MMN mainly because </w:t>
      </w:r>
      <w:r w:rsidR="008F443A" w:rsidDel="00482BBA">
        <w:t xml:space="preserve">there </w:t>
      </w:r>
      <w:r w:rsidR="001F4E5E">
        <w:t>is</w:t>
      </w:r>
      <w:r w:rsidR="008F443A" w:rsidDel="00482BBA">
        <w:t xml:space="preserve"> no </w:t>
      </w:r>
      <w:r w:rsidR="008F443A">
        <w:t xml:space="preserve">available </w:t>
      </w:r>
      <w:r w:rsidR="008F443A" w:rsidDel="00482BBA">
        <w:t xml:space="preserve">Phase III clinical trial evidence </w:t>
      </w:r>
      <w:r w:rsidR="008F443A">
        <w:t>or planned RCTs</w:t>
      </w:r>
      <w:r w:rsidR="00F92AB5">
        <w:rPr>
          <w:rStyle w:val="FootnoteReference"/>
        </w:rPr>
        <w:footnoteReference w:id="2"/>
      </w:r>
      <w:r w:rsidR="008F443A">
        <w:t xml:space="preserve"> </w:t>
      </w:r>
      <w:r w:rsidR="008F443A" w:rsidDel="00482BBA">
        <w:t>to support its use in MMN</w:t>
      </w:r>
      <w:r w:rsidR="008E35DA" w:rsidDel="00482BBA">
        <w:t xml:space="preserve">. </w:t>
      </w:r>
    </w:p>
    <w:p w14:paraId="5C547248" w14:textId="0096AF38" w:rsidR="00E5089D" w:rsidRPr="00B70CC7" w:rsidRDefault="00F771DE" w:rsidP="00E5089D">
      <w:pPr>
        <w:rPr>
          <w:b/>
        </w:rPr>
      </w:pPr>
      <w:r>
        <w:t>The Therapeutic Goods A</w:t>
      </w:r>
      <w:r w:rsidR="00C5720E">
        <w:t xml:space="preserve">dministration </w:t>
      </w:r>
      <w:r>
        <w:t>(TGA) registers and regulate</w:t>
      </w:r>
      <w:r w:rsidR="009F0EDA">
        <w:t>s</w:t>
      </w:r>
      <w:r>
        <w:t xml:space="preserve"> the use of Ig product</w:t>
      </w:r>
      <w:r w:rsidR="00C5720E">
        <w:t>s</w:t>
      </w:r>
      <w:r>
        <w:t xml:space="preserve"> in Australia</w:t>
      </w:r>
      <w:r w:rsidR="008F443A">
        <w:t xml:space="preserve"> which </w:t>
      </w:r>
      <w:r w:rsidR="009F0EDA">
        <w:t>are</w:t>
      </w:r>
      <w:r w:rsidR="00CB1734">
        <w:t xml:space="preserve"> regulated</w:t>
      </w:r>
      <w:r>
        <w:t xml:space="preserve"> as prescription medicines</w:t>
      </w:r>
      <w:r w:rsidR="00CB1734">
        <w:t xml:space="preserve"> under the </w:t>
      </w:r>
      <w:r w:rsidR="00CB1734" w:rsidRPr="00A93A7E">
        <w:rPr>
          <w:i/>
        </w:rPr>
        <w:t>Therapeutic Goods Act 1989</w:t>
      </w:r>
      <w:r w:rsidR="00CB1734">
        <w:t xml:space="preserve"> and associated statutory instruments.</w:t>
      </w:r>
      <w:r>
        <w:t xml:space="preserve"> </w:t>
      </w:r>
      <w:r w:rsidR="00482BBA">
        <w:t xml:space="preserve">Available </w:t>
      </w:r>
      <w:r w:rsidR="00D66573">
        <w:t xml:space="preserve">IVIg products </w:t>
      </w:r>
      <w:r w:rsidR="00482BBA">
        <w:t xml:space="preserve">in Australia </w:t>
      </w:r>
      <w:r w:rsidR="00D66573">
        <w:t xml:space="preserve">are registered for two </w:t>
      </w:r>
      <w:r w:rsidR="00C5720E">
        <w:t xml:space="preserve">treatment modalities </w:t>
      </w:r>
      <w:r w:rsidR="00D66573">
        <w:t>under the TGA: ‘replacement therapy’ and ‘immunomodulatory effect’.</w:t>
      </w:r>
      <w:r w:rsidR="00482BBA">
        <w:t xml:space="preserve"> </w:t>
      </w:r>
      <w:r w:rsidR="001F4E5E">
        <w:t>T</w:t>
      </w:r>
      <w:r w:rsidR="00482BBA">
        <w:t xml:space="preserve">he NBA </w:t>
      </w:r>
      <w:r w:rsidR="00C5720E">
        <w:t xml:space="preserve">ensures sufficient supply of </w:t>
      </w:r>
      <w:r w:rsidR="00DC7291">
        <w:t xml:space="preserve">TGA approved </w:t>
      </w:r>
      <w:r w:rsidR="00482BBA">
        <w:t xml:space="preserve">IVIg </w:t>
      </w:r>
      <w:r w:rsidR="00DA015A">
        <w:t>products</w:t>
      </w:r>
      <w:r w:rsidR="00A93A7E">
        <w:t xml:space="preserve"> to meet Australian demand. </w:t>
      </w:r>
      <w:r w:rsidR="00DC7291">
        <w:t xml:space="preserve">Due to TGA alignment of Ig evaluation processes with US </w:t>
      </w:r>
      <w:r w:rsidR="00A93A7E">
        <w:t>Food and Drug Administration (</w:t>
      </w:r>
      <w:r w:rsidR="00DC7291">
        <w:t>FDA</w:t>
      </w:r>
      <w:r w:rsidR="00A93A7E">
        <w:t>)</w:t>
      </w:r>
      <w:r w:rsidR="00DC7291">
        <w:t xml:space="preserve"> and European Medicines Agency </w:t>
      </w:r>
      <w:r w:rsidR="00DC7291">
        <w:lastRenderedPageBreak/>
        <w:t>assessment processes for Ig products which allow for safety and efficacy to be demonstrated against a limited number of replacement and immunomodulatory indications,</w:t>
      </w:r>
      <w:r w:rsidR="001C6410">
        <w:t xml:space="preserve"> not all indications listed in T</w:t>
      </w:r>
      <w:r w:rsidR="00DC7291">
        <w:t xml:space="preserve">he Criteria are listed in the product information sheets of products listed on the Australian Register of Therapeutic Goods.  </w:t>
      </w:r>
    </w:p>
    <w:p w14:paraId="58E8C784" w14:textId="563A6B29" w:rsidR="00E5089D" w:rsidRPr="00094B40" w:rsidRDefault="00ED500C" w:rsidP="00E5089D">
      <w:r>
        <w:t>The</w:t>
      </w:r>
      <w:r w:rsidR="00115623">
        <w:t xml:space="preserve"> available </w:t>
      </w:r>
      <w:r>
        <w:t>alternative</w:t>
      </w:r>
      <w:r w:rsidR="00841F2D">
        <w:t xml:space="preserve"> presentations</w:t>
      </w:r>
      <w:r>
        <w:t xml:space="preserve"> of</w:t>
      </w:r>
      <w:r w:rsidR="00E5089D">
        <w:t xml:space="preserve"> </w:t>
      </w:r>
      <w:r>
        <w:t>IV</w:t>
      </w:r>
      <w:r w:rsidR="00E5089D">
        <w:t xml:space="preserve">Ig </w:t>
      </w:r>
      <w:r w:rsidR="00115623">
        <w:t xml:space="preserve">registered </w:t>
      </w:r>
      <w:r w:rsidR="00BC5C62">
        <w:t xml:space="preserve">by </w:t>
      </w:r>
      <w:r w:rsidR="00115623">
        <w:t>the TGA</w:t>
      </w:r>
      <w:r w:rsidR="00BC5C62">
        <w:t xml:space="preserve"> for the</w:t>
      </w:r>
      <w:r w:rsidR="00115623">
        <w:t xml:space="preserve"> potential</w:t>
      </w:r>
      <w:r w:rsidR="00BC5C62">
        <w:t xml:space="preserve"> </w:t>
      </w:r>
      <w:r w:rsidR="00E5089D">
        <w:t>treatment of MMN in Australia</w:t>
      </w:r>
      <w:r w:rsidR="00115623">
        <w:t xml:space="preserve"> are summarised in Table 5. </w:t>
      </w:r>
      <w:r w:rsidR="00E5089D" w:rsidRPr="000A6389">
        <w:t xml:space="preserve">The </w:t>
      </w:r>
      <w:r w:rsidRPr="000A6389">
        <w:t>NBA</w:t>
      </w:r>
      <w:r w:rsidR="00E5089D" w:rsidRPr="000A6389">
        <w:t xml:space="preserve"> price per gram is </w:t>
      </w:r>
      <w:r w:rsidR="00115623">
        <w:t xml:space="preserve">also </w:t>
      </w:r>
      <w:r w:rsidR="00E5089D" w:rsidRPr="000A6389">
        <w:t xml:space="preserve">provided </w:t>
      </w:r>
      <w:r w:rsidR="00115623">
        <w:t xml:space="preserve">for </w:t>
      </w:r>
      <w:r w:rsidR="001C6410">
        <w:t>current</w:t>
      </w:r>
      <w:r w:rsidR="002B0931">
        <w:t xml:space="preserve"> NBA funded alternatives</w:t>
      </w:r>
      <w:r w:rsidR="00E5089D" w:rsidRPr="00F92AB5">
        <w:t>.</w:t>
      </w:r>
      <w:r w:rsidR="00E5089D">
        <w:t xml:space="preserve"> </w:t>
      </w:r>
    </w:p>
    <w:p w14:paraId="753AF255" w14:textId="3ACDECDC" w:rsidR="00E5089D" w:rsidRPr="00CD2153" w:rsidRDefault="00E5089D" w:rsidP="00E5089D">
      <w:pPr>
        <w:keepNext/>
        <w:spacing w:after="0" w:line="240" w:lineRule="auto"/>
        <w:rPr>
          <w:b/>
          <w:sz w:val="20"/>
          <w:szCs w:val="20"/>
        </w:rPr>
      </w:pPr>
      <w:r w:rsidRPr="00CD2153">
        <w:rPr>
          <w:b/>
          <w:sz w:val="20"/>
          <w:szCs w:val="20"/>
        </w:rPr>
        <w:t xml:space="preserve">Table </w:t>
      </w:r>
      <w:r w:rsidR="00C719C6" w:rsidRPr="00CD2153">
        <w:rPr>
          <w:b/>
          <w:sz w:val="20"/>
          <w:szCs w:val="20"/>
        </w:rPr>
        <w:t>5</w:t>
      </w:r>
      <w:r w:rsidRPr="00CD2153">
        <w:rPr>
          <w:b/>
          <w:sz w:val="20"/>
          <w:szCs w:val="20"/>
        </w:rPr>
        <w:t xml:space="preserve">: IVIg products </w:t>
      </w:r>
      <w:r w:rsidR="006B20E1" w:rsidRPr="00CD2153">
        <w:rPr>
          <w:b/>
          <w:sz w:val="20"/>
          <w:szCs w:val="20"/>
        </w:rPr>
        <w:t xml:space="preserve">registered in the TGA potentially relevant for the treatment </w:t>
      </w:r>
      <w:r w:rsidR="006D03F4" w:rsidRPr="00CD2153">
        <w:rPr>
          <w:b/>
          <w:sz w:val="20"/>
          <w:szCs w:val="20"/>
        </w:rPr>
        <w:t>of MMN</w:t>
      </w:r>
      <w:r w:rsidRPr="00CD2153">
        <w:rPr>
          <w:b/>
          <w:sz w:val="20"/>
          <w:szCs w:val="20"/>
        </w:rPr>
        <w:t xml:space="preserve"> </w:t>
      </w:r>
    </w:p>
    <w:tbl>
      <w:tblPr>
        <w:tblStyle w:val="TableGrid"/>
        <w:tblW w:w="5000" w:type="pct"/>
        <w:tblLayout w:type="fixed"/>
        <w:tblLook w:val="04A0" w:firstRow="1" w:lastRow="0" w:firstColumn="1" w:lastColumn="0" w:noHBand="0" w:noVBand="1"/>
        <w:tblCaption w:val="Table 5: IVIg products registered in the TGA potentially relevant for the treatment of MMN "/>
      </w:tblPr>
      <w:tblGrid>
        <w:gridCol w:w="1697"/>
        <w:gridCol w:w="2009"/>
        <w:gridCol w:w="2387"/>
        <w:gridCol w:w="1843"/>
        <w:gridCol w:w="1080"/>
      </w:tblGrid>
      <w:tr w:rsidR="009B1589" w:rsidRPr="003C154C" w14:paraId="5FBBF3C7" w14:textId="77777777" w:rsidTr="001B3EE2">
        <w:trPr>
          <w:trHeight w:val="306"/>
          <w:tblHeader/>
        </w:trPr>
        <w:tc>
          <w:tcPr>
            <w:tcW w:w="941" w:type="pct"/>
            <w:vAlign w:val="center"/>
          </w:tcPr>
          <w:p w14:paraId="716FAFD8" w14:textId="0D31FE4B" w:rsidR="00E5089D" w:rsidRPr="003C154C" w:rsidRDefault="00E5089D" w:rsidP="002E4F05">
            <w:pPr>
              <w:spacing w:after="0"/>
              <w:jc w:val="left"/>
              <w:rPr>
                <w:rFonts w:asciiTheme="minorHAnsi" w:hAnsiTheme="minorHAnsi" w:cstheme="minorHAnsi"/>
                <w:b/>
                <w:sz w:val="20"/>
                <w:szCs w:val="20"/>
              </w:rPr>
            </w:pPr>
            <w:r w:rsidRPr="003C154C">
              <w:rPr>
                <w:rFonts w:asciiTheme="minorHAnsi" w:hAnsiTheme="minorHAnsi" w:cstheme="minorHAnsi"/>
                <w:b/>
                <w:sz w:val="20"/>
                <w:szCs w:val="20"/>
              </w:rPr>
              <w:t>Product</w:t>
            </w:r>
            <w:r w:rsidR="00BC28A1" w:rsidRPr="003C154C">
              <w:rPr>
                <w:rFonts w:asciiTheme="minorHAnsi" w:hAnsiTheme="minorHAnsi" w:cstheme="minorHAnsi"/>
                <w:b/>
                <w:sz w:val="20"/>
                <w:szCs w:val="20"/>
              </w:rPr>
              <w:t>/strength</w:t>
            </w:r>
            <w:r w:rsidRPr="003C154C">
              <w:rPr>
                <w:rFonts w:asciiTheme="minorHAnsi" w:hAnsiTheme="minorHAnsi" w:cstheme="minorHAnsi"/>
                <w:b/>
                <w:sz w:val="20"/>
                <w:szCs w:val="20"/>
              </w:rPr>
              <w:t xml:space="preserve"> </w:t>
            </w:r>
          </w:p>
        </w:tc>
        <w:tc>
          <w:tcPr>
            <w:tcW w:w="1114" w:type="pct"/>
            <w:vAlign w:val="center"/>
          </w:tcPr>
          <w:p w14:paraId="64B9F32B" w14:textId="14D789DB" w:rsidR="00E5089D" w:rsidRPr="003C154C" w:rsidRDefault="00AF2643" w:rsidP="002E4F05">
            <w:pPr>
              <w:spacing w:after="0"/>
              <w:jc w:val="left"/>
              <w:rPr>
                <w:rFonts w:asciiTheme="minorHAnsi" w:hAnsiTheme="minorHAnsi" w:cstheme="minorHAnsi"/>
                <w:b/>
                <w:sz w:val="20"/>
                <w:szCs w:val="20"/>
              </w:rPr>
            </w:pPr>
            <w:r w:rsidRPr="003C154C">
              <w:rPr>
                <w:rFonts w:asciiTheme="minorHAnsi" w:hAnsiTheme="minorHAnsi" w:cstheme="minorHAnsi"/>
                <w:b/>
                <w:sz w:val="20"/>
                <w:szCs w:val="20"/>
              </w:rPr>
              <w:t>Route of administration</w:t>
            </w:r>
          </w:p>
        </w:tc>
        <w:tc>
          <w:tcPr>
            <w:tcW w:w="1324" w:type="pct"/>
            <w:vAlign w:val="center"/>
          </w:tcPr>
          <w:p w14:paraId="4CB2A2A5" w14:textId="70FCBE5A" w:rsidR="00E5089D" w:rsidRPr="003C154C" w:rsidRDefault="00B7551F" w:rsidP="002E4F05">
            <w:pPr>
              <w:spacing w:after="0"/>
              <w:jc w:val="left"/>
              <w:rPr>
                <w:rFonts w:asciiTheme="minorHAnsi" w:hAnsiTheme="minorHAnsi" w:cstheme="minorHAnsi"/>
                <w:b/>
                <w:sz w:val="20"/>
                <w:szCs w:val="20"/>
              </w:rPr>
            </w:pPr>
            <w:r w:rsidRPr="003C154C">
              <w:rPr>
                <w:rFonts w:asciiTheme="minorHAnsi" w:hAnsiTheme="minorHAnsi" w:cstheme="minorHAnsi"/>
                <w:b/>
                <w:sz w:val="20"/>
                <w:szCs w:val="20"/>
              </w:rPr>
              <w:t xml:space="preserve">Presentations </w:t>
            </w:r>
          </w:p>
        </w:tc>
        <w:tc>
          <w:tcPr>
            <w:tcW w:w="1022" w:type="pct"/>
            <w:vAlign w:val="center"/>
          </w:tcPr>
          <w:p w14:paraId="7C166E9A" w14:textId="7986BCBD" w:rsidR="00E5089D" w:rsidRPr="003C154C" w:rsidRDefault="00F771DE" w:rsidP="002E4F05">
            <w:pPr>
              <w:spacing w:after="0"/>
              <w:jc w:val="left"/>
              <w:rPr>
                <w:rFonts w:asciiTheme="minorHAnsi" w:hAnsiTheme="minorHAnsi" w:cstheme="minorHAnsi"/>
                <w:b/>
                <w:sz w:val="20"/>
                <w:szCs w:val="20"/>
              </w:rPr>
            </w:pPr>
            <w:r w:rsidRPr="003C154C">
              <w:rPr>
                <w:rFonts w:asciiTheme="minorHAnsi" w:hAnsiTheme="minorHAnsi" w:cstheme="minorHAnsi"/>
                <w:b/>
                <w:sz w:val="20"/>
                <w:szCs w:val="20"/>
              </w:rPr>
              <w:t>TGA indication for MMN (Yes/No)</w:t>
            </w:r>
          </w:p>
        </w:tc>
        <w:tc>
          <w:tcPr>
            <w:tcW w:w="600" w:type="pct"/>
            <w:vAlign w:val="center"/>
          </w:tcPr>
          <w:p w14:paraId="79621BC1" w14:textId="77777777" w:rsidR="00E5089D" w:rsidRDefault="00E5089D" w:rsidP="002E4F05">
            <w:pPr>
              <w:spacing w:after="0"/>
              <w:jc w:val="left"/>
              <w:rPr>
                <w:rFonts w:asciiTheme="minorHAnsi" w:hAnsiTheme="minorHAnsi" w:cstheme="minorHAnsi"/>
                <w:b/>
                <w:sz w:val="20"/>
                <w:szCs w:val="20"/>
              </w:rPr>
            </w:pPr>
            <w:r w:rsidRPr="003C154C">
              <w:rPr>
                <w:rFonts w:asciiTheme="minorHAnsi" w:hAnsiTheme="minorHAnsi" w:cstheme="minorHAnsi"/>
                <w:b/>
                <w:sz w:val="20"/>
                <w:szCs w:val="20"/>
              </w:rPr>
              <w:t>NBA price per gram</w:t>
            </w:r>
          </w:p>
          <w:p w14:paraId="039E01E9" w14:textId="5114FDC5" w:rsidR="00C5720E" w:rsidRPr="003C154C" w:rsidRDefault="00C5720E" w:rsidP="002E4F05">
            <w:pPr>
              <w:spacing w:after="0"/>
              <w:jc w:val="left"/>
              <w:rPr>
                <w:rFonts w:asciiTheme="minorHAnsi" w:hAnsiTheme="minorHAnsi" w:cstheme="minorHAnsi"/>
                <w:b/>
                <w:sz w:val="20"/>
                <w:szCs w:val="20"/>
              </w:rPr>
            </w:pPr>
            <w:r>
              <w:rPr>
                <w:rFonts w:asciiTheme="minorHAnsi" w:hAnsiTheme="minorHAnsi" w:cstheme="minorHAnsi"/>
                <w:b/>
                <w:sz w:val="20"/>
                <w:szCs w:val="20"/>
              </w:rPr>
              <w:t>@ 10/10/19</w:t>
            </w:r>
          </w:p>
        </w:tc>
      </w:tr>
      <w:tr w:rsidR="009B1589" w:rsidRPr="003C154C" w14:paraId="51DBB07D" w14:textId="77777777" w:rsidTr="001B3EE2">
        <w:trPr>
          <w:trHeight w:val="1196"/>
        </w:trPr>
        <w:tc>
          <w:tcPr>
            <w:tcW w:w="941" w:type="pct"/>
            <w:vAlign w:val="center"/>
          </w:tcPr>
          <w:p w14:paraId="4883F29B" w14:textId="77777777"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Flebogamma 5%</w:t>
            </w:r>
          </w:p>
        </w:tc>
        <w:tc>
          <w:tcPr>
            <w:tcW w:w="1114" w:type="pct"/>
            <w:vAlign w:val="center"/>
          </w:tcPr>
          <w:p w14:paraId="08FF11EF" w14:textId="6F3A2D08"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4051FA83" w14:textId="2FCDC4F5"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0.5</w:t>
            </w:r>
            <w:r w:rsidR="00C8526E"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240445F0" w14:textId="392931B2"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2.5</w:t>
            </w:r>
            <w:r w:rsidR="00C8526E"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g/50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52FBD391" w14:textId="7F98B010"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5</w:t>
            </w:r>
            <w:r w:rsidR="00C8526E"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21F0312D" w14:textId="5CC4E0D4"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10</w:t>
            </w:r>
            <w:r w:rsidR="00C8526E"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3C5FA756" w14:textId="391183DA"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20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g/400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tc>
        <w:tc>
          <w:tcPr>
            <w:tcW w:w="1022" w:type="pct"/>
            <w:vAlign w:val="center"/>
          </w:tcPr>
          <w:p w14:paraId="7A5CE2BB" w14:textId="5FD39B8E" w:rsidR="00AF2643" w:rsidRPr="003C154C" w:rsidRDefault="00F771DE"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 xml:space="preserve">No </w:t>
            </w:r>
          </w:p>
        </w:tc>
        <w:tc>
          <w:tcPr>
            <w:tcW w:w="600" w:type="pct"/>
            <w:vAlign w:val="center"/>
          </w:tcPr>
          <w:p w14:paraId="58731439" w14:textId="77777777"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$45</w:t>
            </w:r>
          </w:p>
        </w:tc>
      </w:tr>
      <w:tr w:rsidR="009B1589" w:rsidRPr="003C154C" w14:paraId="31930530" w14:textId="77777777" w:rsidTr="001B3EE2">
        <w:trPr>
          <w:trHeight w:val="715"/>
        </w:trPr>
        <w:tc>
          <w:tcPr>
            <w:tcW w:w="941" w:type="pct"/>
            <w:vAlign w:val="center"/>
          </w:tcPr>
          <w:p w14:paraId="740E86D2" w14:textId="77777777"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Flebogamma 10%</w:t>
            </w:r>
          </w:p>
        </w:tc>
        <w:tc>
          <w:tcPr>
            <w:tcW w:w="1114" w:type="pct"/>
            <w:vAlign w:val="center"/>
          </w:tcPr>
          <w:p w14:paraId="6C571734" w14:textId="25DE8D02"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60EAA69A" w14:textId="0463B6D2"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5</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g/50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p w14:paraId="25064933" w14:textId="11EC1CF6"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10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g/100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p w14:paraId="64221BE7" w14:textId="3C830B41"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20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g/200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tc>
        <w:tc>
          <w:tcPr>
            <w:tcW w:w="1022" w:type="pct"/>
            <w:vAlign w:val="center"/>
          </w:tcPr>
          <w:p w14:paraId="2C1E8863" w14:textId="5751001B" w:rsidR="00AF2643" w:rsidRPr="003C154C" w:rsidRDefault="00F771DE"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 xml:space="preserve">No </w:t>
            </w:r>
          </w:p>
        </w:tc>
        <w:tc>
          <w:tcPr>
            <w:tcW w:w="600" w:type="pct"/>
            <w:vAlign w:val="center"/>
          </w:tcPr>
          <w:p w14:paraId="2A62F663" w14:textId="77777777"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$45</w:t>
            </w:r>
          </w:p>
        </w:tc>
      </w:tr>
      <w:tr w:rsidR="009B1589" w:rsidRPr="003C154C" w14:paraId="0EB31002" w14:textId="77777777" w:rsidTr="001B3EE2">
        <w:trPr>
          <w:trHeight w:val="480"/>
        </w:trPr>
        <w:tc>
          <w:tcPr>
            <w:tcW w:w="941" w:type="pct"/>
            <w:vAlign w:val="center"/>
          </w:tcPr>
          <w:p w14:paraId="703AD861" w14:textId="04726AE2"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Intragam P</w:t>
            </w:r>
            <w:r w:rsidR="00BC28A1" w:rsidRPr="003C154C">
              <w:rPr>
                <w:rFonts w:asciiTheme="minorHAnsi" w:hAnsiTheme="minorHAnsi" w:cstheme="minorHAnsi"/>
                <w:sz w:val="20"/>
                <w:szCs w:val="20"/>
              </w:rPr>
              <w:t xml:space="preserve"> (6%)</w:t>
            </w:r>
          </w:p>
        </w:tc>
        <w:tc>
          <w:tcPr>
            <w:tcW w:w="1114" w:type="pct"/>
            <w:vAlign w:val="center"/>
          </w:tcPr>
          <w:p w14:paraId="1C8BE831" w14:textId="65D45E5D"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28187A9D" w14:textId="3215A4FB" w:rsidR="00B53E7A" w:rsidRPr="003C154C" w:rsidRDefault="00B53E7A"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0.6</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g/10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p w14:paraId="3E576975" w14:textId="081E4B19" w:rsidR="00AF2643" w:rsidRPr="003C154C" w:rsidRDefault="006B20E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60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g/L</w:t>
            </w:r>
          </w:p>
        </w:tc>
        <w:tc>
          <w:tcPr>
            <w:tcW w:w="1022" w:type="pct"/>
            <w:vAlign w:val="center"/>
          </w:tcPr>
          <w:p w14:paraId="3A75762F" w14:textId="37A554D1" w:rsidR="00AF2643" w:rsidRPr="003C154C" w:rsidRDefault="00B53E7A"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 xml:space="preserve">No </w:t>
            </w:r>
          </w:p>
        </w:tc>
        <w:tc>
          <w:tcPr>
            <w:tcW w:w="600" w:type="pct"/>
            <w:vAlign w:val="center"/>
          </w:tcPr>
          <w:p w14:paraId="4743CA42" w14:textId="7257332A" w:rsidR="00AF2643" w:rsidRPr="003C154C" w:rsidRDefault="00C5720E" w:rsidP="00C5720E">
            <w:pPr>
              <w:spacing w:after="0"/>
              <w:jc w:val="left"/>
              <w:rPr>
                <w:rFonts w:asciiTheme="minorHAnsi" w:hAnsiTheme="minorHAnsi" w:cstheme="minorHAnsi"/>
                <w:sz w:val="20"/>
                <w:szCs w:val="20"/>
              </w:rPr>
            </w:pPr>
            <w:r>
              <w:rPr>
                <w:rFonts w:asciiTheme="minorHAnsi" w:hAnsiTheme="minorHAnsi" w:cstheme="minorHAnsi"/>
                <w:sz w:val="20"/>
                <w:szCs w:val="20"/>
              </w:rPr>
              <w:t>Not NBA funded</w:t>
            </w:r>
          </w:p>
        </w:tc>
      </w:tr>
      <w:tr w:rsidR="009B1589" w:rsidRPr="003C154C" w14:paraId="19A1B787" w14:textId="77777777" w:rsidTr="003A3782">
        <w:trPr>
          <w:trHeight w:val="196"/>
        </w:trPr>
        <w:tc>
          <w:tcPr>
            <w:tcW w:w="941" w:type="pct"/>
            <w:vAlign w:val="center"/>
          </w:tcPr>
          <w:p w14:paraId="0679E1E4" w14:textId="5207E5F1" w:rsidR="00AF2643" w:rsidRPr="003C154C" w:rsidRDefault="00B53E7A"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 xml:space="preserve">Intragam </w:t>
            </w:r>
            <w:r w:rsidR="00AF2643" w:rsidRPr="003C154C">
              <w:rPr>
                <w:rFonts w:asciiTheme="minorHAnsi" w:hAnsiTheme="minorHAnsi" w:cstheme="minorHAnsi"/>
                <w:sz w:val="20"/>
                <w:szCs w:val="20"/>
              </w:rPr>
              <w:t>10</w:t>
            </w:r>
            <w:r w:rsidR="00BC28A1" w:rsidRPr="003C154C">
              <w:rPr>
                <w:rFonts w:asciiTheme="minorHAnsi" w:hAnsiTheme="minorHAnsi" w:cstheme="minorHAnsi"/>
                <w:sz w:val="20"/>
                <w:szCs w:val="20"/>
              </w:rPr>
              <w:t xml:space="preserve"> (10%)</w:t>
            </w:r>
          </w:p>
        </w:tc>
        <w:tc>
          <w:tcPr>
            <w:tcW w:w="1114" w:type="pct"/>
            <w:vAlign w:val="center"/>
          </w:tcPr>
          <w:p w14:paraId="0CDB8E0C" w14:textId="1F35116B"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3F4686C9" w14:textId="686A4580" w:rsidR="00115623" w:rsidRPr="00E0061E" w:rsidRDefault="000250FA"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5</w:t>
            </w:r>
            <w:r w:rsidR="002B0931" w:rsidRPr="00E0061E">
              <w:rPr>
                <w:rFonts w:asciiTheme="minorHAnsi" w:hAnsiTheme="minorHAnsi" w:cstheme="minorHAnsi"/>
                <w:sz w:val="20"/>
                <w:szCs w:val="20"/>
                <w:lang w:val="nn-NO"/>
              </w:rPr>
              <w:t xml:space="preserve"> </w:t>
            </w:r>
            <w:r w:rsidR="00AF2643" w:rsidRPr="00E0061E">
              <w:rPr>
                <w:rFonts w:asciiTheme="minorHAnsi" w:hAnsiTheme="minorHAnsi" w:cstheme="minorHAnsi"/>
                <w:sz w:val="20"/>
                <w:szCs w:val="20"/>
                <w:lang w:val="nn-NO"/>
              </w:rPr>
              <w:t>/</w:t>
            </w:r>
            <w:r w:rsidRPr="00E0061E">
              <w:rPr>
                <w:rFonts w:asciiTheme="minorHAnsi" w:hAnsiTheme="minorHAnsi" w:cstheme="minorHAnsi"/>
                <w:sz w:val="20"/>
                <w:szCs w:val="20"/>
                <w:lang w:val="nn-NO"/>
              </w:rPr>
              <w:t>50</w:t>
            </w:r>
            <w:r w:rsidR="002B0931" w:rsidRPr="00E0061E">
              <w:rPr>
                <w:rFonts w:asciiTheme="minorHAnsi" w:hAnsiTheme="minorHAnsi" w:cstheme="minorHAnsi"/>
                <w:sz w:val="20"/>
                <w:szCs w:val="20"/>
                <w:lang w:val="nn-NO"/>
              </w:rPr>
              <w:t xml:space="preserve"> </w:t>
            </w:r>
            <w:r w:rsidR="00AF2643" w:rsidRPr="00E0061E">
              <w:rPr>
                <w:rFonts w:asciiTheme="minorHAnsi" w:hAnsiTheme="minorHAnsi" w:cstheme="minorHAnsi"/>
                <w:sz w:val="20"/>
                <w:szCs w:val="20"/>
                <w:lang w:val="nn-NO"/>
              </w:rPr>
              <w:t>mL</w:t>
            </w:r>
          </w:p>
          <w:p w14:paraId="6F0882D2" w14:textId="709A26D7" w:rsidR="00AF2643" w:rsidRPr="00E0061E" w:rsidRDefault="0011562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/25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348F93D9" w14:textId="09BE89A6"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5DE507E6" w14:textId="12AF3B13"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tc>
        <w:tc>
          <w:tcPr>
            <w:tcW w:w="1022" w:type="pct"/>
            <w:vAlign w:val="center"/>
          </w:tcPr>
          <w:p w14:paraId="46A59311" w14:textId="28DD4CFA" w:rsidR="00AF2643" w:rsidRPr="003C154C" w:rsidRDefault="00F771DE"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 xml:space="preserve">Yes </w:t>
            </w:r>
          </w:p>
        </w:tc>
        <w:tc>
          <w:tcPr>
            <w:tcW w:w="600" w:type="pct"/>
            <w:vAlign w:val="center"/>
          </w:tcPr>
          <w:p w14:paraId="5907C1C6" w14:textId="1652D1CA"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$58.</w:t>
            </w:r>
            <w:r w:rsidR="00C5720E">
              <w:rPr>
                <w:rFonts w:asciiTheme="minorHAnsi" w:hAnsiTheme="minorHAnsi" w:cstheme="minorHAnsi"/>
                <w:sz w:val="20"/>
                <w:szCs w:val="20"/>
              </w:rPr>
              <w:t>23</w:t>
            </w:r>
          </w:p>
        </w:tc>
      </w:tr>
      <w:tr w:rsidR="009B1589" w:rsidRPr="003C154C" w14:paraId="6030D711" w14:textId="77777777" w:rsidTr="001B3EE2">
        <w:trPr>
          <w:trHeight w:val="962"/>
        </w:trPr>
        <w:tc>
          <w:tcPr>
            <w:tcW w:w="941" w:type="pct"/>
            <w:vAlign w:val="center"/>
          </w:tcPr>
          <w:p w14:paraId="6C0A6D6A" w14:textId="77777777"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Privigen 10%</w:t>
            </w:r>
          </w:p>
        </w:tc>
        <w:tc>
          <w:tcPr>
            <w:tcW w:w="1114" w:type="pct"/>
            <w:vAlign w:val="center"/>
          </w:tcPr>
          <w:p w14:paraId="67145E43" w14:textId="51EA0478"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24F74A44" w14:textId="5B04D016"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g/50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3DE8D8EA" w14:textId="038AF63B"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28D65B0E" w14:textId="6B32C233"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137119C4" w14:textId="4639D5C4" w:rsidR="00AF2643" w:rsidRPr="00E0061E" w:rsidRDefault="00AF2643"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40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g/400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tc>
        <w:tc>
          <w:tcPr>
            <w:tcW w:w="1022" w:type="pct"/>
            <w:vAlign w:val="center"/>
          </w:tcPr>
          <w:p w14:paraId="0A27FCE1" w14:textId="7C31702A" w:rsidR="00AF2643" w:rsidRPr="003C154C" w:rsidRDefault="00F771DE"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 xml:space="preserve">Yes </w:t>
            </w:r>
          </w:p>
        </w:tc>
        <w:tc>
          <w:tcPr>
            <w:tcW w:w="600" w:type="pct"/>
            <w:vAlign w:val="center"/>
          </w:tcPr>
          <w:p w14:paraId="3B1CF006" w14:textId="77777777" w:rsidR="00AF2643" w:rsidRPr="003C154C" w:rsidRDefault="00AF264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$45</w:t>
            </w:r>
          </w:p>
        </w:tc>
      </w:tr>
      <w:tr w:rsidR="009B1589" w:rsidRPr="003C154C" w14:paraId="5F85725F" w14:textId="77777777" w:rsidTr="001B3EE2">
        <w:trPr>
          <w:trHeight w:val="962"/>
        </w:trPr>
        <w:tc>
          <w:tcPr>
            <w:tcW w:w="941" w:type="pct"/>
            <w:vAlign w:val="center"/>
          </w:tcPr>
          <w:p w14:paraId="4B03A783" w14:textId="323080A1" w:rsidR="00365686" w:rsidRPr="003C154C" w:rsidRDefault="00365686"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Octagam 5%</w:t>
            </w:r>
          </w:p>
        </w:tc>
        <w:tc>
          <w:tcPr>
            <w:tcW w:w="1114" w:type="pct"/>
            <w:vAlign w:val="center"/>
          </w:tcPr>
          <w:p w14:paraId="663E235B" w14:textId="65CBE18D" w:rsidR="00365686" w:rsidRPr="003C154C" w:rsidRDefault="00365686"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6F730A99" w14:textId="3EEC2DE6" w:rsidR="000250FA" w:rsidRPr="00E0061E" w:rsidRDefault="000250FA" w:rsidP="002E4F05">
            <w:pPr>
              <w:spacing w:after="0"/>
              <w:jc w:val="left"/>
              <w:rPr>
                <w:rFonts w:asciiTheme="minorHAnsi" w:hAnsiTheme="minorHAnsi" w:cstheme="minorHAnsi"/>
                <w:sz w:val="20"/>
                <w:szCs w:val="20"/>
              </w:rPr>
            </w:pPr>
            <w:r w:rsidRPr="00E0061E">
              <w:rPr>
                <w:rFonts w:asciiTheme="minorHAnsi" w:hAnsiTheme="minorHAnsi" w:cstheme="minorHAnsi"/>
                <w:sz w:val="20"/>
                <w:szCs w:val="20"/>
              </w:rPr>
              <w:t>1</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g/20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mL</w:t>
            </w:r>
          </w:p>
          <w:p w14:paraId="3A8A9056" w14:textId="395362B5" w:rsidR="00365686" w:rsidRPr="00E0061E" w:rsidRDefault="000250FA" w:rsidP="002E4F05">
            <w:pPr>
              <w:spacing w:after="0"/>
              <w:jc w:val="left"/>
              <w:rPr>
                <w:rFonts w:asciiTheme="minorHAnsi" w:hAnsiTheme="minorHAnsi" w:cstheme="minorHAnsi"/>
                <w:sz w:val="20"/>
                <w:szCs w:val="20"/>
              </w:rPr>
            </w:pPr>
            <w:r w:rsidRPr="00E0061E">
              <w:rPr>
                <w:rFonts w:asciiTheme="minorHAnsi" w:hAnsiTheme="minorHAnsi" w:cstheme="minorHAnsi"/>
                <w:sz w:val="20"/>
                <w:szCs w:val="20"/>
              </w:rPr>
              <w:t>2.5</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g/50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mL</w:t>
            </w:r>
          </w:p>
          <w:p w14:paraId="09706987" w14:textId="7E01D260" w:rsidR="000250FA" w:rsidRPr="00E0061E" w:rsidRDefault="000250FA" w:rsidP="002E4F05">
            <w:pPr>
              <w:spacing w:after="0"/>
              <w:jc w:val="left"/>
              <w:rPr>
                <w:rFonts w:asciiTheme="minorHAnsi" w:hAnsiTheme="minorHAnsi" w:cstheme="minorHAnsi"/>
                <w:sz w:val="20"/>
                <w:szCs w:val="20"/>
              </w:rPr>
            </w:pPr>
            <w:r w:rsidRPr="00E0061E">
              <w:rPr>
                <w:rFonts w:asciiTheme="minorHAnsi" w:hAnsiTheme="minorHAnsi" w:cstheme="minorHAnsi"/>
                <w:sz w:val="20"/>
                <w:szCs w:val="20"/>
              </w:rPr>
              <w:t>5</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g/100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mL</w:t>
            </w:r>
          </w:p>
          <w:p w14:paraId="78DF40EF" w14:textId="0A9F524D" w:rsidR="000250FA" w:rsidRPr="00E0061E" w:rsidRDefault="000250FA" w:rsidP="002E4F05">
            <w:pPr>
              <w:spacing w:after="0"/>
              <w:jc w:val="left"/>
              <w:rPr>
                <w:rFonts w:asciiTheme="minorHAnsi" w:hAnsiTheme="minorHAnsi" w:cstheme="minorHAnsi"/>
                <w:sz w:val="20"/>
                <w:szCs w:val="20"/>
              </w:rPr>
            </w:pPr>
            <w:r w:rsidRPr="00E0061E">
              <w:rPr>
                <w:rFonts w:asciiTheme="minorHAnsi" w:hAnsiTheme="minorHAnsi" w:cstheme="minorHAnsi"/>
                <w:sz w:val="20"/>
                <w:szCs w:val="20"/>
              </w:rPr>
              <w:t>10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g/200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mL</w:t>
            </w:r>
          </w:p>
        </w:tc>
        <w:tc>
          <w:tcPr>
            <w:tcW w:w="1022" w:type="pct"/>
            <w:vAlign w:val="center"/>
          </w:tcPr>
          <w:p w14:paraId="27CAF9BA" w14:textId="2314386E" w:rsidR="00365686" w:rsidRPr="003C154C" w:rsidRDefault="000250FA"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No</w:t>
            </w:r>
          </w:p>
        </w:tc>
        <w:tc>
          <w:tcPr>
            <w:tcW w:w="600" w:type="pct"/>
            <w:vAlign w:val="center"/>
          </w:tcPr>
          <w:p w14:paraId="30DB1370" w14:textId="0246EBDB" w:rsidR="00365686" w:rsidRPr="003C154C" w:rsidRDefault="00AC2E47" w:rsidP="002E4F05">
            <w:pPr>
              <w:spacing w:after="0"/>
              <w:jc w:val="left"/>
              <w:rPr>
                <w:rFonts w:asciiTheme="minorHAnsi" w:hAnsiTheme="minorHAnsi" w:cstheme="minorHAnsi"/>
                <w:sz w:val="20"/>
                <w:szCs w:val="20"/>
              </w:rPr>
            </w:pPr>
            <w:r>
              <w:rPr>
                <w:rFonts w:asciiTheme="minorHAnsi" w:hAnsiTheme="minorHAnsi" w:cstheme="minorHAnsi"/>
                <w:sz w:val="20"/>
                <w:szCs w:val="20"/>
              </w:rPr>
              <w:t>Not NBA funded</w:t>
            </w:r>
          </w:p>
        </w:tc>
      </w:tr>
      <w:tr w:rsidR="009B1589" w:rsidRPr="003C154C" w14:paraId="2F6FF2AA" w14:textId="77777777" w:rsidTr="001B3EE2">
        <w:trPr>
          <w:trHeight w:val="715"/>
        </w:trPr>
        <w:tc>
          <w:tcPr>
            <w:tcW w:w="941" w:type="pct"/>
            <w:vAlign w:val="center"/>
          </w:tcPr>
          <w:p w14:paraId="377A922D" w14:textId="19F02C6F"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Octagam 10%</w:t>
            </w:r>
          </w:p>
        </w:tc>
        <w:tc>
          <w:tcPr>
            <w:tcW w:w="1114" w:type="pct"/>
            <w:vAlign w:val="center"/>
          </w:tcPr>
          <w:p w14:paraId="74468C3B" w14:textId="57E1A861"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22595958" w14:textId="1E38A923" w:rsidR="00A503E5" w:rsidRPr="00E0061E" w:rsidRDefault="00A503E5"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58C5415C" w14:textId="09AD3079" w:rsidR="00A503E5" w:rsidRPr="00E0061E" w:rsidRDefault="00A503E5"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4287C260" w14:textId="47E77578" w:rsidR="00A503E5" w:rsidRPr="00E0061E" w:rsidRDefault="00A503E5"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517EA300" w14:textId="0670A2D8" w:rsidR="00A503E5" w:rsidRPr="00E0061E" w:rsidRDefault="00A503E5"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5</w:t>
            </w:r>
            <w:r w:rsidR="002B0931" w:rsidRPr="00E0061E">
              <w:rPr>
                <w:rFonts w:asciiTheme="minorHAnsi" w:hAnsiTheme="minorHAnsi" w:cstheme="minorHAnsi"/>
                <w:sz w:val="20"/>
                <w:szCs w:val="20"/>
                <w:lang w:val="nn-NO"/>
              </w:rPr>
              <w:t xml:space="preserve"> </w:t>
            </w:r>
            <w:r w:rsidR="0042460D" w:rsidRPr="00E0061E">
              <w:rPr>
                <w:rFonts w:asciiTheme="minorHAnsi" w:hAnsiTheme="minorHAnsi" w:cstheme="minorHAnsi"/>
                <w:sz w:val="20"/>
                <w:szCs w:val="20"/>
                <w:lang w:val="nn-NO"/>
              </w:rPr>
              <w:t>g</w:t>
            </w:r>
            <w:r w:rsidRPr="00E0061E">
              <w:rPr>
                <w:rFonts w:asciiTheme="minorHAnsi" w:hAnsiTheme="minorHAnsi" w:cstheme="minorHAnsi"/>
                <w:sz w:val="20"/>
                <w:szCs w:val="20"/>
                <w:lang w:val="nn-NO"/>
              </w:rPr>
              <w:t>/50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tc>
        <w:tc>
          <w:tcPr>
            <w:tcW w:w="1022" w:type="pct"/>
            <w:vAlign w:val="center"/>
          </w:tcPr>
          <w:p w14:paraId="024022AD" w14:textId="64C2DBB2"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 xml:space="preserve">No </w:t>
            </w:r>
          </w:p>
        </w:tc>
        <w:tc>
          <w:tcPr>
            <w:tcW w:w="600" w:type="pct"/>
            <w:vAlign w:val="center"/>
          </w:tcPr>
          <w:p w14:paraId="717EFAFF" w14:textId="75D2F03F" w:rsidR="00A503E5" w:rsidRPr="003C154C" w:rsidRDefault="00AC2E47" w:rsidP="002E4F05">
            <w:pPr>
              <w:spacing w:after="0"/>
              <w:jc w:val="left"/>
              <w:rPr>
                <w:rFonts w:asciiTheme="minorHAnsi" w:hAnsiTheme="minorHAnsi" w:cstheme="minorHAnsi"/>
                <w:sz w:val="20"/>
                <w:szCs w:val="20"/>
              </w:rPr>
            </w:pPr>
            <w:r>
              <w:rPr>
                <w:rFonts w:asciiTheme="minorHAnsi" w:hAnsiTheme="minorHAnsi" w:cstheme="minorHAnsi"/>
                <w:sz w:val="20"/>
                <w:szCs w:val="20"/>
              </w:rPr>
              <w:t>Not NBA funded</w:t>
            </w:r>
          </w:p>
        </w:tc>
      </w:tr>
      <w:tr w:rsidR="009B1589" w:rsidRPr="003C154C" w14:paraId="03EB0F9B" w14:textId="77777777" w:rsidTr="001B3EE2">
        <w:trPr>
          <w:trHeight w:val="480"/>
        </w:trPr>
        <w:tc>
          <w:tcPr>
            <w:tcW w:w="941" w:type="pct"/>
            <w:vAlign w:val="center"/>
          </w:tcPr>
          <w:p w14:paraId="572723DF" w14:textId="0A22CB5E"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Gammanorm</w:t>
            </w:r>
            <w:r w:rsidR="00BC28A1" w:rsidRPr="003C154C">
              <w:rPr>
                <w:rFonts w:asciiTheme="minorHAnsi" w:hAnsiTheme="minorHAnsi" w:cstheme="minorHAnsi"/>
                <w:sz w:val="20"/>
                <w:szCs w:val="20"/>
              </w:rPr>
              <w:t xml:space="preserve"> 16.5%</w:t>
            </w:r>
          </w:p>
        </w:tc>
        <w:tc>
          <w:tcPr>
            <w:tcW w:w="1114" w:type="pct"/>
            <w:vAlign w:val="center"/>
          </w:tcPr>
          <w:p w14:paraId="1397FFE6" w14:textId="7CB9827C"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65796E39" w14:textId="40C01929"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3300</w:t>
            </w:r>
            <w:r w:rsidR="002B0931" w:rsidRPr="003C154C">
              <w:rPr>
                <w:rFonts w:asciiTheme="minorHAnsi" w:hAnsiTheme="minorHAnsi" w:cstheme="minorHAnsi"/>
                <w:sz w:val="20"/>
                <w:szCs w:val="20"/>
              </w:rPr>
              <w:t xml:space="preserve"> </w:t>
            </w:r>
            <w:r w:rsidR="00841F2D" w:rsidRPr="003C154C">
              <w:rPr>
                <w:rFonts w:asciiTheme="minorHAnsi" w:hAnsiTheme="minorHAnsi" w:cstheme="minorHAnsi"/>
                <w:sz w:val="20"/>
                <w:szCs w:val="20"/>
              </w:rPr>
              <w:t>mg</w:t>
            </w:r>
            <w:r w:rsidRPr="003C154C">
              <w:rPr>
                <w:rFonts w:asciiTheme="minorHAnsi" w:hAnsiTheme="minorHAnsi" w:cstheme="minorHAnsi"/>
                <w:sz w:val="20"/>
                <w:szCs w:val="20"/>
              </w:rPr>
              <w:t>/20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p w14:paraId="4940E4E2" w14:textId="3A1BF82C" w:rsidR="00A503E5" w:rsidRPr="003C154C" w:rsidRDefault="00841F2D"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1650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mg</w:t>
            </w:r>
            <w:r w:rsidR="00A503E5" w:rsidRPr="003C154C">
              <w:rPr>
                <w:rFonts w:asciiTheme="minorHAnsi" w:hAnsiTheme="minorHAnsi" w:cstheme="minorHAnsi"/>
                <w:sz w:val="20"/>
                <w:szCs w:val="20"/>
              </w:rPr>
              <w:t>/10</w:t>
            </w:r>
            <w:r w:rsidR="002B0931" w:rsidRPr="003C154C">
              <w:rPr>
                <w:rFonts w:asciiTheme="minorHAnsi" w:hAnsiTheme="minorHAnsi" w:cstheme="minorHAnsi"/>
                <w:sz w:val="20"/>
                <w:szCs w:val="20"/>
              </w:rPr>
              <w:t xml:space="preserve"> </w:t>
            </w:r>
            <w:r w:rsidR="00A503E5" w:rsidRPr="003C154C">
              <w:rPr>
                <w:rFonts w:asciiTheme="minorHAnsi" w:hAnsiTheme="minorHAnsi" w:cstheme="minorHAnsi"/>
                <w:sz w:val="20"/>
                <w:szCs w:val="20"/>
              </w:rPr>
              <w:t>mL</w:t>
            </w:r>
          </w:p>
        </w:tc>
        <w:tc>
          <w:tcPr>
            <w:tcW w:w="1022" w:type="pct"/>
            <w:vAlign w:val="center"/>
          </w:tcPr>
          <w:p w14:paraId="59999322" w14:textId="0A8BD3C4"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No</w:t>
            </w:r>
          </w:p>
        </w:tc>
        <w:tc>
          <w:tcPr>
            <w:tcW w:w="600" w:type="pct"/>
            <w:vAlign w:val="center"/>
          </w:tcPr>
          <w:p w14:paraId="73AE61CE" w14:textId="385789DD" w:rsidR="00A503E5" w:rsidRPr="003C154C" w:rsidRDefault="00AC2E47" w:rsidP="002E4F05">
            <w:pPr>
              <w:spacing w:after="0"/>
              <w:jc w:val="left"/>
              <w:rPr>
                <w:rFonts w:asciiTheme="minorHAnsi" w:hAnsiTheme="minorHAnsi" w:cstheme="minorHAnsi"/>
                <w:sz w:val="20"/>
                <w:szCs w:val="20"/>
              </w:rPr>
            </w:pPr>
            <w:r>
              <w:rPr>
                <w:rFonts w:asciiTheme="minorHAnsi" w:hAnsiTheme="minorHAnsi" w:cstheme="minorHAnsi"/>
                <w:sz w:val="20"/>
                <w:szCs w:val="20"/>
              </w:rPr>
              <w:t>Not NBA funded</w:t>
            </w:r>
          </w:p>
        </w:tc>
      </w:tr>
      <w:tr w:rsidR="009B1589" w:rsidRPr="003C154C" w14:paraId="53A07083" w14:textId="77777777" w:rsidTr="001B3EE2">
        <w:trPr>
          <w:trHeight w:val="715"/>
        </w:trPr>
        <w:tc>
          <w:tcPr>
            <w:tcW w:w="941" w:type="pct"/>
            <w:vAlign w:val="center"/>
          </w:tcPr>
          <w:p w14:paraId="30573B11" w14:textId="1150C020"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Kiovig</w:t>
            </w:r>
            <w:r w:rsidR="006D03F4" w:rsidRPr="003C154C">
              <w:rPr>
                <w:rFonts w:asciiTheme="minorHAnsi" w:hAnsiTheme="minorHAnsi" w:cstheme="minorHAnsi"/>
                <w:sz w:val="20"/>
                <w:szCs w:val="20"/>
              </w:rPr>
              <w:t>*</w:t>
            </w:r>
            <w:r w:rsidR="00BC28A1" w:rsidRPr="003C154C">
              <w:rPr>
                <w:rFonts w:asciiTheme="minorHAnsi" w:hAnsiTheme="minorHAnsi" w:cstheme="minorHAnsi"/>
                <w:sz w:val="20"/>
                <w:szCs w:val="20"/>
              </w:rPr>
              <w:t xml:space="preserve"> (10%)</w:t>
            </w:r>
          </w:p>
        </w:tc>
        <w:tc>
          <w:tcPr>
            <w:tcW w:w="1114" w:type="pct"/>
            <w:vAlign w:val="center"/>
          </w:tcPr>
          <w:p w14:paraId="1D81C342" w14:textId="65CD1559"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37D8FDA7" w14:textId="189A0C25" w:rsidR="00A503E5" w:rsidRPr="00E0061E" w:rsidRDefault="00A503E5"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30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g/300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2CC62202" w14:textId="7DCD02D0" w:rsidR="00A503E5" w:rsidRPr="00E0061E" w:rsidRDefault="00A503E5"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6CC37F72" w14:textId="52539BB8" w:rsidR="005B4D91" w:rsidRPr="00E0061E" w:rsidRDefault="00A503E5"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3DD396E2" w14:textId="5FB97CED" w:rsidR="005B4D91" w:rsidRPr="00E0061E" w:rsidRDefault="005B4D91"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g/50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5F8B65D6" w14:textId="559C7F07" w:rsidR="005B4D91" w:rsidRPr="003C154C" w:rsidRDefault="005B4D9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2.5</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g/25</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p w14:paraId="162C8AC7" w14:textId="3A267E57" w:rsidR="00A503E5" w:rsidRPr="003C154C" w:rsidRDefault="005B4D9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1</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g/10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tc>
        <w:tc>
          <w:tcPr>
            <w:tcW w:w="1022" w:type="pct"/>
            <w:vAlign w:val="center"/>
          </w:tcPr>
          <w:p w14:paraId="45D4B8ED" w14:textId="77A577CB"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Yes</w:t>
            </w:r>
          </w:p>
        </w:tc>
        <w:tc>
          <w:tcPr>
            <w:tcW w:w="600" w:type="pct"/>
            <w:vAlign w:val="center"/>
          </w:tcPr>
          <w:p w14:paraId="0CC744A0" w14:textId="27D8681A" w:rsidR="00A503E5" w:rsidRPr="003C154C" w:rsidRDefault="00A503E5"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Not NBA funded</w:t>
            </w:r>
          </w:p>
        </w:tc>
      </w:tr>
      <w:tr w:rsidR="006D03F4" w:rsidRPr="003C154C" w14:paraId="633607EA" w14:textId="77777777" w:rsidTr="001B3EE2">
        <w:trPr>
          <w:trHeight w:val="715"/>
        </w:trPr>
        <w:tc>
          <w:tcPr>
            <w:tcW w:w="941" w:type="pct"/>
            <w:vAlign w:val="center"/>
          </w:tcPr>
          <w:p w14:paraId="441C2086" w14:textId="695F3080" w:rsidR="006D03F4" w:rsidRPr="003C154C" w:rsidRDefault="006D03F4"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Panzyga</w:t>
            </w:r>
            <w:r w:rsidR="00115623" w:rsidRPr="003C154C">
              <w:rPr>
                <w:rFonts w:asciiTheme="minorHAnsi" w:hAnsiTheme="minorHAnsi" w:cstheme="minorHAnsi"/>
                <w:sz w:val="20"/>
                <w:szCs w:val="20"/>
              </w:rPr>
              <w:t xml:space="preserve"> 10%</w:t>
            </w:r>
          </w:p>
        </w:tc>
        <w:tc>
          <w:tcPr>
            <w:tcW w:w="1114" w:type="pct"/>
            <w:vAlign w:val="center"/>
          </w:tcPr>
          <w:p w14:paraId="06188B3A" w14:textId="06D70846" w:rsidR="006D03F4" w:rsidRPr="003C154C" w:rsidRDefault="006D03F4"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6E495E2E" w14:textId="5FE409CE" w:rsidR="006D03F4" w:rsidRPr="00E0061E" w:rsidRDefault="006D03F4"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11B555B8" w14:textId="6B221127" w:rsidR="006D03F4" w:rsidRPr="00E0061E" w:rsidRDefault="006D03F4"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g/50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51108015" w14:textId="108A37EC" w:rsidR="006D03F4" w:rsidRPr="00E0061E" w:rsidRDefault="006D03F4"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3E23AF66" w14:textId="5F6CF265" w:rsidR="006D03F4" w:rsidRPr="00E0061E" w:rsidRDefault="006D03F4"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76A1DBAD" w14:textId="56C22E5C" w:rsidR="006D03F4" w:rsidRPr="003C154C" w:rsidRDefault="006D03F4"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30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g/300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tc>
        <w:tc>
          <w:tcPr>
            <w:tcW w:w="1022" w:type="pct"/>
            <w:vAlign w:val="center"/>
          </w:tcPr>
          <w:p w14:paraId="3A75711C" w14:textId="69C2C55D" w:rsidR="006D03F4" w:rsidRPr="003C154C" w:rsidRDefault="006D03F4"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No</w:t>
            </w:r>
          </w:p>
        </w:tc>
        <w:tc>
          <w:tcPr>
            <w:tcW w:w="600" w:type="pct"/>
            <w:vAlign w:val="center"/>
          </w:tcPr>
          <w:p w14:paraId="4681235A" w14:textId="61E7411F" w:rsidR="006D03F4" w:rsidRPr="003C154C" w:rsidRDefault="00AC2E47" w:rsidP="002E4F05">
            <w:pPr>
              <w:spacing w:after="0"/>
              <w:jc w:val="left"/>
              <w:rPr>
                <w:rFonts w:asciiTheme="minorHAnsi" w:hAnsiTheme="minorHAnsi" w:cstheme="minorHAnsi"/>
                <w:sz w:val="20"/>
                <w:szCs w:val="20"/>
              </w:rPr>
            </w:pPr>
            <w:r>
              <w:rPr>
                <w:rFonts w:asciiTheme="minorHAnsi" w:hAnsiTheme="minorHAnsi" w:cstheme="minorHAnsi"/>
                <w:sz w:val="20"/>
                <w:szCs w:val="20"/>
              </w:rPr>
              <w:t>Not NBA funded</w:t>
            </w:r>
          </w:p>
        </w:tc>
      </w:tr>
      <w:tr w:rsidR="006D03F4" w:rsidRPr="003C154C" w14:paraId="15A58781" w14:textId="77777777" w:rsidTr="001B3EE2">
        <w:trPr>
          <w:trHeight w:val="715"/>
        </w:trPr>
        <w:tc>
          <w:tcPr>
            <w:tcW w:w="941" w:type="pct"/>
            <w:vAlign w:val="center"/>
          </w:tcPr>
          <w:p w14:paraId="5979A7C2" w14:textId="76034499" w:rsidR="006D03F4" w:rsidRPr="003C154C" w:rsidRDefault="006D03F4"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lastRenderedPageBreak/>
              <w:t>Intratect 10%</w:t>
            </w:r>
          </w:p>
        </w:tc>
        <w:tc>
          <w:tcPr>
            <w:tcW w:w="1114" w:type="pct"/>
            <w:vAlign w:val="center"/>
          </w:tcPr>
          <w:p w14:paraId="2B259CF0" w14:textId="78A2ABD2" w:rsidR="006D03F4" w:rsidRPr="003C154C" w:rsidRDefault="006D03F4"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10B6DA33" w14:textId="54EB8486" w:rsidR="006D03F4" w:rsidRPr="00E0061E" w:rsidRDefault="006D03F4"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033006BB" w14:textId="351BE132" w:rsidR="006D03F4" w:rsidRPr="00E0061E" w:rsidRDefault="006D03F4"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610087D0" w14:textId="055D1264" w:rsidR="006D03F4" w:rsidRPr="00E0061E" w:rsidRDefault="006D03F4"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g/50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5D026666" w14:textId="4FC3CB0F" w:rsidR="006D03F4" w:rsidRPr="00E0061E" w:rsidRDefault="006D03F4"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tc>
        <w:tc>
          <w:tcPr>
            <w:tcW w:w="1022" w:type="pct"/>
            <w:vAlign w:val="center"/>
          </w:tcPr>
          <w:p w14:paraId="401F2E46" w14:textId="3A415716" w:rsidR="006D03F4" w:rsidRPr="003C154C" w:rsidRDefault="00EB2F9F"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No</w:t>
            </w:r>
          </w:p>
        </w:tc>
        <w:tc>
          <w:tcPr>
            <w:tcW w:w="600" w:type="pct"/>
            <w:vAlign w:val="center"/>
          </w:tcPr>
          <w:p w14:paraId="073EF765" w14:textId="7FBA369F" w:rsidR="006D03F4" w:rsidRPr="003C154C" w:rsidRDefault="00AC2E47" w:rsidP="002E4F05">
            <w:pPr>
              <w:spacing w:after="0"/>
              <w:jc w:val="left"/>
              <w:rPr>
                <w:rFonts w:asciiTheme="minorHAnsi" w:hAnsiTheme="minorHAnsi" w:cstheme="minorHAnsi"/>
                <w:sz w:val="20"/>
                <w:szCs w:val="20"/>
              </w:rPr>
            </w:pPr>
            <w:r>
              <w:rPr>
                <w:rFonts w:asciiTheme="minorHAnsi" w:hAnsiTheme="minorHAnsi" w:cstheme="minorHAnsi"/>
                <w:sz w:val="20"/>
                <w:szCs w:val="20"/>
              </w:rPr>
              <w:t>Not NBA funded</w:t>
            </w:r>
          </w:p>
        </w:tc>
      </w:tr>
      <w:tr w:rsidR="006D03F4" w:rsidRPr="003C154C" w14:paraId="0409339A" w14:textId="77777777" w:rsidTr="001B3EE2">
        <w:trPr>
          <w:trHeight w:val="715"/>
        </w:trPr>
        <w:tc>
          <w:tcPr>
            <w:tcW w:w="941" w:type="pct"/>
            <w:vAlign w:val="center"/>
          </w:tcPr>
          <w:p w14:paraId="262B384E" w14:textId="3077BDFA" w:rsidR="006D03F4" w:rsidRPr="003C154C" w:rsidRDefault="006D03F4"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Intratect 5%</w:t>
            </w:r>
          </w:p>
        </w:tc>
        <w:tc>
          <w:tcPr>
            <w:tcW w:w="1114" w:type="pct"/>
            <w:vAlign w:val="center"/>
          </w:tcPr>
          <w:p w14:paraId="631BC733" w14:textId="625F0FEA" w:rsidR="006D03F4" w:rsidRPr="003C154C" w:rsidRDefault="006D03F4"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25178EB0" w14:textId="564F0164" w:rsidR="00EB2F9F" w:rsidRPr="00E0061E" w:rsidRDefault="00EB2F9F"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g/100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71EBA7A6" w14:textId="5BE48BC0" w:rsidR="00EB2F9F" w:rsidRPr="00E0061E" w:rsidRDefault="00EB2F9F"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5142FC94" w14:textId="2EE89440" w:rsidR="00EB2F9F" w:rsidRPr="00E0061E" w:rsidRDefault="00EB2F9F"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10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g/200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p w14:paraId="3BB5D894" w14:textId="624EC5C4" w:rsidR="006D03F4" w:rsidRPr="00E0061E" w:rsidRDefault="00EB2F9F" w:rsidP="002E4F05">
            <w:pPr>
              <w:spacing w:after="0"/>
              <w:jc w:val="left"/>
              <w:rPr>
                <w:rFonts w:asciiTheme="minorHAnsi" w:hAnsiTheme="minorHAnsi" w:cstheme="minorHAnsi"/>
                <w:sz w:val="20"/>
                <w:szCs w:val="20"/>
                <w:lang w:val="nn-NO"/>
              </w:rPr>
            </w:pPr>
            <w:r w:rsidRPr="00E0061E">
              <w:rPr>
                <w:rFonts w:asciiTheme="minorHAnsi" w:hAnsiTheme="minorHAnsi" w:cstheme="minorHAnsi"/>
                <w:sz w:val="20"/>
                <w:szCs w:val="20"/>
                <w:lang w:val="nn-NO"/>
              </w:rPr>
              <w:t>2.5</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g/50</w:t>
            </w:r>
            <w:r w:rsidR="002B0931" w:rsidRPr="00E0061E">
              <w:rPr>
                <w:rFonts w:asciiTheme="minorHAnsi" w:hAnsiTheme="minorHAnsi" w:cstheme="minorHAnsi"/>
                <w:sz w:val="20"/>
                <w:szCs w:val="20"/>
                <w:lang w:val="nn-NO"/>
              </w:rPr>
              <w:t xml:space="preserve"> </w:t>
            </w:r>
            <w:r w:rsidRPr="00E0061E">
              <w:rPr>
                <w:rFonts w:asciiTheme="minorHAnsi" w:hAnsiTheme="minorHAnsi" w:cstheme="minorHAnsi"/>
                <w:sz w:val="20"/>
                <w:szCs w:val="20"/>
                <w:lang w:val="nn-NO"/>
              </w:rPr>
              <w:t>mL</w:t>
            </w:r>
          </w:p>
        </w:tc>
        <w:tc>
          <w:tcPr>
            <w:tcW w:w="1022" w:type="pct"/>
            <w:vAlign w:val="center"/>
          </w:tcPr>
          <w:p w14:paraId="4A427291" w14:textId="1E857071" w:rsidR="006D03F4" w:rsidRPr="003C154C" w:rsidRDefault="00EB2F9F"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No</w:t>
            </w:r>
          </w:p>
        </w:tc>
        <w:tc>
          <w:tcPr>
            <w:tcW w:w="600" w:type="pct"/>
            <w:vAlign w:val="center"/>
          </w:tcPr>
          <w:p w14:paraId="7232057B" w14:textId="25CE7556" w:rsidR="006D03F4" w:rsidRPr="003C154C" w:rsidRDefault="00AC2E47" w:rsidP="002E4F05">
            <w:pPr>
              <w:spacing w:after="0"/>
              <w:jc w:val="left"/>
              <w:rPr>
                <w:rFonts w:asciiTheme="minorHAnsi" w:hAnsiTheme="minorHAnsi" w:cstheme="minorHAnsi"/>
                <w:sz w:val="20"/>
                <w:szCs w:val="20"/>
              </w:rPr>
            </w:pPr>
            <w:r>
              <w:rPr>
                <w:rFonts w:asciiTheme="minorHAnsi" w:hAnsiTheme="minorHAnsi" w:cstheme="minorHAnsi"/>
                <w:sz w:val="20"/>
                <w:szCs w:val="20"/>
              </w:rPr>
              <w:t>Not NBA funded</w:t>
            </w:r>
          </w:p>
        </w:tc>
      </w:tr>
      <w:tr w:rsidR="005B4D91" w:rsidRPr="003C154C" w14:paraId="6A613532" w14:textId="77777777" w:rsidTr="003A3782">
        <w:trPr>
          <w:trHeight w:val="315"/>
        </w:trPr>
        <w:tc>
          <w:tcPr>
            <w:tcW w:w="941" w:type="pct"/>
            <w:vAlign w:val="center"/>
          </w:tcPr>
          <w:p w14:paraId="7740FE4F" w14:textId="251D69DC" w:rsidR="005B4D91" w:rsidRPr="003C154C" w:rsidRDefault="005B4D9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TBSF</w:t>
            </w:r>
            <w:r w:rsidR="00115623" w:rsidRPr="003C154C">
              <w:rPr>
                <w:rFonts w:asciiTheme="minorHAnsi" w:hAnsiTheme="minorHAnsi" w:cstheme="minorHAnsi"/>
                <w:sz w:val="20"/>
                <w:szCs w:val="20"/>
              </w:rPr>
              <w:t xml:space="preserve"> human immunoglobulin</w:t>
            </w:r>
          </w:p>
        </w:tc>
        <w:tc>
          <w:tcPr>
            <w:tcW w:w="1114" w:type="pct"/>
            <w:vAlign w:val="center"/>
          </w:tcPr>
          <w:p w14:paraId="136926CC" w14:textId="31E749B3" w:rsidR="005B4D91" w:rsidRPr="003C154C" w:rsidRDefault="005B4D9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44020A98" w14:textId="352A01AD" w:rsidR="005B4D91" w:rsidRPr="003C154C" w:rsidRDefault="005B4D9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NA</w:t>
            </w:r>
          </w:p>
        </w:tc>
        <w:tc>
          <w:tcPr>
            <w:tcW w:w="1022" w:type="pct"/>
            <w:vAlign w:val="center"/>
          </w:tcPr>
          <w:p w14:paraId="1D5D42B0" w14:textId="73902564" w:rsidR="005B4D91" w:rsidRPr="003C154C" w:rsidRDefault="005B4D9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No</w:t>
            </w:r>
          </w:p>
        </w:tc>
        <w:tc>
          <w:tcPr>
            <w:tcW w:w="600" w:type="pct"/>
            <w:vAlign w:val="center"/>
          </w:tcPr>
          <w:p w14:paraId="1DD408C5" w14:textId="7C783C94" w:rsidR="005B4D91" w:rsidRPr="003C154C" w:rsidRDefault="00AC2E47" w:rsidP="002E4F05">
            <w:pPr>
              <w:spacing w:after="0"/>
              <w:jc w:val="left"/>
              <w:rPr>
                <w:rFonts w:asciiTheme="minorHAnsi" w:hAnsiTheme="minorHAnsi" w:cstheme="minorHAnsi"/>
                <w:sz w:val="20"/>
                <w:szCs w:val="20"/>
              </w:rPr>
            </w:pPr>
            <w:r>
              <w:rPr>
                <w:rFonts w:asciiTheme="minorHAnsi" w:hAnsiTheme="minorHAnsi" w:cstheme="minorHAnsi"/>
                <w:sz w:val="20"/>
                <w:szCs w:val="20"/>
              </w:rPr>
              <w:t>Not NBA funded</w:t>
            </w:r>
          </w:p>
        </w:tc>
      </w:tr>
      <w:tr w:rsidR="005B4D91" w:rsidRPr="003C154C" w14:paraId="704913E3" w14:textId="77777777" w:rsidTr="001B3EE2">
        <w:trPr>
          <w:trHeight w:val="715"/>
        </w:trPr>
        <w:tc>
          <w:tcPr>
            <w:tcW w:w="941" w:type="pct"/>
            <w:vAlign w:val="center"/>
          </w:tcPr>
          <w:p w14:paraId="669E4C1A" w14:textId="06AB28CF" w:rsidR="005B4D91" w:rsidRPr="003C154C" w:rsidRDefault="005B4D9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Gamunex 10%</w:t>
            </w:r>
          </w:p>
        </w:tc>
        <w:tc>
          <w:tcPr>
            <w:tcW w:w="1114" w:type="pct"/>
            <w:vAlign w:val="center"/>
          </w:tcPr>
          <w:p w14:paraId="61DA5D3B" w14:textId="015C49E4" w:rsidR="005B4D91" w:rsidRPr="003C154C" w:rsidRDefault="005B4D91"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IV</w:t>
            </w:r>
          </w:p>
        </w:tc>
        <w:tc>
          <w:tcPr>
            <w:tcW w:w="1324" w:type="pct"/>
            <w:vAlign w:val="center"/>
          </w:tcPr>
          <w:p w14:paraId="58F8DD42" w14:textId="5F89FC92" w:rsidR="005B4D91" w:rsidRPr="00E0061E" w:rsidRDefault="005B4D91" w:rsidP="002E4F05">
            <w:pPr>
              <w:spacing w:after="0"/>
              <w:jc w:val="left"/>
              <w:rPr>
                <w:rFonts w:asciiTheme="minorHAnsi" w:hAnsiTheme="minorHAnsi" w:cstheme="minorHAnsi"/>
                <w:sz w:val="20"/>
                <w:szCs w:val="20"/>
              </w:rPr>
            </w:pPr>
            <w:r w:rsidRPr="00E0061E">
              <w:rPr>
                <w:rFonts w:asciiTheme="minorHAnsi" w:hAnsiTheme="minorHAnsi" w:cstheme="minorHAnsi"/>
                <w:sz w:val="20"/>
                <w:szCs w:val="20"/>
              </w:rPr>
              <w:t>20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g/200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mL</w:t>
            </w:r>
          </w:p>
          <w:p w14:paraId="7B4A653E" w14:textId="4DC32EBE" w:rsidR="005B4D91" w:rsidRPr="00E0061E" w:rsidRDefault="005B4D91" w:rsidP="002E4F05">
            <w:pPr>
              <w:spacing w:after="0"/>
              <w:jc w:val="left"/>
              <w:rPr>
                <w:rFonts w:asciiTheme="minorHAnsi" w:hAnsiTheme="minorHAnsi" w:cstheme="minorHAnsi"/>
                <w:sz w:val="20"/>
                <w:szCs w:val="20"/>
              </w:rPr>
            </w:pPr>
            <w:r w:rsidRPr="00E0061E">
              <w:rPr>
                <w:rFonts w:asciiTheme="minorHAnsi" w:hAnsiTheme="minorHAnsi" w:cstheme="minorHAnsi"/>
                <w:sz w:val="20"/>
                <w:szCs w:val="20"/>
              </w:rPr>
              <w:t>10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g/100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mL</w:t>
            </w:r>
          </w:p>
          <w:p w14:paraId="53AB8E9B" w14:textId="4D75D61F" w:rsidR="005B4D91" w:rsidRPr="00E0061E" w:rsidRDefault="005B4D91" w:rsidP="002E4F05">
            <w:pPr>
              <w:spacing w:after="0"/>
              <w:jc w:val="left"/>
              <w:rPr>
                <w:rFonts w:asciiTheme="minorHAnsi" w:hAnsiTheme="minorHAnsi" w:cstheme="minorHAnsi"/>
                <w:sz w:val="20"/>
                <w:szCs w:val="20"/>
              </w:rPr>
            </w:pPr>
            <w:r w:rsidRPr="00E0061E">
              <w:rPr>
                <w:rFonts w:asciiTheme="minorHAnsi" w:hAnsiTheme="minorHAnsi" w:cstheme="minorHAnsi"/>
                <w:sz w:val="20"/>
                <w:szCs w:val="20"/>
              </w:rPr>
              <w:t>5</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g/50</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mL</w:t>
            </w:r>
          </w:p>
          <w:p w14:paraId="42581774" w14:textId="5C2F063A" w:rsidR="005B4D91" w:rsidRPr="00E0061E" w:rsidRDefault="005B4D91" w:rsidP="002E4F05">
            <w:pPr>
              <w:spacing w:after="0"/>
              <w:jc w:val="left"/>
              <w:rPr>
                <w:rFonts w:asciiTheme="minorHAnsi" w:hAnsiTheme="minorHAnsi" w:cstheme="minorHAnsi"/>
                <w:sz w:val="20"/>
                <w:szCs w:val="20"/>
              </w:rPr>
            </w:pPr>
            <w:r w:rsidRPr="00E0061E">
              <w:rPr>
                <w:rFonts w:asciiTheme="minorHAnsi" w:hAnsiTheme="minorHAnsi" w:cstheme="minorHAnsi"/>
                <w:sz w:val="20"/>
                <w:szCs w:val="20"/>
              </w:rPr>
              <w:t>2.5</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g/25</w:t>
            </w:r>
            <w:r w:rsidR="002B0931" w:rsidRPr="00E0061E">
              <w:rPr>
                <w:rFonts w:asciiTheme="minorHAnsi" w:hAnsiTheme="minorHAnsi" w:cstheme="minorHAnsi"/>
                <w:sz w:val="20"/>
                <w:szCs w:val="20"/>
              </w:rPr>
              <w:t xml:space="preserve"> </w:t>
            </w:r>
            <w:r w:rsidRPr="00E0061E">
              <w:rPr>
                <w:rFonts w:asciiTheme="minorHAnsi" w:hAnsiTheme="minorHAnsi" w:cstheme="minorHAnsi"/>
                <w:sz w:val="20"/>
                <w:szCs w:val="20"/>
              </w:rPr>
              <w:t>mL</w:t>
            </w:r>
          </w:p>
          <w:p w14:paraId="11378DD5" w14:textId="706F03AD" w:rsidR="005B4D91" w:rsidRPr="003C154C" w:rsidRDefault="0011562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1</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g/10</w:t>
            </w:r>
            <w:r w:rsidR="002B0931" w:rsidRPr="003C154C">
              <w:rPr>
                <w:rFonts w:asciiTheme="minorHAnsi" w:hAnsiTheme="minorHAnsi" w:cstheme="minorHAnsi"/>
                <w:sz w:val="20"/>
                <w:szCs w:val="20"/>
              </w:rPr>
              <w:t xml:space="preserve"> </w:t>
            </w:r>
            <w:r w:rsidRPr="003C154C">
              <w:rPr>
                <w:rFonts w:asciiTheme="minorHAnsi" w:hAnsiTheme="minorHAnsi" w:cstheme="minorHAnsi"/>
                <w:sz w:val="20"/>
                <w:szCs w:val="20"/>
              </w:rPr>
              <w:t>mL</w:t>
            </w:r>
          </w:p>
        </w:tc>
        <w:tc>
          <w:tcPr>
            <w:tcW w:w="1022" w:type="pct"/>
            <w:vAlign w:val="center"/>
          </w:tcPr>
          <w:p w14:paraId="1B48DF5A" w14:textId="72E1A694" w:rsidR="005B4D91" w:rsidRPr="003C154C" w:rsidRDefault="00115623" w:rsidP="002E4F05">
            <w:pPr>
              <w:spacing w:after="0"/>
              <w:jc w:val="left"/>
              <w:rPr>
                <w:rFonts w:asciiTheme="minorHAnsi" w:hAnsiTheme="minorHAnsi" w:cstheme="minorHAnsi"/>
                <w:sz w:val="20"/>
                <w:szCs w:val="20"/>
              </w:rPr>
            </w:pPr>
            <w:r w:rsidRPr="003C154C">
              <w:rPr>
                <w:rFonts w:asciiTheme="minorHAnsi" w:hAnsiTheme="minorHAnsi" w:cstheme="minorHAnsi"/>
                <w:sz w:val="20"/>
                <w:szCs w:val="20"/>
              </w:rPr>
              <w:t>No</w:t>
            </w:r>
          </w:p>
        </w:tc>
        <w:tc>
          <w:tcPr>
            <w:tcW w:w="600" w:type="pct"/>
            <w:vAlign w:val="center"/>
          </w:tcPr>
          <w:p w14:paraId="55AD314C" w14:textId="62BF691C" w:rsidR="005B4D91" w:rsidRPr="003C154C" w:rsidRDefault="00004142" w:rsidP="002E4F05">
            <w:pPr>
              <w:spacing w:after="0"/>
              <w:jc w:val="left"/>
              <w:rPr>
                <w:rFonts w:asciiTheme="minorHAnsi" w:hAnsiTheme="minorHAnsi" w:cstheme="minorHAnsi"/>
                <w:sz w:val="20"/>
                <w:szCs w:val="20"/>
              </w:rPr>
            </w:pPr>
            <w:r>
              <w:rPr>
                <w:rFonts w:asciiTheme="minorHAnsi" w:hAnsiTheme="minorHAnsi" w:cstheme="minorHAnsi"/>
                <w:sz w:val="20"/>
                <w:szCs w:val="20"/>
              </w:rPr>
              <w:t>TBA by NBA</w:t>
            </w:r>
          </w:p>
        </w:tc>
      </w:tr>
    </w:tbl>
    <w:p w14:paraId="4CB78C8E" w14:textId="1A6555B3" w:rsidR="00E5089D" w:rsidRDefault="00E5089D" w:rsidP="00E5089D">
      <w:pPr>
        <w:spacing w:after="0" w:line="240" w:lineRule="auto"/>
        <w:rPr>
          <w:sz w:val="18"/>
        </w:rPr>
      </w:pPr>
      <w:r>
        <w:rPr>
          <w:sz w:val="18"/>
        </w:rPr>
        <w:t xml:space="preserve">Abbreviations: IVIg = intravenous immunoglobulin; MMN = multifocal motor neuropathy; </w:t>
      </w:r>
      <w:r w:rsidR="005B4D91">
        <w:rPr>
          <w:sz w:val="18"/>
        </w:rPr>
        <w:t xml:space="preserve">NA= not available; </w:t>
      </w:r>
      <w:r>
        <w:rPr>
          <w:sz w:val="18"/>
        </w:rPr>
        <w:t>NBA = National Blood Authority</w:t>
      </w:r>
      <w:r w:rsidR="00F771DE">
        <w:rPr>
          <w:sz w:val="18"/>
        </w:rPr>
        <w:t>;</w:t>
      </w:r>
      <w:r w:rsidR="00F771DE" w:rsidRPr="00F771DE">
        <w:rPr>
          <w:sz w:val="18"/>
        </w:rPr>
        <w:t xml:space="preserve"> </w:t>
      </w:r>
      <w:r w:rsidR="000250FA">
        <w:rPr>
          <w:sz w:val="18"/>
        </w:rPr>
        <w:t>TB</w:t>
      </w:r>
      <w:r w:rsidR="00E0061E">
        <w:rPr>
          <w:sz w:val="18"/>
        </w:rPr>
        <w:t>A</w:t>
      </w:r>
      <w:r w:rsidR="000250FA">
        <w:rPr>
          <w:sz w:val="18"/>
        </w:rPr>
        <w:t xml:space="preserve"> = to be </w:t>
      </w:r>
      <w:r w:rsidR="00E0061E">
        <w:rPr>
          <w:sz w:val="18"/>
        </w:rPr>
        <w:t>announced</w:t>
      </w:r>
      <w:r w:rsidR="000250FA">
        <w:rPr>
          <w:sz w:val="18"/>
        </w:rPr>
        <w:t xml:space="preserve">; </w:t>
      </w:r>
      <w:r w:rsidR="00F771DE">
        <w:rPr>
          <w:sz w:val="18"/>
        </w:rPr>
        <w:t>TGA = Therapeutic Goods Association</w:t>
      </w:r>
      <w:r w:rsidR="000250FA">
        <w:rPr>
          <w:sz w:val="18"/>
        </w:rPr>
        <w:t xml:space="preserve">. </w:t>
      </w:r>
    </w:p>
    <w:p w14:paraId="3390C3F5" w14:textId="0AB7A3D7" w:rsidR="000250FA" w:rsidRDefault="000250FA" w:rsidP="00E5089D">
      <w:pPr>
        <w:spacing w:after="0" w:line="240" w:lineRule="auto"/>
        <w:rPr>
          <w:sz w:val="18"/>
        </w:rPr>
      </w:pPr>
      <w:r>
        <w:rPr>
          <w:sz w:val="18"/>
        </w:rPr>
        <w:t>Note:</w:t>
      </w:r>
      <w:r w:rsidR="0042460D">
        <w:rPr>
          <w:sz w:val="18"/>
        </w:rPr>
        <w:t xml:space="preserve"> </w:t>
      </w:r>
      <w:r w:rsidR="005B4D91">
        <w:rPr>
          <w:sz w:val="18"/>
        </w:rPr>
        <w:t>*</w:t>
      </w:r>
      <w:r w:rsidR="00E0061E">
        <w:rPr>
          <w:sz w:val="18"/>
        </w:rPr>
        <w:t>T</w:t>
      </w:r>
      <w:r w:rsidR="005B4D91">
        <w:rPr>
          <w:sz w:val="18"/>
        </w:rPr>
        <w:t xml:space="preserve">he </w:t>
      </w:r>
      <w:r w:rsidR="00115623">
        <w:rPr>
          <w:sz w:val="18"/>
        </w:rPr>
        <w:t>R</w:t>
      </w:r>
      <w:r w:rsidR="005B4D91">
        <w:rPr>
          <w:sz w:val="18"/>
        </w:rPr>
        <w:t>eferral noted Kiovig was not funded by the NBA</w:t>
      </w:r>
      <w:r>
        <w:rPr>
          <w:sz w:val="18"/>
        </w:rPr>
        <w:t xml:space="preserve">. </w:t>
      </w:r>
    </w:p>
    <w:p w14:paraId="3897F436" w14:textId="1EAD8679" w:rsidR="00E5089D" w:rsidRDefault="00E5089D" w:rsidP="00E5089D">
      <w:pPr>
        <w:spacing w:line="240" w:lineRule="auto"/>
        <w:rPr>
          <w:sz w:val="18"/>
        </w:rPr>
      </w:pPr>
      <w:r w:rsidRPr="00961D22">
        <w:rPr>
          <w:sz w:val="18"/>
        </w:rPr>
        <w:t xml:space="preserve">Source: </w:t>
      </w:r>
      <w:r w:rsidR="00F771DE">
        <w:rPr>
          <w:sz w:val="18"/>
        </w:rPr>
        <w:t>Table 1, p</w:t>
      </w:r>
      <w:r w:rsidR="000A6389">
        <w:rPr>
          <w:sz w:val="18"/>
        </w:rPr>
        <w:t>.</w:t>
      </w:r>
      <w:r w:rsidR="00F771DE">
        <w:rPr>
          <w:sz w:val="18"/>
        </w:rPr>
        <w:t xml:space="preserve">6 and </w:t>
      </w:r>
      <w:r>
        <w:rPr>
          <w:sz w:val="18"/>
        </w:rPr>
        <w:t>Table 11, p</w:t>
      </w:r>
      <w:r w:rsidR="000A6389">
        <w:rPr>
          <w:sz w:val="18"/>
        </w:rPr>
        <w:t>.</w:t>
      </w:r>
      <w:r>
        <w:rPr>
          <w:sz w:val="18"/>
        </w:rPr>
        <w:t xml:space="preserve">28 of the </w:t>
      </w:r>
      <w:r w:rsidR="003125EA">
        <w:rPr>
          <w:sz w:val="18"/>
        </w:rPr>
        <w:t>draft</w:t>
      </w:r>
      <w:r>
        <w:rPr>
          <w:sz w:val="18"/>
        </w:rPr>
        <w:t xml:space="preserve"> Referral form 1590-MMN.</w:t>
      </w:r>
    </w:p>
    <w:p w14:paraId="3880802D" w14:textId="686600F7" w:rsidR="00E5089D" w:rsidRPr="000967E6" w:rsidRDefault="003125EA" w:rsidP="00154648">
      <w:r>
        <w:t>The d</w:t>
      </w:r>
      <w:r w:rsidR="003E6BD6">
        <w:t xml:space="preserve">raft Referral mentioned </w:t>
      </w:r>
      <w:r w:rsidR="005C33B3">
        <w:t xml:space="preserve">there is a potential for maintenance </w:t>
      </w:r>
      <w:r w:rsidR="003E6BD6">
        <w:t xml:space="preserve">therapy </w:t>
      </w:r>
      <w:r w:rsidR="00DA015A">
        <w:t>provided</w:t>
      </w:r>
      <w:r w:rsidR="005C33B3">
        <w:t xml:space="preserve"> to patients who do not have </w:t>
      </w:r>
      <w:r w:rsidR="003E6BD6">
        <w:t xml:space="preserve">a confirmed diagnosis of MMN or </w:t>
      </w:r>
      <w:r w:rsidR="005C33B3">
        <w:t xml:space="preserve">who have not shown </w:t>
      </w:r>
      <w:r w:rsidR="00DA015A">
        <w:t xml:space="preserve">a </w:t>
      </w:r>
      <w:r w:rsidR="005C33B3">
        <w:t xml:space="preserve">response, which may result in leakage. </w:t>
      </w:r>
      <w:r w:rsidR="00AF00B1">
        <w:t xml:space="preserve">In the context of this </w:t>
      </w:r>
      <w:r w:rsidR="006E00E2">
        <w:t>PICO</w:t>
      </w:r>
      <w:r w:rsidR="00AF00B1">
        <w:t xml:space="preserve"> Confirmation, leakage refers to the us</w:t>
      </w:r>
      <w:r w:rsidR="009F2C3D">
        <w:t>e</w:t>
      </w:r>
      <w:r w:rsidR="00AF00B1">
        <w:t xml:space="preserve"> of IVIg </w:t>
      </w:r>
      <w:r w:rsidR="00916757">
        <w:t>outside of the specified criteria</w:t>
      </w:r>
      <w:r w:rsidR="00AF00B1">
        <w:t xml:space="preserve"> which may have implications in terms of product availability </w:t>
      </w:r>
      <w:r w:rsidR="006E00E2">
        <w:t xml:space="preserve">and </w:t>
      </w:r>
      <w:r w:rsidR="001C6410">
        <w:t xml:space="preserve">is </w:t>
      </w:r>
      <w:r w:rsidR="006E00E2">
        <w:t xml:space="preserve">likely to </w:t>
      </w:r>
      <w:r w:rsidR="00E966FA">
        <w:t xml:space="preserve">have </w:t>
      </w:r>
      <w:r w:rsidR="001C6410">
        <w:t>financial implications for</w:t>
      </w:r>
      <w:r w:rsidR="006E00E2">
        <w:t xml:space="preserve"> the NBA. </w:t>
      </w:r>
      <w:r w:rsidR="00E5089D">
        <w:t xml:space="preserve">To control </w:t>
      </w:r>
      <w:r w:rsidR="003E6BD6">
        <w:t xml:space="preserve">this </w:t>
      </w:r>
      <w:r w:rsidR="001C6410">
        <w:t>leakage and ensure</w:t>
      </w:r>
      <w:r w:rsidR="00E5089D">
        <w:t xml:space="preserve"> the appropriate use of IVIg in MMN,</w:t>
      </w:r>
      <w:r w:rsidR="00E5089D" w:rsidRPr="00A61E00">
        <w:rPr>
          <w:i/>
        </w:rPr>
        <w:t xml:space="preserve"> </w:t>
      </w:r>
      <w:r w:rsidR="00E5089D" w:rsidRPr="001C6410">
        <w:t>The Criteria</w:t>
      </w:r>
      <w:r w:rsidR="00E5089D">
        <w:t xml:space="preserve"> specifies review criteria to be met before authorising </w:t>
      </w:r>
      <w:r w:rsidR="005C33B3">
        <w:t>maintenance</w:t>
      </w:r>
      <w:r w:rsidR="00E5089D">
        <w:t xml:space="preserve"> use for the two indications </w:t>
      </w:r>
      <w:r w:rsidR="00E5089D" w:rsidRPr="000967E6">
        <w:t xml:space="preserve">outlined in Table </w:t>
      </w:r>
      <w:r w:rsidR="00D66573" w:rsidRPr="000967E6">
        <w:t>2</w:t>
      </w:r>
      <w:r w:rsidR="00E5089D" w:rsidRPr="000967E6">
        <w:t xml:space="preserve"> above. The review criteria outlines steps to assessing the effectiveness of IVIg in the management of MMN. For each indication, clinical effectiveness of IV</w:t>
      </w:r>
      <w:r w:rsidR="000314C0" w:rsidRPr="000967E6">
        <w:t>I</w:t>
      </w:r>
      <w:r w:rsidR="00E5089D" w:rsidRPr="000967E6">
        <w:t xml:space="preserve">g therapy </w:t>
      </w:r>
      <w:r w:rsidR="00526A66" w:rsidRPr="000967E6">
        <w:t xml:space="preserve">should be </w:t>
      </w:r>
      <w:r w:rsidR="00E5089D" w:rsidRPr="000967E6">
        <w:t>assessed</w:t>
      </w:r>
      <w:r w:rsidR="00E56D43">
        <w:t>. There should be:</w:t>
      </w:r>
    </w:p>
    <w:p w14:paraId="34C21FE8" w14:textId="77777777" w:rsidR="00E5089D" w:rsidRPr="00E9264A" w:rsidRDefault="00E5089D" w:rsidP="00E9264A">
      <w:pPr>
        <w:pStyle w:val="ListParagraph"/>
      </w:pPr>
      <w:r w:rsidRPr="00E9264A">
        <w:t>An initial review (by a neurologist) within four months after treatment commences (referred to as ‘on review of the initial authorisation period’ by The Criteria)</w:t>
      </w:r>
    </w:p>
    <w:p w14:paraId="164ECDCB" w14:textId="1F14E4BB" w:rsidR="00E5089D" w:rsidRPr="00E9264A" w:rsidRDefault="00E5089D" w:rsidP="00E9264A">
      <w:pPr>
        <w:pStyle w:val="ListParagraph"/>
      </w:pPr>
      <w:r w:rsidRPr="00E9264A">
        <w:t>Ongoing reviews to justify the continuous use of IV</w:t>
      </w:r>
      <w:r w:rsidR="000314C0" w:rsidRPr="00E9264A">
        <w:t>I</w:t>
      </w:r>
      <w:r w:rsidRPr="00E9264A">
        <w:t>g (referred to as ‘on review of the continuing authorisation period’ by The Criteria).</w:t>
      </w:r>
    </w:p>
    <w:p w14:paraId="6839954C" w14:textId="3CEAFBCB" w:rsidR="00E5089D" w:rsidRPr="00E94208" w:rsidRDefault="00E5089D" w:rsidP="00154648">
      <w:r w:rsidRPr="000967E6">
        <w:t xml:space="preserve">Details of the review criteria </w:t>
      </w:r>
      <w:r w:rsidR="00526A66" w:rsidRPr="000967E6">
        <w:t xml:space="preserve">for the use of IVIg for the treatment of MMN </w:t>
      </w:r>
      <w:r w:rsidR="000314C0" w:rsidRPr="000967E6">
        <w:t>are</w:t>
      </w:r>
      <w:r w:rsidR="00841F2D">
        <w:t xml:space="preserve"> </w:t>
      </w:r>
      <w:r w:rsidRPr="000967E6">
        <w:t xml:space="preserve">provided in Table </w:t>
      </w:r>
      <w:r w:rsidR="00C719C6">
        <w:t>6</w:t>
      </w:r>
      <w:r w:rsidRPr="000967E6">
        <w:t xml:space="preserve">. </w:t>
      </w:r>
      <w:r w:rsidR="00134427">
        <w:t>The C</w:t>
      </w:r>
      <w:r w:rsidR="009951C5" w:rsidRPr="000967E6">
        <w:t>riteria establish the use of IVIg as initial and subsequent maintenance in two different patient</w:t>
      </w:r>
      <w:r w:rsidR="009951C5">
        <w:t xml:space="preserve"> population</w:t>
      </w:r>
      <w:r w:rsidR="004E467C">
        <w:t>s</w:t>
      </w:r>
      <w:r w:rsidR="009951C5">
        <w:t>, previously untreated patients</w:t>
      </w:r>
      <w:r w:rsidR="00916757">
        <w:t xml:space="preserve"> (first indication)</w:t>
      </w:r>
      <w:r w:rsidR="009951C5">
        <w:t xml:space="preserve"> and relapsed patients</w:t>
      </w:r>
      <w:r w:rsidR="00C17B81">
        <w:rPr>
          <w:rStyle w:val="FootnoteReference"/>
        </w:rPr>
        <w:footnoteReference w:id="3"/>
      </w:r>
      <w:r w:rsidR="00916757">
        <w:t xml:space="preserve"> (second indication)</w:t>
      </w:r>
      <w:r w:rsidR="009951C5">
        <w:t xml:space="preserve">. </w:t>
      </w:r>
      <w:r w:rsidR="00841F2D">
        <w:t>Funding</w:t>
      </w:r>
      <w:r w:rsidR="004E467C">
        <w:t xml:space="preserve"> for b</w:t>
      </w:r>
      <w:r w:rsidR="009951C5">
        <w:t xml:space="preserve">oth subgroups </w:t>
      </w:r>
      <w:r w:rsidR="004E467C">
        <w:t xml:space="preserve">would include </w:t>
      </w:r>
      <w:r w:rsidR="009951C5">
        <w:t>an initial treatment phase where patients are trialled for four months before they are assessed by a neurologist as</w:t>
      </w:r>
      <w:r w:rsidR="004E467C">
        <w:t xml:space="preserve"> a</w:t>
      </w:r>
      <w:r w:rsidR="009951C5">
        <w:t xml:space="preserve"> responder or non-responder. Only responders are eligible to </w:t>
      </w:r>
      <w:r w:rsidR="004E467C">
        <w:t xml:space="preserve">access </w:t>
      </w:r>
      <w:r w:rsidR="009951C5">
        <w:t xml:space="preserve">maintenance treatment for up to 12 months. </w:t>
      </w:r>
      <w:r w:rsidRPr="00134427">
        <w:t>The Criteria</w:t>
      </w:r>
      <w:r>
        <w:t xml:space="preserve"> encourages a trial of </w:t>
      </w:r>
      <w:r w:rsidR="004E467C">
        <w:t xml:space="preserve">a </w:t>
      </w:r>
      <w:r>
        <w:t>weaning</w:t>
      </w:r>
      <w:r w:rsidR="004415BB">
        <w:t xml:space="preserve"> phase</w:t>
      </w:r>
      <w:r>
        <w:t xml:space="preserve"> leading to cessation of IV</w:t>
      </w:r>
      <w:r w:rsidR="000314C0">
        <w:t>I</w:t>
      </w:r>
      <w:r>
        <w:t xml:space="preserve">g therapy to be considered at least after 12 months </w:t>
      </w:r>
      <w:r>
        <w:lastRenderedPageBreak/>
        <w:t xml:space="preserve">of treatment for </w:t>
      </w:r>
      <w:r w:rsidR="004415BB">
        <w:t xml:space="preserve">all </w:t>
      </w:r>
      <w:r>
        <w:t xml:space="preserve">patients </w:t>
      </w:r>
      <w:r w:rsidR="004415BB">
        <w:t>who have initiated maintenance therapy (either as first line or relapsed)</w:t>
      </w:r>
      <w:r w:rsidR="00EF4EC4">
        <w:t xml:space="preserve"> </w:t>
      </w:r>
      <w:r>
        <w:t>unless</w:t>
      </w:r>
      <w:r w:rsidR="000314C0">
        <w:t xml:space="preserve"> otherwise</w:t>
      </w:r>
      <w:r>
        <w:t xml:space="preserve"> contraindicated. </w:t>
      </w:r>
      <w:r w:rsidR="002E7B1B">
        <w:t>Trial off Ig therapy is considered to test whether ‘remission’ has been achieved. Stable patients may achieve long term remission which will only be evident if trialled off Ig therapy. Gradual dose reductions may occur over a period of up to a year prior to a trial cessat</w:t>
      </w:r>
      <w:r w:rsidR="00AA2CF9">
        <w:t>ion</w:t>
      </w:r>
      <w:r w:rsidR="002E7B1B">
        <w:t xml:space="preserve">. </w:t>
      </w:r>
      <w:r>
        <w:t xml:space="preserve">Despite </w:t>
      </w:r>
      <w:r w:rsidR="004415BB" w:rsidRPr="00134427">
        <w:t>The Criteria’s</w:t>
      </w:r>
      <w:r w:rsidR="004415BB">
        <w:t xml:space="preserve"> approach</w:t>
      </w:r>
      <w:r>
        <w:t xml:space="preserve"> to control leakage, the </w:t>
      </w:r>
      <w:r w:rsidR="003125EA">
        <w:t>draft</w:t>
      </w:r>
      <w:r>
        <w:t xml:space="preserve"> Referral noted dosing as another</w:t>
      </w:r>
      <w:r w:rsidR="000314C0">
        <w:t xml:space="preserve"> factor with a potential </w:t>
      </w:r>
      <w:r>
        <w:t xml:space="preserve">risk of leakage for consideration. </w:t>
      </w:r>
    </w:p>
    <w:p w14:paraId="0421796D" w14:textId="78568C6B" w:rsidR="00E5089D" w:rsidRPr="00FD7C24" w:rsidRDefault="00E5089D" w:rsidP="00E5089D">
      <w:pPr>
        <w:keepNext/>
        <w:spacing w:after="0" w:line="240" w:lineRule="auto"/>
        <w:rPr>
          <w:b/>
          <w:sz w:val="20"/>
          <w:szCs w:val="20"/>
        </w:rPr>
      </w:pPr>
      <w:r w:rsidRPr="00FD7C24">
        <w:rPr>
          <w:b/>
          <w:sz w:val="20"/>
          <w:szCs w:val="20"/>
        </w:rPr>
        <w:t xml:space="preserve">Table </w:t>
      </w:r>
      <w:r w:rsidR="00C719C6" w:rsidRPr="00FD7C24">
        <w:rPr>
          <w:b/>
          <w:sz w:val="20"/>
          <w:szCs w:val="20"/>
        </w:rPr>
        <w:t>6</w:t>
      </w:r>
      <w:r w:rsidRPr="00FD7C24">
        <w:rPr>
          <w:b/>
          <w:sz w:val="20"/>
          <w:szCs w:val="20"/>
        </w:rPr>
        <w:t>: Review criteria for assessing the effectiveness of IV</w:t>
      </w:r>
      <w:r w:rsidR="00FD7C24">
        <w:rPr>
          <w:b/>
          <w:sz w:val="20"/>
          <w:szCs w:val="20"/>
        </w:rPr>
        <w:t>I</w:t>
      </w:r>
      <w:r w:rsidRPr="00FD7C24">
        <w:rPr>
          <w:b/>
          <w:sz w:val="20"/>
          <w:szCs w:val="20"/>
        </w:rPr>
        <w:t>g therapy use in MMN</w:t>
      </w:r>
      <w:r w:rsidR="009951C5" w:rsidRPr="00FD7C24">
        <w:rPr>
          <w:b/>
          <w:sz w:val="20"/>
          <w:szCs w:val="20"/>
        </w:rPr>
        <w:t xml:space="preserve"> as established in Version 3 of the ‘Criteria for Clinical Use of Immunoglobulin in Australia’</w:t>
      </w:r>
    </w:p>
    <w:tbl>
      <w:tblPr>
        <w:tblStyle w:val="TableGrid"/>
        <w:tblW w:w="0" w:type="auto"/>
        <w:tblLook w:val="04A0" w:firstRow="1" w:lastRow="0" w:firstColumn="1" w:lastColumn="0" w:noHBand="0" w:noVBand="1"/>
        <w:tblCaption w:val="Table 6: Review criteria for assessing the effectiveness of IVIg therapy use in MMN as established in Version 3 of the ‘Criteria for Clinical Use of Immunoglobulin in Australia’"/>
      </w:tblPr>
      <w:tblGrid>
        <w:gridCol w:w="1980"/>
        <w:gridCol w:w="7036"/>
      </w:tblGrid>
      <w:tr w:rsidR="00E5089D" w:rsidRPr="001B3EE2" w14:paraId="5CB7B4D7" w14:textId="77777777" w:rsidTr="001B3EE2">
        <w:trPr>
          <w:tblHeader/>
        </w:trPr>
        <w:tc>
          <w:tcPr>
            <w:tcW w:w="1980" w:type="dxa"/>
            <w:vAlign w:val="center"/>
          </w:tcPr>
          <w:p w14:paraId="133C04E5" w14:textId="77777777" w:rsidR="00E5089D" w:rsidRPr="001B3EE2" w:rsidRDefault="00E5089D" w:rsidP="002E4F05">
            <w:pPr>
              <w:spacing w:after="0"/>
              <w:jc w:val="left"/>
              <w:rPr>
                <w:rFonts w:asciiTheme="minorHAnsi" w:hAnsiTheme="minorHAnsi" w:cstheme="minorHAnsi"/>
                <w:b/>
                <w:sz w:val="20"/>
              </w:rPr>
            </w:pPr>
            <w:r w:rsidRPr="001B3EE2">
              <w:rPr>
                <w:rFonts w:asciiTheme="minorHAnsi" w:hAnsiTheme="minorHAnsi" w:cstheme="minorHAnsi"/>
                <w:b/>
                <w:sz w:val="20"/>
              </w:rPr>
              <w:t xml:space="preserve">Indication </w:t>
            </w:r>
          </w:p>
        </w:tc>
        <w:tc>
          <w:tcPr>
            <w:tcW w:w="7036" w:type="dxa"/>
            <w:vAlign w:val="center"/>
          </w:tcPr>
          <w:p w14:paraId="009484CF" w14:textId="77777777" w:rsidR="00E5089D" w:rsidRPr="001B3EE2" w:rsidRDefault="00E5089D" w:rsidP="002E4F05">
            <w:pPr>
              <w:spacing w:after="0"/>
              <w:jc w:val="left"/>
              <w:rPr>
                <w:rFonts w:asciiTheme="minorHAnsi" w:hAnsiTheme="minorHAnsi" w:cstheme="minorHAnsi"/>
                <w:b/>
                <w:sz w:val="20"/>
              </w:rPr>
            </w:pPr>
            <w:r w:rsidRPr="001B3EE2">
              <w:rPr>
                <w:rFonts w:asciiTheme="minorHAnsi" w:hAnsiTheme="minorHAnsi" w:cstheme="minorHAnsi"/>
                <w:b/>
                <w:sz w:val="20"/>
              </w:rPr>
              <w:t>Review criteria</w:t>
            </w:r>
          </w:p>
        </w:tc>
      </w:tr>
      <w:tr w:rsidR="00E5089D" w:rsidRPr="001B3EE2" w14:paraId="194E64EF" w14:textId="77777777" w:rsidTr="001B3EE2">
        <w:tc>
          <w:tcPr>
            <w:tcW w:w="1980" w:type="dxa"/>
            <w:vAlign w:val="center"/>
          </w:tcPr>
          <w:p w14:paraId="0EA18C6D" w14:textId="0FC89ACF" w:rsidR="00E5089D" w:rsidRPr="001B3EE2" w:rsidRDefault="00E5089D" w:rsidP="002E4F05">
            <w:pPr>
              <w:spacing w:after="0"/>
              <w:jc w:val="left"/>
              <w:rPr>
                <w:rFonts w:asciiTheme="minorHAnsi" w:hAnsiTheme="minorHAnsi" w:cstheme="minorHAnsi"/>
                <w:sz w:val="20"/>
              </w:rPr>
            </w:pPr>
            <w:r w:rsidRPr="001B3EE2">
              <w:rPr>
                <w:rFonts w:asciiTheme="minorHAnsi" w:hAnsiTheme="minorHAnsi" w:cstheme="minorHAnsi"/>
                <w:sz w:val="20"/>
              </w:rPr>
              <w:t>First-line and</w:t>
            </w:r>
            <w:r w:rsidR="001C4900" w:rsidRPr="001B3EE2">
              <w:rPr>
                <w:rFonts w:asciiTheme="minorHAnsi" w:hAnsiTheme="minorHAnsi" w:cstheme="minorHAnsi"/>
                <w:sz w:val="20"/>
              </w:rPr>
              <w:t xml:space="preserve"> subsequent</w:t>
            </w:r>
            <w:r w:rsidRPr="001B3EE2">
              <w:rPr>
                <w:rFonts w:asciiTheme="minorHAnsi" w:hAnsiTheme="minorHAnsi" w:cstheme="minorHAnsi"/>
                <w:sz w:val="20"/>
              </w:rPr>
              <w:t xml:space="preserve"> maintenance therapy for MMN</w:t>
            </w:r>
          </w:p>
        </w:tc>
        <w:tc>
          <w:tcPr>
            <w:tcW w:w="7036" w:type="dxa"/>
            <w:vAlign w:val="center"/>
          </w:tcPr>
          <w:p w14:paraId="6694FB40" w14:textId="77777777" w:rsidR="00E5089D" w:rsidRPr="001B3EE2" w:rsidRDefault="00E5089D" w:rsidP="002E4F05">
            <w:pPr>
              <w:spacing w:after="0"/>
              <w:jc w:val="left"/>
              <w:rPr>
                <w:rFonts w:asciiTheme="minorHAnsi" w:hAnsiTheme="minorHAnsi" w:cstheme="minorHAnsi"/>
                <w:b/>
                <w:sz w:val="20"/>
                <w:u w:val="single"/>
              </w:rPr>
            </w:pPr>
            <w:r w:rsidRPr="001B3EE2">
              <w:rPr>
                <w:rFonts w:asciiTheme="minorHAnsi" w:hAnsiTheme="minorHAnsi" w:cstheme="minorHAnsi"/>
                <w:b/>
                <w:sz w:val="20"/>
                <w:u w:val="single"/>
              </w:rPr>
              <w:t>Initial treatment</w:t>
            </w:r>
          </w:p>
          <w:p w14:paraId="7C77B54A" w14:textId="347CA102" w:rsidR="00E5089D" w:rsidRPr="001B3EE2" w:rsidRDefault="00E5089D" w:rsidP="002E4F05">
            <w:pPr>
              <w:spacing w:after="0"/>
              <w:jc w:val="left"/>
              <w:rPr>
                <w:rFonts w:asciiTheme="minorHAnsi" w:hAnsiTheme="minorHAnsi" w:cstheme="minorHAnsi"/>
                <w:sz w:val="20"/>
              </w:rPr>
            </w:pPr>
            <w:r w:rsidRPr="001B3EE2">
              <w:rPr>
                <w:rFonts w:asciiTheme="minorHAnsi" w:hAnsiTheme="minorHAnsi" w:cstheme="minorHAnsi"/>
                <w:sz w:val="20"/>
              </w:rPr>
              <w:t xml:space="preserve">Upon establishing diagnosis, IVIg should be used for a maximum of four months (induction plus three maintenance cycles) before determining whether the patient has responded. If there is no benefit after this treatment, IVIg therapy should be </w:t>
            </w:r>
            <w:r w:rsidR="009951C5" w:rsidRPr="001B3EE2">
              <w:rPr>
                <w:rFonts w:asciiTheme="minorHAnsi" w:hAnsiTheme="minorHAnsi" w:cstheme="minorHAnsi"/>
                <w:sz w:val="20"/>
              </w:rPr>
              <w:t>discontinued</w:t>
            </w:r>
            <w:r w:rsidRPr="001B3EE2">
              <w:rPr>
                <w:rFonts w:asciiTheme="minorHAnsi" w:hAnsiTheme="minorHAnsi" w:cstheme="minorHAnsi"/>
                <w:sz w:val="20"/>
              </w:rPr>
              <w:t>.</w:t>
            </w:r>
          </w:p>
          <w:p w14:paraId="1772DF6E" w14:textId="77777777" w:rsidR="00E5089D" w:rsidRPr="001B3EE2" w:rsidRDefault="00E5089D" w:rsidP="002E4F05">
            <w:pPr>
              <w:spacing w:after="0"/>
              <w:jc w:val="left"/>
              <w:rPr>
                <w:rFonts w:asciiTheme="minorHAnsi" w:hAnsiTheme="minorHAnsi" w:cstheme="minorHAnsi"/>
                <w:sz w:val="20"/>
              </w:rPr>
            </w:pPr>
          </w:p>
          <w:p w14:paraId="72D4EC90" w14:textId="1DEC3941" w:rsidR="00FE2709" w:rsidRDefault="00E5089D" w:rsidP="00FE2709">
            <w:pPr>
              <w:spacing w:after="0"/>
              <w:jc w:val="left"/>
              <w:rPr>
                <w:rFonts w:asciiTheme="minorHAnsi" w:hAnsiTheme="minorHAnsi" w:cstheme="minorHAnsi"/>
                <w:sz w:val="20"/>
              </w:rPr>
            </w:pPr>
            <w:r w:rsidRPr="00FE2709">
              <w:rPr>
                <w:rFonts w:asciiTheme="minorHAnsi" w:hAnsiTheme="minorHAnsi" w:cstheme="minorHAnsi"/>
                <w:sz w:val="20"/>
              </w:rPr>
              <w:t>Review by a neurologist is required within four months of treatment and annually thereafter. Documentation of clinical efficacy is necessary for continuation of IVIg therapy.</w:t>
            </w:r>
            <w:r w:rsidR="00FE2709" w:rsidRPr="001B3EE2">
              <w:rPr>
                <w:rFonts w:asciiTheme="minorHAnsi" w:hAnsiTheme="minorHAnsi" w:cstheme="minorHAnsi"/>
                <w:sz w:val="20"/>
              </w:rPr>
              <w:t xml:space="preserve"> </w:t>
            </w:r>
          </w:p>
          <w:p w14:paraId="399282B6" w14:textId="77777777" w:rsidR="00FE2709" w:rsidRPr="00FE2709" w:rsidRDefault="00FE2709" w:rsidP="00FE2709">
            <w:pPr>
              <w:spacing w:after="0"/>
              <w:jc w:val="left"/>
              <w:rPr>
                <w:rFonts w:asciiTheme="minorHAnsi" w:hAnsiTheme="minorHAnsi" w:cstheme="minorHAnsi"/>
                <w:sz w:val="20"/>
              </w:rPr>
            </w:pPr>
          </w:p>
          <w:p w14:paraId="714EB80C" w14:textId="3856AE2C" w:rsidR="00FE2709" w:rsidRPr="00134427" w:rsidRDefault="00FE2709" w:rsidP="00134427">
            <w:pPr>
              <w:spacing w:after="0"/>
              <w:jc w:val="left"/>
              <w:rPr>
                <w:rFonts w:asciiTheme="minorHAnsi" w:hAnsiTheme="minorHAnsi" w:cstheme="minorHAnsi"/>
                <w:b/>
                <w:sz w:val="20"/>
                <w:u w:val="single"/>
              </w:rPr>
            </w:pPr>
            <w:r w:rsidRPr="00134427">
              <w:rPr>
                <w:rFonts w:asciiTheme="minorHAnsi" w:hAnsiTheme="minorHAnsi" w:cstheme="minorHAnsi"/>
                <w:b/>
                <w:sz w:val="20"/>
                <w:u w:val="single"/>
              </w:rPr>
              <w:t>On review of an initial authorisation period</w:t>
            </w:r>
            <w:r w:rsidR="00E5089D" w:rsidRPr="00134427">
              <w:rPr>
                <w:rFonts w:asciiTheme="minorHAnsi" w:hAnsiTheme="minorHAnsi" w:cstheme="minorHAnsi"/>
                <w:sz w:val="20"/>
              </w:rPr>
              <w:t xml:space="preserve"> </w:t>
            </w:r>
          </w:p>
          <w:p w14:paraId="7513D191" w14:textId="77777777" w:rsidR="00FE2709" w:rsidRPr="001B3EE2" w:rsidRDefault="00FE2709" w:rsidP="00FE2709">
            <w:pPr>
              <w:spacing w:after="0"/>
              <w:jc w:val="left"/>
              <w:rPr>
                <w:rFonts w:asciiTheme="minorHAnsi" w:hAnsiTheme="minorHAnsi" w:cstheme="minorHAnsi"/>
                <w:sz w:val="20"/>
              </w:rPr>
            </w:pPr>
            <w:r w:rsidRPr="001B3EE2">
              <w:rPr>
                <w:rFonts w:asciiTheme="minorHAnsi" w:hAnsiTheme="minorHAnsi" w:cstheme="minorHAnsi"/>
                <w:sz w:val="20"/>
              </w:rPr>
              <w:t>Clinical effectiveness of IVIg therapy will be demonstrated by:</w:t>
            </w:r>
          </w:p>
          <w:p w14:paraId="145B9440" w14:textId="77777777" w:rsidR="00FE2709" w:rsidRPr="001B3EE2" w:rsidRDefault="00FE2709" w:rsidP="00FE2709">
            <w:pPr>
              <w:pStyle w:val="ListParagraph"/>
              <w:numPr>
                <w:ilvl w:val="0"/>
                <w:numId w:val="30"/>
              </w:numPr>
              <w:spacing w:after="0"/>
              <w:jc w:val="left"/>
              <w:rPr>
                <w:rFonts w:asciiTheme="minorHAnsi" w:hAnsiTheme="minorHAnsi" w:cstheme="minorHAnsi"/>
                <w:sz w:val="20"/>
              </w:rPr>
            </w:pPr>
            <w:r w:rsidRPr="001B3EE2">
              <w:rPr>
                <w:rFonts w:asciiTheme="minorHAnsi" w:hAnsiTheme="minorHAnsi" w:cstheme="minorHAnsi"/>
                <w:sz w:val="20"/>
              </w:rPr>
              <w:t>Improvement in focal weakness in previously weak (but not end-stage) muscles;</w:t>
            </w:r>
          </w:p>
          <w:p w14:paraId="1853165F" w14:textId="77777777" w:rsidR="00FE2709" w:rsidRPr="00E9264A" w:rsidRDefault="00FE2709" w:rsidP="00FE2709">
            <w:pPr>
              <w:spacing w:after="0"/>
              <w:ind w:left="1080" w:hanging="360"/>
              <w:jc w:val="left"/>
              <w:rPr>
                <w:rFonts w:asciiTheme="minorHAnsi" w:hAnsiTheme="minorHAnsi" w:cstheme="minorHAnsi"/>
                <w:b/>
                <w:sz w:val="20"/>
              </w:rPr>
            </w:pPr>
            <w:r w:rsidRPr="00E9264A">
              <w:rPr>
                <w:rFonts w:asciiTheme="minorHAnsi" w:hAnsiTheme="minorHAnsi" w:cstheme="minorHAnsi"/>
                <w:b/>
                <w:sz w:val="20"/>
              </w:rPr>
              <w:t>AND</w:t>
            </w:r>
          </w:p>
          <w:p w14:paraId="468DFA0D" w14:textId="77777777" w:rsidR="00FE2709" w:rsidRPr="001B3EE2" w:rsidRDefault="00FE2709" w:rsidP="00FE2709">
            <w:pPr>
              <w:pStyle w:val="ListParagraph"/>
              <w:numPr>
                <w:ilvl w:val="0"/>
                <w:numId w:val="31"/>
              </w:numPr>
              <w:spacing w:after="0"/>
              <w:jc w:val="left"/>
              <w:rPr>
                <w:rFonts w:asciiTheme="minorHAnsi" w:hAnsiTheme="minorHAnsi" w:cstheme="minorHAnsi"/>
                <w:sz w:val="20"/>
              </w:rPr>
            </w:pPr>
            <w:r w:rsidRPr="001B3EE2">
              <w:rPr>
                <w:rFonts w:asciiTheme="minorHAnsi" w:hAnsiTheme="minorHAnsi" w:cstheme="minorHAnsi"/>
                <w:sz w:val="20"/>
              </w:rPr>
              <w:t xml:space="preserve">Improvement in the level of disability as measured by the adjusted ONLS of at least one point less than the qualifying score. </w:t>
            </w:r>
          </w:p>
          <w:p w14:paraId="2D1C0642" w14:textId="77777777" w:rsidR="004E467C" w:rsidRPr="001B3EE2" w:rsidRDefault="004E467C" w:rsidP="002E4F05">
            <w:pPr>
              <w:spacing w:after="0"/>
              <w:jc w:val="left"/>
              <w:rPr>
                <w:rFonts w:asciiTheme="minorHAnsi" w:hAnsiTheme="minorHAnsi" w:cstheme="minorHAnsi"/>
                <w:sz w:val="20"/>
              </w:rPr>
            </w:pPr>
          </w:p>
          <w:p w14:paraId="26EF5E60" w14:textId="3381E039" w:rsidR="00EF4EC4" w:rsidRPr="00134427" w:rsidRDefault="00FE2709" w:rsidP="002E4F05">
            <w:pPr>
              <w:spacing w:after="0"/>
              <w:jc w:val="left"/>
              <w:rPr>
                <w:rFonts w:asciiTheme="minorHAnsi" w:hAnsiTheme="minorHAnsi" w:cstheme="minorHAnsi"/>
                <w:b/>
                <w:sz w:val="20"/>
                <w:u w:val="single"/>
              </w:rPr>
            </w:pPr>
            <w:r>
              <w:rPr>
                <w:rFonts w:asciiTheme="minorHAnsi" w:hAnsiTheme="minorHAnsi" w:cstheme="minorHAnsi"/>
                <w:b/>
                <w:sz w:val="20"/>
                <w:u w:val="single"/>
              </w:rPr>
              <w:t xml:space="preserve">On review of a </w:t>
            </w:r>
            <w:r w:rsidR="00134427">
              <w:rPr>
                <w:rFonts w:asciiTheme="minorHAnsi" w:hAnsiTheme="minorHAnsi" w:cstheme="minorHAnsi"/>
                <w:b/>
                <w:sz w:val="20"/>
                <w:u w:val="single"/>
              </w:rPr>
              <w:t>continuing authorisation period</w:t>
            </w:r>
          </w:p>
          <w:p w14:paraId="6374F3C0" w14:textId="66002D68" w:rsidR="00E5089D" w:rsidRPr="001B3EE2" w:rsidRDefault="0009767A" w:rsidP="002E4F05">
            <w:pPr>
              <w:spacing w:after="0"/>
              <w:jc w:val="left"/>
              <w:rPr>
                <w:rFonts w:asciiTheme="minorHAnsi" w:hAnsiTheme="minorHAnsi" w:cstheme="minorHAnsi"/>
                <w:sz w:val="20"/>
              </w:rPr>
            </w:pPr>
            <w:r w:rsidRPr="001B3EE2">
              <w:rPr>
                <w:rFonts w:asciiTheme="minorHAnsi" w:hAnsiTheme="minorHAnsi" w:cstheme="minorHAnsi"/>
                <w:sz w:val="20"/>
              </w:rPr>
              <w:t>After a period of IVIg treatment of no more than 12 months, all patients need to be assessed for</w:t>
            </w:r>
            <w:r w:rsidR="00E5089D" w:rsidRPr="001B3EE2">
              <w:rPr>
                <w:rFonts w:asciiTheme="minorHAnsi" w:hAnsiTheme="minorHAnsi" w:cstheme="minorHAnsi"/>
                <w:sz w:val="20"/>
              </w:rPr>
              <w:t xml:space="preserve"> </w:t>
            </w:r>
            <w:r w:rsidRPr="001B3EE2">
              <w:rPr>
                <w:rFonts w:asciiTheme="minorHAnsi" w:hAnsiTheme="minorHAnsi" w:cstheme="minorHAnsi"/>
                <w:sz w:val="20"/>
              </w:rPr>
              <w:t xml:space="preserve">clinical effectiveness and may be eligible for </w:t>
            </w:r>
            <w:r w:rsidR="00E5089D" w:rsidRPr="001B3EE2">
              <w:rPr>
                <w:rFonts w:asciiTheme="minorHAnsi" w:hAnsiTheme="minorHAnsi" w:cstheme="minorHAnsi"/>
                <w:sz w:val="20"/>
              </w:rPr>
              <w:t xml:space="preserve">continuing </w:t>
            </w:r>
            <w:r w:rsidR="004415BB" w:rsidRPr="001B3EE2">
              <w:rPr>
                <w:rFonts w:asciiTheme="minorHAnsi" w:hAnsiTheme="minorHAnsi" w:cstheme="minorHAnsi"/>
                <w:sz w:val="20"/>
              </w:rPr>
              <w:t xml:space="preserve">maintenance </w:t>
            </w:r>
            <w:r w:rsidRPr="001B3EE2">
              <w:rPr>
                <w:rFonts w:asciiTheme="minorHAnsi" w:hAnsiTheme="minorHAnsi" w:cstheme="minorHAnsi"/>
                <w:sz w:val="20"/>
              </w:rPr>
              <w:t xml:space="preserve">if they </w:t>
            </w:r>
            <w:r w:rsidR="00E5089D" w:rsidRPr="001B3EE2">
              <w:rPr>
                <w:rFonts w:asciiTheme="minorHAnsi" w:hAnsiTheme="minorHAnsi" w:cstheme="minorHAnsi"/>
                <w:sz w:val="20"/>
              </w:rPr>
              <w:t>demonstrated</w:t>
            </w:r>
            <w:r w:rsidRPr="001B3EE2">
              <w:rPr>
                <w:rFonts w:asciiTheme="minorHAnsi" w:hAnsiTheme="minorHAnsi" w:cstheme="minorHAnsi"/>
                <w:sz w:val="20"/>
              </w:rPr>
              <w:t xml:space="preserve"> clinical improvement measured as</w:t>
            </w:r>
            <w:r w:rsidR="00E5089D" w:rsidRPr="001B3EE2">
              <w:rPr>
                <w:rFonts w:asciiTheme="minorHAnsi" w:hAnsiTheme="minorHAnsi" w:cstheme="minorHAnsi"/>
                <w:sz w:val="20"/>
              </w:rPr>
              <w:t>:</w:t>
            </w:r>
          </w:p>
          <w:p w14:paraId="18B7F6C7" w14:textId="77777777" w:rsidR="00E5089D" w:rsidRPr="001B3EE2" w:rsidRDefault="00E5089D" w:rsidP="00E9264A">
            <w:pPr>
              <w:pStyle w:val="ListParagraph"/>
              <w:numPr>
                <w:ilvl w:val="0"/>
                <w:numId w:val="32"/>
              </w:numPr>
              <w:spacing w:after="0"/>
              <w:jc w:val="left"/>
              <w:rPr>
                <w:rFonts w:asciiTheme="minorHAnsi" w:hAnsiTheme="minorHAnsi" w:cstheme="minorHAnsi"/>
                <w:sz w:val="20"/>
              </w:rPr>
            </w:pPr>
            <w:r w:rsidRPr="001B3EE2">
              <w:rPr>
                <w:rFonts w:asciiTheme="minorHAnsi" w:hAnsiTheme="minorHAnsi" w:cstheme="minorHAnsi"/>
                <w:sz w:val="20"/>
              </w:rPr>
              <w:t>Improvement in or stabilisation of weakness after previous evidence of deterioration in motor strength. It is acknowledged that very slow deterioration may occur over several years in stable patients</w:t>
            </w:r>
          </w:p>
          <w:p w14:paraId="6482E497" w14:textId="77777777" w:rsidR="00E5089D" w:rsidRPr="00E9264A" w:rsidRDefault="00E5089D" w:rsidP="00E9264A">
            <w:pPr>
              <w:spacing w:after="0"/>
              <w:ind w:left="1080" w:hanging="360"/>
              <w:jc w:val="left"/>
              <w:rPr>
                <w:rFonts w:asciiTheme="minorHAnsi" w:hAnsiTheme="minorHAnsi" w:cstheme="minorHAnsi"/>
                <w:b/>
                <w:sz w:val="20"/>
              </w:rPr>
            </w:pPr>
            <w:r w:rsidRPr="00E9264A">
              <w:rPr>
                <w:rFonts w:asciiTheme="minorHAnsi" w:hAnsiTheme="minorHAnsi" w:cstheme="minorHAnsi"/>
                <w:b/>
                <w:sz w:val="20"/>
              </w:rPr>
              <w:t>AND</w:t>
            </w:r>
          </w:p>
          <w:p w14:paraId="0C886CD2" w14:textId="6BB71552" w:rsidR="00E5089D" w:rsidRPr="001B3EE2" w:rsidRDefault="00E5089D" w:rsidP="00E9264A">
            <w:pPr>
              <w:pStyle w:val="ListParagraph"/>
              <w:numPr>
                <w:ilvl w:val="0"/>
                <w:numId w:val="33"/>
              </w:numPr>
              <w:spacing w:after="0"/>
              <w:jc w:val="left"/>
              <w:rPr>
                <w:rFonts w:asciiTheme="minorHAnsi" w:hAnsiTheme="minorHAnsi" w:cstheme="minorHAnsi"/>
                <w:sz w:val="20"/>
              </w:rPr>
            </w:pPr>
            <w:r w:rsidRPr="001B3EE2">
              <w:rPr>
                <w:rFonts w:asciiTheme="minorHAnsi" w:hAnsiTheme="minorHAnsi" w:cstheme="minorHAnsi"/>
                <w:sz w:val="20"/>
              </w:rPr>
              <w:t xml:space="preserve">Improvement in or stabilisation of disability as measured by the </w:t>
            </w:r>
            <w:r w:rsidR="0009767A" w:rsidRPr="001B3EE2">
              <w:rPr>
                <w:rFonts w:asciiTheme="minorHAnsi" w:hAnsiTheme="minorHAnsi" w:cstheme="minorHAnsi"/>
                <w:sz w:val="20"/>
              </w:rPr>
              <w:t>a</w:t>
            </w:r>
            <w:r w:rsidRPr="001B3EE2">
              <w:rPr>
                <w:rFonts w:asciiTheme="minorHAnsi" w:hAnsiTheme="minorHAnsi" w:cstheme="minorHAnsi"/>
                <w:sz w:val="20"/>
              </w:rPr>
              <w:t xml:space="preserve">djusted ONLS score compared to the previous review score </w:t>
            </w:r>
            <w:r w:rsidR="006B20E1" w:rsidRPr="001B3EE2">
              <w:rPr>
                <w:rFonts w:asciiTheme="minorHAnsi" w:hAnsiTheme="minorHAnsi" w:cstheme="minorHAnsi"/>
                <w:sz w:val="20"/>
              </w:rPr>
              <w:t>(gradual deterioration of one point over several years is acceptable);</w:t>
            </w:r>
          </w:p>
          <w:p w14:paraId="68C36058" w14:textId="77777777" w:rsidR="00E5089D" w:rsidRPr="00E9264A" w:rsidRDefault="00E5089D" w:rsidP="00E9264A">
            <w:pPr>
              <w:spacing w:after="0"/>
              <w:ind w:left="1080" w:hanging="360"/>
              <w:jc w:val="left"/>
              <w:rPr>
                <w:rFonts w:asciiTheme="minorHAnsi" w:hAnsiTheme="minorHAnsi" w:cstheme="minorHAnsi"/>
                <w:b/>
                <w:sz w:val="20"/>
              </w:rPr>
            </w:pPr>
            <w:r w:rsidRPr="00E9264A">
              <w:rPr>
                <w:rFonts w:asciiTheme="minorHAnsi" w:hAnsiTheme="minorHAnsi" w:cstheme="minorHAnsi"/>
                <w:b/>
                <w:sz w:val="20"/>
              </w:rPr>
              <w:t>AND</w:t>
            </w:r>
          </w:p>
          <w:p w14:paraId="2A5408AE" w14:textId="2244CF62" w:rsidR="00E5089D" w:rsidRPr="001B3EE2" w:rsidRDefault="00EF4EC4" w:rsidP="002E4F05">
            <w:pPr>
              <w:pStyle w:val="ListParagraph"/>
              <w:numPr>
                <w:ilvl w:val="0"/>
                <w:numId w:val="24"/>
              </w:numPr>
              <w:spacing w:after="0"/>
              <w:jc w:val="left"/>
              <w:rPr>
                <w:rFonts w:asciiTheme="minorHAnsi" w:hAnsiTheme="minorHAnsi" w:cstheme="minorHAnsi"/>
                <w:sz w:val="20"/>
              </w:rPr>
            </w:pPr>
            <w:r w:rsidRPr="001B3EE2">
              <w:rPr>
                <w:rFonts w:asciiTheme="minorHAnsi" w:hAnsiTheme="minorHAnsi" w:cstheme="minorHAnsi"/>
                <w:sz w:val="20"/>
              </w:rPr>
              <w:t xml:space="preserve">A trial of weaning/cessation of IVIg therapy is </w:t>
            </w:r>
            <w:r w:rsidR="005E2222">
              <w:rPr>
                <w:rFonts w:asciiTheme="minorHAnsi" w:hAnsiTheme="minorHAnsi" w:cstheme="minorHAnsi"/>
                <w:sz w:val="20"/>
              </w:rPr>
              <w:t>planned</w:t>
            </w:r>
            <w:r w:rsidRPr="001B3EE2">
              <w:rPr>
                <w:rFonts w:asciiTheme="minorHAnsi" w:hAnsiTheme="minorHAnsi" w:cstheme="minorHAnsi"/>
                <w:sz w:val="20"/>
              </w:rPr>
              <w:t xml:space="preserve"> for patients who are clinically stable to identify those in remission or a reason provided as to why a trial is not being planned</w:t>
            </w:r>
            <w:r w:rsidR="00E5089D" w:rsidRPr="001B3EE2">
              <w:rPr>
                <w:rFonts w:asciiTheme="minorHAnsi" w:hAnsiTheme="minorHAnsi" w:cstheme="minorHAnsi"/>
                <w:sz w:val="20"/>
              </w:rPr>
              <w:t>.</w:t>
            </w:r>
          </w:p>
          <w:p w14:paraId="2625F5AB" w14:textId="3ECB9A36" w:rsidR="00E5089D" w:rsidRPr="001B3EE2" w:rsidRDefault="00E5089D" w:rsidP="002E4F05">
            <w:pPr>
              <w:spacing w:after="0"/>
              <w:jc w:val="left"/>
              <w:rPr>
                <w:rFonts w:asciiTheme="minorHAnsi" w:hAnsiTheme="minorHAnsi" w:cstheme="minorHAnsi"/>
                <w:sz w:val="20"/>
              </w:rPr>
            </w:pPr>
            <w:r w:rsidRPr="001B3EE2">
              <w:rPr>
                <w:rFonts w:asciiTheme="minorHAnsi" w:hAnsiTheme="minorHAnsi" w:cstheme="minorHAnsi"/>
                <w:sz w:val="20"/>
              </w:rPr>
              <w:t>For patients in remission on maintenance therapy, a trial of weaning leading to cessation should be considered. If the patient relapses</w:t>
            </w:r>
            <w:r w:rsidR="0063405B" w:rsidRPr="001B3EE2">
              <w:rPr>
                <w:rFonts w:asciiTheme="minorHAnsi" w:hAnsiTheme="minorHAnsi" w:cstheme="minorHAnsi"/>
                <w:sz w:val="20"/>
              </w:rPr>
              <w:t xml:space="preserve"> within six months</w:t>
            </w:r>
            <w:r w:rsidRPr="001B3EE2">
              <w:rPr>
                <w:rFonts w:asciiTheme="minorHAnsi" w:hAnsiTheme="minorHAnsi" w:cstheme="minorHAnsi"/>
                <w:sz w:val="20"/>
              </w:rPr>
              <w:t>, they may be eligible for further Ig therapy under the indication</w:t>
            </w:r>
            <w:r w:rsidRPr="001B3EE2">
              <w:rPr>
                <w:rFonts w:asciiTheme="minorHAnsi" w:hAnsiTheme="minorHAnsi" w:cstheme="minorHAnsi"/>
                <w:i/>
                <w:sz w:val="20"/>
              </w:rPr>
              <w:t xml:space="preserve"> </w:t>
            </w:r>
            <w:r w:rsidR="004415BB" w:rsidRPr="001B3EE2">
              <w:rPr>
                <w:rFonts w:asciiTheme="minorHAnsi" w:hAnsiTheme="minorHAnsi" w:cstheme="minorHAnsi"/>
                <w:i/>
                <w:sz w:val="20"/>
              </w:rPr>
              <w:t>‘</w:t>
            </w:r>
            <w:r w:rsidRPr="001B3EE2">
              <w:rPr>
                <w:rFonts w:asciiTheme="minorHAnsi" w:hAnsiTheme="minorHAnsi" w:cstheme="minorHAnsi"/>
                <w:bCs/>
                <w:i/>
                <w:sz w:val="20"/>
              </w:rPr>
              <w:t xml:space="preserve">Relapse of MMN patients within six months of commencement of a </w:t>
            </w:r>
            <w:r w:rsidR="00076F7A">
              <w:rPr>
                <w:rFonts w:asciiTheme="minorHAnsi" w:hAnsiTheme="minorHAnsi" w:cstheme="minorHAnsi"/>
                <w:bCs/>
                <w:i/>
                <w:sz w:val="20"/>
              </w:rPr>
              <w:t>trial</w:t>
            </w:r>
            <w:r w:rsidR="00076F7A" w:rsidRPr="001B3EE2">
              <w:rPr>
                <w:rFonts w:asciiTheme="minorHAnsi" w:hAnsiTheme="minorHAnsi" w:cstheme="minorHAnsi"/>
                <w:bCs/>
                <w:i/>
                <w:sz w:val="20"/>
              </w:rPr>
              <w:t xml:space="preserve"> </w:t>
            </w:r>
            <w:r w:rsidRPr="001B3EE2">
              <w:rPr>
                <w:rFonts w:asciiTheme="minorHAnsi" w:hAnsiTheme="minorHAnsi" w:cstheme="minorHAnsi"/>
                <w:bCs/>
                <w:i/>
                <w:sz w:val="20"/>
              </w:rPr>
              <w:t>off Ig therapy</w:t>
            </w:r>
            <w:r w:rsidR="004415BB" w:rsidRPr="001B3EE2">
              <w:rPr>
                <w:rFonts w:asciiTheme="minorHAnsi" w:hAnsiTheme="minorHAnsi" w:cstheme="minorHAnsi"/>
                <w:bCs/>
                <w:i/>
                <w:sz w:val="20"/>
              </w:rPr>
              <w:t>’</w:t>
            </w:r>
            <w:r w:rsidRPr="001B3EE2">
              <w:rPr>
                <w:rFonts w:asciiTheme="minorHAnsi" w:hAnsiTheme="minorHAnsi" w:cstheme="minorHAnsi"/>
                <w:sz w:val="20"/>
              </w:rPr>
              <w:t xml:space="preserve">. </w:t>
            </w:r>
            <w:r w:rsidR="005E2222">
              <w:rPr>
                <w:rFonts w:asciiTheme="minorHAnsi" w:hAnsiTheme="minorHAnsi" w:cstheme="minorHAnsi"/>
                <w:sz w:val="20"/>
              </w:rPr>
              <w:t xml:space="preserve">A subsequent trial of weaning leading to cessation might be considered after a further two years of Ig therapy. </w:t>
            </w:r>
          </w:p>
        </w:tc>
      </w:tr>
      <w:tr w:rsidR="00E5089D" w:rsidRPr="001B3EE2" w14:paraId="190E989E" w14:textId="77777777" w:rsidTr="001B3EE2">
        <w:tc>
          <w:tcPr>
            <w:tcW w:w="1980" w:type="dxa"/>
            <w:vAlign w:val="center"/>
          </w:tcPr>
          <w:p w14:paraId="6F82E70F" w14:textId="0435854F" w:rsidR="00E5089D" w:rsidRPr="001B3EE2" w:rsidRDefault="001C4900" w:rsidP="002E4F05">
            <w:pPr>
              <w:spacing w:after="0"/>
              <w:jc w:val="left"/>
              <w:rPr>
                <w:rFonts w:asciiTheme="minorHAnsi" w:hAnsiTheme="minorHAnsi" w:cstheme="minorHAnsi"/>
                <w:sz w:val="20"/>
              </w:rPr>
            </w:pPr>
            <w:r w:rsidRPr="001B3EE2">
              <w:rPr>
                <w:rFonts w:asciiTheme="minorHAnsi" w:hAnsiTheme="minorHAnsi" w:cstheme="minorHAnsi"/>
                <w:sz w:val="20"/>
              </w:rPr>
              <w:t xml:space="preserve">Further and subsequent maintenance therapy for </w:t>
            </w:r>
            <w:r w:rsidR="00E5089D" w:rsidRPr="001B3EE2">
              <w:rPr>
                <w:rFonts w:asciiTheme="minorHAnsi" w:hAnsiTheme="minorHAnsi" w:cstheme="minorHAnsi"/>
                <w:sz w:val="20"/>
              </w:rPr>
              <w:t xml:space="preserve"> MMN patients </w:t>
            </w:r>
            <w:r w:rsidRPr="001B3EE2">
              <w:rPr>
                <w:rFonts w:asciiTheme="minorHAnsi" w:hAnsiTheme="minorHAnsi" w:cstheme="minorHAnsi"/>
                <w:sz w:val="20"/>
              </w:rPr>
              <w:t xml:space="preserve">who relapse </w:t>
            </w:r>
            <w:r w:rsidR="00E5089D" w:rsidRPr="001B3EE2">
              <w:rPr>
                <w:rFonts w:asciiTheme="minorHAnsi" w:hAnsiTheme="minorHAnsi" w:cstheme="minorHAnsi"/>
                <w:sz w:val="20"/>
              </w:rPr>
              <w:t xml:space="preserve">within </w:t>
            </w:r>
            <w:r w:rsidR="00E5089D" w:rsidRPr="001B3EE2">
              <w:rPr>
                <w:rFonts w:asciiTheme="minorHAnsi" w:hAnsiTheme="minorHAnsi" w:cstheme="minorHAnsi"/>
                <w:sz w:val="20"/>
              </w:rPr>
              <w:lastRenderedPageBreak/>
              <w:t>six months of commencement of a trial off Ig therapy</w:t>
            </w:r>
          </w:p>
        </w:tc>
        <w:tc>
          <w:tcPr>
            <w:tcW w:w="7036" w:type="dxa"/>
            <w:vAlign w:val="center"/>
          </w:tcPr>
          <w:p w14:paraId="4C101149" w14:textId="1FCCFAF0" w:rsidR="00222878" w:rsidRDefault="00A5742D" w:rsidP="005E2222">
            <w:pPr>
              <w:spacing w:after="0"/>
              <w:jc w:val="left"/>
              <w:rPr>
                <w:rFonts w:asciiTheme="minorHAnsi" w:hAnsiTheme="minorHAnsi" w:cstheme="minorHAnsi"/>
                <w:sz w:val="20"/>
              </w:rPr>
            </w:pPr>
            <w:r>
              <w:rPr>
                <w:rFonts w:asciiTheme="minorHAnsi" w:hAnsiTheme="minorHAnsi" w:cstheme="minorHAnsi"/>
                <w:b/>
                <w:sz w:val="20"/>
                <w:u w:val="single"/>
              </w:rPr>
              <w:lastRenderedPageBreak/>
              <w:t>Initial treatment</w:t>
            </w:r>
            <w:r w:rsidR="005E2222" w:rsidRPr="001B3EE2">
              <w:rPr>
                <w:rFonts w:asciiTheme="minorHAnsi" w:hAnsiTheme="minorHAnsi" w:cstheme="minorHAnsi"/>
                <w:sz w:val="20"/>
              </w:rPr>
              <w:t xml:space="preserve"> </w:t>
            </w:r>
          </w:p>
          <w:p w14:paraId="526FBEA5" w14:textId="1F73F7CF" w:rsidR="005E2222" w:rsidRPr="001B3EE2" w:rsidRDefault="005E2222" w:rsidP="005E2222">
            <w:pPr>
              <w:spacing w:after="0"/>
              <w:jc w:val="left"/>
              <w:rPr>
                <w:rFonts w:asciiTheme="minorHAnsi" w:hAnsiTheme="minorHAnsi" w:cstheme="minorHAnsi"/>
                <w:sz w:val="20"/>
              </w:rPr>
            </w:pPr>
            <w:r w:rsidRPr="001B3EE2">
              <w:rPr>
                <w:rFonts w:asciiTheme="minorHAnsi" w:hAnsiTheme="minorHAnsi" w:cstheme="minorHAnsi"/>
                <w:sz w:val="20"/>
              </w:rPr>
              <w:t xml:space="preserve">IVIg should be used for a maximum of four months (induction plus three maintenance cycles) before determining whether the patient has responded. If there is no benefit after this treatment, IVIg therapy should be </w:t>
            </w:r>
            <w:r>
              <w:rPr>
                <w:rFonts w:asciiTheme="minorHAnsi" w:hAnsiTheme="minorHAnsi" w:cstheme="minorHAnsi"/>
                <w:sz w:val="20"/>
              </w:rPr>
              <w:t>abandoned</w:t>
            </w:r>
            <w:r w:rsidRPr="001B3EE2">
              <w:rPr>
                <w:rFonts w:asciiTheme="minorHAnsi" w:hAnsiTheme="minorHAnsi" w:cstheme="minorHAnsi"/>
                <w:sz w:val="20"/>
              </w:rPr>
              <w:t>.</w:t>
            </w:r>
          </w:p>
          <w:p w14:paraId="23F1A758" w14:textId="77777777" w:rsidR="005E2222" w:rsidRPr="001B3EE2" w:rsidRDefault="005E2222" w:rsidP="005E2222">
            <w:pPr>
              <w:spacing w:after="0"/>
              <w:jc w:val="left"/>
              <w:rPr>
                <w:rFonts w:asciiTheme="minorHAnsi" w:hAnsiTheme="minorHAnsi" w:cstheme="minorHAnsi"/>
                <w:sz w:val="20"/>
              </w:rPr>
            </w:pPr>
          </w:p>
          <w:p w14:paraId="71BFD22B" w14:textId="08ADA7EC" w:rsidR="005E2222" w:rsidRDefault="005E2222" w:rsidP="005E2222">
            <w:pPr>
              <w:spacing w:after="0"/>
              <w:jc w:val="left"/>
              <w:rPr>
                <w:rFonts w:asciiTheme="minorHAnsi" w:hAnsiTheme="minorHAnsi" w:cstheme="minorHAnsi"/>
                <w:sz w:val="20"/>
              </w:rPr>
            </w:pPr>
            <w:r w:rsidRPr="00FE2709">
              <w:rPr>
                <w:rFonts w:asciiTheme="minorHAnsi" w:hAnsiTheme="minorHAnsi" w:cstheme="minorHAnsi"/>
                <w:sz w:val="20"/>
              </w:rPr>
              <w:lastRenderedPageBreak/>
              <w:t>Review by a neurologist is required within four months of treatment and annually thereafter. Documentation of clinical efficacy is necessary for continuation of IVIg therapy.</w:t>
            </w:r>
          </w:p>
          <w:p w14:paraId="3EF69551" w14:textId="77777777" w:rsidR="00222878" w:rsidRPr="001B3EE2" w:rsidRDefault="00222878" w:rsidP="005E2222">
            <w:pPr>
              <w:spacing w:after="0"/>
              <w:jc w:val="left"/>
              <w:rPr>
                <w:rFonts w:asciiTheme="minorHAnsi" w:hAnsiTheme="minorHAnsi" w:cstheme="minorHAnsi"/>
                <w:sz w:val="20"/>
              </w:rPr>
            </w:pPr>
          </w:p>
          <w:p w14:paraId="6762038E" w14:textId="11C3D382" w:rsidR="00E5089D" w:rsidRPr="001B3EE2" w:rsidRDefault="00E5089D" w:rsidP="002E4F05">
            <w:pPr>
              <w:spacing w:after="0"/>
              <w:jc w:val="left"/>
              <w:rPr>
                <w:rFonts w:asciiTheme="minorHAnsi" w:hAnsiTheme="minorHAnsi" w:cstheme="minorHAnsi"/>
                <w:sz w:val="20"/>
              </w:rPr>
            </w:pPr>
            <w:r w:rsidRPr="001B3EE2">
              <w:rPr>
                <w:rFonts w:asciiTheme="minorHAnsi" w:hAnsiTheme="minorHAnsi" w:cstheme="minorHAnsi"/>
                <w:sz w:val="20"/>
              </w:rPr>
              <w:t>Patient qualifies for continuing/maintenance treatment with IVIg once its clinical benefit/ effectiveness has been confirmed within four months of treatment initiation</w:t>
            </w:r>
            <w:r w:rsidR="0009767A" w:rsidRPr="001B3EE2">
              <w:rPr>
                <w:rFonts w:asciiTheme="minorHAnsi" w:hAnsiTheme="minorHAnsi" w:cstheme="minorHAnsi"/>
                <w:sz w:val="20"/>
              </w:rPr>
              <w:t xml:space="preserve"> by a neurologist</w:t>
            </w:r>
            <w:r w:rsidRPr="001B3EE2">
              <w:rPr>
                <w:rFonts w:asciiTheme="minorHAnsi" w:hAnsiTheme="minorHAnsi" w:cstheme="minorHAnsi"/>
                <w:sz w:val="20"/>
              </w:rPr>
              <w:t>.</w:t>
            </w:r>
          </w:p>
          <w:p w14:paraId="2095D0AF" w14:textId="77777777" w:rsidR="00F92AB5" w:rsidRPr="001B3EE2" w:rsidRDefault="00F92AB5" w:rsidP="002E4F05">
            <w:pPr>
              <w:spacing w:after="0"/>
              <w:jc w:val="left"/>
              <w:rPr>
                <w:rFonts w:asciiTheme="minorHAnsi" w:hAnsiTheme="minorHAnsi" w:cstheme="minorHAnsi"/>
                <w:sz w:val="20"/>
              </w:rPr>
            </w:pPr>
          </w:p>
          <w:p w14:paraId="14CB2B75" w14:textId="7FC661E5" w:rsidR="00222878" w:rsidRDefault="00E5089D" w:rsidP="002E4F05">
            <w:pPr>
              <w:spacing w:after="0"/>
              <w:jc w:val="left"/>
              <w:rPr>
                <w:rFonts w:asciiTheme="minorHAnsi" w:hAnsiTheme="minorHAnsi" w:cstheme="minorHAnsi"/>
                <w:sz w:val="20"/>
              </w:rPr>
            </w:pPr>
            <w:r w:rsidRPr="007120E2">
              <w:rPr>
                <w:rFonts w:asciiTheme="minorHAnsi" w:hAnsiTheme="minorHAnsi" w:cstheme="minorHAnsi"/>
                <w:b/>
                <w:sz w:val="20"/>
                <w:u w:val="single"/>
              </w:rPr>
              <w:t>O</w:t>
            </w:r>
            <w:r w:rsidR="00134427">
              <w:rPr>
                <w:rFonts w:asciiTheme="minorHAnsi" w:hAnsiTheme="minorHAnsi" w:cstheme="minorHAnsi"/>
                <w:b/>
                <w:sz w:val="20"/>
                <w:u w:val="single"/>
              </w:rPr>
              <w:t>n review of the initial authoris</w:t>
            </w:r>
            <w:r w:rsidRPr="007120E2">
              <w:rPr>
                <w:rFonts w:asciiTheme="minorHAnsi" w:hAnsiTheme="minorHAnsi" w:cstheme="minorHAnsi"/>
                <w:b/>
                <w:sz w:val="20"/>
                <w:u w:val="single"/>
              </w:rPr>
              <w:t>ation period</w:t>
            </w:r>
            <w:r w:rsidRPr="001B3EE2">
              <w:rPr>
                <w:rFonts w:asciiTheme="minorHAnsi" w:hAnsiTheme="minorHAnsi" w:cstheme="minorHAnsi"/>
                <w:sz w:val="20"/>
              </w:rPr>
              <w:t xml:space="preserve"> (</w:t>
            </w:r>
            <w:r w:rsidR="00F92AB5" w:rsidRPr="001B3EE2">
              <w:rPr>
                <w:rFonts w:asciiTheme="minorHAnsi" w:hAnsiTheme="minorHAnsi" w:cstheme="minorHAnsi"/>
                <w:sz w:val="20"/>
              </w:rPr>
              <w:t xml:space="preserve">e.g. </w:t>
            </w:r>
            <w:r w:rsidRPr="001B3EE2">
              <w:rPr>
                <w:rFonts w:asciiTheme="minorHAnsi" w:hAnsiTheme="minorHAnsi" w:cstheme="minorHAnsi"/>
                <w:sz w:val="20"/>
              </w:rPr>
              <w:t xml:space="preserve">initial treatment) </w:t>
            </w:r>
          </w:p>
          <w:p w14:paraId="362F3B0C" w14:textId="1FD882F3" w:rsidR="00E5089D" w:rsidRPr="001B3EE2" w:rsidRDefault="00222878" w:rsidP="002E4F05">
            <w:pPr>
              <w:spacing w:after="0"/>
              <w:jc w:val="left"/>
              <w:rPr>
                <w:rFonts w:asciiTheme="minorHAnsi" w:hAnsiTheme="minorHAnsi" w:cstheme="minorHAnsi"/>
                <w:sz w:val="20"/>
              </w:rPr>
            </w:pPr>
            <w:r>
              <w:rPr>
                <w:rFonts w:asciiTheme="minorHAnsi" w:hAnsiTheme="minorHAnsi" w:cstheme="minorHAnsi"/>
                <w:sz w:val="20"/>
              </w:rPr>
              <w:t>C</w:t>
            </w:r>
            <w:r w:rsidRPr="001B3EE2">
              <w:rPr>
                <w:rFonts w:asciiTheme="minorHAnsi" w:hAnsiTheme="minorHAnsi" w:cstheme="minorHAnsi"/>
                <w:sz w:val="20"/>
              </w:rPr>
              <w:t xml:space="preserve">linical </w:t>
            </w:r>
            <w:r w:rsidR="00E5089D" w:rsidRPr="001B3EE2">
              <w:rPr>
                <w:rFonts w:asciiTheme="minorHAnsi" w:hAnsiTheme="minorHAnsi" w:cstheme="minorHAnsi"/>
                <w:sz w:val="20"/>
              </w:rPr>
              <w:t xml:space="preserve">effectiveness of </w:t>
            </w:r>
            <w:r w:rsidR="00F92AB5" w:rsidRPr="001B3EE2">
              <w:rPr>
                <w:rFonts w:asciiTheme="minorHAnsi" w:hAnsiTheme="minorHAnsi" w:cstheme="minorHAnsi"/>
                <w:sz w:val="20"/>
              </w:rPr>
              <w:t>IV</w:t>
            </w:r>
            <w:r w:rsidR="00E5089D" w:rsidRPr="001B3EE2">
              <w:rPr>
                <w:rFonts w:asciiTheme="minorHAnsi" w:hAnsiTheme="minorHAnsi" w:cstheme="minorHAnsi"/>
                <w:sz w:val="20"/>
              </w:rPr>
              <w:t>Ig therapy will be demonstrated by:</w:t>
            </w:r>
          </w:p>
          <w:p w14:paraId="4CF91ABE" w14:textId="77777777" w:rsidR="00E5089D" w:rsidRPr="001B3EE2" w:rsidRDefault="00E5089D" w:rsidP="002E4F05">
            <w:pPr>
              <w:pStyle w:val="ListParagraph"/>
              <w:numPr>
                <w:ilvl w:val="0"/>
                <w:numId w:val="25"/>
              </w:numPr>
              <w:spacing w:after="0"/>
              <w:jc w:val="left"/>
              <w:rPr>
                <w:rFonts w:asciiTheme="minorHAnsi" w:hAnsiTheme="minorHAnsi" w:cstheme="minorHAnsi"/>
                <w:sz w:val="20"/>
              </w:rPr>
            </w:pPr>
            <w:r w:rsidRPr="001B3EE2">
              <w:rPr>
                <w:rFonts w:asciiTheme="minorHAnsi" w:hAnsiTheme="minorHAnsi" w:cstheme="minorHAnsi"/>
                <w:sz w:val="20"/>
              </w:rPr>
              <w:t>Improvement in focal motor weakness in response to four months of Ig therapy compared to muscle strength at the qualifying assessment following relapse</w:t>
            </w:r>
          </w:p>
          <w:p w14:paraId="0B83CDA2" w14:textId="77777777" w:rsidR="00E5089D" w:rsidRPr="00E9264A" w:rsidRDefault="00E5089D" w:rsidP="00E9264A">
            <w:pPr>
              <w:spacing w:after="0"/>
              <w:ind w:left="1080" w:hanging="360"/>
              <w:jc w:val="left"/>
              <w:rPr>
                <w:rFonts w:asciiTheme="minorHAnsi" w:hAnsiTheme="minorHAnsi" w:cstheme="minorHAnsi"/>
                <w:b/>
                <w:sz w:val="20"/>
              </w:rPr>
            </w:pPr>
            <w:r w:rsidRPr="00E9264A">
              <w:rPr>
                <w:rFonts w:asciiTheme="minorHAnsi" w:hAnsiTheme="minorHAnsi" w:cstheme="minorHAnsi"/>
                <w:b/>
                <w:sz w:val="20"/>
              </w:rPr>
              <w:t>AND</w:t>
            </w:r>
          </w:p>
          <w:p w14:paraId="4012554C" w14:textId="520C6CBC" w:rsidR="00EF4EC4" w:rsidRPr="00AD163C" w:rsidRDefault="00E5089D" w:rsidP="002E4F05">
            <w:pPr>
              <w:pStyle w:val="ListParagraph"/>
              <w:numPr>
                <w:ilvl w:val="0"/>
                <w:numId w:val="25"/>
              </w:numPr>
              <w:spacing w:after="0"/>
              <w:jc w:val="left"/>
              <w:rPr>
                <w:rFonts w:asciiTheme="minorHAnsi" w:hAnsiTheme="minorHAnsi" w:cstheme="minorHAnsi"/>
                <w:sz w:val="20"/>
              </w:rPr>
            </w:pPr>
            <w:r w:rsidRPr="00AD163C">
              <w:rPr>
                <w:rFonts w:asciiTheme="minorHAnsi" w:hAnsiTheme="minorHAnsi" w:cstheme="minorHAnsi"/>
                <w:sz w:val="20"/>
              </w:rPr>
              <w:t xml:space="preserve">Improvement in disability as measured by the Adjusted ONLS compared to the qualifying assessment at relapse. </w:t>
            </w:r>
          </w:p>
          <w:p w14:paraId="582666A9" w14:textId="77777777" w:rsidR="005E2222" w:rsidRDefault="005E2222" w:rsidP="002E4F05">
            <w:pPr>
              <w:spacing w:after="0"/>
              <w:jc w:val="left"/>
              <w:rPr>
                <w:rFonts w:asciiTheme="minorHAnsi" w:hAnsiTheme="minorHAnsi" w:cstheme="minorHAnsi"/>
                <w:sz w:val="20"/>
              </w:rPr>
            </w:pPr>
          </w:p>
          <w:p w14:paraId="57CC5105" w14:textId="77777777" w:rsidR="00222878" w:rsidRPr="00134427" w:rsidRDefault="005E2222" w:rsidP="002E4F05">
            <w:pPr>
              <w:spacing w:after="0"/>
              <w:jc w:val="left"/>
              <w:rPr>
                <w:rFonts w:asciiTheme="minorHAnsi" w:hAnsiTheme="minorHAnsi" w:cstheme="minorHAnsi"/>
                <w:sz w:val="20"/>
                <w:u w:val="single"/>
              </w:rPr>
            </w:pPr>
            <w:r w:rsidRPr="00134427">
              <w:rPr>
                <w:rFonts w:asciiTheme="minorHAnsi" w:hAnsiTheme="minorHAnsi" w:cstheme="minorHAnsi"/>
                <w:b/>
                <w:sz w:val="20"/>
                <w:u w:val="single"/>
              </w:rPr>
              <w:t xml:space="preserve">On review of a continuing authorisation period </w:t>
            </w:r>
          </w:p>
          <w:p w14:paraId="219463A4" w14:textId="4AC9B057" w:rsidR="00E5089D" w:rsidRPr="001B3EE2" w:rsidRDefault="00222878" w:rsidP="002E4F05">
            <w:pPr>
              <w:spacing w:after="0"/>
              <w:jc w:val="left"/>
              <w:rPr>
                <w:rFonts w:asciiTheme="minorHAnsi" w:hAnsiTheme="minorHAnsi" w:cstheme="minorHAnsi"/>
                <w:sz w:val="20"/>
              </w:rPr>
            </w:pPr>
            <w:r>
              <w:rPr>
                <w:rFonts w:asciiTheme="minorHAnsi" w:hAnsiTheme="minorHAnsi" w:cstheme="minorHAnsi"/>
                <w:sz w:val="20"/>
              </w:rPr>
              <w:t>C</w:t>
            </w:r>
            <w:r w:rsidR="00E5089D" w:rsidRPr="001B3EE2">
              <w:rPr>
                <w:rFonts w:asciiTheme="minorHAnsi" w:hAnsiTheme="minorHAnsi" w:cstheme="minorHAnsi"/>
                <w:sz w:val="20"/>
              </w:rPr>
              <w:t xml:space="preserve">linical effectiveness of </w:t>
            </w:r>
            <w:r w:rsidR="0009767A" w:rsidRPr="001B3EE2">
              <w:rPr>
                <w:rFonts w:asciiTheme="minorHAnsi" w:hAnsiTheme="minorHAnsi" w:cstheme="minorHAnsi"/>
                <w:sz w:val="20"/>
              </w:rPr>
              <w:t>IV</w:t>
            </w:r>
            <w:r w:rsidR="00E5089D" w:rsidRPr="001B3EE2">
              <w:rPr>
                <w:rFonts w:asciiTheme="minorHAnsi" w:hAnsiTheme="minorHAnsi" w:cstheme="minorHAnsi"/>
                <w:sz w:val="20"/>
              </w:rPr>
              <w:t>Ig therapy will be demonstrated by:</w:t>
            </w:r>
          </w:p>
          <w:p w14:paraId="54BF604C" w14:textId="40332FF5" w:rsidR="00E5089D" w:rsidRPr="001B3EE2" w:rsidRDefault="00E5089D" w:rsidP="002E4F05">
            <w:pPr>
              <w:pStyle w:val="ListParagraph"/>
              <w:numPr>
                <w:ilvl w:val="0"/>
                <w:numId w:val="26"/>
              </w:numPr>
              <w:spacing w:after="0"/>
              <w:jc w:val="left"/>
              <w:rPr>
                <w:rFonts w:asciiTheme="minorHAnsi" w:hAnsiTheme="minorHAnsi" w:cstheme="minorHAnsi"/>
                <w:sz w:val="20"/>
              </w:rPr>
            </w:pPr>
            <w:r w:rsidRPr="001B3EE2">
              <w:rPr>
                <w:rFonts w:asciiTheme="minorHAnsi" w:hAnsiTheme="minorHAnsi" w:cstheme="minorHAnsi"/>
                <w:sz w:val="20"/>
              </w:rPr>
              <w:t>Improvement in or stabilisation of focal motor weakness as compared to the focal muscle strength at the previous review assessment</w:t>
            </w:r>
            <w:r w:rsidR="0009767A" w:rsidRPr="001B3EE2">
              <w:rPr>
                <w:rFonts w:asciiTheme="minorHAnsi" w:hAnsiTheme="minorHAnsi" w:cstheme="minorHAnsi"/>
                <w:sz w:val="20"/>
              </w:rPr>
              <w:t>;</w:t>
            </w:r>
          </w:p>
          <w:p w14:paraId="4CDE15A8" w14:textId="77777777" w:rsidR="00E5089D" w:rsidRPr="00E9264A" w:rsidRDefault="00E5089D" w:rsidP="00E9264A">
            <w:pPr>
              <w:spacing w:after="0"/>
              <w:ind w:left="1080" w:hanging="360"/>
              <w:jc w:val="left"/>
              <w:rPr>
                <w:rFonts w:asciiTheme="minorHAnsi" w:hAnsiTheme="minorHAnsi" w:cstheme="minorHAnsi"/>
                <w:b/>
                <w:sz w:val="20"/>
              </w:rPr>
            </w:pPr>
            <w:r w:rsidRPr="00E9264A">
              <w:rPr>
                <w:rFonts w:asciiTheme="minorHAnsi" w:hAnsiTheme="minorHAnsi" w:cstheme="minorHAnsi"/>
                <w:b/>
                <w:sz w:val="20"/>
              </w:rPr>
              <w:t>AND</w:t>
            </w:r>
          </w:p>
          <w:p w14:paraId="7EF1A3E5" w14:textId="02559380" w:rsidR="00E5089D" w:rsidRPr="001B3EE2" w:rsidRDefault="00E5089D" w:rsidP="002E4F05">
            <w:pPr>
              <w:pStyle w:val="ListParagraph"/>
              <w:numPr>
                <w:ilvl w:val="0"/>
                <w:numId w:val="27"/>
              </w:numPr>
              <w:spacing w:after="0"/>
              <w:jc w:val="left"/>
              <w:rPr>
                <w:rFonts w:asciiTheme="minorHAnsi" w:hAnsiTheme="minorHAnsi" w:cstheme="minorHAnsi"/>
                <w:sz w:val="20"/>
              </w:rPr>
            </w:pPr>
            <w:r w:rsidRPr="001B3EE2">
              <w:rPr>
                <w:rFonts w:asciiTheme="minorHAnsi" w:hAnsiTheme="minorHAnsi" w:cstheme="minorHAnsi"/>
                <w:sz w:val="20"/>
              </w:rPr>
              <w:t xml:space="preserve">Improvement in or stabilisation of disability as measured by the </w:t>
            </w:r>
            <w:r w:rsidR="0009767A" w:rsidRPr="001B3EE2">
              <w:rPr>
                <w:rFonts w:asciiTheme="minorHAnsi" w:hAnsiTheme="minorHAnsi" w:cstheme="minorHAnsi"/>
                <w:sz w:val="20"/>
              </w:rPr>
              <w:t>a</w:t>
            </w:r>
            <w:r w:rsidRPr="001B3EE2">
              <w:rPr>
                <w:rFonts w:asciiTheme="minorHAnsi" w:hAnsiTheme="minorHAnsi" w:cstheme="minorHAnsi"/>
                <w:sz w:val="20"/>
              </w:rPr>
              <w:t>djusted ONLS compared to the previous review score (gradual deterioration of one point over several years is acceptable)</w:t>
            </w:r>
            <w:r w:rsidR="0009767A" w:rsidRPr="001B3EE2">
              <w:rPr>
                <w:rFonts w:asciiTheme="minorHAnsi" w:hAnsiTheme="minorHAnsi" w:cstheme="minorHAnsi"/>
                <w:sz w:val="20"/>
              </w:rPr>
              <w:t>;</w:t>
            </w:r>
          </w:p>
          <w:p w14:paraId="17298E8A" w14:textId="77777777" w:rsidR="00E5089D" w:rsidRPr="00E9264A" w:rsidRDefault="00E5089D" w:rsidP="00E9264A">
            <w:pPr>
              <w:spacing w:after="0"/>
              <w:ind w:left="1080" w:hanging="360"/>
              <w:jc w:val="left"/>
              <w:rPr>
                <w:rFonts w:asciiTheme="minorHAnsi" w:hAnsiTheme="minorHAnsi" w:cstheme="minorHAnsi"/>
                <w:b/>
                <w:sz w:val="20"/>
              </w:rPr>
            </w:pPr>
            <w:r w:rsidRPr="00E9264A">
              <w:rPr>
                <w:rFonts w:asciiTheme="minorHAnsi" w:hAnsiTheme="minorHAnsi" w:cstheme="minorHAnsi"/>
                <w:b/>
                <w:sz w:val="20"/>
              </w:rPr>
              <w:t>AND</w:t>
            </w:r>
          </w:p>
          <w:p w14:paraId="304E11D6" w14:textId="43743100" w:rsidR="00E5089D" w:rsidRPr="001B3EE2" w:rsidRDefault="00E5089D" w:rsidP="002E4F05">
            <w:pPr>
              <w:pStyle w:val="ListParagraph"/>
              <w:numPr>
                <w:ilvl w:val="0"/>
                <w:numId w:val="28"/>
              </w:numPr>
              <w:spacing w:after="0"/>
              <w:jc w:val="left"/>
              <w:rPr>
                <w:rFonts w:asciiTheme="minorHAnsi" w:hAnsiTheme="minorHAnsi" w:cstheme="minorHAnsi"/>
                <w:sz w:val="20"/>
              </w:rPr>
            </w:pPr>
            <w:r w:rsidRPr="001B3EE2">
              <w:rPr>
                <w:rFonts w:asciiTheme="minorHAnsi" w:hAnsiTheme="minorHAnsi" w:cstheme="minorHAnsi"/>
                <w:sz w:val="20"/>
              </w:rPr>
              <w:t xml:space="preserve">A trial of weaning/cessation of </w:t>
            </w:r>
            <w:r w:rsidR="00EF4EC4" w:rsidRPr="001B3EE2">
              <w:rPr>
                <w:rFonts w:asciiTheme="minorHAnsi" w:hAnsiTheme="minorHAnsi" w:cstheme="minorHAnsi"/>
                <w:sz w:val="20"/>
              </w:rPr>
              <w:t>IV</w:t>
            </w:r>
            <w:r w:rsidRPr="001B3EE2">
              <w:rPr>
                <w:rFonts w:asciiTheme="minorHAnsi" w:hAnsiTheme="minorHAnsi" w:cstheme="minorHAnsi"/>
                <w:sz w:val="20"/>
              </w:rPr>
              <w:t xml:space="preserve">Ig therapy </w:t>
            </w:r>
            <w:r w:rsidR="00EF4EC4" w:rsidRPr="001B3EE2">
              <w:rPr>
                <w:rFonts w:asciiTheme="minorHAnsi" w:hAnsiTheme="minorHAnsi" w:cstheme="minorHAnsi"/>
                <w:sz w:val="20"/>
              </w:rPr>
              <w:t xml:space="preserve">is </w:t>
            </w:r>
            <w:r w:rsidRPr="001B3EE2">
              <w:rPr>
                <w:rFonts w:asciiTheme="minorHAnsi" w:hAnsiTheme="minorHAnsi" w:cstheme="minorHAnsi"/>
                <w:sz w:val="20"/>
              </w:rPr>
              <w:t>considered annually for patients who are clinically stable to identify those in remission or a valid reason provided as to why a trial is not being planned or is contraindicated at this time.</w:t>
            </w:r>
          </w:p>
          <w:p w14:paraId="453F33E2" w14:textId="77777777" w:rsidR="00134427" w:rsidRDefault="00134427" w:rsidP="002E4F05">
            <w:pPr>
              <w:spacing w:after="0"/>
              <w:jc w:val="left"/>
              <w:rPr>
                <w:rFonts w:asciiTheme="minorHAnsi" w:hAnsiTheme="minorHAnsi" w:cstheme="minorHAnsi"/>
                <w:sz w:val="20"/>
              </w:rPr>
            </w:pPr>
          </w:p>
          <w:p w14:paraId="6082E817" w14:textId="39E29A1E" w:rsidR="00E5089D" w:rsidRPr="001B3EE2" w:rsidRDefault="00E5089D" w:rsidP="002E4F05">
            <w:pPr>
              <w:spacing w:after="0"/>
              <w:jc w:val="left"/>
              <w:rPr>
                <w:rFonts w:asciiTheme="minorHAnsi" w:hAnsiTheme="minorHAnsi" w:cstheme="minorHAnsi"/>
                <w:sz w:val="20"/>
              </w:rPr>
            </w:pPr>
            <w:r w:rsidRPr="001B3EE2">
              <w:rPr>
                <w:rFonts w:asciiTheme="minorHAnsi" w:hAnsiTheme="minorHAnsi" w:cstheme="minorHAnsi"/>
                <w:sz w:val="20"/>
              </w:rPr>
              <w:t xml:space="preserve">For patients in remission on maintenance therapy, a trial of weaning leading to cessation should be considered. If the patient relapses, again within six months of commencement of a </w:t>
            </w:r>
            <w:r w:rsidR="001E0B48">
              <w:rPr>
                <w:rFonts w:asciiTheme="minorHAnsi" w:hAnsiTheme="minorHAnsi" w:cstheme="minorHAnsi"/>
                <w:sz w:val="20"/>
              </w:rPr>
              <w:t xml:space="preserve">trial </w:t>
            </w:r>
            <w:r w:rsidRPr="001B3EE2">
              <w:rPr>
                <w:rFonts w:asciiTheme="minorHAnsi" w:hAnsiTheme="minorHAnsi" w:cstheme="minorHAnsi"/>
                <w:sz w:val="20"/>
              </w:rPr>
              <w:t xml:space="preserve">off Ig therapy, they may be eligible for further </w:t>
            </w:r>
            <w:r w:rsidR="0009767A" w:rsidRPr="001B3EE2">
              <w:rPr>
                <w:rFonts w:asciiTheme="minorHAnsi" w:hAnsiTheme="minorHAnsi" w:cstheme="minorHAnsi"/>
                <w:sz w:val="20"/>
              </w:rPr>
              <w:t>IV</w:t>
            </w:r>
            <w:r w:rsidRPr="001B3EE2">
              <w:rPr>
                <w:rFonts w:asciiTheme="minorHAnsi" w:hAnsiTheme="minorHAnsi" w:cstheme="minorHAnsi"/>
                <w:sz w:val="20"/>
              </w:rPr>
              <w:t xml:space="preserve">Ig therapy under this indication. A subsequent trial of weaning leading to cessation might be considered after a further two years of </w:t>
            </w:r>
            <w:r w:rsidR="0009767A" w:rsidRPr="001B3EE2">
              <w:rPr>
                <w:rFonts w:asciiTheme="minorHAnsi" w:hAnsiTheme="minorHAnsi" w:cstheme="minorHAnsi"/>
                <w:sz w:val="20"/>
              </w:rPr>
              <w:t>IV</w:t>
            </w:r>
            <w:r w:rsidRPr="001B3EE2">
              <w:rPr>
                <w:rFonts w:asciiTheme="minorHAnsi" w:hAnsiTheme="minorHAnsi" w:cstheme="minorHAnsi"/>
                <w:sz w:val="20"/>
              </w:rPr>
              <w:t>Ig therapy.</w:t>
            </w:r>
          </w:p>
        </w:tc>
      </w:tr>
    </w:tbl>
    <w:p w14:paraId="6001AC34" w14:textId="77777777" w:rsidR="00E5089D" w:rsidRDefault="00E5089D" w:rsidP="003A3782">
      <w:pPr>
        <w:pStyle w:val="NoSpacing"/>
        <w:spacing w:after="0"/>
      </w:pPr>
      <w:r w:rsidRPr="00BC2A83">
        <w:lastRenderedPageBreak/>
        <w:t>Abbreviations:</w:t>
      </w:r>
      <w:r>
        <w:t xml:space="preserve"> IVIg = intravenous immunoglobulin; MMN = multifocal motor neuropathy; ONSL = overall neuropathy limitations scale.</w:t>
      </w:r>
    </w:p>
    <w:p w14:paraId="3B3839AE" w14:textId="26146605" w:rsidR="00E5089D" w:rsidRDefault="00E5089D" w:rsidP="003A3782">
      <w:pPr>
        <w:pStyle w:val="NoSpacing"/>
        <w:spacing w:after="0"/>
      </w:pPr>
      <w:r>
        <w:t xml:space="preserve">Source: BloodSTAR (2018). </w:t>
      </w:r>
      <w:hyperlink r:id="rId11" w:history="1">
        <w:r w:rsidRPr="00134427">
          <w:rPr>
            <w:rStyle w:val="Hyperlink"/>
          </w:rPr>
          <w:t>The Criteria for clinical use of immunoglobulin in Australia (the Criteria); multifoc</w:t>
        </w:r>
        <w:r w:rsidR="00134427" w:rsidRPr="00134427">
          <w:rPr>
            <w:rStyle w:val="Hyperlink"/>
          </w:rPr>
          <w:t>al motor neuropathy</w:t>
        </w:r>
      </w:hyperlink>
      <w:r w:rsidR="00134427">
        <w:t>, Version 3</w:t>
      </w:r>
      <w:r>
        <w:t>.</w:t>
      </w:r>
    </w:p>
    <w:p w14:paraId="492D0C4A" w14:textId="577A7061" w:rsidR="00E5089D" w:rsidRPr="00B70CC7" w:rsidRDefault="003C154C" w:rsidP="007D77A8">
      <w:pPr>
        <w:pStyle w:val="Heading2"/>
      </w:pPr>
      <w:r>
        <w:t xml:space="preserve">2.1 </w:t>
      </w:r>
      <w:r w:rsidR="00E5089D" w:rsidRPr="00B70CC7">
        <w:t>Dosage and frequency</w:t>
      </w:r>
    </w:p>
    <w:p w14:paraId="603D4AEC" w14:textId="42B65EC5" w:rsidR="00E5089D" w:rsidRDefault="00E5089D" w:rsidP="00E5089D">
      <w:pPr>
        <w:spacing w:before="120"/>
      </w:pPr>
      <w:r>
        <w:t xml:space="preserve">The permissible dose of IVIg for each indication according to </w:t>
      </w:r>
      <w:r w:rsidRPr="00134427">
        <w:t>The Criteria</w:t>
      </w:r>
      <w:r>
        <w:t xml:space="preserve"> </w:t>
      </w:r>
      <w:r w:rsidR="00E61B6E">
        <w:fldChar w:fldCharType="begin"/>
      </w:r>
      <w:r w:rsidR="00E61B6E">
        <w:instrText xml:space="preserve"> ADDIN EN.CITE &lt;EndNote&gt;&lt;Cite&gt;&lt;Author&gt;BloodSTAR&lt;/Author&gt;&lt;Year&gt;2018&lt;/Year&gt;&lt;RecNum&gt;7&lt;/RecNum&gt;&lt;DisplayText&gt;(2)&lt;/DisplayText&gt;&lt;record&gt;&lt;rec-number&gt;7&lt;/rec-number&gt;&lt;foreign-keys&gt;&lt;key app="EN" db-id="vz5vz5xro5d25hepedvpvr0o0v5axp5r99sw" timestamp="1567648378"&gt;7&lt;/key&gt;&lt;/foreign-keys&gt;&lt;ref-type name="Journal Article"&gt;17&lt;/ref-type&gt;&lt;contributors&gt;&lt;authors&gt;&lt;author&gt;BloodSTAR&lt;/author&gt;&lt;/authors&gt;&lt;/contributors&gt;&lt;titles&gt;&lt;title&gt;Current Ig use in Australia: Multifocal motor neuropathy&lt;/title&gt;&lt;/titles&gt;&lt;pages&gt;7&lt;/pages&gt;&lt;dates&gt;&lt;year&gt;2018&lt;/year&gt;&lt;/dates&gt;&lt;urls&gt;&lt;related-urls&gt;&lt;url&gt; (https://www.criteria.blood.gov.au/MedicalCondition/View/2558).&lt;/url&gt;&lt;/related-urls&gt;&lt;/urls&gt;&lt;/record&gt;&lt;/Cite&gt;&lt;/EndNote&gt;</w:instrText>
      </w:r>
      <w:r w:rsidR="00E61B6E">
        <w:fldChar w:fldCharType="separate"/>
      </w:r>
      <w:r w:rsidR="00E61B6E">
        <w:rPr>
          <w:noProof/>
        </w:rPr>
        <w:t>(2)</w:t>
      </w:r>
      <w:r w:rsidR="00E61B6E">
        <w:fldChar w:fldCharType="end"/>
      </w:r>
      <w:r w:rsidR="008461E0">
        <w:t xml:space="preserve"> </w:t>
      </w:r>
      <w:r>
        <w:t xml:space="preserve">is presented in Table </w:t>
      </w:r>
      <w:r w:rsidR="00C719C6">
        <w:t>7</w:t>
      </w:r>
      <w:r>
        <w:t>.</w:t>
      </w:r>
    </w:p>
    <w:p w14:paraId="0286305D" w14:textId="77777777" w:rsidR="0002422D" w:rsidRDefault="0002422D" w:rsidP="00E5089D">
      <w:pPr>
        <w:spacing w:after="0"/>
        <w:rPr>
          <w:b/>
          <w:sz w:val="20"/>
          <w:szCs w:val="20"/>
        </w:rPr>
      </w:pPr>
    </w:p>
    <w:p w14:paraId="2A7029FC" w14:textId="36F2251A" w:rsidR="00E5089D" w:rsidRPr="00FD7C24" w:rsidRDefault="00E5089D" w:rsidP="00E5089D">
      <w:pPr>
        <w:spacing w:after="0"/>
        <w:rPr>
          <w:b/>
          <w:sz w:val="20"/>
          <w:szCs w:val="20"/>
        </w:rPr>
      </w:pPr>
      <w:r w:rsidRPr="00FD7C24">
        <w:rPr>
          <w:b/>
          <w:sz w:val="20"/>
          <w:szCs w:val="20"/>
        </w:rPr>
        <w:t xml:space="preserve">Table </w:t>
      </w:r>
      <w:r w:rsidR="00C719C6" w:rsidRPr="00FD7C24">
        <w:rPr>
          <w:b/>
          <w:sz w:val="20"/>
          <w:szCs w:val="20"/>
        </w:rPr>
        <w:t>7</w:t>
      </w:r>
      <w:r w:rsidRPr="00FD7C24">
        <w:rPr>
          <w:b/>
          <w:sz w:val="20"/>
          <w:szCs w:val="20"/>
        </w:rPr>
        <w:t>: Current effective dose of IVIg for MMN in Australia</w:t>
      </w:r>
      <w:r w:rsidR="0013370A" w:rsidRPr="00FD7C24">
        <w:rPr>
          <w:b/>
          <w:sz w:val="20"/>
          <w:szCs w:val="20"/>
        </w:rPr>
        <w:t xml:space="preserve"> as established in Version 3 of </w:t>
      </w:r>
      <w:r w:rsidR="0013370A" w:rsidRPr="00134427">
        <w:rPr>
          <w:b/>
          <w:sz w:val="20"/>
          <w:szCs w:val="20"/>
        </w:rPr>
        <w:t>The Criteria</w:t>
      </w:r>
    </w:p>
    <w:tbl>
      <w:tblPr>
        <w:tblStyle w:val="TableGrid"/>
        <w:tblW w:w="0" w:type="auto"/>
        <w:tblLook w:val="04A0" w:firstRow="1" w:lastRow="0" w:firstColumn="1" w:lastColumn="0" w:noHBand="0" w:noVBand="1"/>
        <w:tblCaption w:val="Table 7: Current effective dose of IVIg for MMN in Australia as established in Version 3 of The Criteria"/>
      </w:tblPr>
      <w:tblGrid>
        <w:gridCol w:w="1980"/>
        <w:gridCol w:w="7036"/>
      </w:tblGrid>
      <w:tr w:rsidR="00E5089D" w:rsidRPr="001B3EE2" w14:paraId="08CA2FE1" w14:textId="77777777" w:rsidTr="001B3EE2">
        <w:trPr>
          <w:tblHeader/>
        </w:trPr>
        <w:tc>
          <w:tcPr>
            <w:tcW w:w="1980" w:type="dxa"/>
            <w:vAlign w:val="center"/>
          </w:tcPr>
          <w:p w14:paraId="2C0771C1" w14:textId="77777777" w:rsidR="00E5089D" w:rsidRPr="001B3EE2" w:rsidRDefault="00E5089D" w:rsidP="002E4F05">
            <w:pPr>
              <w:spacing w:after="0"/>
              <w:jc w:val="left"/>
              <w:rPr>
                <w:rFonts w:asciiTheme="minorHAnsi" w:hAnsiTheme="minorHAnsi" w:cstheme="minorHAnsi"/>
                <w:b/>
                <w:sz w:val="20"/>
                <w:szCs w:val="20"/>
              </w:rPr>
            </w:pPr>
            <w:r w:rsidRPr="001B3EE2">
              <w:rPr>
                <w:rFonts w:asciiTheme="minorHAnsi" w:hAnsiTheme="minorHAnsi" w:cstheme="minorHAnsi"/>
                <w:b/>
                <w:sz w:val="20"/>
                <w:szCs w:val="20"/>
              </w:rPr>
              <w:t xml:space="preserve">Indication </w:t>
            </w:r>
          </w:p>
        </w:tc>
        <w:tc>
          <w:tcPr>
            <w:tcW w:w="7036" w:type="dxa"/>
            <w:vAlign w:val="center"/>
          </w:tcPr>
          <w:p w14:paraId="34A3BE59" w14:textId="77777777" w:rsidR="00E5089D" w:rsidRPr="001B3EE2" w:rsidRDefault="00E5089D" w:rsidP="002E4F05">
            <w:pPr>
              <w:spacing w:after="0"/>
              <w:jc w:val="left"/>
              <w:rPr>
                <w:rFonts w:asciiTheme="minorHAnsi" w:hAnsiTheme="minorHAnsi" w:cstheme="minorHAnsi"/>
                <w:b/>
                <w:sz w:val="20"/>
                <w:szCs w:val="20"/>
              </w:rPr>
            </w:pPr>
            <w:r w:rsidRPr="001B3EE2">
              <w:rPr>
                <w:rFonts w:asciiTheme="minorHAnsi" w:hAnsiTheme="minorHAnsi" w:cstheme="minorHAnsi"/>
                <w:b/>
                <w:sz w:val="20"/>
                <w:szCs w:val="20"/>
              </w:rPr>
              <w:t xml:space="preserve">Dose </w:t>
            </w:r>
          </w:p>
        </w:tc>
      </w:tr>
      <w:tr w:rsidR="00E5089D" w:rsidRPr="001B3EE2" w14:paraId="5C4E6CC3" w14:textId="77777777" w:rsidTr="001B3EE2">
        <w:tc>
          <w:tcPr>
            <w:tcW w:w="1980" w:type="dxa"/>
            <w:vAlign w:val="center"/>
          </w:tcPr>
          <w:p w14:paraId="4F9B9285" w14:textId="77777777" w:rsidR="00E5089D" w:rsidRPr="001B3EE2" w:rsidRDefault="00E5089D" w:rsidP="002E4F05">
            <w:pPr>
              <w:spacing w:after="0"/>
              <w:jc w:val="left"/>
              <w:rPr>
                <w:rFonts w:asciiTheme="minorHAnsi" w:hAnsiTheme="minorHAnsi" w:cstheme="minorHAnsi"/>
                <w:sz w:val="20"/>
                <w:szCs w:val="20"/>
              </w:rPr>
            </w:pPr>
            <w:r w:rsidRPr="001B3EE2">
              <w:rPr>
                <w:rFonts w:asciiTheme="minorHAnsi" w:hAnsiTheme="minorHAnsi" w:cstheme="minorHAnsi"/>
                <w:sz w:val="20"/>
                <w:szCs w:val="20"/>
              </w:rPr>
              <w:t>First-line and maintenance therapy for MMN</w:t>
            </w:r>
          </w:p>
        </w:tc>
        <w:tc>
          <w:tcPr>
            <w:tcW w:w="7036" w:type="dxa"/>
            <w:vAlign w:val="center"/>
          </w:tcPr>
          <w:p w14:paraId="1E50D29B" w14:textId="77777777" w:rsidR="00E5089D" w:rsidRPr="001B3EE2" w:rsidRDefault="00E5089D" w:rsidP="002E4F05">
            <w:pPr>
              <w:spacing w:after="0"/>
              <w:jc w:val="left"/>
              <w:rPr>
                <w:rFonts w:asciiTheme="minorHAnsi" w:hAnsiTheme="minorHAnsi" w:cstheme="minorHAnsi"/>
                <w:b/>
                <w:bCs/>
                <w:sz w:val="20"/>
                <w:szCs w:val="20"/>
                <w:u w:val="single"/>
              </w:rPr>
            </w:pPr>
            <w:r w:rsidRPr="001B3EE2">
              <w:rPr>
                <w:rFonts w:asciiTheme="minorHAnsi" w:hAnsiTheme="minorHAnsi" w:cstheme="minorHAnsi"/>
                <w:b/>
                <w:bCs/>
                <w:sz w:val="20"/>
                <w:szCs w:val="20"/>
                <w:u w:val="single"/>
              </w:rPr>
              <w:t xml:space="preserve">Induction Dose </w:t>
            </w:r>
          </w:p>
          <w:p w14:paraId="1DAC596E" w14:textId="5B4E8CF1" w:rsidR="00E5089D" w:rsidRPr="001B3EE2" w:rsidRDefault="00E5089D" w:rsidP="002E4F05">
            <w:pPr>
              <w:spacing w:after="0"/>
              <w:jc w:val="left"/>
              <w:rPr>
                <w:rFonts w:asciiTheme="minorHAnsi" w:hAnsiTheme="minorHAnsi" w:cstheme="minorHAnsi"/>
                <w:sz w:val="20"/>
                <w:szCs w:val="20"/>
              </w:rPr>
            </w:pPr>
            <w:r w:rsidRPr="001B3EE2">
              <w:rPr>
                <w:rFonts w:asciiTheme="minorHAnsi" w:hAnsiTheme="minorHAnsi" w:cstheme="minorHAnsi"/>
                <w:sz w:val="20"/>
                <w:szCs w:val="20"/>
              </w:rPr>
              <w:t xml:space="preserve">2 g/kg </w:t>
            </w:r>
            <w:r w:rsidR="0013370A" w:rsidRPr="001B3EE2">
              <w:rPr>
                <w:rFonts w:asciiTheme="minorHAnsi" w:hAnsiTheme="minorHAnsi" w:cstheme="minorHAnsi"/>
                <w:sz w:val="20"/>
                <w:szCs w:val="20"/>
              </w:rPr>
              <w:t xml:space="preserve">divided </w:t>
            </w:r>
            <w:r w:rsidRPr="001B3EE2">
              <w:rPr>
                <w:rFonts w:asciiTheme="minorHAnsi" w:hAnsiTheme="minorHAnsi" w:cstheme="minorHAnsi"/>
                <w:sz w:val="20"/>
                <w:szCs w:val="20"/>
              </w:rPr>
              <w:t>in 2 to 5 doses.</w:t>
            </w:r>
          </w:p>
          <w:p w14:paraId="77EF919F" w14:textId="77777777" w:rsidR="00E5089D" w:rsidRPr="001B3EE2" w:rsidRDefault="00E5089D" w:rsidP="002E4F05">
            <w:pPr>
              <w:spacing w:after="0"/>
              <w:jc w:val="left"/>
              <w:rPr>
                <w:rFonts w:asciiTheme="minorHAnsi" w:hAnsiTheme="minorHAnsi" w:cstheme="minorHAnsi"/>
                <w:sz w:val="20"/>
                <w:szCs w:val="20"/>
                <w:u w:val="single"/>
              </w:rPr>
            </w:pPr>
            <w:r w:rsidRPr="001B3EE2">
              <w:rPr>
                <w:rFonts w:asciiTheme="minorHAnsi" w:hAnsiTheme="minorHAnsi" w:cstheme="minorHAnsi"/>
                <w:b/>
                <w:bCs/>
                <w:sz w:val="20"/>
                <w:szCs w:val="20"/>
                <w:u w:val="single"/>
              </w:rPr>
              <w:t xml:space="preserve">Maintenance Dose </w:t>
            </w:r>
            <w:r w:rsidRPr="001B3EE2">
              <w:rPr>
                <w:rFonts w:asciiTheme="minorHAnsi" w:hAnsiTheme="minorHAnsi" w:cstheme="minorHAnsi"/>
                <w:sz w:val="20"/>
                <w:szCs w:val="20"/>
                <w:u w:val="single"/>
              </w:rPr>
              <w:t xml:space="preserve"> </w:t>
            </w:r>
          </w:p>
          <w:p w14:paraId="378AA0FA" w14:textId="6705CFB0" w:rsidR="00E5089D" w:rsidRPr="001B3EE2" w:rsidRDefault="00E5089D" w:rsidP="002E4F05">
            <w:pPr>
              <w:spacing w:after="0"/>
              <w:jc w:val="left"/>
              <w:rPr>
                <w:rFonts w:asciiTheme="minorHAnsi" w:hAnsiTheme="minorHAnsi" w:cstheme="minorHAnsi"/>
                <w:i/>
                <w:sz w:val="20"/>
                <w:szCs w:val="20"/>
              </w:rPr>
            </w:pPr>
            <w:r w:rsidRPr="001B3EE2">
              <w:rPr>
                <w:rFonts w:asciiTheme="minorHAnsi" w:hAnsiTheme="minorHAnsi" w:cstheme="minorHAnsi"/>
                <w:sz w:val="20"/>
                <w:szCs w:val="20"/>
              </w:rPr>
              <w:t>0.4–1 g/kg, 2–6 weekly. The amount per dose should be titrated to the individual’s response, up to a maximum dose of 2 g/</w:t>
            </w:r>
            <w:r w:rsidR="004E467C" w:rsidRPr="001B3EE2">
              <w:rPr>
                <w:rFonts w:asciiTheme="minorHAnsi" w:hAnsiTheme="minorHAnsi" w:cstheme="minorHAnsi"/>
                <w:sz w:val="20"/>
                <w:szCs w:val="20"/>
              </w:rPr>
              <w:t xml:space="preserve">kg </w:t>
            </w:r>
            <w:r w:rsidRPr="001B3EE2">
              <w:rPr>
                <w:rFonts w:asciiTheme="minorHAnsi" w:hAnsiTheme="minorHAnsi" w:cstheme="minorHAnsi"/>
                <w:sz w:val="20"/>
                <w:szCs w:val="20"/>
              </w:rPr>
              <w:t xml:space="preserve">in any 4 week period. </w:t>
            </w:r>
            <w:r w:rsidR="00866A6F" w:rsidRPr="001B3EE2">
              <w:rPr>
                <w:rFonts w:asciiTheme="minorHAnsi" w:hAnsiTheme="minorHAnsi" w:cstheme="minorHAnsi"/>
                <w:sz w:val="20"/>
                <w:szCs w:val="20"/>
              </w:rPr>
              <w:t>This might be administered in divided doses.</w:t>
            </w:r>
            <w:r w:rsidR="0055302E">
              <w:rPr>
                <w:rFonts w:asciiTheme="minorHAnsi" w:hAnsiTheme="minorHAnsi" w:cstheme="minorHAnsi"/>
                <w:sz w:val="20"/>
                <w:szCs w:val="20"/>
              </w:rPr>
              <w:t xml:space="preserve"> The aim should be to use the lowest dose possible that achieves the appropriate clinical outcome for each patient. </w:t>
            </w:r>
          </w:p>
        </w:tc>
      </w:tr>
      <w:tr w:rsidR="00E5089D" w:rsidRPr="001B3EE2" w14:paraId="21701818" w14:textId="77777777" w:rsidTr="001B3EE2">
        <w:tc>
          <w:tcPr>
            <w:tcW w:w="1980" w:type="dxa"/>
            <w:vAlign w:val="center"/>
          </w:tcPr>
          <w:p w14:paraId="47AF5BCB" w14:textId="77777777" w:rsidR="00E5089D" w:rsidRPr="001B3EE2" w:rsidRDefault="00E5089D" w:rsidP="002E4F05">
            <w:pPr>
              <w:spacing w:after="0"/>
              <w:jc w:val="left"/>
              <w:rPr>
                <w:rFonts w:asciiTheme="minorHAnsi" w:hAnsiTheme="minorHAnsi" w:cstheme="minorHAnsi"/>
                <w:sz w:val="20"/>
                <w:szCs w:val="20"/>
              </w:rPr>
            </w:pPr>
            <w:r w:rsidRPr="001B3EE2">
              <w:rPr>
                <w:rFonts w:asciiTheme="minorHAnsi" w:hAnsiTheme="minorHAnsi" w:cstheme="minorHAnsi"/>
                <w:sz w:val="20"/>
                <w:szCs w:val="20"/>
              </w:rPr>
              <w:lastRenderedPageBreak/>
              <w:t>Relapse of MMN patients within six months of commencement of a trial off Ig therapy</w:t>
            </w:r>
          </w:p>
        </w:tc>
        <w:tc>
          <w:tcPr>
            <w:tcW w:w="7036" w:type="dxa"/>
            <w:vAlign w:val="center"/>
          </w:tcPr>
          <w:p w14:paraId="2D614441" w14:textId="77777777" w:rsidR="00E5089D" w:rsidRPr="001B3EE2" w:rsidRDefault="00E5089D" w:rsidP="002E4F05">
            <w:pPr>
              <w:spacing w:after="0"/>
              <w:jc w:val="left"/>
              <w:rPr>
                <w:rFonts w:asciiTheme="minorHAnsi" w:hAnsiTheme="minorHAnsi" w:cstheme="minorHAnsi"/>
                <w:b/>
                <w:bCs/>
                <w:sz w:val="20"/>
                <w:szCs w:val="20"/>
                <w:u w:val="single"/>
              </w:rPr>
            </w:pPr>
            <w:r w:rsidRPr="001B3EE2">
              <w:rPr>
                <w:rFonts w:asciiTheme="minorHAnsi" w:hAnsiTheme="minorHAnsi" w:cstheme="minorHAnsi"/>
                <w:b/>
                <w:bCs/>
                <w:sz w:val="20"/>
                <w:szCs w:val="20"/>
                <w:u w:val="single"/>
              </w:rPr>
              <w:t xml:space="preserve">Induction Dose </w:t>
            </w:r>
          </w:p>
          <w:p w14:paraId="07842C5C" w14:textId="77777777" w:rsidR="00E5089D" w:rsidRPr="001B3EE2" w:rsidRDefault="00E5089D" w:rsidP="002E4F05">
            <w:pPr>
              <w:spacing w:after="0"/>
              <w:jc w:val="left"/>
              <w:rPr>
                <w:rFonts w:asciiTheme="minorHAnsi" w:hAnsiTheme="minorHAnsi" w:cstheme="minorHAnsi"/>
                <w:sz w:val="20"/>
                <w:szCs w:val="20"/>
              </w:rPr>
            </w:pPr>
            <w:r w:rsidRPr="001B3EE2">
              <w:rPr>
                <w:rFonts w:asciiTheme="minorHAnsi" w:hAnsiTheme="minorHAnsi" w:cstheme="minorHAnsi"/>
                <w:sz w:val="20"/>
                <w:szCs w:val="20"/>
              </w:rPr>
              <w:t>1-2 g/kg in 2 to 5 divided doses.</w:t>
            </w:r>
          </w:p>
          <w:p w14:paraId="74A6887B" w14:textId="77777777" w:rsidR="00E5089D" w:rsidRPr="001B3EE2" w:rsidRDefault="00E5089D" w:rsidP="002E4F05">
            <w:pPr>
              <w:spacing w:after="0"/>
              <w:jc w:val="left"/>
              <w:rPr>
                <w:rFonts w:asciiTheme="minorHAnsi" w:hAnsiTheme="minorHAnsi" w:cstheme="minorHAnsi"/>
                <w:sz w:val="20"/>
                <w:szCs w:val="20"/>
                <w:u w:val="single"/>
              </w:rPr>
            </w:pPr>
            <w:r w:rsidRPr="001B3EE2">
              <w:rPr>
                <w:rFonts w:asciiTheme="minorHAnsi" w:hAnsiTheme="minorHAnsi" w:cstheme="minorHAnsi"/>
                <w:b/>
                <w:bCs/>
                <w:sz w:val="20"/>
                <w:szCs w:val="20"/>
                <w:u w:val="single"/>
              </w:rPr>
              <w:t xml:space="preserve">Maintenance Dose </w:t>
            </w:r>
            <w:r w:rsidRPr="001B3EE2">
              <w:rPr>
                <w:rFonts w:asciiTheme="minorHAnsi" w:hAnsiTheme="minorHAnsi" w:cstheme="minorHAnsi"/>
                <w:sz w:val="20"/>
                <w:szCs w:val="20"/>
                <w:u w:val="single"/>
              </w:rPr>
              <w:t xml:space="preserve"> </w:t>
            </w:r>
          </w:p>
          <w:p w14:paraId="77EB8592" w14:textId="64F18B7B" w:rsidR="00E5089D" w:rsidRPr="001B3EE2" w:rsidRDefault="00E5089D" w:rsidP="002E4F05">
            <w:pPr>
              <w:spacing w:after="0"/>
              <w:jc w:val="left"/>
              <w:rPr>
                <w:rFonts w:asciiTheme="minorHAnsi" w:hAnsiTheme="minorHAnsi" w:cstheme="minorHAnsi"/>
                <w:i/>
                <w:sz w:val="20"/>
                <w:szCs w:val="20"/>
              </w:rPr>
            </w:pPr>
            <w:r w:rsidRPr="001B3EE2">
              <w:rPr>
                <w:rFonts w:asciiTheme="minorHAnsi" w:hAnsiTheme="minorHAnsi" w:cstheme="minorHAnsi"/>
                <w:sz w:val="20"/>
                <w:szCs w:val="20"/>
              </w:rPr>
              <w:t>0.4–1 g/kg, 2–6 weekly. The amount per dose should be titrated to the individual’s response, up to a maximum dose of 2 g/</w:t>
            </w:r>
            <w:r w:rsidR="00841F2D" w:rsidRPr="001B3EE2">
              <w:rPr>
                <w:rFonts w:asciiTheme="minorHAnsi" w:hAnsiTheme="minorHAnsi" w:cstheme="minorHAnsi"/>
                <w:sz w:val="20"/>
                <w:szCs w:val="20"/>
              </w:rPr>
              <w:t>k</w:t>
            </w:r>
            <w:r w:rsidRPr="001B3EE2">
              <w:rPr>
                <w:rFonts w:asciiTheme="minorHAnsi" w:hAnsiTheme="minorHAnsi" w:cstheme="minorHAnsi"/>
                <w:sz w:val="20"/>
                <w:szCs w:val="20"/>
              </w:rPr>
              <w:t>g in any 4 week period. This might be by smaller doses more frequently than fortnightly.</w:t>
            </w:r>
            <w:r w:rsidR="0055302E">
              <w:rPr>
                <w:rFonts w:asciiTheme="minorHAnsi" w:hAnsiTheme="minorHAnsi" w:cstheme="minorHAnsi"/>
                <w:sz w:val="20"/>
                <w:szCs w:val="20"/>
              </w:rPr>
              <w:t xml:space="preserve"> The aim should be to use the lowest dose possible that achieves the appropriate clinical outcome for each patient.</w:t>
            </w:r>
          </w:p>
        </w:tc>
      </w:tr>
    </w:tbl>
    <w:p w14:paraId="6459137A" w14:textId="301C61F0" w:rsidR="00E5089D" w:rsidRDefault="00E5089D" w:rsidP="003A3782">
      <w:pPr>
        <w:pStyle w:val="NoSpacing"/>
        <w:spacing w:after="0"/>
      </w:pPr>
      <w:r w:rsidRPr="00BC2A83">
        <w:t>Abbreviations:</w:t>
      </w:r>
      <w:r>
        <w:t xml:space="preserve"> g = gram; IVIg = intravenous immunoglobulin; </w:t>
      </w:r>
      <w:r w:rsidR="006E00E2">
        <w:t>k</w:t>
      </w:r>
      <w:r>
        <w:t>g = kilogram; MMN = multifocal motor neuropathy.</w:t>
      </w:r>
    </w:p>
    <w:p w14:paraId="2AB86AC5" w14:textId="2A38149A" w:rsidR="00EF4EC4" w:rsidRDefault="00EF4EC4" w:rsidP="003A3782">
      <w:pPr>
        <w:pStyle w:val="NoSpacing"/>
        <w:spacing w:after="0"/>
      </w:pPr>
      <w:r>
        <w:t xml:space="preserve">Note: For both indications </w:t>
      </w:r>
      <w:r w:rsidRPr="00EF4EC4">
        <w:t>the aim should be to use the lowest dose possible that achieves the appropriate clinical outcome for each patient.</w:t>
      </w:r>
      <w:r>
        <w:t xml:space="preserve"> </w:t>
      </w:r>
      <w:r w:rsidRPr="00EF4EC4">
        <w:t>Refer to the current product information sheet for further information on dose, administration and contraindications.</w:t>
      </w:r>
    </w:p>
    <w:p w14:paraId="484D2974" w14:textId="6E23CCA2" w:rsidR="00E5089D" w:rsidRDefault="00E5089D" w:rsidP="003A3782">
      <w:pPr>
        <w:pStyle w:val="NoSpacing"/>
        <w:spacing w:after="0"/>
      </w:pPr>
      <w:r>
        <w:t xml:space="preserve">Source: BloodSTAR (2018). </w:t>
      </w:r>
      <w:hyperlink r:id="rId12" w:history="1">
        <w:r w:rsidRPr="00134427">
          <w:rPr>
            <w:rStyle w:val="Hyperlink"/>
          </w:rPr>
          <w:t>The Criteria for clinical use of immunoglobulin in Australia (the Criteria); multifoc</w:t>
        </w:r>
        <w:r w:rsidR="00134427" w:rsidRPr="00134427">
          <w:rPr>
            <w:rStyle w:val="Hyperlink"/>
          </w:rPr>
          <w:t>al motor neuropathy</w:t>
        </w:r>
      </w:hyperlink>
      <w:r w:rsidR="00134427">
        <w:t>, Version 3</w:t>
      </w:r>
      <w:r>
        <w:t>.</w:t>
      </w:r>
    </w:p>
    <w:p w14:paraId="237A0D28" w14:textId="6FFF730D" w:rsidR="0013370A" w:rsidRPr="000967E6" w:rsidRDefault="003C154C" w:rsidP="007D77A8">
      <w:pPr>
        <w:pStyle w:val="Heading2"/>
      </w:pPr>
      <w:r>
        <w:t xml:space="preserve">2.2 </w:t>
      </w:r>
      <w:r w:rsidR="0013370A" w:rsidRPr="000967E6">
        <w:t xml:space="preserve">Service delivery </w:t>
      </w:r>
    </w:p>
    <w:p w14:paraId="246B6AA7" w14:textId="18CDB733" w:rsidR="00906A74" w:rsidRDefault="0013370A" w:rsidP="00154648">
      <w:r>
        <w:t xml:space="preserve">IVIg can be delivered in different settings depending on various factors. In Australia, </w:t>
      </w:r>
      <w:r w:rsidR="00906A74">
        <w:t>IVIg therapy can be delivered in one of the following settings:</w:t>
      </w:r>
    </w:p>
    <w:p w14:paraId="4B36CBEB" w14:textId="13694FC4" w:rsidR="00906A74" w:rsidRPr="0002422D" w:rsidRDefault="00906A74" w:rsidP="0002422D">
      <w:pPr>
        <w:pStyle w:val="ListParagraph"/>
      </w:pPr>
      <w:r w:rsidRPr="0002422D">
        <w:t>Inpatient private hospital</w:t>
      </w:r>
    </w:p>
    <w:p w14:paraId="4A25C887" w14:textId="3716BE24" w:rsidR="00906A74" w:rsidRPr="0002422D" w:rsidRDefault="00906A74" w:rsidP="0002422D">
      <w:pPr>
        <w:pStyle w:val="ListParagraph"/>
      </w:pPr>
      <w:r w:rsidRPr="0002422D">
        <w:t>Inpatient public hospital (as private patient</w:t>
      </w:r>
      <w:r w:rsidR="0013370A" w:rsidRPr="0002422D">
        <w:t>)</w:t>
      </w:r>
    </w:p>
    <w:p w14:paraId="0AF87044" w14:textId="21DF8804" w:rsidR="00906A74" w:rsidRPr="0002422D" w:rsidRDefault="00906A74" w:rsidP="0002422D">
      <w:pPr>
        <w:pStyle w:val="ListParagraph"/>
      </w:pPr>
      <w:r w:rsidRPr="0002422D">
        <w:t>Inpatient public hospital</w:t>
      </w:r>
      <w:r w:rsidR="0034018F" w:rsidRPr="0002422D">
        <w:t xml:space="preserve"> (as public patient)</w:t>
      </w:r>
    </w:p>
    <w:p w14:paraId="1771C5A4" w14:textId="4252DF01" w:rsidR="0034018F" w:rsidRPr="0002422D" w:rsidRDefault="0034018F" w:rsidP="0002422D">
      <w:pPr>
        <w:pStyle w:val="ListParagraph"/>
      </w:pPr>
      <w:r w:rsidRPr="0002422D">
        <w:t>Outpatient clinic</w:t>
      </w:r>
    </w:p>
    <w:p w14:paraId="0041FC03" w14:textId="598CDEBA" w:rsidR="0034018F" w:rsidRPr="0002422D" w:rsidRDefault="0034018F" w:rsidP="0002422D">
      <w:pPr>
        <w:pStyle w:val="ListParagraph"/>
      </w:pPr>
      <w:r w:rsidRPr="0002422D">
        <w:t>Patient’s home</w:t>
      </w:r>
    </w:p>
    <w:p w14:paraId="43057733" w14:textId="47E87CF0" w:rsidR="0034018F" w:rsidRPr="0002422D" w:rsidRDefault="0034018F" w:rsidP="0002422D">
      <w:pPr>
        <w:pStyle w:val="ListParagraph"/>
      </w:pPr>
      <w:r w:rsidRPr="0002422D">
        <w:t>Private same day infusion facility unattached to a hospital.</w:t>
      </w:r>
    </w:p>
    <w:p w14:paraId="5BEC08F0" w14:textId="71BD1959" w:rsidR="00906A74" w:rsidRDefault="00207697" w:rsidP="00154648">
      <w:r>
        <w:t>The time</w:t>
      </w:r>
      <w:r w:rsidR="00906A74">
        <w:t>frame</w:t>
      </w:r>
      <w:r>
        <w:t xml:space="preserve"> t</w:t>
      </w:r>
      <w:r w:rsidR="00906A74">
        <w:t xml:space="preserve">aken to administer IVIg </w:t>
      </w:r>
      <w:r w:rsidR="00057C1B">
        <w:t>varies</w:t>
      </w:r>
      <w:r w:rsidR="0013370A">
        <w:t xml:space="preserve"> between patients and </w:t>
      </w:r>
      <w:r>
        <w:t>depend</w:t>
      </w:r>
      <w:r w:rsidR="0013370A">
        <w:t>s</w:t>
      </w:r>
      <w:r w:rsidR="00906A74">
        <w:t xml:space="preserve"> on:</w:t>
      </w:r>
    </w:p>
    <w:p w14:paraId="56AB3468" w14:textId="73C4433D" w:rsidR="00906A74" w:rsidRPr="00E9264A" w:rsidRDefault="00906A74" w:rsidP="00E9264A">
      <w:pPr>
        <w:pStyle w:val="ListParagraph"/>
      </w:pPr>
      <w:r w:rsidRPr="00E9264A">
        <w:t>Dose required</w:t>
      </w:r>
    </w:p>
    <w:p w14:paraId="5B4EE45B" w14:textId="3A1765C9" w:rsidR="00906A74" w:rsidRPr="00E9264A" w:rsidRDefault="00906A74" w:rsidP="00E9264A">
      <w:pPr>
        <w:pStyle w:val="ListParagraph"/>
      </w:pPr>
      <w:r w:rsidRPr="00E9264A">
        <w:t xml:space="preserve">Weight of </w:t>
      </w:r>
      <w:r w:rsidR="00A07AE8" w:rsidRPr="00E9264A">
        <w:t xml:space="preserve">the </w:t>
      </w:r>
      <w:r w:rsidRPr="00E9264A">
        <w:t>patient</w:t>
      </w:r>
    </w:p>
    <w:p w14:paraId="1DBDDBB4" w14:textId="73226BFD" w:rsidR="00906A74" w:rsidRPr="00E9264A" w:rsidRDefault="00841F2D" w:rsidP="00E9264A">
      <w:pPr>
        <w:pStyle w:val="ListParagraph"/>
      </w:pPr>
      <w:r w:rsidRPr="00E9264A">
        <w:t>Specifications of p</w:t>
      </w:r>
      <w:r w:rsidR="00906A74" w:rsidRPr="00E9264A">
        <w:t>roduct information and hospital protocol on infusion rate</w:t>
      </w:r>
    </w:p>
    <w:p w14:paraId="4C3E067A" w14:textId="44E563BE" w:rsidR="00906A74" w:rsidRPr="00E9264A" w:rsidRDefault="00906A74" w:rsidP="00E9264A">
      <w:pPr>
        <w:pStyle w:val="ListParagraph"/>
      </w:pPr>
      <w:r w:rsidRPr="00E9264A">
        <w:t>Patient’s response during infusion</w:t>
      </w:r>
      <w:r w:rsidR="0048121D" w:rsidRPr="00E9264A">
        <w:t>.</w:t>
      </w:r>
    </w:p>
    <w:p w14:paraId="041DEEBC" w14:textId="73DFDCB1" w:rsidR="00365A0A" w:rsidRDefault="00906A74" w:rsidP="00154648">
      <w:r>
        <w:t>Patients requiring smaller</w:t>
      </w:r>
      <w:r w:rsidR="00207697">
        <w:t xml:space="preserve"> does are </w:t>
      </w:r>
      <w:r>
        <w:t>likely to attend the hospital/clinic for a day procedure. Larger doses may be split over several days and patients may (or may not) be required to attend a ‘day procedure’ on a number of days (usually consecutive) each month.</w:t>
      </w:r>
      <w:r w:rsidR="00134427">
        <w:t xml:space="preserve"> S</w:t>
      </w:r>
      <w:r w:rsidR="0034018F">
        <w:t xml:space="preserve">ome patients </w:t>
      </w:r>
      <w:r w:rsidR="00877E13">
        <w:t xml:space="preserve">may require admission </w:t>
      </w:r>
      <w:r w:rsidR="0013370A">
        <w:t xml:space="preserve">to hospital </w:t>
      </w:r>
      <w:r w:rsidR="00877E13">
        <w:t>due to comorbidities, advanced age, doses</w:t>
      </w:r>
      <w:r w:rsidR="00134427">
        <w:t xml:space="preserve"> required over multiple days or</w:t>
      </w:r>
      <w:r w:rsidR="00877E13">
        <w:t xml:space="preserve"> patient preference.</w:t>
      </w:r>
    </w:p>
    <w:p w14:paraId="56F7CE37" w14:textId="01CF3F29" w:rsidR="00207697" w:rsidRPr="007D77A8" w:rsidRDefault="0013370A" w:rsidP="00154648">
      <w:r w:rsidRPr="000967E6">
        <w:t>The required dose</w:t>
      </w:r>
      <w:r w:rsidR="008F0C77" w:rsidRPr="000967E6">
        <w:t xml:space="preserve"> of IVIg</w:t>
      </w:r>
      <w:r w:rsidRPr="000967E6">
        <w:t xml:space="preserve"> must be </w:t>
      </w:r>
      <w:r w:rsidR="008F0C77" w:rsidRPr="000967E6">
        <w:t xml:space="preserve">established by the treating doctor while </w:t>
      </w:r>
      <w:r w:rsidR="00C0209F" w:rsidRPr="008F0C77">
        <w:t xml:space="preserve">its administration </w:t>
      </w:r>
      <w:r w:rsidR="008F0C77">
        <w:t xml:space="preserve">can be </w:t>
      </w:r>
      <w:r w:rsidR="00C0209F" w:rsidRPr="008F0C77">
        <w:t>undertaken by</w:t>
      </w:r>
      <w:r w:rsidR="00C0209F">
        <w:t xml:space="preserve"> </w:t>
      </w:r>
      <w:r w:rsidR="008F0C77">
        <w:t xml:space="preserve">a </w:t>
      </w:r>
      <w:r w:rsidR="00C0209F">
        <w:t xml:space="preserve">junior doctor or by nursing staff. During the course of the infusion, a registered or enrolled nurse monitors the vital signs (temperature, pulse and blood pressure) of the patient. Some </w:t>
      </w:r>
      <w:r w:rsidR="008F0C77">
        <w:t>IV</w:t>
      </w:r>
      <w:r w:rsidR="00C0209F">
        <w:t>Ig products</w:t>
      </w:r>
      <w:r w:rsidR="009D2EB6">
        <w:t>,</w:t>
      </w:r>
      <w:r w:rsidR="00C0209F">
        <w:t xml:space="preserve"> such as Flebogamma</w:t>
      </w:r>
      <w:r w:rsidR="008F0C77">
        <w:rPr>
          <w:rFonts w:cs="Calibri"/>
        </w:rPr>
        <w:t>®</w:t>
      </w:r>
      <w:r w:rsidR="008F0C77">
        <w:t>,</w:t>
      </w:r>
      <w:r w:rsidR="00C0209F">
        <w:t xml:space="preserve"> require that </w:t>
      </w:r>
      <w:r w:rsidR="00A07AE8">
        <w:t xml:space="preserve">the </w:t>
      </w:r>
      <w:r w:rsidR="00C0209F">
        <w:t xml:space="preserve">patient is hydrated before infusion and </w:t>
      </w:r>
      <w:r w:rsidR="008F0C77">
        <w:t xml:space="preserve">that </w:t>
      </w:r>
      <w:r w:rsidR="00C0209F">
        <w:t xml:space="preserve">urine output and serum creatinine levels </w:t>
      </w:r>
      <w:r w:rsidR="008F0C77">
        <w:t xml:space="preserve">be </w:t>
      </w:r>
      <w:r w:rsidR="00C0209F">
        <w:t>monitored. Concomitant medications such as analgesia and/or antihistamine</w:t>
      </w:r>
      <w:r w:rsidR="008F0C77">
        <w:t>s</w:t>
      </w:r>
      <w:r w:rsidR="00C0209F">
        <w:t xml:space="preserve"> may be required to manage infusion reactions </w:t>
      </w:r>
      <w:r w:rsidR="008F0C77">
        <w:t>(e.g</w:t>
      </w:r>
      <w:r w:rsidR="001B3EE2">
        <w:t>.</w:t>
      </w:r>
      <w:r w:rsidR="008F0C77">
        <w:t xml:space="preserve"> </w:t>
      </w:r>
      <w:r w:rsidR="00C0209F">
        <w:t>headaches, rash and flushes</w:t>
      </w:r>
      <w:r w:rsidR="008F0C77">
        <w:t>)</w:t>
      </w:r>
      <w:r w:rsidR="00C0209F">
        <w:t>.</w:t>
      </w:r>
    </w:p>
    <w:p w14:paraId="4C4F4B5F" w14:textId="72E0B4AA" w:rsidR="00365A0A" w:rsidRPr="009D5338" w:rsidRDefault="003C154C" w:rsidP="007D77A8">
      <w:pPr>
        <w:pStyle w:val="Heading2"/>
      </w:pPr>
      <w:r>
        <w:t xml:space="preserve">2.3 </w:t>
      </w:r>
      <w:r w:rsidR="00365A0A" w:rsidRPr="009D5338">
        <w:t>Current usage of IV</w:t>
      </w:r>
      <w:r w:rsidR="009D2EB6">
        <w:t>I</w:t>
      </w:r>
      <w:r w:rsidR="00365A0A" w:rsidRPr="009D5338">
        <w:t>g therapy for MMN in Australia</w:t>
      </w:r>
    </w:p>
    <w:p w14:paraId="190B69BC" w14:textId="781F6CA6" w:rsidR="00365A0A" w:rsidRDefault="00365A0A" w:rsidP="00154648">
      <w:r>
        <w:t>The use of IV</w:t>
      </w:r>
      <w:r w:rsidR="009D2EB6">
        <w:t>I</w:t>
      </w:r>
      <w:r>
        <w:t xml:space="preserve">g therapy for MMN over recent years as derived from the </w:t>
      </w:r>
      <w:r w:rsidR="008F0C77">
        <w:t>NBA</w:t>
      </w:r>
      <w:r>
        <w:t xml:space="preserve"> internal data is provided in Table </w:t>
      </w:r>
      <w:r w:rsidR="00C719C6">
        <w:t>8</w:t>
      </w:r>
      <w:r>
        <w:t xml:space="preserve">. </w:t>
      </w:r>
      <w:r w:rsidR="00D37E0A">
        <w:t xml:space="preserve">An average of 633 grams </w:t>
      </w:r>
      <w:r>
        <w:t>per patient</w:t>
      </w:r>
      <w:r w:rsidR="00D37E0A">
        <w:t xml:space="preserve"> was used</w:t>
      </w:r>
      <w:r>
        <w:t xml:space="preserve"> </w:t>
      </w:r>
      <w:r w:rsidR="00D37E0A">
        <w:t>during</w:t>
      </w:r>
      <w:r>
        <w:t xml:space="preserve"> 2017-18.</w:t>
      </w:r>
      <w:r w:rsidR="00A31057">
        <w:t xml:space="preserve"> </w:t>
      </w:r>
    </w:p>
    <w:p w14:paraId="65E40C30" w14:textId="62439CA6" w:rsidR="00365A0A" w:rsidRPr="00FD7C24" w:rsidRDefault="00365A0A" w:rsidP="00365A0A">
      <w:pPr>
        <w:spacing w:after="0" w:line="240" w:lineRule="auto"/>
        <w:rPr>
          <w:b/>
          <w:sz w:val="20"/>
          <w:szCs w:val="20"/>
        </w:rPr>
      </w:pPr>
      <w:r w:rsidRPr="00FD7C24">
        <w:rPr>
          <w:b/>
          <w:sz w:val="20"/>
          <w:szCs w:val="20"/>
        </w:rPr>
        <w:lastRenderedPageBreak/>
        <w:t xml:space="preserve">Table </w:t>
      </w:r>
      <w:r w:rsidR="00C719C6" w:rsidRPr="00FD7C24">
        <w:rPr>
          <w:b/>
          <w:sz w:val="20"/>
          <w:szCs w:val="20"/>
        </w:rPr>
        <w:t>8</w:t>
      </w:r>
      <w:r w:rsidRPr="00FD7C24">
        <w:rPr>
          <w:b/>
          <w:sz w:val="20"/>
          <w:szCs w:val="20"/>
        </w:rPr>
        <w:t>: Usage of IV</w:t>
      </w:r>
      <w:r w:rsidR="002E4F05">
        <w:rPr>
          <w:b/>
          <w:sz w:val="20"/>
          <w:szCs w:val="20"/>
        </w:rPr>
        <w:t>I</w:t>
      </w:r>
      <w:r w:rsidRPr="00FD7C24">
        <w:rPr>
          <w:b/>
          <w:sz w:val="20"/>
          <w:szCs w:val="20"/>
        </w:rPr>
        <w:t>g therapy over recent years for MMN</w:t>
      </w:r>
      <w:r w:rsidR="001D1530">
        <w:rPr>
          <w:b/>
          <w:sz w:val="20"/>
          <w:szCs w:val="20"/>
        </w:rPr>
        <w:t xml:space="preserve"> based on The Criteria Version 2.</w:t>
      </w:r>
    </w:p>
    <w:tbl>
      <w:tblPr>
        <w:tblStyle w:val="TableGrid"/>
        <w:tblW w:w="0" w:type="auto"/>
        <w:tblLayout w:type="fixed"/>
        <w:tblLook w:val="04A0" w:firstRow="1" w:lastRow="0" w:firstColumn="1" w:lastColumn="0" w:noHBand="0" w:noVBand="1"/>
        <w:tblCaption w:val="Table 8: Usage of IVIg therapy over recent years for MMN based on The Criteria Version 2."/>
      </w:tblPr>
      <w:tblGrid>
        <w:gridCol w:w="3114"/>
        <w:gridCol w:w="1276"/>
        <w:gridCol w:w="1275"/>
        <w:gridCol w:w="1134"/>
        <w:gridCol w:w="1134"/>
        <w:gridCol w:w="1083"/>
      </w:tblGrid>
      <w:tr w:rsidR="009B1589" w:rsidRPr="001B3EE2" w14:paraId="0FBA5ED2" w14:textId="77777777" w:rsidTr="00A50C1F">
        <w:trPr>
          <w:tblHeader/>
        </w:trPr>
        <w:tc>
          <w:tcPr>
            <w:tcW w:w="3114" w:type="dxa"/>
            <w:vAlign w:val="center"/>
          </w:tcPr>
          <w:p w14:paraId="78B484CC" w14:textId="77777777" w:rsidR="00365A0A" w:rsidRPr="001B3EE2" w:rsidRDefault="00365A0A" w:rsidP="002E4F05">
            <w:pPr>
              <w:keepNext/>
              <w:spacing w:after="0"/>
              <w:jc w:val="left"/>
              <w:rPr>
                <w:rFonts w:asciiTheme="minorHAnsi" w:hAnsiTheme="minorHAnsi" w:cstheme="minorHAnsi"/>
                <w:sz w:val="20"/>
                <w:szCs w:val="20"/>
              </w:rPr>
            </w:pPr>
          </w:p>
        </w:tc>
        <w:tc>
          <w:tcPr>
            <w:tcW w:w="1276" w:type="dxa"/>
            <w:vAlign w:val="center"/>
          </w:tcPr>
          <w:p w14:paraId="40576D83" w14:textId="77777777" w:rsidR="00365A0A" w:rsidRPr="001B3EE2" w:rsidRDefault="00365A0A" w:rsidP="002E4F05">
            <w:pPr>
              <w:keepNext/>
              <w:spacing w:after="0"/>
              <w:jc w:val="left"/>
              <w:rPr>
                <w:rFonts w:asciiTheme="minorHAnsi" w:hAnsiTheme="minorHAnsi" w:cstheme="minorHAnsi"/>
                <w:b/>
                <w:sz w:val="20"/>
                <w:szCs w:val="20"/>
              </w:rPr>
            </w:pPr>
            <w:r w:rsidRPr="001B3EE2">
              <w:rPr>
                <w:rFonts w:asciiTheme="minorHAnsi" w:hAnsiTheme="minorHAnsi" w:cstheme="minorHAnsi"/>
                <w:b/>
                <w:sz w:val="20"/>
                <w:szCs w:val="20"/>
              </w:rPr>
              <w:t>2013-14</w:t>
            </w:r>
          </w:p>
        </w:tc>
        <w:tc>
          <w:tcPr>
            <w:tcW w:w="1275" w:type="dxa"/>
            <w:vAlign w:val="center"/>
          </w:tcPr>
          <w:p w14:paraId="7511078A" w14:textId="77777777" w:rsidR="00365A0A" w:rsidRPr="001B3EE2" w:rsidRDefault="00365A0A" w:rsidP="002E4F05">
            <w:pPr>
              <w:keepNext/>
              <w:spacing w:after="0"/>
              <w:jc w:val="left"/>
              <w:rPr>
                <w:rFonts w:asciiTheme="minorHAnsi" w:hAnsiTheme="minorHAnsi" w:cstheme="minorHAnsi"/>
                <w:b/>
                <w:sz w:val="20"/>
                <w:szCs w:val="20"/>
              </w:rPr>
            </w:pPr>
            <w:r w:rsidRPr="001B3EE2">
              <w:rPr>
                <w:rFonts w:asciiTheme="minorHAnsi" w:hAnsiTheme="minorHAnsi" w:cstheme="minorHAnsi"/>
                <w:b/>
                <w:sz w:val="20"/>
                <w:szCs w:val="20"/>
              </w:rPr>
              <w:t>2014-15</w:t>
            </w:r>
          </w:p>
        </w:tc>
        <w:tc>
          <w:tcPr>
            <w:tcW w:w="1134" w:type="dxa"/>
            <w:vAlign w:val="center"/>
          </w:tcPr>
          <w:p w14:paraId="295B27E1" w14:textId="77777777" w:rsidR="00365A0A" w:rsidRPr="001B3EE2" w:rsidRDefault="00365A0A" w:rsidP="002E4F05">
            <w:pPr>
              <w:keepNext/>
              <w:spacing w:after="0"/>
              <w:jc w:val="left"/>
              <w:rPr>
                <w:rFonts w:asciiTheme="minorHAnsi" w:hAnsiTheme="minorHAnsi" w:cstheme="minorHAnsi"/>
                <w:b/>
                <w:sz w:val="20"/>
                <w:szCs w:val="20"/>
              </w:rPr>
            </w:pPr>
            <w:r w:rsidRPr="001B3EE2">
              <w:rPr>
                <w:rFonts w:asciiTheme="minorHAnsi" w:hAnsiTheme="minorHAnsi" w:cstheme="minorHAnsi"/>
                <w:b/>
                <w:sz w:val="20"/>
                <w:szCs w:val="20"/>
              </w:rPr>
              <w:t>2015-16</w:t>
            </w:r>
          </w:p>
        </w:tc>
        <w:tc>
          <w:tcPr>
            <w:tcW w:w="1134" w:type="dxa"/>
            <w:vAlign w:val="center"/>
          </w:tcPr>
          <w:p w14:paraId="2915A833" w14:textId="77777777" w:rsidR="00365A0A" w:rsidRPr="001B3EE2" w:rsidRDefault="00365A0A" w:rsidP="002E4F05">
            <w:pPr>
              <w:keepNext/>
              <w:spacing w:after="0"/>
              <w:jc w:val="left"/>
              <w:rPr>
                <w:rFonts w:asciiTheme="minorHAnsi" w:hAnsiTheme="minorHAnsi" w:cstheme="minorHAnsi"/>
                <w:b/>
                <w:sz w:val="20"/>
                <w:szCs w:val="20"/>
              </w:rPr>
            </w:pPr>
            <w:r w:rsidRPr="001B3EE2">
              <w:rPr>
                <w:rFonts w:asciiTheme="minorHAnsi" w:hAnsiTheme="minorHAnsi" w:cstheme="minorHAnsi"/>
                <w:b/>
                <w:sz w:val="20"/>
                <w:szCs w:val="20"/>
              </w:rPr>
              <w:t>2016-17</w:t>
            </w:r>
          </w:p>
        </w:tc>
        <w:tc>
          <w:tcPr>
            <w:tcW w:w="1083" w:type="dxa"/>
            <w:vAlign w:val="center"/>
          </w:tcPr>
          <w:p w14:paraId="3EE26E9D" w14:textId="77777777" w:rsidR="00365A0A" w:rsidRPr="001B3EE2" w:rsidRDefault="00365A0A" w:rsidP="002E4F05">
            <w:pPr>
              <w:keepNext/>
              <w:spacing w:after="0"/>
              <w:jc w:val="left"/>
              <w:rPr>
                <w:rFonts w:asciiTheme="minorHAnsi" w:hAnsiTheme="minorHAnsi" w:cstheme="minorHAnsi"/>
                <w:b/>
                <w:sz w:val="20"/>
                <w:szCs w:val="20"/>
              </w:rPr>
            </w:pPr>
            <w:r w:rsidRPr="001B3EE2">
              <w:rPr>
                <w:rFonts w:asciiTheme="minorHAnsi" w:hAnsiTheme="minorHAnsi" w:cstheme="minorHAnsi"/>
                <w:b/>
                <w:sz w:val="20"/>
                <w:szCs w:val="20"/>
              </w:rPr>
              <w:t>2017-18</w:t>
            </w:r>
          </w:p>
        </w:tc>
      </w:tr>
      <w:tr w:rsidR="009B1589" w:rsidRPr="001B3EE2" w14:paraId="1029BEDF" w14:textId="77777777" w:rsidTr="001B3EE2">
        <w:tc>
          <w:tcPr>
            <w:tcW w:w="3114" w:type="dxa"/>
            <w:vAlign w:val="center"/>
          </w:tcPr>
          <w:p w14:paraId="7BD45356" w14:textId="55E00179"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New patient</w:t>
            </w:r>
            <w:r w:rsidR="00A07AE8" w:rsidRPr="001B3EE2">
              <w:rPr>
                <w:rFonts w:asciiTheme="minorHAnsi" w:hAnsiTheme="minorHAnsi" w:cstheme="minorHAnsi"/>
                <w:sz w:val="20"/>
                <w:szCs w:val="20"/>
              </w:rPr>
              <w:t>s</w:t>
            </w:r>
          </w:p>
        </w:tc>
        <w:tc>
          <w:tcPr>
            <w:tcW w:w="1276" w:type="dxa"/>
            <w:vAlign w:val="center"/>
          </w:tcPr>
          <w:p w14:paraId="1B8DFB29"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127</w:t>
            </w:r>
          </w:p>
        </w:tc>
        <w:tc>
          <w:tcPr>
            <w:tcW w:w="1275" w:type="dxa"/>
            <w:vAlign w:val="center"/>
          </w:tcPr>
          <w:p w14:paraId="30E9238B"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105</w:t>
            </w:r>
          </w:p>
        </w:tc>
        <w:tc>
          <w:tcPr>
            <w:tcW w:w="1134" w:type="dxa"/>
            <w:vAlign w:val="center"/>
          </w:tcPr>
          <w:p w14:paraId="7B05688E"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137</w:t>
            </w:r>
          </w:p>
        </w:tc>
        <w:tc>
          <w:tcPr>
            <w:tcW w:w="1134" w:type="dxa"/>
            <w:vAlign w:val="center"/>
          </w:tcPr>
          <w:p w14:paraId="1989005B"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126</w:t>
            </w:r>
          </w:p>
        </w:tc>
        <w:tc>
          <w:tcPr>
            <w:tcW w:w="1083" w:type="dxa"/>
            <w:vAlign w:val="center"/>
          </w:tcPr>
          <w:p w14:paraId="37DF64C6"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125</w:t>
            </w:r>
          </w:p>
        </w:tc>
      </w:tr>
      <w:tr w:rsidR="009B1589" w:rsidRPr="001B3EE2" w14:paraId="441A360B" w14:textId="77777777" w:rsidTr="001B3EE2">
        <w:tc>
          <w:tcPr>
            <w:tcW w:w="3114" w:type="dxa"/>
            <w:vAlign w:val="center"/>
          </w:tcPr>
          <w:p w14:paraId="2C8C3AAB"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Total patients</w:t>
            </w:r>
          </w:p>
        </w:tc>
        <w:tc>
          <w:tcPr>
            <w:tcW w:w="1276" w:type="dxa"/>
            <w:vAlign w:val="center"/>
          </w:tcPr>
          <w:p w14:paraId="1AB37ACE"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438</w:t>
            </w:r>
          </w:p>
        </w:tc>
        <w:tc>
          <w:tcPr>
            <w:tcW w:w="1275" w:type="dxa"/>
            <w:vAlign w:val="center"/>
          </w:tcPr>
          <w:p w14:paraId="727AEBA7"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444</w:t>
            </w:r>
          </w:p>
        </w:tc>
        <w:tc>
          <w:tcPr>
            <w:tcW w:w="1134" w:type="dxa"/>
            <w:vAlign w:val="center"/>
          </w:tcPr>
          <w:p w14:paraId="70AF560F"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496</w:t>
            </w:r>
          </w:p>
        </w:tc>
        <w:tc>
          <w:tcPr>
            <w:tcW w:w="1134" w:type="dxa"/>
            <w:vAlign w:val="center"/>
          </w:tcPr>
          <w:p w14:paraId="118568F9"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527</w:t>
            </w:r>
          </w:p>
        </w:tc>
        <w:tc>
          <w:tcPr>
            <w:tcW w:w="1083" w:type="dxa"/>
            <w:vAlign w:val="center"/>
          </w:tcPr>
          <w:p w14:paraId="4618E51C"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560</w:t>
            </w:r>
          </w:p>
        </w:tc>
      </w:tr>
      <w:tr w:rsidR="009B1589" w:rsidRPr="001B3EE2" w14:paraId="40B949CE" w14:textId="77777777" w:rsidTr="001B3EE2">
        <w:tc>
          <w:tcPr>
            <w:tcW w:w="3114" w:type="dxa"/>
            <w:vAlign w:val="center"/>
          </w:tcPr>
          <w:p w14:paraId="3C9819CA"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Total grams issued/administered</w:t>
            </w:r>
          </w:p>
        </w:tc>
        <w:tc>
          <w:tcPr>
            <w:tcW w:w="1276" w:type="dxa"/>
            <w:vAlign w:val="center"/>
          </w:tcPr>
          <w:p w14:paraId="32223366"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239,791</w:t>
            </w:r>
          </w:p>
        </w:tc>
        <w:tc>
          <w:tcPr>
            <w:tcW w:w="1275" w:type="dxa"/>
            <w:vAlign w:val="center"/>
          </w:tcPr>
          <w:p w14:paraId="651AA1CD"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256,041</w:t>
            </w:r>
          </w:p>
        </w:tc>
        <w:tc>
          <w:tcPr>
            <w:tcW w:w="1134" w:type="dxa"/>
            <w:vAlign w:val="center"/>
          </w:tcPr>
          <w:p w14:paraId="49BE15D5"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293,458</w:t>
            </w:r>
          </w:p>
        </w:tc>
        <w:tc>
          <w:tcPr>
            <w:tcW w:w="1134" w:type="dxa"/>
            <w:vAlign w:val="center"/>
          </w:tcPr>
          <w:p w14:paraId="1C58567C"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331,147</w:t>
            </w:r>
          </w:p>
        </w:tc>
        <w:tc>
          <w:tcPr>
            <w:tcW w:w="1083" w:type="dxa"/>
            <w:vAlign w:val="center"/>
          </w:tcPr>
          <w:p w14:paraId="03FA9F2E"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354,434</w:t>
            </w:r>
          </w:p>
        </w:tc>
      </w:tr>
      <w:tr w:rsidR="009B1589" w:rsidRPr="001B3EE2" w14:paraId="1E13C243" w14:textId="77777777" w:rsidTr="001B3EE2">
        <w:tc>
          <w:tcPr>
            <w:tcW w:w="3114" w:type="dxa"/>
            <w:vAlign w:val="center"/>
          </w:tcPr>
          <w:p w14:paraId="1F51301E"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Average grams per patient</w:t>
            </w:r>
          </w:p>
        </w:tc>
        <w:tc>
          <w:tcPr>
            <w:tcW w:w="1276" w:type="dxa"/>
            <w:vAlign w:val="center"/>
          </w:tcPr>
          <w:p w14:paraId="08AF9EEE" w14:textId="77777777" w:rsidR="00365A0A" w:rsidRPr="001B3EE2" w:rsidRDefault="00365A0A" w:rsidP="002E4F05">
            <w:pPr>
              <w:keepNext/>
              <w:spacing w:after="0"/>
              <w:jc w:val="left"/>
              <w:rPr>
                <w:rFonts w:asciiTheme="minorHAnsi" w:hAnsiTheme="minorHAnsi" w:cstheme="minorHAnsi"/>
                <w:sz w:val="20"/>
                <w:szCs w:val="20"/>
                <w:vertAlign w:val="superscript"/>
              </w:rPr>
            </w:pPr>
            <w:r w:rsidRPr="001B3EE2">
              <w:rPr>
                <w:rFonts w:asciiTheme="minorHAnsi" w:hAnsiTheme="minorHAnsi" w:cstheme="minorHAnsi"/>
                <w:sz w:val="20"/>
                <w:szCs w:val="20"/>
              </w:rPr>
              <w:t>547</w:t>
            </w:r>
            <w:r w:rsidRPr="001B3EE2">
              <w:rPr>
                <w:rFonts w:asciiTheme="minorHAnsi" w:hAnsiTheme="minorHAnsi" w:cstheme="minorHAnsi"/>
                <w:sz w:val="20"/>
                <w:szCs w:val="20"/>
                <w:vertAlign w:val="superscript"/>
              </w:rPr>
              <w:t>a</w:t>
            </w:r>
          </w:p>
        </w:tc>
        <w:tc>
          <w:tcPr>
            <w:tcW w:w="1275" w:type="dxa"/>
            <w:vAlign w:val="center"/>
          </w:tcPr>
          <w:p w14:paraId="5470D47F"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577</w:t>
            </w:r>
          </w:p>
        </w:tc>
        <w:tc>
          <w:tcPr>
            <w:tcW w:w="1134" w:type="dxa"/>
            <w:vAlign w:val="center"/>
          </w:tcPr>
          <w:p w14:paraId="0794E348"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592</w:t>
            </w:r>
          </w:p>
        </w:tc>
        <w:tc>
          <w:tcPr>
            <w:tcW w:w="1134" w:type="dxa"/>
            <w:vAlign w:val="center"/>
          </w:tcPr>
          <w:p w14:paraId="75DFFE25"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628</w:t>
            </w:r>
          </w:p>
        </w:tc>
        <w:tc>
          <w:tcPr>
            <w:tcW w:w="1083" w:type="dxa"/>
            <w:vAlign w:val="center"/>
          </w:tcPr>
          <w:p w14:paraId="2D25CC1A" w14:textId="77777777" w:rsidR="00365A0A" w:rsidRPr="001B3EE2" w:rsidRDefault="00365A0A" w:rsidP="002E4F05">
            <w:pPr>
              <w:keepNext/>
              <w:spacing w:after="0"/>
              <w:jc w:val="left"/>
              <w:rPr>
                <w:rFonts w:asciiTheme="minorHAnsi" w:hAnsiTheme="minorHAnsi" w:cstheme="minorHAnsi"/>
                <w:sz w:val="20"/>
                <w:szCs w:val="20"/>
              </w:rPr>
            </w:pPr>
            <w:r w:rsidRPr="001B3EE2">
              <w:rPr>
                <w:rFonts w:asciiTheme="minorHAnsi" w:hAnsiTheme="minorHAnsi" w:cstheme="minorHAnsi"/>
                <w:sz w:val="20"/>
                <w:szCs w:val="20"/>
              </w:rPr>
              <w:t>633</w:t>
            </w:r>
          </w:p>
        </w:tc>
      </w:tr>
    </w:tbl>
    <w:p w14:paraId="77103C62" w14:textId="77777777" w:rsidR="00365A0A" w:rsidRDefault="00365A0A" w:rsidP="003A3782">
      <w:pPr>
        <w:pStyle w:val="NoSpacing"/>
        <w:spacing w:after="0"/>
      </w:pPr>
      <w:r>
        <w:t>Abbreviations: Ig = immunoglobulin; MMN = multifocal motor neuropathy</w:t>
      </w:r>
    </w:p>
    <w:p w14:paraId="44E976B5" w14:textId="68614CE3" w:rsidR="00365A0A" w:rsidRDefault="00365A0A" w:rsidP="003A3782">
      <w:pPr>
        <w:pStyle w:val="NoSpacing"/>
        <w:spacing w:after="0"/>
      </w:pPr>
      <w:r w:rsidRPr="00EF333E">
        <w:t xml:space="preserve">Note: </w:t>
      </w:r>
      <w:r w:rsidRPr="00EF333E">
        <w:rPr>
          <w:vertAlign w:val="superscript"/>
        </w:rPr>
        <w:t xml:space="preserve">a </w:t>
      </w:r>
      <w:r w:rsidRPr="00EF333E">
        <w:t>This was reported as 546. This calculation was verified as 54</w:t>
      </w:r>
      <w:r w:rsidR="00EF333E" w:rsidRPr="00EF333E">
        <w:t>7</w:t>
      </w:r>
      <w:r w:rsidR="00134427">
        <w:t xml:space="preserve"> during development of the PICO Confirmation</w:t>
      </w:r>
      <w:r w:rsidRPr="00EF333E">
        <w:t>.</w:t>
      </w:r>
    </w:p>
    <w:p w14:paraId="49DDC4BC" w14:textId="5D0A0920" w:rsidR="00A34F75" w:rsidRDefault="00A34F75" w:rsidP="003A3782">
      <w:pPr>
        <w:pStyle w:val="NoSpacing"/>
        <w:spacing w:after="0"/>
      </w:pPr>
      <w:r>
        <w:t>T</w:t>
      </w:r>
      <w:r w:rsidRPr="00A34F75">
        <w:t>hese data reflect usage under The Criteria V2, prior to the introduction of key changes in The Criteria V3 which aimed to address leakage.</w:t>
      </w:r>
      <w:r w:rsidR="00134427">
        <w:t xml:space="preserve"> Useage</w:t>
      </w:r>
      <w:r>
        <w:t xml:space="preserve"> is likely to be less using the qualifying criteria for IVIg therapy for MMN und</w:t>
      </w:r>
      <w:r w:rsidR="00134427">
        <w:t>er of the current Version 3 of T</w:t>
      </w:r>
      <w:r>
        <w:t>he Criteria due to the differences in the qualifyi</w:t>
      </w:r>
      <w:r w:rsidR="001D1530">
        <w:t>ng criteria between The Criteria Version 2 and V</w:t>
      </w:r>
      <w:r>
        <w:t xml:space="preserve">ersion 3, with the latter being more sensitive in diagnosing true MMN patients eligible for IVIg therapy. </w:t>
      </w:r>
    </w:p>
    <w:p w14:paraId="46C97A36" w14:textId="6B0FB7B5" w:rsidR="00365A0A" w:rsidRDefault="00365A0A" w:rsidP="001B3EE2">
      <w:pPr>
        <w:pStyle w:val="NoSpacing"/>
      </w:pPr>
      <w:r w:rsidRPr="00961D22">
        <w:t xml:space="preserve">Source: </w:t>
      </w:r>
      <w:r>
        <w:t>Table 7, p</w:t>
      </w:r>
      <w:r w:rsidR="006B20E1">
        <w:t>.</w:t>
      </w:r>
      <w:r>
        <w:t xml:space="preserve">25 of the </w:t>
      </w:r>
      <w:r w:rsidR="003125EA">
        <w:t>draft</w:t>
      </w:r>
      <w:r>
        <w:t xml:space="preserve"> Referral form 1590-MMN. Estimates were collated from the National Blood Authority</w:t>
      </w:r>
      <w:r w:rsidR="006B20E1">
        <w:t xml:space="preserve">. </w:t>
      </w:r>
    </w:p>
    <w:p w14:paraId="453749F1" w14:textId="77777777" w:rsidR="00824348" w:rsidRDefault="00824348" w:rsidP="00824348">
      <w:pPr>
        <w:pStyle w:val="Heading1"/>
      </w:pPr>
      <w:r>
        <w:t>Comparator</w:t>
      </w:r>
    </w:p>
    <w:p w14:paraId="751C78CA" w14:textId="374C760A" w:rsidR="00824348" w:rsidRPr="00824348" w:rsidRDefault="00824348" w:rsidP="00154648">
      <w:r>
        <w:t xml:space="preserve">There are no </w:t>
      </w:r>
      <w:r w:rsidR="00E41C3C">
        <w:t xml:space="preserve">other NBA funded or </w:t>
      </w:r>
      <w:r w:rsidR="00134427">
        <w:t>Pharmaceutical Benefits Scheme (</w:t>
      </w:r>
      <w:r>
        <w:t>PBS</w:t>
      </w:r>
      <w:r w:rsidR="00134427">
        <w:t>)</w:t>
      </w:r>
      <w:r>
        <w:t xml:space="preserve"> treatments subsidised for the treatment of MMN. </w:t>
      </w:r>
      <w:r w:rsidR="00A4246B">
        <w:t xml:space="preserve">The current practice for the treatment of MMN is IVIg available through the NBA. </w:t>
      </w:r>
    </w:p>
    <w:p w14:paraId="6052E035" w14:textId="0E04B4FF" w:rsidR="003547E1" w:rsidRDefault="003C154C" w:rsidP="00166723">
      <w:pPr>
        <w:pStyle w:val="Heading2"/>
      </w:pPr>
      <w:r>
        <w:t xml:space="preserve">3.1 </w:t>
      </w:r>
      <w:r w:rsidR="003547E1">
        <w:t>No IVIg</w:t>
      </w:r>
      <w:r>
        <w:t xml:space="preserve"> with active disease surveillance</w:t>
      </w:r>
    </w:p>
    <w:p w14:paraId="667030C9" w14:textId="4670D693" w:rsidR="006B41B1" w:rsidRPr="006B41B1" w:rsidRDefault="00166723" w:rsidP="006B41B1">
      <w:r>
        <w:t xml:space="preserve">Immunoglobulins have been the gold standard of treatment for MMN since the early </w:t>
      </w:r>
      <w:r w:rsidR="00722F24">
        <w:t>19</w:t>
      </w:r>
      <w:r>
        <w:t>90s</w:t>
      </w:r>
      <w:r w:rsidR="00B17EC0">
        <w:t xml:space="preserve"> and are the standard treatment recommended in the</w:t>
      </w:r>
      <w:r w:rsidR="00B17EC0" w:rsidRPr="00B17EC0">
        <w:t xml:space="preserve"> </w:t>
      </w:r>
      <w:r w:rsidR="00B17EC0">
        <w:t xml:space="preserve">2010 </w:t>
      </w:r>
      <w:r w:rsidR="00B17EC0" w:rsidRPr="00CE39BC">
        <w:t xml:space="preserve">EFNS/PNS MMN </w:t>
      </w:r>
      <w:r w:rsidR="00B17EC0">
        <w:t xml:space="preserve">guideline </w:t>
      </w:r>
      <w:r w:rsidR="00E61B6E">
        <w:fldChar w:fldCharType="begin"/>
      </w:r>
      <w:r w:rsidR="00C472E6">
        <w:instrText xml:space="preserve"> ADDIN EN.CITE &lt;EndNote&gt;&lt;Cite&gt;&lt;Author&gt;Joint Task Force of the&lt;/Author&gt;&lt;Year&gt;2010&lt;/Year&gt;&lt;RecNum&gt;47&lt;/RecNum&gt;&lt;DisplayText&gt;(7)&lt;/DisplayText&gt;&lt;record&gt;&lt;rec-number&gt;47&lt;/rec-number&gt;&lt;foreign-keys&gt;&lt;key app="EN" db-id="vz5vz5xro5d25hepedvpvr0o0v5axp5r99sw" timestamp="1568859981"&gt;47&lt;/key&gt;&lt;/foreign-keys&gt;&lt;ref-type name="Journal Article"&gt;17&lt;/ref-type&gt;&lt;contributors&gt;&lt;authors&gt;&lt;author&gt;Joint Task Force of the EFNS and PNS,&lt;/author&gt;&lt;/authors&gt;&lt;/contributors&gt;&lt;titles&gt;&lt;title&gt;European Federation of Neurological Societies/Peripheral Nerve Society Guideline on management of multifocal motor neuropathy. Report of a Joint Task Force of the European Federation of Neurological Societies and the Peripheral Nerve Society – first revision&lt;/title&gt;&lt;secondary-title&gt;Journal of the Peripheral Nervous System&lt;/secondary-title&gt;&lt;/titles&gt;&lt;periodical&gt;&lt;full-title&gt;Journal of the Peripheral Nervous System&lt;/full-title&gt;&lt;/periodical&gt;&lt;pages&gt;295-301&lt;/pages&gt;&lt;volume&gt;15&lt;/volume&gt;&lt;number&gt;4&lt;/number&gt;&lt;keywords&gt;&lt;keyword&gt;definition&lt;/keyword&gt;&lt;keyword&gt;diagnosis&lt;/keyword&gt;&lt;keyword&gt;guidelines&lt;/keyword&gt;&lt;keyword&gt;multifocal motor neuropathy&lt;/keyword&gt;&lt;keyword&gt;treatment&lt;/keyword&gt;&lt;/keywords&gt;&lt;dates&gt;&lt;year&gt;2010&lt;/year&gt;&lt;pub-dates&gt;&lt;date&gt;2010/12/01&lt;/date&gt;&lt;/pub-dates&gt;&lt;/dates&gt;&lt;publisher&gt;John Wiley &amp;amp; Sons, Ltd (10.1111)&lt;/publisher&gt;&lt;isbn&gt;1085-9489&lt;/isbn&gt;&lt;urls&gt;&lt;related-urls&gt;&lt;url&gt;https://doi.org/10.1111/j.1529-8027.2010.00290.x&lt;/url&gt;&lt;/related-urls&gt;&lt;/urls&gt;&lt;electronic-resource-num&gt;10.1111/j.1529-8027.2010.00290.x&lt;/electronic-resource-num&gt;&lt;access-date&gt;2019/09/18&lt;/access-date&gt;&lt;/record&gt;&lt;/Cite&gt;&lt;/EndNote&gt;</w:instrText>
      </w:r>
      <w:r w:rsidR="00E61B6E">
        <w:fldChar w:fldCharType="separate"/>
      </w:r>
      <w:r w:rsidR="00E61B6E">
        <w:rPr>
          <w:noProof/>
        </w:rPr>
        <w:t>(7)</w:t>
      </w:r>
      <w:r w:rsidR="00E61B6E">
        <w:fldChar w:fldCharType="end"/>
      </w:r>
      <w:r w:rsidR="00B17EC0">
        <w:t xml:space="preserve">. Cyclophosphamide was not considered a relevant comparator because its use is </w:t>
      </w:r>
      <w:r w:rsidRPr="006B41B1">
        <w:t>limited by its toxicity</w:t>
      </w:r>
      <w:r w:rsidR="00B17EC0">
        <w:t xml:space="preserve"> </w:t>
      </w:r>
      <w:r w:rsidRPr="006B41B1">
        <w:t>in a non-life-threatening illness</w:t>
      </w:r>
      <w:r>
        <w:t xml:space="preserve"> like MMN</w:t>
      </w:r>
      <w:r w:rsidR="00B17EC0">
        <w:t xml:space="preserve">. For this reason, </w:t>
      </w:r>
      <w:r w:rsidR="003C154C">
        <w:t>‘N</w:t>
      </w:r>
      <w:r w:rsidR="00B17EC0">
        <w:t>o IVIg</w:t>
      </w:r>
      <w:r w:rsidR="003C154C">
        <w:t xml:space="preserve"> with active disease surveillance</w:t>
      </w:r>
      <w:r w:rsidR="00B17EC0">
        <w:t>’ is considered the relevant comparator to IVIg in MMN.</w:t>
      </w:r>
      <w:r w:rsidRPr="006B41B1">
        <w:t xml:space="preserve"> </w:t>
      </w:r>
      <w:r w:rsidR="00B17EC0">
        <w:t xml:space="preserve">Additional </w:t>
      </w:r>
      <w:r w:rsidR="004372B6">
        <w:t>reasoning</w:t>
      </w:r>
      <w:r w:rsidR="00B17EC0">
        <w:t xml:space="preserve"> as to why cyclophosphamide was not considered a relevant comparator are presented below. </w:t>
      </w:r>
    </w:p>
    <w:p w14:paraId="790C7F8F" w14:textId="77777777" w:rsidR="003547E1" w:rsidRPr="001A28F1" w:rsidRDefault="006B41B1" w:rsidP="001A28F1">
      <w:pPr>
        <w:pStyle w:val="Heading3"/>
      </w:pPr>
      <w:r w:rsidRPr="001A28F1">
        <w:t>Cyclophosphamide as an immunosuppressive agent</w:t>
      </w:r>
    </w:p>
    <w:p w14:paraId="6F868A68" w14:textId="5AABE6A7" w:rsidR="00824348" w:rsidRPr="00824348" w:rsidRDefault="00824348" w:rsidP="00824348">
      <w:pPr>
        <w:rPr>
          <w:b/>
        </w:rPr>
      </w:pPr>
      <w:r>
        <w:t xml:space="preserve">Cyclophosphamide </w:t>
      </w:r>
      <w:r w:rsidR="00166723">
        <w:t>is not specifically approved by t</w:t>
      </w:r>
      <w:r w:rsidR="001A28F1">
        <w:t>he TGA for the treatment of MMN;</w:t>
      </w:r>
      <w:r w:rsidR="00166723">
        <w:t xml:space="preserve"> however</w:t>
      </w:r>
      <w:r w:rsidR="001A28F1">
        <w:t>,</w:t>
      </w:r>
      <w:r w:rsidR="00166723">
        <w:t xml:space="preserve"> the</w:t>
      </w:r>
      <w:r w:rsidR="001A28F1">
        <w:t xml:space="preserve"> Product Information (</w:t>
      </w:r>
      <w:r w:rsidR="00166723">
        <w:t>PI</w:t>
      </w:r>
      <w:r w:rsidR="001A28F1">
        <w:t>)</w:t>
      </w:r>
      <w:r w:rsidR="00166723">
        <w:t xml:space="preserve"> states that it </w:t>
      </w:r>
      <w:r>
        <w:t xml:space="preserve">can be </w:t>
      </w:r>
      <w:r w:rsidR="00166723">
        <w:t>‘</w:t>
      </w:r>
      <w:r>
        <w:t>recommended for use in treatment of non</w:t>
      </w:r>
      <w:r w:rsidR="00166723">
        <w:t>-</w:t>
      </w:r>
      <w:r>
        <w:t>malignancies only when in the opinion of the physician the benefits to the patient outweigh the risk of treatment with cyclophosphamide</w:t>
      </w:r>
      <w:r w:rsidR="00166723">
        <w:t>’</w:t>
      </w:r>
      <w:r>
        <w:t>.</w:t>
      </w:r>
    </w:p>
    <w:p w14:paraId="1778A28F" w14:textId="7E172EFD" w:rsidR="00EB3E6B" w:rsidRDefault="00F34282" w:rsidP="00154648">
      <w:r w:rsidRPr="00E734C0">
        <w:t xml:space="preserve">Cyclophosphamide </w:t>
      </w:r>
      <w:r w:rsidR="00824348" w:rsidRPr="00E734C0">
        <w:t xml:space="preserve">was the first </w:t>
      </w:r>
      <w:r w:rsidR="00A4246B" w:rsidRPr="00E734C0">
        <w:t>immunosuppressive</w:t>
      </w:r>
      <w:r w:rsidR="00824348" w:rsidRPr="00E734C0">
        <w:t xml:space="preserve"> agent </w:t>
      </w:r>
      <w:r w:rsidR="00824348">
        <w:t xml:space="preserve">assessed for the treatment of MMN. The evidence available to support the use of </w:t>
      </w:r>
      <w:r>
        <w:t>c</w:t>
      </w:r>
      <w:r w:rsidRPr="00E734C0">
        <w:t xml:space="preserve">yclophosphamide </w:t>
      </w:r>
      <w:r w:rsidR="00824348">
        <w:t xml:space="preserve">comes from several case reports available since 1988, where </w:t>
      </w:r>
      <w:r w:rsidR="00A4246B">
        <w:t>two</w:t>
      </w:r>
      <w:r w:rsidR="00824348">
        <w:t xml:space="preserve"> patients achieved an improvement in </w:t>
      </w:r>
      <w:r w:rsidR="00A9116F">
        <w:t>limb</w:t>
      </w:r>
      <w:r w:rsidR="00824348">
        <w:t xml:space="preserve"> strength after receiving intravenous </w:t>
      </w:r>
      <w:r>
        <w:t>c</w:t>
      </w:r>
      <w:r w:rsidRPr="00E734C0">
        <w:t xml:space="preserve">yclophosphamide </w:t>
      </w:r>
      <w:r w:rsidR="00824348">
        <w:t>3g/m</w:t>
      </w:r>
      <w:r w:rsidR="00824348" w:rsidRPr="00B17EC0">
        <w:rPr>
          <w:vertAlign w:val="superscript"/>
        </w:rPr>
        <w:t>2</w:t>
      </w:r>
      <w:r w:rsidR="00824348">
        <w:t xml:space="preserve"> followed by </w:t>
      </w:r>
      <w:r w:rsidR="00A9116F">
        <w:t xml:space="preserve">100 mg </w:t>
      </w:r>
      <w:r w:rsidR="00824348">
        <w:t xml:space="preserve">oral </w:t>
      </w:r>
      <w:r>
        <w:t>c</w:t>
      </w:r>
      <w:r w:rsidRPr="00E734C0">
        <w:t xml:space="preserve">yclophosphamide </w:t>
      </w:r>
      <w:r w:rsidR="00E61B6E">
        <w:fldChar w:fldCharType="begin">
          <w:fldData xml:space="preserve">PEVuZE5vdGU+PENpdGU+PEF1dGhvcj5QZXN0cm9uazwvQXV0aG9yPjxZZWFyPjE5ODg8L1llYXI+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</w:fldData>
        </w:fldChar>
      </w:r>
      <w:r w:rsidR="00297DF0">
        <w:instrText xml:space="preserve"> ADDIN EN.CITE </w:instrText>
      </w:r>
      <w:r w:rsidR="00297DF0">
        <w:fldChar w:fldCharType="begin">
          <w:fldData xml:space="preserve">PEVuZE5vdGU+PENpdGU+PEF1dGhvcj5QZXN0cm9uazwvQXV0aG9yPjxZZWFyPjE5ODg8L1llYXI+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</w:fldData>
        </w:fldChar>
      </w:r>
      <w:r w:rsidR="00297DF0">
        <w:instrText xml:space="preserve"> ADDIN EN.CITE.DATA </w:instrText>
      </w:r>
      <w:r w:rsidR="00297DF0">
        <w:fldChar w:fldCharType="end"/>
      </w:r>
      <w:r w:rsidR="00E61B6E">
        <w:fldChar w:fldCharType="separate"/>
      </w:r>
      <w:r w:rsidR="00297DF0">
        <w:rPr>
          <w:noProof/>
        </w:rPr>
        <w:t>(14)</w:t>
      </w:r>
      <w:r w:rsidR="00E61B6E">
        <w:fldChar w:fldCharType="end"/>
      </w:r>
      <w:r w:rsidR="00824348">
        <w:t xml:space="preserve">. Several </w:t>
      </w:r>
      <w:r w:rsidR="00A9116F">
        <w:t xml:space="preserve">series of </w:t>
      </w:r>
      <w:r w:rsidR="00824348">
        <w:t xml:space="preserve">case reports have been published thereafter </w:t>
      </w:r>
      <w:r w:rsidR="00753533">
        <w:t xml:space="preserve">with differences identified </w:t>
      </w:r>
      <w:r w:rsidR="00824348">
        <w:t xml:space="preserve">in terms of </w:t>
      </w:r>
      <w:r w:rsidR="00A9116F">
        <w:t xml:space="preserve">previous </w:t>
      </w:r>
      <w:r w:rsidR="00824348">
        <w:t xml:space="preserve">line of treatment (e.g. failed to </w:t>
      </w:r>
      <w:r w:rsidR="00753533">
        <w:t>corticosteroid</w:t>
      </w:r>
      <w:r w:rsidR="00824348">
        <w:t xml:space="preserve"> and/or plasma exchange) and adjuvant treatments (e.g. plasma exchange, azathioprine, among others). </w:t>
      </w:r>
      <w:r w:rsidR="00753533">
        <w:t>Overall, h</w:t>
      </w:r>
      <w:r w:rsidR="00753533" w:rsidRPr="006B41B1">
        <w:t xml:space="preserve">igh dose intravenous </w:t>
      </w:r>
      <w:r>
        <w:t>c</w:t>
      </w:r>
      <w:r w:rsidRPr="00E734C0">
        <w:t xml:space="preserve">yclophosphamide </w:t>
      </w:r>
      <w:r w:rsidR="00753533" w:rsidRPr="006B41B1">
        <w:t>has been shown to be effective in up to 50% of patients</w:t>
      </w:r>
      <w:r w:rsidR="00AB0BCD">
        <w:t xml:space="preserve">, </w:t>
      </w:r>
      <w:r w:rsidR="00D448C6">
        <w:t xml:space="preserve">with </w:t>
      </w:r>
      <w:r w:rsidR="00753533" w:rsidRPr="006B41B1">
        <w:t>low</w:t>
      </w:r>
      <w:r w:rsidR="00D448C6">
        <w:t>er</w:t>
      </w:r>
      <w:r w:rsidR="00753533" w:rsidRPr="006B41B1">
        <w:t xml:space="preserve"> dose</w:t>
      </w:r>
      <w:r w:rsidR="00D448C6">
        <w:t>s</w:t>
      </w:r>
      <w:r w:rsidR="00753533" w:rsidRPr="006B41B1">
        <w:t xml:space="preserve"> </w:t>
      </w:r>
      <w:r w:rsidR="00D448C6">
        <w:t>being in</w:t>
      </w:r>
      <w:r w:rsidR="00753533" w:rsidRPr="006B41B1">
        <w:t>eff</w:t>
      </w:r>
      <w:r w:rsidR="00753533">
        <w:t xml:space="preserve">ective </w:t>
      </w:r>
      <w:r w:rsidR="00E61B6E">
        <w:fldChar w:fldCharType="begin">
          <w:fldData xml:space="preserve">PEVuZE5vdGU+PENpdGU+PEF1dGhvcj5GZWxkbWFuPC9BdXRob3I+PFllYXI+MTk5MTwvWWVhcj48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</w:fldData>
        </w:fldChar>
      </w:r>
      <w:r w:rsidR="00297DF0">
        <w:instrText xml:space="preserve"> ADDIN EN.CITE </w:instrText>
      </w:r>
      <w:r w:rsidR="00297DF0">
        <w:fldChar w:fldCharType="begin">
          <w:fldData xml:space="preserve">PEVuZE5vdGU+PENpdGU+PEF1dGhvcj5GZWxkbWFuPC9BdXRob3I+PFllYXI+MTk5MTwvWWVhcj48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</w:fldData>
        </w:fldChar>
      </w:r>
      <w:r w:rsidR="00297DF0">
        <w:instrText xml:space="preserve"> ADDIN EN.CITE.DATA </w:instrText>
      </w:r>
      <w:r w:rsidR="00297DF0">
        <w:fldChar w:fldCharType="end"/>
      </w:r>
      <w:r w:rsidR="00E61B6E">
        <w:fldChar w:fldCharType="separate"/>
      </w:r>
      <w:r w:rsidR="00297DF0">
        <w:rPr>
          <w:noProof/>
        </w:rPr>
        <w:t>(14-17)</w:t>
      </w:r>
      <w:r w:rsidR="00E61B6E">
        <w:fldChar w:fldCharType="end"/>
      </w:r>
      <w:r w:rsidR="00C04E7B">
        <w:t xml:space="preserve">, with </w:t>
      </w:r>
      <w:r w:rsidR="00AB0BCD">
        <w:t xml:space="preserve">all reports showing </w:t>
      </w:r>
      <w:r w:rsidR="00824348">
        <w:t xml:space="preserve">a </w:t>
      </w:r>
      <w:r w:rsidR="00A9116F">
        <w:t>non-</w:t>
      </w:r>
      <w:r w:rsidR="00824348">
        <w:t>favourable safety profile</w:t>
      </w:r>
      <w:r w:rsidR="00A9116F">
        <w:t xml:space="preserve">. </w:t>
      </w:r>
      <w:r w:rsidR="00CD43F1">
        <w:t xml:space="preserve">Patients treated with </w:t>
      </w:r>
      <w:r>
        <w:t>c</w:t>
      </w:r>
      <w:r w:rsidRPr="00E734C0">
        <w:t xml:space="preserve">yclophosphamide </w:t>
      </w:r>
      <w:r w:rsidR="00753533">
        <w:t>oft</w:t>
      </w:r>
      <w:r w:rsidR="00CD43F1">
        <w:t>en suffer adverse events</w:t>
      </w:r>
      <w:r w:rsidR="00C04E7B">
        <w:t>,</w:t>
      </w:r>
      <w:r w:rsidR="00CD43F1">
        <w:t xml:space="preserve"> some of which are serious </w:t>
      </w:r>
      <w:r w:rsidR="00D448C6">
        <w:t>including death</w:t>
      </w:r>
      <w:r w:rsidR="00CD43F1">
        <w:t xml:space="preserve">. Of the 56 patients receiving </w:t>
      </w:r>
      <w:r w:rsidR="00B17EC0">
        <w:t xml:space="preserve">cyclophosphamide </w:t>
      </w:r>
      <w:r w:rsidR="00CD43F1">
        <w:t>from 14 published articles, all reported having suffered AEs</w:t>
      </w:r>
      <w:r w:rsidR="00017A85">
        <w:t>;</w:t>
      </w:r>
      <w:r w:rsidR="00CD43F1">
        <w:t xml:space="preserve"> mainly </w:t>
      </w:r>
      <w:r w:rsidR="00824348">
        <w:t xml:space="preserve">events </w:t>
      </w:r>
      <w:r w:rsidR="00753533">
        <w:t xml:space="preserve">like </w:t>
      </w:r>
      <w:r w:rsidR="00753533" w:rsidRPr="006B41B1">
        <w:t>bone marrow suppression, alopecia, haemorrhagic cystitis, delayed bladder cancer, terato</w:t>
      </w:r>
      <w:r w:rsidR="00753533" w:rsidRPr="006B41B1">
        <w:softHyphen/>
        <w:t>genicity, azoospermia, and infection</w:t>
      </w:r>
      <w:r w:rsidR="00AB0BCD">
        <w:t>s</w:t>
      </w:r>
      <w:r w:rsidR="00753533" w:rsidRPr="006B41B1">
        <w:t xml:space="preserve"> </w:t>
      </w:r>
      <w:r w:rsidR="00E61B6E">
        <w:fldChar w:fldCharType="begin"/>
      </w:r>
      <w:r w:rsidR="00E61B6E">
        <w:instrText xml:space="preserve"> ADDIN EN.CITE &lt;EndNote&gt;&lt;Cite&gt;&lt;Author&gt;Lawson&lt;/Author&gt;&lt;Year&gt;2014&lt;/Year&gt;&lt;RecNum&gt;12&lt;/RecNum&gt;&lt;DisplayText&gt;(4)&lt;/DisplayText&gt;&lt;record&gt;&lt;rec-number&gt;12&lt;/rec-number&gt;&lt;foreign-keys&gt;&lt;key app="EN" db-id="vz5vz5xro5d25hepedvpvr0o0v5axp5r99sw" timestamp="1568858996"&gt;12&lt;/key&gt;&lt;key app="ENWeb" db-id=""&gt;0&lt;/key&gt;&lt;/foreign-keys&gt;&lt;ref-type name="Journal Article"&gt;17&lt;/ref-type&gt;&lt;contributors&gt;&lt;authors&gt;&lt;author&gt;Lawson, V. H.&lt;/author&gt;&lt;author&gt;Arnold, W. D.&lt;/author&gt;&lt;/authors&gt;&lt;/contributors&gt;&lt;auth-address&gt;Division of Neuromuscular Disorders, Department of Neurology, Wexner Medical Center at The Ohio State University, Columbus, Ohio, USA.&amp;#xD;Division of Neuromuscular Disorders, Department of Neurology, Wexner Medical Center at The Ohio State University, Columbus, Ohio, USA ; Department of Physical Medicine and Rehabilitation, Wexner Medical Center at The Ohio State University, Columbus, Ohio, USA.&lt;/auth-address&gt;&lt;titles&gt;&lt;title&gt;Multifocal motor neuropathy: a review of pathogenesis, diagnosis, and treatment&lt;/title&gt;&lt;secondary-title&gt;Neuropsychiatr Dis Treat&lt;/secondary-title&gt;&lt;alt-title&gt;Neuropsychiatric disease and treatment&lt;/alt-title&gt;&lt;/titles&gt;&lt;periodical&gt;&lt;full-title&gt;Neuropsychiatr Dis Treat&lt;/full-title&gt;&lt;abbr-1&gt;Neuropsychiatric disease and treatment&lt;/abbr-1&gt;&lt;/periodical&gt;&lt;alt-periodical&gt;&lt;full-title&gt;Neuropsychiatr Dis Treat&lt;/full-title&gt;&lt;abbr-1&gt;Neuropsychiatric disease and treatment&lt;/abbr-1&gt;&lt;/alt-periodical&gt;&lt;pages&gt;567-76&lt;/pages&gt;&lt;volume&gt;10&lt;/volume&gt;&lt;dates&gt;&lt;year&gt;2014&lt;/year&gt;&lt;/dates&gt;&lt;isbn&gt;1176-6328 (Print)&amp;#xD;1176-6328 (Linking)&lt;/isbn&gt;&lt;accession-num&gt;24741315&lt;/accession-num&gt;&lt;urls&gt;&lt;related-urls&gt;&lt;url&gt;http://www.ncbi.nlm.nih.gov/pubmed/24741315&lt;/url&gt;&lt;/related-urls&gt;&lt;/urls&gt;&lt;custom2&gt;3983019&lt;/custom2&gt;&lt;electronic-resource-num&gt;10.2147/NDT.S39592&lt;/electronic-resource-num&gt;&lt;/record&gt;&lt;/Cite&gt;&lt;/EndNote&gt;</w:instrText>
      </w:r>
      <w:r w:rsidR="00E61B6E">
        <w:fldChar w:fldCharType="separate"/>
      </w:r>
      <w:r w:rsidR="00E61B6E">
        <w:rPr>
          <w:noProof/>
        </w:rPr>
        <w:t>(4)</w:t>
      </w:r>
      <w:r w:rsidR="00E61B6E">
        <w:fldChar w:fldCharType="end"/>
      </w:r>
      <w:r w:rsidR="00824348">
        <w:t>.</w:t>
      </w:r>
      <w:r w:rsidR="00CD43F1">
        <w:t xml:space="preserve"> These case reports reported the death of two patients, one due to listeria meningitis and the other a </w:t>
      </w:r>
      <w:r w:rsidR="00CD43F1" w:rsidRPr="00CD43F1">
        <w:t>bone myelogenous leukaemia</w:t>
      </w:r>
      <w:r w:rsidR="00CD43F1">
        <w:t>.</w:t>
      </w:r>
      <w:r w:rsidR="00EB3E6B" w:rsidRPr="006B41B1">
        <w:t xml:space="preserve"> </w:t>
      </w:r>
    </w:p>
    <w:p w14:paraId="2FF0DDC1" w14:textId="22FC16EF" w:rsidR="00B17EC0" w:rsidRDefault="00B17EC0" w:rsidP="00B17EC0">
      <w:r>
        <w:lastRenderedPageBreak/>
        <w:t>A systematic literature review that assessed the use of immunosuppressant and immunomodulatory therapies suggested there might be a possible therapeutic role for c</w:t>
      </w:r>
      <w:r w:rsidRPr="00E734C0">
        <w:t xml:space="preserve">yclophosphamide </w:t>
      </w:r>
      <w:r>
        <w:t xml:space="preserve">in the treatment of patients who do not respond to IVIg and have progressed in their disease to a level where the benefits outweigh the safety risks associated </w:t>
      </w:r>
      <w:r w:rsidR="00E61B6E">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instrText xml:space="preserve"> ADDIN EN.CITE </w:instrText>
      </w:r>
      <w:r w:rsidR="00E61B6E">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instrText xml:space="preserve"> ADDIN EN.CITE.DATA </w:instrText>
      </w:r>
      <w:r w:rsidR="00E61B6E">
        <w:fldChar w:fldCharType="end"/>
      </w:r>
      <w:r w:rsidR="00E61B6E">
        <w:fldChar w:fldCharType="separate"/>
      </w:r>
      <w:r w:rsidR="00E61B6E">
        <w:rPr>
          <w:noProof/>
        </w:rPr>
        <w:t>(3)</w:t>
      </w:r>
      <w:r w:rsidR="00E61B6E">
        <w:fldChar w:fldCharType="end"/>
      </w:r>
      <w:r>
        <w:t>. Cyclophosphamide is used in patients who have not responded to IVIg or have failed IVIg</w:t>
      </w:r>
      <w:r w:rsidR="00147FB7">
        <w:t>;</w:t>
      </w:r>
      <w:r>
        <w:t xml:space="preserve"> however, it is used later in the disease course and as observed in case series, in a minority of patients </w:t>
      </w:r>
      <w:r w:rsidR="00E61B6E">
        <w:fldChar w:fldCharType="begin">
          <w:fldData xml:space="preserve">PEVuZE5vdGU+PENpdGU+PEF1dGhvcj5MZWdlcjwvQXV0aG9yPjxZZWFyPjIwMDg8L1llYXI+PFJl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</w:fldData>
        </w:fldChar>
      </w:r>
      <w:r w:rsidR="00297DF0">
        <w:instrText xml:space="preserve"> ADDIN EN.CITE </w:instrText>
      </w:r>
      <w:r w:rsidR="00297DF0">
        <w:fldChar w:fldCharType="begin">
          <w:fldData xml:space="preserve">PEVuZE5vdGU+PENpdGU+PEF1dGhvcj5MZWdlcjwvQXV0aG9yPjxZZWFyPjIwMDg8L1llYXI+PFJl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</w:fldData>
        </w:fldChar>
      </w:r>
      <w:r w:rsidR="00297DF0">
        <w:instrText xml:space="preserve"> ADDIN EN.CITE.DATA </w:instrText>
      </w:r>
      <w:r w:rsidR="00297DF0">
        <w:fldChar w:fldCharType="end"/>
      </w:r>
      <w:r w:rsidR="00E61B6E">
        <w:fldChar w:fldCharType="separate"/>
      </w:r>
      <w:r w:rsidR="00297DF0">
        <w:rPr>
          <w:noProof/>
        </w:rPr>
        <w:t>(18)</w:t>
      </w:r>
      <w:r w:rsidR="00E61B6E">
        <w:fldChar w:fldCharType="end"/>
      </w:r>
      <w:r w:rsidR="001D1530">
        <w:rPr>
          <w:rStyle w:val="FootnoteReference"/>
        </w:rPr>
        <w:footnoteReference w:id="4"/>
      </w:r>
      <w:r>
        <w:t>.</w:t>
      </w:r>
      <w:r w:rsidR="009B6F7F" w:rsidRPr="009B6F7F">
        <w:t xml:space="preserve"> </w:t>
      </w:r>
      <w:r w:rsidR="009B6F7F">
        <w:t xml:space="preserve">It should be noted </w:t>
      </w:r>
      <w:r w:rsidR="00147FB7">
        <w:t xml:space="preserve">that this is not the patient population targeted in this PICO Confirmation and </w:t>
      </w:r>
      <w:r w:rsidR="009B6F7F">
        <w:t>that all the available evidence comes</w:t>
      </w:r>
      <w:r w:rsidR="00147FB7">
        <w:t xml:space="preserve"> from non-randomised studies</w:t>
      </w:r>
      <w:r w:rsidR="009B6F7F">
        <w:t>.</w:t>
      </w:r>
    </w:p>
    <w:p w14:paraId="2C0E8494" w14:textId="77777777" w:rsidR="001B3EE2" w:rsidRDefault="001B3EE2" w:rsidP="00637B78">
      <w:pPr>
        <w:pStyle w:val="Heading1"/>
      </w:pPr>
      <w:r w:rsidRPr="00E364F7">
        <w:t>Outcomes</w:t>
      </w:r>
    </w:p>
    <w:p w14:paraId="4400E20E" w14:textId="58E427F4" w:rsidR="001B3EE2" w:rsidRPr="009C5812" w:rsidRDefault="001B3EE2" w:rsidP="002A416A">
      <w:pPr>
        <w:rPr>
          <w:rFonts w:asciiTheme="minorHAnsi" w:eastAsiaTheme="minorHAnsi" w:hAnsiTheme="minorHAnsi" w:cstheme="minorHAnsi"/>
        </w:rPr>
      </w:pPr>
      <w:r>
        <w:t xml:space="preserve">The outcomes have been categorised according to: safety, efficacy, and use of healthcare resources. </w:t>
      </w:r>
      <w:r>
        <w:rPr>
          <w:rFonts w:asciiTheme="minorHAnsi" w:eastAsiaTheme="minorHAnsi" w:hAnsiTheme="minorHAnsi" w:cstheme="minorHAnsi"/>
        </w:rPr>
        <w:t>T</w:t>
      </w:r>
      <w:r w:rsidRPr="009C5812">
        <w:rPr>
          <w:rFonts w:asciiTheme="minorHAnsi" w:eastAsiaTheme="minorHAnsi" w:hAnsiTheme="minorHAnsi" w:cstheme="minorHAnsi"/>
        </w:rPr>
        <w:t>he outcomes identified</w:t>
      </w:r>
      <w:r>
        <w:rPr>
          <w:rFonts w:asciiTheme="minorHAnsi" w:eastAsiaTheme="minorHAnsi" w:hAnsiTheme="minorHAnsi" w:cstheme="minorHAnsi"/>
        </w:rPr>
        <w:t xml:space="preserve"> during the PICO Confirmation </w:t>
      </w:r>
      <w:r w:rsidRPr="009C5812">
        <w:rPr>
          <w:rFonts w:asciiTheme="minorHAnsi" w:eastAsiaTheme="minorHAnsi" w:hAnsiTheme="minorHAnsi" w:cstheme="minorHAnsi"/>
        </w:rPr>
        <w:t xml:space="preserve">are: </w:t>
      </w:r>
    </w:p>
    <w:p w14:paraId="70ED0714" w14:textId="56960C76" w:rsidR="001B3EE2" w:rsidRPr="00E47798" w:rsidRDefault="0002422D" w:rsidP="0002422D">
      <w:pPr>
        <w:pStyle w:val="Heading2"/>
      </w:pPr>
      <w:r>
        <w:t xml:space="preserve">4.1 </w:t>
      </w:r>
      <w:r w:rsidR="001B3EE2" w:rsidRPr="00E47798">
        <w:t>Safety outcomes</w:t>
      </w:r>
      <w:r w:rsidR="001B3EE2">
        <w:t xml:space="preserve"> identified in the Referral</w:t>
      </w:r>
      <w:r w:rsidR="001B3EE2" w:rsidRPr="00E47798">
        <w:t xml:space="preserve">: </w:t>
      </w:r>
    </w:p>
    <w:p w14:paraId="50357BDB" w14:textId="77777777" w:rsidR="001B3EE2" w:rsidRPr="0002422D" w:rsidRDefault="001B3EE2" w:rsidP="0002422D">
      <w:pPr>
        <w:pStyle w:val="ListParagraph"/>
      </w:pPr>
      <w:r w:rsidRPr="0002422D">
        <w:t xml:space="preserve">Adverse events (AEs): </w:t>
      </w:r>
    </w:p>
    <w:p w14:paraId="2EDD687C" w14:textId="77777777" w:rsidR="001B3EE2" w:rsidRPr="001B3EE2" w:rsidRDefault="001B3EE2" w:rsidP="00AD163C">
      <w:pPr>
        <w:pStyle w:val="ListParagraph"/>
        <w:numPr>
          <w:ilvl w:val="1"/>
          <w:numId w:val="20"/>
        </w:numPr>
        <w:rPr>
          <w:i/>
        </w:rPr>
      </w:pPr>
      <w:r>
        <w:t>H</w:t>
      </w:r>
      <w:r w:rsidRPr="00C6594D">
        <w:t xml:space="preserve">ypersensitivity reactions, fall in blood pressure </w:t>
      </w:r>
      <w:r w:rsidRPr="00DD0B0F">
        <w:t xml:space="preserve">with </w:t>
      </w:r>
      <w:r w:rsidRPr="001B3EE2">
        <w:t>anaphylactic reaction;</w:t>
      </w:r>
    </w:p>
    <w:p w14:paraId="7EFE3469" w14:textId="6414587F" w:rsidR="001B3EE2" w:rsidRPr="00C6594D" w:rsidRDefault="001B3EE2" w:rsidP="00AD163C">
      <w:pPr>
        <w:pStyle w:val="ListParagraph"/>
        <w:numPr>
          <w:ilvl w:val="1"/>
          <w:numId w:val="20"/>
        </w:numPr>
      </w:pPr>
      <w:r>
        <w:t>T</w:t>
      </w:r>
      <w:r w:rsidRPr="00C6594D">
        <w:t>hromboembolic reactions such as myocardial infarction, stroke, pulmonary embolism, deep vein thromboses</w:t>
      </w:r>
      <w:r>
        <w:t>;</w:t>
      </w:r>
    </w:p>
    <w:p w14:paraId="792D9867" w14:textId="77777777" w:rsidR="001B3EE2" w:rsidRPr="001B3EE2" w:rsidRDefault="001B3EE2" w:rsidP="00AD163C">
      <w:pPr>
        <w:pStyle w:val="ListParagraph"/>
        <w:numPr>
          <w:ilvl w:val="1"/>
          <w:numId w:val="20"/>
        </w:numPr>
        <w:rPr>
          <w:i/>
        </w:rPr>
      </w:pPr>
      <w:r>
        <w:t>A</w:t>
      </w:r>
      <w:r w:rsidRPr="00AC71D7">
        <w:t>cute renal failure</w:t>
      </w:r>
      <w:r>
        <w:t>;</w:t>
      </w:r>
    </w:p>
    <w:p w14:paraId="653C95C9" w14:textId="77777777" w:rsidR="001B3EE2" w:rsidRDefault="001B3EE2" w:rsidP="00AD163C">
      <w:pPr>
        <w:pStyle w:val="ListParagraph"/>
        <w:numPr>
          <w:ilvl w:val="1"/>
          <w:numId w:val="20"/>
        </w:numPr>
      </w:pPr>
      <w:r>
        <w:t>A</w:t>
      </w:r>
      <w:r w:rsidRPr="00C6594D">
        <w:t>naphylaxis, veno-occlusive events</w:t>
      </w:r>
      <w:r>
        <w:t>.</w:t>
      </w:r>
    </w:p>
    <w:p w14:paraId="604B2F49" w14:textId="409D336F" w:rsidR="001B3EE2" w:rsidRPr="0002422D" w:rsidRDefault="001B3EE2" w:rsidP="0002422D">
      <w:pPr>
        <w:pStyle w:val="ListParagraph"/>
      </w:pPr>
      <w:r w:rsidRPr="0002422D">
        <w:t>AEs</w:t>
      </w:r>
      <w:r w:rsidR="003125EA">
        <w:t xml:space="preserve"> not covered in the MMN R</w:t>
      </w:r>
      <w:r w:rsidRPr="0002422D">
        <w:t xml:space="preserve">eferral but addressed in IVIg PI (Flebogamma TGA PI, Intragam TGA PI): </w:t>
      </w:r>
    </w:p>
    <w:p w14:paraId="3F61F99B" w14:textId="0D00E49D" w:rsidR="001B3EE2" w:rsidRDefault="001B3EE2" w:rsidP="00AD163C">
      <w:pPr>
        <w:pStyle w:val="ListParagraph"/>
        <w:numPr>
          <w:ilvl w:val="1"/>
          <w:numId w:val="20"/>
        </w:numPr>
      </w:pPr>
      <w:r w:rsidRPr="00F94766">
        <w:t>Haemolytic anaemia</w:t>
      </w:r>
      <w:r>
        <w:t>;</w:t>
      </w:r>
    </w:p>
    <w:p w14:paraId="2CB19357" w14:textId="2477C147" w:rsidR="001B3EE2" w:rsidRDefault="001B3EE2" w:rsidP="00AD163C">
      <w:pPr>
        <w:pStyle w:val="ListParagraph"/>
        <w:numPr>
          <w:ilvl w:val="1"/>
          <w:numId w:val="20"/>
        </w:numPr>
      </w:pPr>
      <w:r w:rsidRPr="00F94766">
        <w:t>Transfusion-related acute lung injury</w:t>
      </w:r>
      <w:r>
        <w:t>;</w:t>
      </w:r>
    </w:p>
    <w:p w14:paraId="336E36E4" w14:textId="583569A6" w:rsidR="001B3EE2" w:rsidRDefault="001B3EE2" w:rsidP="00AD163C">
      <w:pPr>
        <w:pStyle w:val="ListParagraph"/>
        <w:numPr>
          <w:ilvl w:val="1"/>
          <w:numId w:val="20"/>
        </w:numPr>
      </w:pPr>
      <w:r>
        <w:t>R</w:t>
      </w:r>
      <w:r w:rsidRPr="00F94766">
        <w:t>eversible aseptic meningitis</w:t>
      </w:r>
      <w:r>
        <w:t>;</w:t>
      </w:r>
    </w:p>
    <w:p w14:paraId="7BA734EA" w14:textId="187D41DA" w:rsidR="001B3EE2" w:rsidRDefault="001B3EE2" w:rsidP="00AD163C">
      <w:pPr>
        <w:pStyle w:val="ListParagraph"/>
        <w:numPr>
          <w:ilvl w:val="1"/>
          <w:numId w:val="20"/>
        </w:numPr>
      </w:pPr>
      <w:r>
        <w:t>T</w:t>
      </w:r>
      <w:r w:rsidRPr="00F94766">
        <w:t>ransient cutaneous react</w:t>
      </w:r>
      <w:r>
        <w:t>ions and exfoliative dermatitis;</w:t>
      </w:r>
    </w:p>
    <w:p w14:paraId="58A5FAE7" w14:textId="6218C71C" w:rsidR="001B3EE2" w:rsidRDefault="001B3EE2" w:rsidP="00AD163C">
      <w:pPr>
        <w:pStyle w:val="ListParagraph"/>
        <w:numPr>
          <w:ilvl w:val="1"/>
          <w:numId w:val="20"/>
        </w:numPr>
      </w:pPr>
      <w:r>
        <w:t>Acid load;</w:t>
      </w:r>
    </w:p>
    <w:p w14:paraId="72976088" w14:textId="058FBAA0" w:rsidR="001B3EE2" w:rsidRDefault="001B3EE2" w:rsidP="00AD163C">
      <w:pPr>
        <w:pStyle w:val="ListParagraph"/>
        <w:numPr>
          <w:ilvl w:val="1"/>
          <w:numId w:val="20"/>
        </w:numPr>
      </w:pPr>
      <w:r>
        <w:t xml:space="preserve">Pathogen safety. </w:t>
      </w:r>
    </w:p>
    <w:p w14:paraId="345F41D6" w14:textId="666FD582" w:rsidR="001B3EE2" w:rsidRDefault="0002422D" w:rsidP="0002422D">
      <w:pPr>
        <w:pStyle w:val="Heading2"/>
      </w:pPr>
      <w:r>
        <w:t xml:space="preserve">4.2 </w:t>
      </w:r>
      <w:r w:rsidR="001B3EE2" w:rsidRPr="00AA3486">
        <w:t>Clinical effectiveness outcomes</w:t>
      </w:r>
      <w:r w:rsidR="001B3EE2">
        <w:t xml:space="preserve"> identified in the Referral</w:t>
      </w:r>
      <w:r w:rsidR="001B3EE2" w:rsidRPr="00AA3486">
        <w:t>:</w:t>
      </w:r>
    </w:p>
    <w:p w14:paraId="456D6F1B" w14:textId="77777777" w:rsidR="001B3EE2" w:rsidRPr="0002422D" w:rsidRDefault="001B3EE2" w:rsidP="0002422D">
      <w:pPr>
        <w:pStyle w:val="ListParagraph"/>
      </w:pPr>
      <w:r w:rsidRPr="0002422D">
        <w:t xml:space="preserve">Disease remission; </w:t>
      </w:r>
    </w:p>
    <w:p w14:paraId="124C39C6" w14:textId="77777777" w:rsidR="001B3EE2" w:rsidRPr="0002422D" w:rsidRDefault="001B3EE2" w:rsidP="0002422D">
      <w:pPr>
        <w:pStyle w:val="ListParagraph"/>
      </w:pPr>
      <w:r w:rsidRPr="0002422D">
        <w:t>Change in motor muscle weakness;</w:t>
      </w:r>
    </w:p>
    <w:p w14:paraId="1151280A" w14:textId="77777777" w:rsidR="001B3EE2" w:rsidRPr="0002422D" w:rsidRDefault="001B3EE2" w:rsidP="0002422D">
      <w:pPr>
        <w:pStyle w:val="ListParagraph"/>
      </w:pPr>
      <w:r w:rsidRPr="0002422D">
        <w:t>Change in disability (e.g. measured by the ONLS);</w:t>
      </w:r>
    </w:p>
    <w:p w14:paraId="5112C532" w14:textId="77777777" w:rsidR="00154648" w:rsidRPr="0002422D" w:rsidRDefault="001B3EE2" w:rsidP="0002422D">
      <w:pPr>
        <w:pStyle w:val="ListParagraph"/>
      </w:pPr>
      <w:r w:rsidRPr="0002422D">
        <w:t>Change in quality of life (QoL)</w:t>
      </w:r>
      <w:r w:rsidR="00154648" w:rsidRPr="0002422D">
        <w:t>;</w:t>
      </w:r>
    </w:p>
    <w:p w14:paraId="7179C991" w14:textId="0C6FB1BF" w:rsidR="001B3EE2" w:rsidRPr="0002422D" w:rsidRDefault="002E4F05" w:rsidP="0002422D">
      <w:pPr>
        <w:pStyle w:val="ListParagraph"/>
      </w:pPr>
      <w:r w:rsidRPr="0002422D">
        <w:t>Quality</w:t>
      </w:r>
      <w:r w:rsidR="00154648" w:rsidRPr="0002422D">
        <w:t xml:space="preserve"> adjusted life year</w:t>
      </w:r>
      <w:r w:rsidRPr="0002422D">
        <w:t xml:space="preserve"> (QALY)</w:t>
      </w:r>
      <w:r w:rsidR="001B3EE2" w:rsidRPr="0002422D">
        <w:t xml:space="preserve">.  </w:t>
      </w:r>
    </w:p>
    <w:p w14:paraId="6836B9E2" w14:textId="5307755C" w:rsidR="001B3EE2" w:rsidRPr="00FD7C24" w:rsidRDefault="0002422D" w:rsidP="0002422D">
      <w:pPr>
        <w:pStyle w:val="Heading2"/>
      </w:pPr>
      <w:r>
        <w:t xml:space="preserve">4.3 </w:t>
      </w:r>
      <w:r w:rsidR="00B974D7" w:rsidRPr="00FD7C24">
        <w:t>Other c</w:t>
      </w:r>
      <w:r w:rsidR="001B3EE2" w:rsidRPr="00FD7C24">
        <w:t>linical effectiveness outcomes identified in systematic literature review</w:t>
      </w:r>
      <w:r w:rsidR="00B974D7" w:rsidRPr="00FD7C24">
        <w:t xml:space="preserve"> and clinical trials (clinicaltrials.gov). </w:t>
      </w:r>
    </w:p>
    <w:p w14:paraId="1685F6D5" w14:textId="247C1208" w:rsidR="001B3EE2" w:rsidRPr="0002422D" w:rsidRDefault="001B3EE2" w:rsidP="0002422D">
      <w:pPr>
        <w:pStyle w:val="ListParagraph"/>
      </w:pPr>
      <w:r w:rsidRPr="0002422D">
        <w:t xml:space="preserve">Reverse or improvement of the motor conduction block </w:t>
      </w:r>
      <w:r w:rsidR="00E61B6E" w:rsidRPr="0002422D">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rsidRPr="0002422D">
        <w:instrText xml:space="preserve"> ADDIN EN.CITE </w:instrText>
      </w:r>
      <w:r w:rsidR="00E61B6E" w:rsidRPr="0002422D">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rsidRPr="0002422D">
        <w:instrText xml:space="preserve"> ADDIN EN.CITE.DATA </w:instrText>
      </w:r>
      <w:r w:rsidR="00E61B6E" w:rsidRPr="0002422D">
        <w:fldChar w:fldCharType="end"/>
      </w:r>
      <w:r w:rsidR="00E61B6E" w:rsidRPr="0002422D">
        <w:fldChar w:fldCharType="separate"/>
      </w:r>
      <w:r w:rsidR="00E61B6E" w:rsidRPr="0002422D">
        <w:t>(3)</w:t>
      </w:r>
      <w:r w:rsidR="00E61B6E" w:rsidRPr="0002422D">
        <w:fldChar w:fldCharType="end"/>
      </w:r>
      <w:r w:rsidRPr="0002422D">
        <w:t xml:space="preserve">; </w:t>
      </w:r>
    </w:p>
    <w:p w14:paraId="2C5B1A27" w14:textId="6E3B865C" w:rsidR="001B3EE2" w:rsidRPr="0002422D" w:rsidRDefault="001B3EE2" w:rsidP="0002422D">
      <w:pPr>
        <w:pStyle w:val="ListParagraph"/>
      </w:pPr>
      <w:r w:rsidRPr="0002422D">
        <w:t xml:space="preserve">Grip strength </w:t>
      </w:r>
      <w:r w:rsidR="00E61B6E" w:rsidRPr="0002422D">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rsidRPr="0002422D">
        <w:instrText xml:space="preserve"> ADDIN EN.CITE </w:instrText>
      </w:r>
      <w:r w:rsidR="00E61B6E" w:rsidRPr="0002422D">
        <w:fldChar w:fldCharType="begin">
          <w:fldData xml:space="preserve">PEVuZE5vdGU+PENpdGU+PEF1dGhvcj5VbWFwYXRoaTwvQXV0aG9yPjxZZWFyPjIwMTU8L1llYXI+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</w:fldData>
        </w:fldChar>
      </w:r>
      <w:r w:rsidR="00E61B6E" w:rsidRPr="0002422D">
        <w:instrText xml:space="preserve"> ADDIN EN.CITE.DATA </w:instrText>
      </w:r>
      <w:r w:rsidR="00E61B6E" w:rsidRPr="0002422D">
        <w:fldChar w:fldCharType="end"/>
      </w:r>
      <w:r w:rsidR="00E61B6E" w:rsidRPr="0002422D">
        <w:fldChar w:fldCharType="separate"/>
      </w:r>
      <w:r w:rsidR="00E61B6E" w:rsidRPr="0002422D">
        <w:t>(3)</w:t>
      </w:r>
      <w:r w:rsidR="00E61B6E" w:rsidRPr="0002422D">
        <w:fldChar w:fldCharType="end"/>
      </w:r>
      <w:r w:rsidRPr="0002422D">
        <w:t xml:space="preserve"> ;</w:t>
      </w:r>
    </w:p>
    <w:p w14:paraId="3E071CAA" w14:textId="200C25CA" w:rsidR="001B3EE2" w:rsidRPr="0002422D" w:rsidRDefault="001B3EE2" w:rsidP="0002422D">
      <w:pPr>
        <w:pStyle w:val="ListParagraph"/>
      </w:pPr>
      <w:r w:rsidRPr="0002422D">
        <w:t xml:space="preserve">Change in axonal degeneration </w:t>
      </w:r>
      <w:r w:rsidR="00E61B6E" w:rsidRPr="0002422D">
        <w:fldChar w:fldCharType="begin"/>
      </w:r>
      <w:r w:rsidR="00297DF0">
        <w:instrText xml:space="preserve"> ADDIN EN.CITE &lt;EndNote&gt;&lt;Cite&gt;&lt;Author&gt;Leger&lt;/Author&gt;&lt;Year&gt;2014&lt;/Year&gt;&lt;RecNum&gt;25&lt;/RecNum&gt;&lt;DisplayText&gt;(19)&lt;/DisplayText&gt;&lt;record&gt;&lt;rec-number&gt;25&lt;/rec-number&gt;&lt;foreign-keys&gt;&lt;key app="EN" db-id="vz5vz5xro5d25hepedvpvr0o0v5axp5r99sw" timestamp="1568848022"&gt;25&lt;/key&gt;&lt;/foreign-keys&gt;&lt;ref-type name="Journal Article"&gt;17&lt;/ref-type&gt;&lt;contributors&gt;&lt;authors&gt;&lt;author&gt;Leger, J. M.&lt;/author&gt;&lt;/authors&gt;&lt;/contributors&gt;&lt;auth-address&gt;National Referral Centre for Neuromuscular Diseases, University Hospital Pitie-Salpetriere and University Paris VI, Paris, France.&lt;/auth-address&gt;&lt;titles&gt;&lt;title&gt;Immunoglobulin (Ig) in multifocal motor neuropathy (MMN): update on evidence for Ig treatment in MMN&lt;/title&gt;&lt;secondary-title&gt;Clin Exp Immunol&lt;/secondary-title&gt;&lt;alt-title&gt;Clinical and experimental immunology&lt;/alt-title&gt;&lt;/titles&gt;&lt;periodical&gt;&lt;full-title&gt;Clin Exp Immunol&lt;/full-title&gt;&lt;abbr-1&gt;Clinical and experimental immunology&lt;/abbr-1&gt;&lt;/periodical&gt;&lt;alt-periodical&gt;&lt;full-title&gt;Clin Exp Immunol&lt;/full-title&gt;&lt;abbr-1&gt;Clinical and experimental immunology&lt;/abbr-1&gt;&lt;/alt-periodical&gt;&lt;pages&gt;42-4&lt;/pages&gt;&lt;volume&gt;178 Suppl 1&lt;/volume&gt;&lt;keywords&gt;&lt;keyword&gt;Autonomic Nervous System Diseases/*immunology/*therapy&lt;/keyword&gt;&lt;keyword&gt;Double-Blind Method&lt;/keyword&gt;&lt;keyword&gt;Humans&lt;/keyword&gt;&lt;keyword&gt;Immunoglobulins, Intravenous/*administration &amp;amp; dosage&lt;/keyword&gt;&lt;keyword&gt;Polyneuropathies/*immunology/*therapy&lt;/keyword&gt;&lt;keyword&gt;Randomized Controlled Trials as Topic&lt;/keyword&gt;&lt;/keywords&gt;&lt;dates&gt;&lt;year&gt;2014&lt;/year&gt;&lt;pub-dates&gt;&lt;date&gt;Dec&lt;/date&gt;&lt;/pub-dates&gt;&lt;/dates&gt;&lt;isbn&gt;1365-2249 (Electronic)&amp;#xD;0009-9104 (Linking)&lt;/isbn&gt;&lt;accession-num&gt;25546756&lt;/accession-num&gt;&lt;urls&gt;&lt;related-urls&gt;&lt;url&gt;http://www.ncbi.nlm.nih.gov/pubmed/25546756&lt;/url&gt;&lt;/related-urls&gt;&lt;/urls&gt;&lt;custom2&gt;4285485&lt;/custom2&gt;&lt;electronic-resource-num&gt;10.1111/cei.12505&lt;/electronic-resource-num&gt;&lt;/record&gt;&lt;/Cite&gt;&lt;/EndNote&gt;</w:instrText>
      </w:r>
      <w:r w:rsidR="00E61B6E" w:rsidRPr="0002422D">
        <w:fldChar w:fldCharType="separate"/>
      </w:r>
      <w:r w:rsidR="00297DF0">
        <w:rPr>
          <w:noProof/>
        </w:rPr>
        <w:t>(19)</w:t>
      </w:r>
      <w:r w:rsidR="00E61B6E" w:rsidRPr="0002422D">
        <w:fldChar w:fldCharType="end"/>
      </w:r>
      <w:r w:rsidRPr="0002422D">
        <w:t>;</w:t>
      </w:r>
    </w:p>
    <w:p w14:paraId="31E37F13" w14:textId="6AD36E7E" w:rsidR="001B3EE2" w:rsidRPr="0002422D" w:rsidRDefault="001B3EE2" w:rsidP="0002422D">
      <w:pPr>
        <w:pStyle w:val="ListParagraph"/>
      </w:pPr>
      <w:r w:rsidRPr="0002422D">
        <w:lastRenderedPageBreak/>
        <w:t>Nerve conduction parameters (NCT00268788);</w:t>
      </w:r>
    </w:p>
    <w:p w14:paraId="7F8EC328" w14:textId="1CBD2F9F" w:rsidR="001B3EE2" w:rsidRPr="0002422D" w:rsidRDefault="001B3EE2" w:rsidP="0002422D">
      <w:pPr>
        <w:pStyle w:val="ListParagraph"/>
      </w:pPr>
      <w:r w:rsidRPr="0002422D">
        <w:t>Changes in isometric muscle strength (NCT02556437);</w:t>
      </w:r>
    </w:p>
    <w:p w14:paraId="22E1CBC5" w14:textId="6AF398AA" w:rsidR="001B3EE2" w:rsidRPr="0002422D" w:rsidRDefault="001B3EE2" w:rsidP="0002422D">
      <w:pPr>
        <w:pStyle w:val="ListParagraph"/>
      </w:pPr>
      <w:r w:rsidRPr="0002422D">
        <w:t xml:space="preserve">Changes in isokinetic muscle strength (NCT02121678); </w:t>
      </w:r>
    </w:p>
    <w:p w14:paraId="4B531052" w14:textId="017B33D6" w:rsidR="001B3EE2" w:rsidRPr="0002422D" w:rsidRDefault="001B3EE2" w:rsidP="0002422D">
      <w:pPr>
        <w:pStyle w:val="ListParagraph"/>
      </w:pPr>
      <w:r w:rsidRPr="0002422D">
        <w:t>Changes in maximal oxygen consumption (NCT02121678);</w:t>
      </w:r>
    </w:p>
    <w:p w14:paraId="4CA5E5C4" w14:textId="3F40D464" w:rsidR="001B3EE2" w:rsidRPr="0002422D" w:rsidRDefault="001B3EE2" w:rsidP="0002422D">
      <w:pPr>
        <w:pStyle w:val="ListParagraph"/>
      </w:pPr>
      <w:r w:rsidRPr="0002422D">
        <w:t>Variation in blood haemoglobin (NCT02111590);</w:t>
      </w:r>
    </w:p>
    <w:p w14:paraId="136C7117" w14:textId="3B4C0B85" w:rsidR="001B3EE2" w:rsidRPr="0002422D" w:rsidRDefault="00147FB7" w:rsidP="0002422D">
      <w:pPr>
        <w:pStyle w:val="ListParagraph"/>
      </w:pPr>
      <w:r>
        <w:t>Morphology of the nerves (NCT</w:t>
      </w:r>
      <w:r w:rsidR="001B3EE2" w:rsidRPr="0002422D">
        <w:t>03008733);</w:t>
      </w:r>
    </w:p>
    <w:p w14:paraId="423B2D83" w14:textId="77777777" w:rsidR="001B3EE2" w:rsidRPr="0002422D" w:rsidRDefault="001B3EE2" w:rsidP="0002422D">
      <w:pPr>
        <w:pStyle w:val="ListParagraph"/>
      </w:pPr>
      <w:r w:rsidRPr="0002422D">
        <w:t>Changes in gait performance (NCT02556437);</w:t>
      </w:r>
    </w:p>
    <w:p w14:paraId="734DD03B" w14:textId="259532E7" w:rsidR="001B3EE2" w:rsidRPr="0002422D" w:rsidRDefault="001B3EE2" w:rsidP="0002422D">
      <w:pPr>
        <w:pStyle w:val="ListParagraph"/>
      </w:pPr>
      <w:r w:rsidRPr="0002422D">
        <w:t>Changes in Fatig</w:t>
      </w:r>
      <w:r w:rsidR="00147FB7">
        <w:t>ue Severity Score (NCT02121678).</w:t>
      </w:r>
    </w:p>
    <w:p w14:paraId="0B3A58E1" w14:textId="1C334723" w:rsidR="001B3EE2" w:rsidRPr="00E47798" w:rsidRDefault="0002422D" w:rsidP="0002422D">
      <w:pPr>
        <w:pStyle w:val="Heading2"/>
      </w:pPr>
      <w:r>
        <w:t xml:space="preserve">4.4 </w:t>
      </w:r>
      <w:r w:rsidR="001B3EE2" w:rsidRPr="00E47798">
        <w:t>Healthcare system</w:t>
      </w:r>
      <w:r w:rsidR="001B3EE2">
        <w:t xml:space="preserve"> resources utilisation as identified in the Referral</w:t>
      </w:r>
    </w:p>
    <w:p w14:paraId="58706383" w14:textId="2D5A663F" w:rsidR="001B3EE2" w:rsidRPr="0002422D" w:rsidRDefault="001B3EE2" w:rsidP="0002422D">
      <w:pPr>
        <w:pStyle w:val="ListParagraph"/>
      </w:pPr>
      <w:r w:rsidRPr="0002422D">
        <w:t>Changes in health system resource utilisation associated with the intervention compared to the comparator</w:t>
      </w:r>
      <w:r w:rsidR="00147FB7">
        <w:t>:</w:t>
      </w:r>
    </w:p>
    <w:p w14:paraId="6AA68622" w14:textId="43647F3C" w:rsidR="001B3EE2" w:rsidRDefault="001B3EE2" w:rsidP="00F913CD">
      <w:pPr>
        <w:pStyle w:val="ListParagraph"/>
        <w:numPr>
          <w:ilvl w:val="1"/>
          <w:numId w:val="20"/>
        </w:numPr>
      </w:pPr>
      <w:r w:rsidRPr="00AC71D7">
        <w:t>IVIg products</w:t>
      </w:r>
      <w:r w:rsidR="0044224A">
        <w:t>;</w:t>
      </w:r>
    </w:p>
    <w:p w14:paraId="5F9683E9" w14:textId="5141584A" w:rsidR="0044224A" w:rsidRPr="0044224A" w:rsidRDefault="0044224A" w:rsidP="00F913CD">
      <w:pPr>
        <w:pStyle w:val="ListParagraph"/>
        <w:numPr>
          <w:ilvl w:val="1"/>
          <w:numId w:val="20"/>
        </w:numPr>
      </w:pPr>
      <w:r w:rsidRPr="0044224A">
        <w:t>Other therapies used in patients with progressive MMN</w:t>
      </w:r>
      <w:r>
        <w:t>;</w:t>
      </w:r>
    </w:p>
    <w:p w14:paraId="4568647C" w14:textId="4DEBEDBB" w:rsidR="001B3EE2" w:rsidRPr="00AC71D7" w:rsidRDefault="001B3EE2" w:rsidP="00F913CD">
      <w:pPr>
        <w:pStyle w:val="ListParagraph"/>
        <w:numPr>
          <w:ilvl w:val="1"/>
          <w:numId w:val="20"/>
        </w:numPr>
      </w:pPr>
      <w:r w:rsidRPr="00AC71D7">
        <w:t>Infusion equipment</w:t>
      </w:r>
      <w:r w:rsidR="0044224A">
        <w:t>;</w:t>
      </w:r>
    </w:p>
    <w:p w14:paraId="50E3CD13" w14:textId="413E947C" w:rsidR="001B3EE2" w:rsidRPr="008528EF" w:rsidRDefault="001B3EE2" w:rsidP="00F913CD">
      <w:pPr>
        <w:pStyle w:val="ListParagraph"/>
        <w:numPr>
          <w:ilvl w:val="1"/>
          <w:numId w:val="20"/>
        </w:numPr>
      </w:pPr>
      <w:r w:rsidRPr="00AC71D7">
        <w:t xml:space="preserve">Administrative and clinician time (e.g. resources associated with requesting, and authorising, </w:t>
      </w:r>
      <w:r w:rsidRPr="008528EF">
        <w:t>access to Ig)</w:t>
      </w:r>
      <w:r w:rsidR="0044224A">
        <w:t>;</w:t>
      </w:r>
    </w:p>
    <w:p w14:paraId="4E3F3E8C" w14:textId="418A6FDC" w:rsidR="001B3EE2" w:rsidRPr="00AC71D7" w:rsidRDefault="001B3EE2" w:rsidP="00F913CD">
      <w:pPr>
        <w:pStyle w:val="ListParagraph"/>
        <w:numPr>
          <w:ilvl w:val="1"/>
          <w:numId w:val="20"/>
        </w:numPr>
      </w:pPr>
      <w:r w:rsidRPr="00AC71D7">
        <w:t>Nursing time (for treatment initiation and monitoring if IVIg)</w:t>
      </w:r>
      <w:r w:rsidR="0044224A">
        <w:t>;</w:t>
      </w:r>
    </w:p>
    <w:p w14:paraId="6B4F693B" w14:textId="0313FD5E" w:rsidR="001B3EE2" w:rsidRPr="00AC71D7" w:rsidRDefault="001B3EE2" w:rsidP="00F913CD">
      <w:pPr>
        <w:pStyle w:val="ListParagraph"/>
        <w:numPr>
          <w:ilvl w:val="1"/>
          <w:numId w:val="20"/>
        </w:numPr>
      </w:pPr>
      <w:r w:rsidRPr="00AC71D7">
        <w:t>Hospitalisation (including use of hospital resources)</w:t>
      </w:r>
      <w:r w:rsidR="0044224A">
        <w:t>;</w:t>
      </w:r>
    </w:p>
    <w:p w14:paraId="6084FD9C" w14:textId="2F4890FB" w:rsidR="001B3EE2" w:rsidRPr="00AC71D7" w:rsidRDefault="001B3EE2" w:rsidP="00F913CD">
      <w:pPr>
        <w:pStyle w:val="ListParagraph"/>
        <w:numPr>
          <w:ilvl w:val="1"/>
          <w:numId w:val="20"/>
        </w:numPr>
      </w:pPr>
      <w:r w:rsidRPr="00AC71D7">
        <w:t>Treatment of adverse events (e.g. analgesia or antihistamines)</w:t>
      </w:r>
      <w:r w:rsidR="0044224A">
        <w:t>;</w:t>
      </w:r>
    </w:p>
    <w:p w14:paraId="69022934" w14:textId="0C2394A8" w:rsidR="001B3EE2" w:rsidRPr="00AC71D7" w:rsidRDefault="001B3EE2" w:rsidP="00F913CD">
      <w:pPr>
        <w:pStyle w:val="ListParagraph"/>
        <w:numPr>
          <w:ilvl w:val="1"/>
          <w:numId w:val="20"/>
        </w:numPr>
      </w:pPr>
      <w:r w:rsidRPr="00AC71D7">
        <w:t>Product dispensing and disposal of any unused product</w:t>
      </w:r>
      <w:r w:rsidR="0044224A">
        <w:t>;</w:t>
      </w:r>
    </w:p>
    <w:p w14:paraId="12F3A070" w14:textId="0334EE40" w:rsidR="001B3EE2" w:rsidRPr="00AC71D7" w:rsidRDefault="001B3EE2" w:rsidP="00F913CD">
      <w:pPr>
        <w:pStyle w:val="ListParagraph"/>
        <w:numPr>
          <w:ilvl w:val="1"/>
          <w:numId w:val="20"/>
        </w:numPr>
      </w:pPr>
      <w:r w:rsidRPr="00AC71D7">
        <w:t>Follow-up and/or monitoring visits, including regular neurology visits</w:t>
      </w:r>
      <w:r w:rsidR="0044224A">
        <w:t>;</w:t>
      </w:r>
    </w:p>
    <w:p w14:paraId="275E956C" w14:textId="67FAC934" w:rsidR="001B3EE2" w:rsidRPr="00AC71D7" w:rsidRDefault="0044224A" w:rsidP="00F913CD">
      <w:pPr>
        <w:pStyle w:val="ListParagraph"/>
        <w:numPr>
          <w:ilvl w:val="1"/>
          <w:numId w:val="20"/>
        </w:numPr>
      </w:pPr>
      <w:r>
        <w:t>D</w:t>
      </w:r>
      <w:r w:rsidR="001B3EE2" w:rsidRPr="00AC71D7">
        <w:t>isability support services</w:t>
      </w:r>
      <w:r>
        <w:t>;</w:t>
      </w:r>
    </w:p>
    <w:p w14:paraId="72971491" w14:textId="66107A15" w:rsidR="001B3EE2" w:rsidRPr="00AC71D7" w:rsidRDefault="0044224A" w:rsidP="00F913CD">
      <w:pPr>
        <w:pStyle w:val="ListParagraph"/>
        <w:numPr>
          <w:ilvl w:val="1"/>
          <w:numId w:val="20"/>
        </w:numPr>
      </w:pPr>
      <w:r>
        <w:t>H</w:t>
      </w:r>
      <w:r w:rsidR="001B3EE2" w:rsidRPr="00AC71D7">
        <w:t>ome nursing and support needs</w:t>
      </w:r>
      <w:r>
        <w:t>.</w:t>
      </w:r>
    </w:p>
    <w:p w14:paraId="0AD0E640" w14:textId="77777777" w:rsidR="001B3EE2" w:rsidRDefault="001B3EE2" w:rsidP="00C8229B">
      <w:pPr>
        <w:pStyle w:val="Heading1"/>
      </w:pPr>
      <w:r>
        <w:t>Clinical management algorithm</w:t>
      </w:r>
    </w:p>
    <w:p w14:paraId="0B1DDBA7" w14:textId="20F3DA33" w:rsidR="001B3EE2" w:rsidRDefault="003C154C" w:rsidP="008E5F8B">
      <w:pPr>
        <w:pStyle w:val="Heading2"/>
      </w:pPr>
      <w:r>
        <w:t xml:space="preserve">5.1 </w:t>
      </w:r>
      <w:r w:rsidR="001B3EE2">
        <w:t>Current clinical management algorithm</w:t>
      </w:r>
    </w:p>
    <w:p w14:paraId="13804434" w14:textId="129B426C" w:rsidR="001B3EE2" w:rsidRDefault="001B3EE2" w:rsidP="0044224A">
      <w:r>
        <w:t xml:space="preserve">The current clinical management algorithm for the initial and maintenance access of IVIg is </w:t>
      </w:r>
      <w:r w:rsidR="0044224A">
        <w:t>as in the Referral</w:t>
      </w:r>
      <w:r w:rsidR="004B584F">
        <w:t>,</w:t>
      </w:r>
      <w:r w:rsidR="0044224A">
        <w:t xml:space="preserve"> is </w:t>
      </w:r>
      <w:r>
        <w:t>presented in Figure 1 and Figure 2 in Attachment 1.</w:t>
      </w:r>
    </w:p>
    <w:p w14:paraId="7CAF707D" w14:textId="50F015E4" w:rsidR="0044224A" w:rsidRPr="00AC71D7" w:rsidRDefault="0044224A" w:rsidP="0044224A">
      <w:r>
        <w:t xml:space="preserve">The proposed clinical management algorithm is presented in Figure 3 in Attachment 1. </w:t>
      </w:r>
    </w:p>
    <w:p w14:paraId="3AC52AA6" w14:textId="42E4187E" w:rsidR="001B3EE2" w:rsidRPr="0066715E" w:rsidRDefault="008A4548" w:rsidP="00AC71D7">
      <w:pPr>
        <w:rPr>
          <w:b/>
          <w:u w:val="single"/>
        </w:rPr>
      </w:pPr>
      <w:r w:rsidRPr="0066715E">
        <w:rPr>
          <w:b/>
          <w:u w:val="single"/>
        </w:rPr>
        <w:t>Patient eligibility</w:t>
      </w:r>
    </w:p>
    <w:p w14:paraId="3901FF24" w14:textId="5A729A7E" w:rsidR="001B3EE2" w:rsidRPr="000500DB" w:rsidRDefault="001B3EE2" w:rsidP="00AC71D7">
      <w:r>
        <w:t>Patients may be eligible to initiate treatment with IVIg if they have a confirmed diagnos</w:t>
      </w:r>
      <w:r w:rsidR="00D34641">
        <w:t>is</w:t>
      </w:r>
      <w:r>
        <w:t xml:space="preserve"> of MMN by a neurologist. However, the following criteria must be met in order for a patient to q</w:t>
      </w:r>
      <w:r w:rsidRPr="000500DB">
        <w:t>ualify</w:t>
      </w:r>
      <w:r>
        <w:t xml:space="preserve"> </w:t>
      </w:r>
      <w:r w:rsidRPr="000500DB">
        <w:t>for first line treatment</w:t>
      </w:r>
      <w:r>
        <w:t>:</w:t>
      </w:r>
    </w:p>
    <w:p w14:paraId="1CA5E3F1" w14:textId="77777777" w:rsidR="001B3EE2" w:rsidRPr="0002422D" w:rsidRDefault="001B3EE2" w:rsidP="0002422D">
      <w:pPr>
        <w:pStyle w:val="ListParagraph"/>
      </w:pPr>
      <w:r w:rsidRPr="0002422D">
        <w:t>Progressive motor weakness demonstrated in the distribution of individual peripheral nerves AND;</w:t>
      </w:r>
    </w:p>
    <w:p w14:paraId="2326628E" w14:textId="77777777" w:rsidR="001B3EE2" w:rsidRPr="0002422D" w:rsidRDefault="001B3EE2" w:rsidP="0002422D">
      <w:pPr>
        <w:pStyle w:val="ListParagraph"/>
      </w:pPr>
      <w:r w:rsidRPr="0002422D">
        <w:t xml:space="preserve">Disability score ≥ 2 measured by ONLS. </w:t>
      </w:r>
    </w:p>
    <w:p w14:paraId="55A01AA5" w14:textId="77777777" w:rsidR="008A4548" w:rsidRPr="0066715E" w:rsidRDefault="008A4548" w:rsidP="00AC71D7">
      <w:pPr>
        <w:rPr>
          <w:b/>
          <w:u w:val="single"/>
        </w:rPr>
      </w:pPr>
      <w:r w:rsidRPr="0066715E">
        <w:rPr>
          <w:b/>
          <w:u w:val="single"/>
        </w:rPr>
        <w:t>Initial treatment</w:t>
      </w:r>
    </w:p>
    <w:p w14:paraId="129F9870" w14:textId="168764D9" w:rsidR="001B3EE2" w:rsidRDefault="001B3EE2" w:rsidP="00AC71D7">
      <w:pPr>
        <w:rPr>
          <w:u w:val="dotted"/>
        </w:rPr>
      </w:pPr>
      <w:r>
        <w:t xml:space="preserve">At the treatment initiation stage, </w:t>
      </w:r>
      <w:r w:rsidRPr="006852B2">
        <w:t>IVIg</w:t>
      </w:r>
      <w:r>
        <w:t xml:space="preserve"> should be used for a maximum of </w:t>
      </w:r>
      <w:r w:rsidRPr="006852B2">
        <w:t>fou</w:t>
      </w:r>
      <w:r>
        <w:t xml:space="preserve">r months (induction plus </w:t>
      </w:r>
      <w:r w:rsidRPr="006852B2">
        <w:t>three</w:t>
      </w:r>
      <w:r>
        <w:t xml:space="preserve"> maintenance cycles as described in the intervention section) before being reviewed by a neurologist who will determine if the patient has responded or not. If there is no measurable benefit </w:t>
      </w:r>
      <w:r>
        <w:lastRenderedPageBreak/>
        <w:t xml:space="preserve">after this period of treatment, IVIg therapy should be discontinued. The following criteria need to be met to establish </w:t>
      </w:r>
      <w:r w:rsidR="004B584F">
        <w:t xml:space="preserve">whether </w:t>
      </w:r>
      <w:r>
        <w:t>a patient has responded after the initial 4-month period:</w:t>
      </w:r>
      <w:r>
        <w:rPr>
          <w:u w:val="dotted"/>
        </w:rPr>
        <w:t xml:space="preserve"> </w:t>
      </w:r>
    </w:p>
    <w:p w14:paraId="0FA7B2AB" w14:textId="77777777" w:rsidR="001B3EE2" w:rsidRPr="0002422D" w:rsidRDefault="001B3EE2" w:rsidP="0002422D">
      <w:pPr>
        <w:pStyle w:val="ListParagraph"/>
      </w:pPr>
      <w:r w:rsidRPr="0002422D">
        <w:t>Improvement in focal motor weakness in previously weak (but not end-stage) muscles;</w:t>
      </w:r>
    </w:p>
    <w:p w14:paraId="2F7E0384" w14:textId="77777777" w:rsidR="001B3EE2" w:rsidRPr="0002422D" w:rsidRDefault="001B3EE2" w:rsidP="0002422D">
      <w:pPr>
        <w:pStyle w:val="ListParagraph"/>
      </w:pPr>
      <w:r w:rsidRPr="0002422D">
        <w:t xml:space="preserve">Improvement in the level of disability as measured by the ONLS of at least one point less than the quantifying score. </w:t>
      </w:r>
    </w:p>
    <w:p w14:paraId="34127308" w14:textId="164CE62B" w:rsidR="008A4548" w:rsidRPr="0066715E" w:rsidRDefault="008A4548" w:rsidP="006D11BE">
      <w:pPr>
        <w:rPr>
          <w:b/>
          <w:u w:val="single"/>
        </w:rPr>
      </w:pPr>
      <w:r w:rsidRPr="0066715E">
        <w:rPr>
          <w:b/>
          <w:u w:val="single"/>
        </w:rPr>
        <w:t>Maintenance treatment</w:t>
      </w:r>
      <w:r w:rsidR="00A97A84">
        <w:rPr>
          <w:b/>
          <w:u w:val="single"/>
        </w:rPr>
        <w:t xml:space="preserve"> (continuing authorisation period)</w:t>
      </w:r>
    </w:p>
    <w:p w14:paraId="1059BE0A" w14:textId="320BA6D8" w:rsidR="001B3EE2" w:rsidRDefault="001B3EE2" w:rsidP="006D11BE">
      <w:r>
        <w:t xml:space="preserve">If response to treatment is established by the neurologist, the </w:t>
      </w:r>
      <w:r w:rsidR="00A31057">
        <w:t xml:space="preserve">doctor </w:t>
      </w:r>
      <w:r>
        <w:t xml:space="preserve">may </w:t>
      </w:r>
      <w:r w:rsidR="00A31057">
        <w:t xml:space="preserve">request </w:t>
      </w:r>
      <w:r>
        <w:t xml:space="preserve">maintenance therapy with IVIg for up to 12 months. After this period, patients are reviewed by the neurologist who will classify patients as improved/remained stable or has mildly worsened. If the patient has significantly worsened, IVIg treatment should be discontinued. On the other hand, if the patient improved or remained stable, the neurologist must decide whether </w:t>
      </w:r>
      <w:r w:rsidR="004B584F">
        <w:t>to</w:t>
      </w:r>
      <w:r>
        <w:t xml:space="preserve"> initiate a weaning off trial phase or </w:t>
      </w:r>
      <w:r w:rsidR="004B584F">
        <w:t xml:space="preserve">to </w:t>
      </w:r>
      <w:r w:rsidR="00DF17FB">
        <w:t xml:space="preserve">stay </w:t>
      </w:r>
      <w:r>
        <w:t xml:space="preserve">on maintenance therapy. The following criteria need to be met to establish </w:t>
      </w:r>
      <w:r w:rsidR="00DF17FB">
        <w:t xml:space="preserve">whether </w:t>
      </w:r>
      <w:r>
        <w:t>a patient has improved or remained stable after maintenance therapy:</w:t>
      </w:r>
    </w:p>
    <w:p w14:paraId="5DDC4C5D" w14:textId="77777777" w:rsidR="001B3EE2" w:rsidRPr="0002422D" w:rsidRDefault="001B3EE2" w:rsidP="0002422D">
      <w:pPr>
        <w:pStyle w:val="ListParagraph"/>
      </w:pPr>
      <w:r w:rsidRPr="0002422D">
        <w:t xml:space="preserve">Improvement in or stabilisation of weakness after previous evidence of deterioration in motor strength, assuming small deterioration may occur over several years in stable patients. </w:t>
      </w:r>
    </w:p>
    <w:p w14:paraId="676A779B" w14:textId="77777777" w:rsidR="001B3EE2" w:rsidRPr="0002422D" w:rsidRDefault="001B3EE2" w:rsidP="0002422D">
      <w:pPr>
        <w:pStyle w:val="ListParagraph"/>
      </w:pPr>
      <w:r w:rsidRPr="0002422D">
        <w:t xml:space="preserve">Improvement in or stabilisation of disability as measured by the ONLS score compared to the previous review score, assuming gradual deterioration of one point over several years may occur. </w:t>
      </w:r>
    </w:p>
    <w:p w14:paraId="55116877" w14:textId="66B71A88" w:rsidR="001B3EE2" w:rsidRDefault="001B3EE2" w:rsidP="00053D97">
      <w:r w:rsidRPr="00706BC6">
        <w:t xml:space="preserve">A trial of weaning /cessation of Ig therapy </w:t>
      </w:r>
      <w:r w:rsidR="00362382">
        <w:t>is</w:t>
      </w:r>
      <w:r w:rsidR="00362382" w:rsidRPr="00706BC6">
        <w:t xml:space="preserve"> </w:t>
      </w:r>
      <w:r w:rsidRPr="00706BC6">
        <w:t>considered annually for patients who are clinically stable to identify those in remission</w:t>
      </w:r>
      <w:r>
        <w:t>. A</w:t>
      </w:r>
      <w:r w:rsidRPr="00706BC6">
        <w:t xml:space="preserve"> valid </w:t>
      </w:r>
      <w:r w:rsidR="004857CA">
        <w:t>justification</w:t>
      </w:r>
      <w:r w:rsidRPr="00706BC6">
        <w:t xml:space="preserve"> </w:t>
      </w:r>
      <w:r>
        <w:t xml:space="preserve">should be </w:t>
      </w:r>
      <w:r w:rsidRPr="00706BC6">
        <w:t>provided as to why a trial is not being planned or i</w:t>
      </w:r>
      <w:r w:rsidR="00D1554F">
        <w:t>s contraindicated at this time</w:t>
      </w:r>
      <w:r w:rsidRPr="0077688D">
        <w:t xml:space="preserve">. If the patient relapses within six months, they may be eligible for further </w:t>
      </w:r>
      <w:r>
        <w:t>IV</w:t>
      </w:r>
      <w:r w:rsidRPr="0077688D">
        <w:t>Ig therapy under the indication ‘</w:t>
      </w:r>
      <w:r w:rsidRPr="006D11BE">
        <w:rPr>
          <w:i/>
        </w:rPr>
        <w:t xml:space="preserve">Relapse of MMN patients within six months of commencement of a </w:t>
      </w:r>
      <w:r w:rsidR="007C36F1">
        <w:rPr>
          <w:i/>
        </w:rPr>
        <w:t>trial</w:t>
      </w:r>
      <w:r w:rsidR="007C36F1" w:rsidRPr="006D11BE">
        <w:rPr>
          <w:i/>
        </w:rPr>
        <w:t xml:space="preserve"> </w:t>
      </w:r>
      <w:r w:rsidRPr="006D11BE">
        <w:rPr>
          <w:i/>
        </w:rPr>
        <w:t xml:space="preserve">off </w:t>
      </w:r>
      <w:r>
        <w:rPr>
          <w:i/>
        </w:rPr>
        <w:t>IV</w:t>
      </w:r>
      <w:r w:rsidRPr="006D11BE">
        <w:rPr>
          <w:i/>
        </w:rPr>
        <w:t>Ig therapy’.</w:t>
      </w:r>
      <w:r>
        <w:rPr>
          <w:i/>
        </w:rPr>
        <w:t xml:space="preserve"> </w:t>
      </w:r>
    </w:p>
    <w:p w14:paraId="3E62AD91" w14:textId="256B4B80" w:rsidR="001B3EE2" w:rsidRPr="00706BC6" w:rsidRDefault="00D1554F" w:rsidP="00480F96">
      <w:r w:rsidRPr="00D1554F">
        <w:t>I</w:t>
      </w:r>
      <w:r w:rsidRPr="00E966FA">
        <w:t>f a</w:t>
      </w:r>
      <w:r w:rsidR="001B3EE2" w:rsidRPr="00D1554F">
        <w:t xml:space="preserve"> </w:t>
      </w:r>
      <w:r w:rsidRPr="00A13D68">
        <w:t xml:space="preserve">MMN </w:t>
      </w:r>
      <w:r>
        <w:t xml:space="preserve">patient </w:t>
      </w:r>
      <w:r w:rsidR="001B3EE2" w:rsidRPr="00693548">
        <w:t>relapse</w:t>
      </w:r>
      <w:r w:rsidRPr="00693548">
        <w:t>s</w:t>
      </w:r>
      <w:r w:rsidR="001B3EE2" w:rsidRPr="00693548">
        <w:t xml:space="preserve"> within six months of commencement of a trial off from IVIg therapy</w:t>
      </w:r>
      <w:r>
        <w:t xml:space="preserve">, </w:t>
      </w:r>
      <w:r w:rsidR="001B3EE2" w:rsidRPr="00F305F7">
        <w:t xml:space="preserve">The Criteria </w:t>
      </w:r>
      <w:r w:rsidR="00F305F7">
        <w:t>identify</w:t>
      </w:r>
      <w:r w:rsidR="001B3EE2">
        <w:t xml:space="preserve"> the following q</w:t>
      </w:r>
      <w:r w:rsidR="001B3EE2" w:rsidRPr="00706BC6">
        <w:t xml:space="preserve">ualifying criteria </w:t>
      </w:r>
      <w:r w:rsidR="001B3EE2">
        <w:t xml:space="preserve">regarding </w:t>
      </w:r>
      <w:r>
        <w:t xml:space="preserve">treatment </w:t>
      </w:r>
      <w:r w:rsidR="001B3EE2">
        <w:t>initiati</w:t>
      </w:r>
      <w:r>
        <w:t>on</w:t>
      </w:r>
      <w:r w:rsidR="001B3EE2">
        <w:t xml:space="preserve"> in th</w:t>
      </w:r>
      <w:r>
        <w:t xml:space="preserve">is </w:t>
      </w:r>
      <w:r w:rsidR="001B3EE2">
        <w:t xml:space="preserve">patient population: </w:t>
      </w:r>
    </w:p>
    <w:p w14:paraId="6AA96A24" w14:textId="58966172" w:rsidR="001B3EE2" w:rsidRPr="0002422D" w:rsidRDefault="001B3EE2" w:rsidP="0002422D">
      <w:pPr>
        <w:pStyle w:val="ListParagraph"/>
      </w:pPr>
      <w:r w:rsidRPr="0002422D">
        <w:t>Following a trial of</w:t>
      </w:r>
      <w:r w:rsidR="007C36F1">
        <w:t>f</w:t>
      </w:r>
      <w:r w:rsidRPr="0002422D">
        <w:t xml:space="preserve"> IVIg therapy, deterioration in motor weakness compared to the level of weakness at the last review in a patient who was previously stable while on IVIg therapy; </w:t>
      </w:r>
    </w:p>
    <w:p w14:paraId="0059D873" w14:textId="77777777" w:rsidR="001B3EE2" w:rsidRPr="0002422D" w:rsidRDefault="001B3EE2" w:rsidP="0002422D">
      <w:pPr>
        <w:pStyle w:val="ListParagraph"/>
      </w:pPr>
      <w:r w:rsidRPr="0002422D">
        <w:t xml:space="preserve">An increased level of disability as measured by the adjusted ONLS with an increase of at least one point compared to the score at the last review; </w:t>
      </w:r>
    </w:p>
    <w:p w14:paraId="11D16070" w14:textId="77777777" w:rsidR="001B3EE2" w:rsidRPr="0002422D" w:rsidRDefault="001B3EE2" w:rsidP="0002422D">
      <w:pPr>
        <w:pStyle w:val="ListParagraph"/>
      </w:pPr>
      <w:r w:rsidRPr="0002422D">
        <w:t>Relapse occurred following trial off therapy.</w:t>
      </w:r>
    </w:p>
    <w:p w14:paraId="286D660F" w14:textId="057DB155" w:rsidR="001B3EE2" w:rsidRDefault="001B3EE2" w:rsidP="00480F96">
      <w:pPr>
        <w:rPr>
          <w:u w:val="dotted"/>
        </w:rPr>
      </w:pPr>
      <w:r>
        <w:rPr>
          <w:u w:val="dotted"/>
        </w:rPr>
        <w:t xml:space="preserve">IVIg treatment re-initiation should follow the same flow as defined for first line and maintenance therapy. </w:t>
      </w:r>
      <w:r>
        <w:t>The following criteria need to be met to establish a patient has improved after initial therapy and having had relapsed:</w:t>
      </w:r>
    </w:p>
    <w:p w14:paraId="07F1063B" w14:textId="77777777" w:rsidR="001B3EE2" w:rsidRPr="0002422D" w:rsidRDefault="001B3EE2" w:rsidP="0002422D">
      <w:pPr>
        <w:pStyle w:val="ListParagraph"/>
      </w:pPr>
      <w:r w:rsidRPr="0002422D">
        <w:t xml:space="preserve">Improvement in focal motor weakness in response to four months of IVIg therapy compared to muscle strength at the qualifying assessment following relapse; </w:t>
      </w:r>
    </w:p>
    <w:p w14:paraId="4488B4A3" w14:textId="77777777" w:rsidR="001B3EE2" w:rsidRPr="0002422D" w:rsidRDefault="001B3EE2" w:rsidP="0002422D">
      <w:pPr>
        <w:pStyle w:val="ListParagraph"/>
      </w:pPr>
      <w:r w:rsidRPr="0002422D">
        <w:t xml:space="preserve">Improvement in disability as measured by the ONLS score compared to the qualifying assessment at relapse. </w:t>
      </w:r>
    </w:p>
    <w:p w14:paraId="4B86BBB0" w14:textId="32631859" w:rsidR="001B3EE2" w:rsidRDefault="001B3EE2" w:rsidP="00480F96">
      <w:pPr>
        <w:rPr>
          <w:u w:val="dotted"/>
        </w:rPr>
      </w:pPr>
      <w:r>
        <w:rPr>
          <w:u w:val="dotted"/>
        </w:rPr>
        <w:lastRenderedPageBreak/>
        <w:t xml:space="preserve">Similarly, </w:t>
      </w:r>
      <w:r>
        <w:t xml:space="preserve">if improvement was established by the neurologist after </w:t>
      </w:r>
      <w:r w:rsidR="00D1554F">
        <w:t xml:space="preserve">a period of </w:t>
      </w:r>
      <w:r>
        <w:t>up to 12 months of maintenance therapy, the following criteria need to be met to establish a patient</w:t>
      </w:r>
      <w:r w:rsidR="00F305F7">
        <w:t xml:space="preserve"> has improved or remained stable:</w:t>
      </w:r>
      <w:r>
        <w:rPr>
          <w:u w:val="dotted"/>
        </w:rPr>
        <w:t xml:space="preserve"> </w:t>
      </w:r>
    </w:p>
    <w:p w14:paraId="0ADB2D0D" w14:textId="77777777" w:rsidR="001B3EE2" w:rsidRPr="0002422D" w:rsidRDefault="001B3EE2" w:rsidP="0002422D">
      <w:pPr>
        <w:pStyle w:val="ListParagraph"/>
      </w:pPr>
      <w:r w:rsidRPr="0002422D">
        <w:t xml:space="preserve">Improvement in or stabilisation of focal motor weakness as compared to the focal muscle strength at the previous assessment; </w:t>
      </w:r>
    </w:p>
    <w:p w14:paraId="155C0499" w14:textId="1F9A663B" w:rsidR="001B3EE2" w:rsidRPr="0002422D" w:rsidRDefault="001B3EE2" w:rsidP="0002422D">
      <w:pPr>
        <w:pStyle w:val="ListParagraph"/>
      </w:pPr>
      <w:r w:rsidRPr="0002422D">
        <w:t>Improvement in or stabilisation of disability as measured by the ONLS compared to the previous review score (gradual deterioration of one point ov</w:t>
      </w:r>
      <w:r w:rsidR="00F305F7">
        <w:t>er several years is acceptable).</w:t>
      </w:r>
      <w:r w:rsidRPr="0002422D">
        <w:t xml:space="preserve"> </w:t>
      </w:r>
    </w:p>
    <w:p w14:paraId="70535B0B" w14:textId="408DF07D" w:rsidR="001B3EE2" w:rsidRDefault="001B3EE2" w:rsidP="00480F96">
      <w:r w:rsidRPr="00706BC6">
        <w:t xml:space="preserve">A trial of weaning /cessation of </w:t>
      </w:r>
      <w:r>
        <w:t>IV</w:t>
      </w:r>
      <w:r w:rsidRPr="00706BC6">
        <w:t xml:space="preserve">Ig therapy </w:t>
      </w:r>
      <w:r w:rsidR="00362382">
        <w:t>is</w:t>
      </w:r>
      <w:r w:rsidR="00362382" w:rsidRPr="00706BC6">
        <w:t xml:space="preserve"> </w:t>
      </w:r>
      <w:r w:rsidRPr="00706BC6">
        <w:t xml:space="preserve">considered annually for patients who are clinically stable to identify those in remission or a valid reason provided as to why a trial is not being planned or is contraindicated at this time. </w:t>
      </w:r>
      <w:r>
        <w:t xml:space="preserve">If the patient relapses for a second time within six months of commencement of a trial off IVIg therapy, they may be eligible for further </w:t>
      </w:r>
      <w:r w:rsidR="00D1554F">
        <w:t>IV</w:t>
      </w:r>
      <w:r>
        <w:t>Ig therapy under this in</w:t>
      </w:r>
      <w:r w:rsidR="00762C8D">
        <w:t>dication. A subsequent trial of</w:t>
      </w:r>
      <w:r>
        <w:t xml:space="preserve"> weaning leading to cessation might be considered after a further two-year</w:t>
      </w:r>
      <w:r w:rsidR="00762C8D">
        <w:t>s of</w:t>
      </w:r>
      <w:r>
        <w:t xml:space="preserve"> IVIg therapy. </w:t>
      </w:r>
    </w:p>
    <w:p w14:paraId="48D89E32" w14:textId="752C1A4F" w:rsidR="001B3EE2" w:rsidRPr="00706BC6" w:rsidRDefault="001B3EE2" w:rsidP="002A416A">
      <w:r>
        <w:t xml:space="preserve">Currently, the indication approved in </w:t>
      </w:r>
      <w:r w:rsidRPr="00762C8D">
        <w:t>The Criteria</w:t>
      </w:r>
      <w:r w:rsidRPr="002A416A">
        <w:rPr>
          <w:i/>
        </w:rPr>
        <w:t xml:space="preserve"> </w:t>
      </w:r>
      <w:r>
        <w:t>does not consider patients who may relapse after 6 months of initiating the trial of cessation phase. These patients are assumed to restart IVIg</w:t>
      </w:r>
      <w:r w:rsidR="000D09DB">
        <w:t xml:space="preserve"> as a new patient following reassessment by a neurologist, refer to Figure 4</w:t>
      </w:r>
      <w:r>
        <w:t>.</w:t>
      </w:r>
    </w:p>
    <w:p w14:paraId="3939BEE7" w14:textId="095129F9" w:rsidR="001B3EE2" w:rsidRDefault="003C154C" w:rsidP="00C8229B">
      <w:pPr>
        <w:pStyle w:val="Heading2"/>
      </w:pPr>
      <w:r>
        <w:t xml:space="preserve">5.2 </w:t>
      </w:r>
      <w:r w:rsidR="001B3EE2" w:rsidRPr="00896845">
        <w:t xml:space="preserve">Proposed </w:t>
      </w:r>
      <w:r w:rsidR="001B3EE2">
        <w:t>clinical</w:t>
      </w:r>
      <w:r w:rsidR="001B3EE2" w:rsidRPr="00896845">
        <w:t xml:space="preserve"> management</w:t>
      </w:r>
      <w:r w:rsidR="001B3EE2">
        <w:t xml:space="preserve"> algorithm for identified population when IVIg is not available</w:t>
      </w:r>
    </w:p>
    <w:p w14:paraId="775D7C7B" w14:textId="77777777" w:rsidR="001B3EE2" w:rsidRDefault="001B3EE2" w:rsidP="002A416A">
      <w:r>
        <w:t>IVIg for this indication is already funded by the NBA. The purpose of this application is to consider the clinical and cost-effectiveness of these products as currently funded.</w:t>
      </w:r>
    </w:p>
    <w:p w14:paraId="587D6F59" w14:textId="6F6CA9F0" w:rsidR="001B3EE2" w:rsidRPr="00A445C4" w:rsidRDefault="001B3EE2" w:rsidP="00637B78">
      <w:r>
        <w:t>The proposed treatment algorithm (see Figure 4, Attachment 1) may be applicable for any patient who is not eligible or no longer eligible for I</w:t>
      </w:r>
      <w:r w:rsidR="00762C8D">
        <w:t>VIg therapy under Version 3 of T</w:t>
      </w:r>
      <w:r>
        <w:t xml:space="preserve">he Criteria or for patients </w:t>
      </w:r>
      <w:r w:rsidR="00154DF8">
        <w:t xml:space="preserve">for </w:t>
      </w:r>
      <w:r>
        <w:t xml:space="preserve">whom IVIg is contraindicated. </w:t>
      </w:r>
      <w:r w:rsidR="00D1554F">
        <w:t xml:space="preserve">These patients are assumed to maintain active disease surveillance with a neurologist. </w:t>
      </w:r>
    </w:p>
    <w:p w14:paraId="66247E39" w14:textId="77777777" w:rsidR="00AC71D7" w:rsidRDefault="00AC71D7" w:rsidP="002A416A">
      <w:pPr>
        <w:pStyle w:val="Heading1"/>
      </w:pPr>
      <w:r>
        <w:t>Proposed economic evaluation</w:t>
      </w:r>
    </w:p>
    <w:p w14:paraId="210B3FC1" w14:textId="452C29D3" w:rsidR="00AC71D7" w:rsidRDefault="00AC71D7" w:rsidP="00154648">
      <w:r w:rsidRPr="002A416A">
        <w:t xml:space="preserve">IVIg is claimed to have superior effectiveness and inferior safety </w:t>
      </w:r>
      <w:r w:rsidR="009B6F7F">
        <w:t xml:space="preserve">compared to ‘No IVIg’ </w:t>
      </w:r>
      <w:r w:rsidRPr="002A416A">
        <w:t>based on limited RCT evidence</w:t>
      </w:r>
      <w:r w:rsidR="00762C8D">
        <w:t>,</w:t>
      </w:r>
      <w:r w:rsidRPr="002A416A">
        <w:t xml:space="preserve"> but large experience of use since IVIg </w:t>
      </w:r>
      <w:r w:rsidR="00154DF8">
        <w:t>has</w:t>
      </w:r>
      <w:r w:rsidR="00154DF8" w:rsidRPr="002A416A">
        <w:t xml:space="preserve"> </w:t>
      </w:r>
      <w:r w:rsidRPr="002A416A">
        <w:t xml:space="preserve">been used as </w:t>
      </w:r>
      <w:r>
        <w:t xml:space="preserve">the </w:t>
      </w:r>
      <w:r w:rsidRPr="002A416A">
        <w:t xml:space="preserve">standard of care </w:t>
      </w:r>
      <w:r>
        <w:t xml:space="preserve">of MMN </w:t>
      </w:r>
      <w:r w:rsidRPr="002A416A">
        <w:t xml:space="preserve">treatment since the early 1990s. </w:t>
      </w:r>
      <w:r>
        <w:t xml:space="preserve">By </w:t>
      </w:r>
      <w:r w:rsidRPr="002A416A">
        <w:t>as</w:t>
      </w:r>
      <w:r w:rsidRPr="002A416A">
        <w:rPr>
          <w:rFonts w:ascii="CIDFont+F2" w:eastAsiaTheme="minorHAnsi" w:hAnsi="CIDFont+F2" w:cs="CIDFont+F2"/>
        </w:rPr>
        <w:t>suming superior effectiveness and inferior safety, a cost</w:t>
      </w:r>
      <w:r>
        <w:rPr>
          <w:rFonts w:ascii="CIDFont+F2" w:eastAsiaTheme="minorHAnsi" w:hAnsi="CIDFont+F2" w:cs="CIDFont+F2"/>
        </w:rPr>
        <w:t>-</w:t>
      </w:r>
      <w:r w:rsidRPr="002A416A">
        <w:rPr>
          <w:rFonts w:ascii="CIDFont+F2" w:eastAsiaTheme="minorHAnsi" w:hAnsi="CIDFont+F2" w:cs="CIDFont+F2"/>
        </w:rPr>
        <w:t xml:space="preserve"> effectiveness </w:t>
      </w:r>
      <w:r>
        <w:rPr>
          <w:rFonts w:ascii="CIDFont+F2" w:eastAsiaTheme="minorHAnsi" w:hAnsi="CIDFont+F2" w:cs="CIDFont+F2"/>
        </w:rPr>
        <w:t xml:space="preserve">(CEA) and </w:t>
      </w:r>
      <w:r w:rsidRPr="002A416A">
        <w:rPr>
          <w:rFonts w:ascii="CIDFont+F2" w:eastAsiaTheme="minorHAnsi" w:hAnsi="CIDFont+F2" w:cs="CIDFont+F2"/>
        </w:rPr>
        <w:t xml:space="preserve">cost-utility analysis </w:t>
      </w:r>
      <w:r>
        <w:rPr>
          <w:rFonts w:ascii="CIDFont+F2" w:eastAsiaTheme="minorHAnsi" w:hAnsi="CIDFont+F2" w:cs="CIDFont+F2"/>
        </w:rPr>
        <w:t xml:space="preserve">(CUA) </w:t>
      </w:r>
      <w:r w:rsidRPr="002A416A">
        <w:rPr>
          <w:rFonts w:ascii="CIDFont+F2" w:eastAsiaTheme="minorHAnsi" w:hAnsi="CIDFont+F2" w:cs="CIDFont+F2"/>
        </w:rPr>
        <w:t>will be required.</w:t>
      </w:r>
      <w:r>
        <w:rPr>
          <w:rFonts w:ascii="CIDFont+F2" w:eastAsiaTheme="minorHAnsi" w:hAnsi="CIDFont+F2" w:cs="CIDFont+F2"/>
        </w:rPr>
        <w:t xml:space="preserve"> </w:t>
      </w:r>
      <w:r>
        <w:t>The RCTs summarised in Table 9, which will be supplemented with any potential additional source</w:t>
      </w:r>
      <w:r w:rsidR="00154DF8">
        <w:t>s</w:t>
      </w:r>
      <w:r>
        <w:t xml:space="preserve"> identified from a systematic literature review, will serve as</w:t>
      </w:r>
      <w:r w:rsidR="00437734">
        <w:t xml:space="preserve"> the</w:t>
      </w:r>
      <w:r>
        <w:t xml:space="preserve"> basis to inform the treatment effect in the economic evaluation. </w:t>
      </w:r>
    </w:p>
    <w:p w14:paraId="553F7CF3" w14:textId="77777777" w:rsidR="00DE26E6" w:rsidRDefault="00DE26E6">
      <w:pPr>
        <w:spacing w:after="200"/>
        <w:jc w:val="left"/>
        <w:rPr>
          <w:b/>
          <w:sz w:val="20"/>
          <w:szCs w:val="20"/>
        </w:rPr>
      </w:pPr>
      <w:r>
        <w:rPr>
          <w:b/>
          <w:sz w:val="20"/>
          <w:szCs w:val="20"/>
        </w:rPr>
        <w:br w:type="page"/>
      </w:r>
    </w:p>
    <w:p w14:paraId="058364CC" w14:textId="128D63EF" w:rsidR="00480F96" w:rsidRPr="00FD7C24" w:rsidRDefault="00480F96" w:rsidP="00480F96">
      <w:pPr>
        <w:spacing w:after="0" w:line="240" w:lineRule="auto"/>
        <w:rPr>
          <w:b/>
          <w:sz w:val="20"/>
          <w:szCs w:val="20"/>
        </w:rPr>
      </w:pPr>
      <w:r w:rsidRPr="00FD7C24">
        <w:rPr>
          <w:b/>
          <w:sz w:val="20"/>
          <w:szCs w:val="20"/>
        </w:rPr>
        <w:lastRenderedPageBreak/>
        <w:t>Table 9.</w:t>
      </w:r>
      <w:r w:rsidR="00E966FA" w:rsidRPr="00FD7C24">
        <w:rPr>
          <w:b/>
          <w:sz w:val="20"/>
          <w:szCs w:val="20"/>
        </w:rPr>
        <w:t xml:space="preserve"> </w:t>
      </w:r>
      <w:r w:rsidRPr="00FD7C24">
        <w:rPr>
          <w:b/>
          <w:sz w:val="20"/>
          <w:szCs w:val="20"/>
        </w:rPr>
        <w:t xml:space="preserve">Current available RCT evidence to inform the economic evaluation. </w:t>
      </w:r>
    </w:p>
    <w:tbl>
      <w:tblPr>
        <w:tblStyle w:val="TableGrid"/>
        <w:tblW w:w="9037" w:type="dxa"/>
        <w:tblLook w:val="04A0" w:firstRow="1" w:lastRow="0" w:firstColumn="1" w:lastColumn="0" w:noHBand="0" w:noVBand="1"/>
        <w:tblCaption w:val="Table 9. Current available RCT evidence to inform the economic evaluation. "/>
      </w:tblPr>
      <w:tblGrid>
        <w:gridCol w:w="3843"/>
        <w:gridCol w:w="5194"/>
      </w:tblGrid>
      <w:tr w:rsidR="00480F96" w:rsidRPr="00DE23D2" w14:paraId="5E6C15F4" w14:textId="77777777" w:rsidTr="002E4F05">
        <w:trPr>
          <w:trHeight w:val="271"/>
          <w:tblHeader/>
        </w:trPr>
        <w:tc>
          <w:tcPr>
            <w:tcW w:w="3843" w:type="dxa"/>
            <w:vAlign w:val="center"/>
          </w:tcPr>
          <w:p w14:paraId="1CBEAB32" w14:textId="77777777" w:rsidR="00480F96" w:rsidRPr="00DE23D2" w:rsidRDefault="00480F96" w:rsidP="002E4F05">
            <w:pPr>
              <w:autoSpaceDE w:val="0"/>
              <w:autoSpaceDN w:val="0"/>
              <w:adjustRightInd w:val="0"/>
              <w:spacing w:after="0"/>
              <w:jc w:val="left"/>
              <w:rPr>
                <w:rFonts w:asciiTheme="minorHAnsi" w:hAnsiTheme="minorHAnsi" w:cstheme="minorHAnsi"/>
                <w:b/>
                <w:sz w:val="20"/>
                <w:szCs w:val="20"/>
              </w:rPr>
            </w:pPr>
            <w:r w:rsidRPr="00DE23D2">
              <w:rPr>
                <w:rFonts w:asciiTheme="minorHAnsi" w:hAnsiTheme="minorHAnsi" w:cstheme="minorHAnsi"/>
                <w:b/>
                <w:sz w:val="20"/>
                <w:szCs w:val="20"/>
              </w:rPr>
              <w:t>Reference</w:t>
            </w:r>
          </w:p>
        </w:tc>
        <w:tc>
          <w:tcPr>
            <w:tcW w:w="5194" w:type="dxa"/>
            <w:vAlign w:val="center"/>
          </w:tcPr>
          <w:p w14:paraId="59BA62C5" w14:textId="77777777" w:rsidR="00480F96" w:rsidRPr="00DE23D2" w:rsidRDefault="00480F96" w:rsidP="002E4F05">
            <w:pPr>
              <w:autoSpaceDE w:val="0"/>
              <w:autoSpaceDN w:val="0"/>
              <w:adjustRightInd w:val="0"/>
              <w:spacing w:after="0"/>
              <w:jc w:val="left"/>
              <w:rPr>
                <w:rFonts w:asciiTheme="minorHAnsi" w:hAnsiTheme="minorHAnsi" w:cstheme="minorHAnsi"/>
                <w:b/>
                <w:sz w:val="20"/>
                <w:szCs w:val="20"/>
              </w:rPr>
            </w:pPr>
            <w:r w:rsidRPr="00DE23D2">
              <w:rPr>
                <w:rFonts w:asciiTheme="minorHAnsi" w:hAnsiTheme="minorHAnsi" w:cstheme="minorHAnsi"/>
                <w:b/>
                <w:sz w:val="20"/>
                <w:szCs w:val="20"/>
              </w:rPr>
              <w:t>Trial description</w:t>
            </w:r>
          </w:p>
        </w:tc>
      </w:tr>
      <w:tr w:rsidR="00480F96" w:rsidRPr="00DE23D2" w14:paraId="626DB809" w14:textId="77777777" w:rsidTr="002E05C6">
        <w:trPr>
          <w:trHeight w:val="205"/>
        </w:trPr>
        <w:tc>
          <w:tcPr>
            <w:tcW w:w="3843" w:type="dxa"/>
            <w:vAlign w:val="center"/>
          </w:tcPr>
          <w:p w14:paraId="73930B2D" w14:textId="2278E43E" w:rsidR="00480F96" w:rsidRPr="00DE23D2" w:rsidRDefault="00480F96" w:rsidP="002E4F05">
            <w:pPr>
              <w:autoSpaceDE w:val="0"/>
              <w:autoSpaceDN w:val="0"/>
              <w:adjustRightInd w:val="0"/>
              <w:spacing w:after="0"/>
              <w:jc w:val="left"/>
              <w:rPr>
                <w:rFonts w:asciiTheme="minorHAnsi" w:hAnsiTheme="minorHAnsi" w:cstheme="minorHAnsi"/>
                <w:sz w:val="20"/>
                <w:szCs w:val="20"/>
              </w:rPr>
            </w:pPr>
            <w:r w:rsidRPr="00DE23D2">
              <w:rPr>
                <w:rFonts w:asciiTheme="minorHAnsi" w:eastAsiaTheme="minorHAnsi" w:hAnsiTheme="minorHAnsi" w:cstheme="minorHAnsi"/>
                <w:sz w:val="20"/>
                <w:szCs w:val="20"/>
              </w:rPr>
              <w:t xml:space="preserve">Leger JM, Chassande B, Musset L, Meininger V, Bouche P, Baumann N. Intravenous immunoglobulin therapy in multifocal motor neuropathy: a double-blind, placebo-controlled study. </w:t>
            </w:r>
            <w:r w:rsidRPr="00DE23D2">
              <w:rPr>
                <w:rFonts w:asciiTheme="minorHAnsi" w:eastAsiaTheme="minorHAnsi" w:hAnsiTheme="minorHAnsi" w:cstheme="minorHAnsi"/>
                <w:i/>
                <w:iCs/>
                <w:sz w:val="20"/>
                <w:szCs w:val="20"/>
              </w:rPr>
              <w:t>Brain: a journal of neurology</w:t>
            </w:r>
            <w:r w:rsidRPr="00DE23D2">
              <w:rPr>
                <w:rFonts w:asciiTheme="minorHAnsi" w:eastAsiaTheme="minorHAnsi" w:hAnsiTheme="minorHAnsi" w:cstheme="minorHAnsi"/>
                <w:sz w:val="20"/>
                <w:szCs w:val="20"/>
              </w:rPr>
              <w:t>, 124(Pt 1), 145-153 (2001).</w:t>
            </w:r>
          </w:p>
        </w:tc>
        <w:tc>
          <w:tcPr>
            <w:tcW w:w="5194" w:type="dxa"/>
            <w:vAlign w:val="center"/>
          </w:tcPr>
          <w:p w14:paraId="6B20BFDF" w14:textId="736028C4" w:rsidR="00480F96" w:rsidRPr="001378D0" w:rsidRDefault="00480F96" w:rsidP="002E4F05">
            <w:pPr>
              <w:autoSpaceDE w:val="0"/>
              <w:autoSpaceDN w:val="0"/>
              <w:adjustRightInd w:val="0"/>
              <w:spacing w:after="0"/>
              <w:jc w:val="left"/>
              <w:rPr>
                <w:rFonts w:asciiTheme="minorHAnsi" w:hAnsiTheme="minorHAnsi" w:cstheme="minorHAnsi"/>
                <w:sz w:val="20"/>
                <w:szCs w:val="20"/>
              </w:rPr>
            </w:pPr>
            <w:r w:rsidRPr="00DE23D2">
              <w:rPr>
                <w:rFonts w:asciiTheme="minorHAnsi" w:hAnsiTheme="minorHAnsi" w:cstheme="minorHAnsi"/>
                <w:sz w:val="20"/>
                <w:szCs w:val="20"/>
              </w:rPr>
              <w:t>19 patients diagnosed with MMN with persistent CB were enrolled into a double blind, placebo-controlled</w:t>
            </w:r>
            <w:r w:rsidR="009C5039">
              <w:rPr>
                <w:rFonts w:asciiTheme="minorHAnsi" w:hAnsiTheme="minorHAnsi" w:cstheme="minorHAnsi"/>
                <w:sz w:val="20"/>
                <w:szCs w:val="20"/>
              </w:rPr>
              <w:t xml:space="preserve"> trial</w:t>
            </w:r>
            <w:r w:rsidRPr="00DE23D2">
              <w:rPr>
                <w:rFonts w:asciiTheme="minorHAnsi" w:hAnsiTheme="minorHAnsi" w:cstheme="minorHAnsi"/>
                <w:sz w:val="20"/>
                <w:szCs w:val="20"/>
              </w:rPr>
              <w:t xml:space="preserve">. Patients were divided into two groups: naïve patients (N=10) (no IVIg) and </w:t>
            </w:r>
            <w:r w:rsidR="00A74E41">
              <w:rPr>
                <w:rFonts w:asciiTheme="minorHAnsi" w:hAnsiTheme="minorHAnsi" w:cstheme="minorHAnsi"/>
                <w:sz w:val="20"/>
                <w:szCs w:val="20"/>
              </w:rPr>
              <w:t xml:space="preserve">those </w:t>
            </w:r>
            <w:r w:rsidRPr="00DE23D2">
              <w:rPr>
                <w:rFonts w:asciiTheme="minorHAnsi" w:hAnsiTheme="minorHAnsi" w:cstheme="minorHAnsi"/>
                <w:sz w:val="20"/>
                <w:szCs w:val="20"/>
              </w:rPr>
              <w:t>previously treated and presenting with recurrent symptoms (N=9)</w:t>
            </w:r>
            <w:r w:rsidR="00A74E41">
              <w:rPr>
                <w:rFonts w:asciiTheme="minorHAnsi" w:hAnsiTheme="minorHAnsi" w:cstheme="minorHAnsi"/>
                <w:sz w:val="20"/>
                <w:szCs w:val="20"/>
              </w:rPr>
              <w:t>. Patients were</w:t>
            </w:r>
            <w:r w:rsidRPr="00DE23D2">
              <w:rPr>
                <w:rFonts w:asciiTheme="minorHAnsi" w:hAnsiTheme="minorHAnsi" w:cstheme="minorHAnsi"/>
                <w:sz w:val="20"/>
                <w:szCs w:val="20"/>
              </w:rPr>
              <w:t xml:space="preserve"> </w:t>
            </w:r>
            <w:r w:rsidR="009B6F7F">
              <w:rPr>
                <w:rFonts w:asciiTheme="minorHAnsi" w:hAnsiTheme="minorHAnsi" w:cstheme="minorHAnsi"/>
                <w:sz w:val="20"/>
                <w:szCs w:val="20"/>
              </w:rPr>
              <w:t>randomised</w:t>
            </w:r>
            <w:r w:rsidR="009B6F7F" w:rsidRPr="00DE23D2">
              <w:rPr>
                <w:rFonts w:asciiTheme="minorHAnsi" w:hAnsiTheme="minorHAnsi" w:cstheme="minorHAnsi"/>
                <w:sz w:val="20"/>
                <w:szCs w:val="20"/>
              </w:rPr>
              <w:t xml:space="preserve"> </w:t>
            </w:r>
            <w:r w:rsidRPr="00DE23D2">
              <w:rPr>
                <w:rFonts w:asciiTheme="minorHAnsi" w:hAnsiTheme="minorHAnsi" w:cstheme="minorHAnsi"/>
                <w:sz w:val="20"/>
                <w:szCs w:val="20"/>
              </w:rPr>
              <w:t xml:space="preserve">prospectively to receive IVIg (500 mg/kg/d) for 5 consecutive days, once a month for 3 months. </w:t>
            </w:r>
            <w:r w:rsidRPr="001378D0">
              <w:rPr>
                <w:rFonts w:asciiTheme="minorHAnsi" w:hAnsiTheme="minorHAnsi" w:cstheme="minorHAnsi"/>
                <w:sz w:val="20"/>
                <w:szCs w:val="20"/>
              </w:rPr>
              <w:t xml:space="preserve">At month 4 responders remained on treatment for 3 additional months and non-responders where switched to the alternative arm. </w:t>
            </w:r>
          </w:p>
        </w:tc>
      </w:tr>
      <w:tr w:rsidR="00480F96" w:rsidRPr="00DE23D2" w14:paraId="34CBE88C" w14:textId="77777777" w:rsidTr="002E05C6">
        <w:trPr>
          <w:trHeight w:val="205"/>
        </w:trPr>
        <w:tc>
          <w:tcPr>
            <w:tcW w:w="3843" w:type="dxa"/>
            <w:vAlign w:val="center"/>
          </w:tcPr>
          <w:p w14:paraId="263A0C02" w14:textId="77777777" w:rsidR="00480F96" w:rsidRPr="00DE23D2" w:rsidRDefault="00480F96" w:rsidP="002E4F05">
            <w:pPr>
              <w:autoSpaceDE w:val="0"/>
              <w:autoSpaceDN w:val="0"/>
              <w:adjustRightInd w:val="0"/>
              <w:spacing w:after="0"/>
              <w:jc w:val="left"/>
              <w:rPr>
                <w:rFonts w:asciiTheme="minorHAnsi" w:eastAsiaTheme="minorHAnsi" w:hAnsiTheme="minorHAnsi" w:cstheme="minorHAnsi"/>
                <w:sz w:val="20"/>
                <w:szCs w:val="20"/>
              </w:rPr>
            </w:pPr>
            <w:r w:rsidRPr="00E0061E">
              <w:rPr>
                <w:rFonts w:asciiTheme="minorHAnsi" w:eastAsiaTheme="minorHAnsi" w:hAnsiTheme="minorHAnsi" w:cstheme="minorHAnsi"/>
                <w:sz w:val="20"/>
                <w:szCs w:val="20"/>
                <w:lang w:val="nn-NO"/>
              </w:rPr>
              <w:t xml:space="preserve">Van den Berg LH, Franssen H, Wokke JH. </w:t>
            </w:r>
            <w:r w:rsidRPr="00DE23D2">
              <w:rPr>
                <w:rFonts w:asciiTheme="minorHAnsi" w:eastAsiaTheme="minorHAnsi" w:hAnsiTheme="minorHAnsi" w:cstheme="minorHAnsi"/>
                <w:sz w:val="20"/>
                <w:szCs w:val="20"/>
              </w:rPr>
              <w:t xml:space="preserve">Improvement of multifocal motor neuropathy during long-term weekly treatment with human immunoglobulin. </w:t>
            </w:r>
            <w:r w:rsidRPr="00762C8D">
              <w:rPr>
                <w:rFonts w:asciiTheme="minorHAnsi" w:eastAsiaTheme="minorHAnsi" w:hAnsiTheme="minorHAnsi" w:cstheme="minorHAnsi"/>
                <w:i/>
                <w:sz w:val="20"/>
                <w:szCs w:val="20"/>
              </w:rPr>
              <w:t>Neurology</w:t>
            </w:r>
            <w:r w:rsidRPr="00DE23D2">
              <w:rPr>
                <w:rFonts w:asciiTheme="minorHAnsi" w:eastAsiaTheme="minorHAnsi" w:hAnsiTheme="minorHAnsi" w:cstheme="minorHAnsi"/>
                <w:sz w:val="20"/>
                <w:szCs w:val="20"/>
              </w:rPr>
              <w:t>, 45(5), 987-988 (1995).</w:t>
            </w:r>
          </w:p>
        </w:tc>
        <w:tc>
          <w:tcPr>
            <w:tcW w:w="5194" w:type="dxa"/>
            <w:vAlign w:val="center"/>
          </w:tcPr>
          <w:p w14:paraId="1BEB814B" w14:textId="0D260198" w:rsidR="00480F96" w:rsidRPr="00DE23D2" w:rsidRDefault="00480F96" w:rsidP="002E4F05">
            <w:pPr>
              <w:autoSpaceDE w:val="0"/>
              <w:autoSpaceDN w:val="0"/>
              <w:adjustRightInd w:val="0"/>
              <w:spacing w:after="0"/>
              <w:jc w:val="left"/>
              <w:rPr>
                <w:rFonts w:asciiTheme="minorHAnsi" w:hAnsiTheme="minorHAnsi" w:cstheme="minorHAnsi"/>
                <w:sz w:val="20"/>
                <w:szCs w:val="20"/>
              </w:rPr>
            </w:pPr>
            <w:r w:rsidRPr="00DE23D2">
              <w:rPr>
                <w:rFonts w:asciiTheme="minorHAnsi" w:hAnsiTheme="minorHAnsi" w:cstheme="minorHAnsi"/>
                <w:sz w:val="20"/>
                <w:szCs w:val="20"/>
              </w:rPr>
              <w:t xml:space="preserve">The IVIg treatment protocol included an open and a single patient double blind placebo controlled trial. Patients </w:t>
            </w:r>
            <w:r w:rsidR="00A74E41">
              <w:rPr>
                <w:rFonts w:asciiTheme="minorHAnsi" w:hAnsiTheme="minorHAnsi" w:cstheme="minorHAnsi"/>
                <w:sz w:val="20"/>
                <w:szCs w:val="20"/>
              </w:rPr>
              <w:t>classified</w:t>
            </w:r>
            <w:r w:rsidRPr="00DE23D2">
              <w:rPr>
                <w:rFonts w:asciiTheme="minorHAnsi" w:hAnsiTheme="minorHAnsi" w:cstheme="minorHAnsi"/>
                <w:sz w:val="20"/>
                <w:szCs w:val="20"/>
              </w:rPr>
              <w:t xml:space="preserve"> as responders were entered into the double blind placebo controlled trial. Four patients (1-4) received two IVIg treatments (0 4 g/kg for five consecutive days) and two placebo treatments (pasteurised plasma solution for five consecutive days) in a randomised order. </w:t>
            </w:r>
          </w:p>
        </w:tc>
      </w:tr>
      <w:tr w:rsidR="00480F96" w:rsidRPr="00DE23D2" w14:paraId="6B09DFD5" w14:textId="77777777" w:rsidTr="002E05C6">
        <w:trPr>
          <w:trHeight w:val="205"/>
        </w:trPr>
        <w:tc>
          <w:tcPr>
            <w:tcW w:w="3843" w:type="dxa"/>
            <w:vAlign w:val="center"/>
          </w:tcPr>
          <w:p w14:paraId="0DA51595" w14:textId="566894B3" w:rsidR="00480F96" w:rsidRPr="00DE23D2" w:rsidRDefault="00480F96" w:rsidP="002E4F05">
            <w:pPr>
              <w:autoSpaceDE w:val="0"/>
              <w:autoSpaceDN w:val="0"/>
              <w:adjustRightInd w:val="0"/>
              <w:spacing w:after="0"/>
              <w:jc w:val="left"/>
              <w:rPr>
                <w:rFonts w:asciiTheme="minorHAnsi" w:eastAsiaTheme="minorHAnsi" w:hAnsiTheme="minorHAnsi" w:cstheme="minorHAnsi"/>
                <w:sz w:val="20"/>
                <w:szCs w:val="20"/>
              </w:rPr>
            </w:pPr>
            <w:r w:rsidRPr="009B6F7F">
              <w:rPr>
                <w:rFonts w:asciiTheme="minorHAnsi" w:eastAsiaTheme="minorHAnsi" w:hAnsiTheme="minorHAnsi" w:cstheme="minorHAnsi"/>
                <w:sz w:val="20"/>
                <w:szCs w:val="20"/>
              </w:rPr>
              <w:t>Federico P, Zochodne DW, Hahn AF, Brown WF, Feasby TE. Multifocal motor neuropathy improved by IVIg: randomi</w:t>
            </w:r>
            <w:r w:rsidR="00AB4084">
              <w:rPr>
                <w:rFonts w:asciiTheme="minorHAnsi" w:eastAsiaTheme="minorHAnsi" w:hAnsiTheme="minorHAnsi" w:cstheme="minorHAnsi"/>
                <w:sz w:val="20"/>
                <w:szCs w:val="20"/>
              </w:rPr>
              <w:t>s</w:t>
            </w:r>
            <w:r w:rsidRPr="009B6F7F">
              <w:rPr>
                <w:rFonts w:asciiTheme="minorHAnsi" w:eastAsiaTheme="minorHAnsi" w:hAnsiTheme="minorHAnsi" w:cstheme="minorHAnsi"/>
                <w:sz w:val="20"/>
                <w:szCs w:val="20"/>
              </w:rPr>
              <w:t xml:space="preserve">ed, double-blind, placebo-controlled study. </w:t>
            </w:r>
            <w:r w:rsidRPr="009B6F7F">
              <w:rPr>
                <w:rFonts w:asciiTheme="minorHAnsi" w:eastAsiaTheme="minorHAnsi" w:hAnsiTheme="minorHAnsi" w:cstheme="minorHAnsi"/>
                <w:i/>
                <w:iCs/>
                <w:sz w:val="20"/>
                <w:szCs w:val="20"/>
              </w:rPr>
              <w:t>Neurology</w:t>
            </w:r>
            <w:r w:rsidRPr="009B6F7F">
              <w:rPr>
                <w:rFonts w:asciiTheme="minorHAnsi" w:eastAsiaTheme="minorHAnsi" w:hAnsiTheme="minorHAnsi" w:cstheme="minorHAnsi"/>
                <w:sz w:val="20"/>
                <w:szCs w:val="20"/>
              </w:rPr>
              <w:t>, 55(9), 1256-1262 (2000).</w:t>
            </w:r>
          </w:p>
        </w:tc>
        <w:tc>
          <w:tcPr>
            <w:tcW w:w="5194" w:type="dxa"/>
            <w:vAlign w:val="center"/>
          </w:tcPr>
          <w:p w14:paraId="6F13F0CD" w14:textId="3BA63AE5" w:rsidR="00480F96" w:rsidRPr="00DE23D2" w:rsidRDefault="00480F96" w:rsidP="002E4F05">
            <w:pPr>
              <w:autoSpaceDE w:val="0"/>
              <w:autoSpaceDN w:val="0"/>
              <w:adjustRightInd w:val="0"/>
              <w:spacing w:after="0"/>
              <w:jc w:val="left"/>
              <w:rPr>
                <w:rFonts w:asciiTheme="minorHAnsi" w:hAnsiTheme="minorHAnsi" w:cstheme="minorHAnsi"/>
                <w:sz w:val="20"/>
                <w:szCs w:val="20"/>
              </w:rPr>
            </w:pPr>
            <w:r w:rsidRPr="00DE23D2">
              <w:rPr>
                <w:rFonts w:asciiTheme="minorHAnsi" w:hAnsiTheme="minorHAnsi" w:cstheme="minorHAnsi"/>
                <w:sz w:val="20"/>
                <w:szCs w:val="20"/>
              </w:rPr>
              <w:t>A total of 16 MMN patients were enrolled and randomised to either IVIg (0.4 g/kg/d for 5 consecutive days) or placebo. The study was a double-blind crossover study. Patients were evaluated before and about 28 days after trial</w:t>
            </w:r>
            <w:r w:rsidR="00DE23D2">
              <w:rPr>
                <w:rFonts w:asciiTheme="minorHAnsi" w:hAnsiTheme="minorHAnsi" w:cstheme="minorHAnsi"/>
                <w:sz w:val="20"/>
                <w:szCs w:val="20"/>
              </w:rPr>
              <w:t xml:space="preserve"> t</w:t>
            </w:r>
            <w:r w:rsidRPr="00DE23D2">
              <w:rPr>
                <w:rFonts w:asciiTheme="minorHAnsi" w:hAnsiTheme="minorHAnsi" w:cstheme="minorHAnsi"/>
                <w:sz w:val="20"/>
                <w:szCs w:val="20"/>
              </w:rPr>
              <w:t xml:space="preserve">reatment.  </w:t>
            </w:r>
          </w:p>
        </w:tc>
      </w:tr>
      <w:tr w:rsidR="00480F96" w:rsidRPr="00DE23D2" w14:paraId="76D940E3" w14:textId="77777777" w:rsidTr="002E05C6">
        <w:trPr>
          <w:trHeight w:val="205"/>
        </w:trPr>
        <w:tc>
          <w:tcPr>
            <w:tcW w:w="3843" w:type="dxa"/>
            <w:vAlign w:val="center"/>
          </w:tcPr>
          <w:p w14:paraId="74DCD5DA" w14:textId="275C0DCD" w:rsidR="00480F96" w:rsidRPr="001378D0" w:rsidRDefault="00480F96" w:rsidP="002E4F05">
            <w:pPr>
              <w:autoSpaceDE w:val="0"/>
              <w:autoSpaceDN w:val="0"/>
              <w:adjustRightInd w:val="0"/>
              <w:spacing w:after="0"/>
              <w:jc w:val="left"/>
              <w:rPr>
                <w:rFonts w:asciiTheme="minorHAnsi" w:eastAsiaTheme="minorHAnsi" w:hAnsiTheme="minorHAnsi" w:cstheme="minorHAnsi"/>
                <w:sz w:val="20"/>
                <w:szCs w:val="20"/>
              </w:rPr>
            </w:pPr>
            <w:r w:rsidRPr="009B6F7F">
              <w:rPr>
                <w:rFonts w:asciiTheme="minorHAnsi" w:eastAsiaTheme="minorHAnsi" w:hAnsiTheme="minorHAnsi" w:cstheme="minorHAnsi"/>
                <w:sz w:val="20"/>
                <w:szCs w:val="20"/>
              </w:rPr>
              <w:t xml:space="preserve">Azulay JP, Blin O, Pouget J, Boucraut J, Billé-Turc F, Carles G, et al. Intravenous immunoglobulin treatment in patients with motor neuron syndromes associated with anti-GM1 antibodies: a double-blind, placebo-controlled study. </w:t>
            </w:r>
            <w:r w:rsidRPr="00762C8D">
              <w:rPr>
                <w:rFonts w:asciiTheme="minorHAnsi" w:eastAsiaTheme="minorHAnsi" w:hAnsiTheme="minorHAnsi" w:cstheme="minorHAnsi"/>
                <w:i/>
                <w:sz w:val="20"/>
                <w:szCs w:val="20"/>
              </w:rPr>
              <w:t>Neurology</w:t>
            </w:r>
            <w:r w:rsidR="00762C8D">
              <w:rPr>
                <w:rFonts w:asciiTheme="minorHAnsi" w:eastAsiaTheme="minorHAnsi" w:hAnsiTheme="minorHAnsi" w:cstheme="minorHAnsi"/>
                <w:i/>
                <w:sz w:val="20"/>
                <w:szCs w:val="20"/>
              </w:rPr>
              <w:t>,</w:t>
            </w:r>
            <w:r w:rsidRPr="009B6F7F">
              <w:rPr>
                <w:rFonts w:asciiTheme="minorHAnsi" w:eastAsiaTheme="minorHAnsi" w:hAnsiTheme="minorHAnsi" w:cstheme="minorHAnsi"/>
                <w:sz w:val="20"/>
                <w:szCs w:val="20"/>
              </w:rPr>
              <w:t xml:space="preserve"> 1994;</w:t>
            </w:r>
            <w:r w:rsidR="001378D0">
              <w:rPr>
                <w:rFonts w:asciiTheme="minorHAnsi" w:eastAsiaTheme="minorHAnsi" w:hAnsiTheme="minorHAnsi" w:cstheme="minorHAnsi"/>
                <w:sz w:val="20"/>
                <w:szCs w:val="20"/>
              </w:rPr>
              <w:t xml:space="preserve"> </w:t>
            </w:r>
            <w:r w:rsidRPr="001378D0">
              <w:rPr>
                <w:rFonts w:asciiTheme="minorHAnsi" w:eastAsiaTheme="minorHAnsi" w:hAnsiTheme="minorHAnsi" w:cstheme="minorHAnsi"/>
                <w:sz w:val="20"/>
                <w:szCs w:val="20"/>
              </w:rPr>
              <w:t>44(3 Pt 1):429–32.</w:t>
            </w:r>
          </w:p>
        </w:tc>
        <w:tc>
          <w:tcPr>
            <w:tcW w:w="5194" w:type="dxa"/>
            <w:vAlign w:val="center"/>
          </w:tcPr>
          <w:p w14:paraId="5705068D" w14:textId="77777777" w:rsidR="00480F96" w:rsidRPr="00DE23D2" w:rsidRDefault="00480F96" w:rsidP="002E4F05">
            <w:pPr>
              <w:autoSpaceDE w:val="0"/>
              <w:autoSpaceDN w:val="0"/>
              <w:adjustRightInd w:val="0"/>
              <w:spacing w:after="0"/>
              <w:jc w:val="left"/>
              <w:rPr>
                <w:rFonts w:asciiTheme="minorHAnsi" w:hAnsiTheme="minorHAnsi" w:cstheme="minorHAnsi"/>
                <w:sz w:val="20"/>
                <w:szCs w:val="20"/>
              </w:rPr>
            </w:pPr>
            <w:r w:rsidRPr="00DE23D2">
              <w:rPr>
                <w:rFonts w:asciiTheme="minorHAnsi" w:hAnsiTheme="minorHAnsi" w:cstheme="minorHAnsi"/>
                <w:sz w:val="20"/>
                <w:szCs w:val="20"/>
              </w:rPr>
              <w:t xml:space="preserve">The effect of IVIg was studied in 12 patients with motor neuron syndromes associated with high titres of anti-GM1 antibodies (5 patients had CB). The study design was a double-blind, placebo-controlled, crossover trial with IVIg (0.4 g/kg body weight per day injected for 5 consecutive days). </w:t>
            </w:r>
          </w:p>
        </w:tc>
      </w:tr>
    </w:tbl>
    <w:p w14:paraId="6CEFCC19" w14:textId="75F4A61E" w:rsidR="00480F96" w:rsidRPr="00480F96" w:rsidRDefault="00480F96" w:rsidP="00236A7E">
      <w:pPr>
        <w:pStyle w:val="NoSpacing"/>
      </w:pPr>
      <w:r w:rsidRPr="00480F96">
        <w:t>Abbreviations:</w:t>
      </w:r>
      <w:r w:rsidR="006B20E1">
        <w:t xml:space="preserve"> </w:t>
      </w:r>
      <w:r w:rsidR="00DE23D2">
        <w:t xml:space="preserve">CB= conduction block; </w:t>
      </w:r>
      <w:r w:rsidR="008A4548">
        <w:t xml:space="preserve">d= days; </w:t>
      </w:r>
      <w:r w:rsidR="006B20E1">
        <w:t xml:space="preserve">IVIg= intravenous immunoglobulins; </w:t>
      </w:r>
      <w:r w:rsidR="008A4548">
        <w:t xml:space="preserve">kg= kilograms; </w:t>
      </w:r>
      <w:r w:rsidR="00DE23D2">
        <w:t xml:space="preserve">MMN= multifocal motor neuropathy. </w:t>
      </w:r>
    </w:p>
    <w:p w14:paraId="22A371D8" w14:textId="732EF66B" w:rsidR="00AC71D7" w:rsidRDefault="009B6F7F" w:rsidP="00154648">
      <w:r>
        <w:t xml:space="preserve">Based on the current knowledge and understanding of MMN, this PICO Confirmation </w:t>
      </w:r>
      <w:r w:rsidR="00AC71D7">
        <w:t>suggest</w:t>
      </w:r>
      <w:r>
        <w:t>s</w:t>
      </w:r>
      <w:r w:rsidR="00AC71D7">
        <w:t xml:space="preserve"> that the most likely adequate modelling method will be a Markov cohort model with a </w:t>
      </w:r>
      <w:r w:rsidR="00154648">
        <w:t>four</w:t>
      </w:r>
      <w:r w:rsidR="00236A7E">
        <w:t>-</w:t>
      </w:r>
      <w:r w:rsidR="00AC71D7">
        <w:t xml:space="preserve">monthly cycle length. The economic evaluation </w:t>
      </w:r>
      <w:r w:rsidR="00A23827">
        <w:t xml:space="preserve">would </w:t>
      </w:r>
      <w:r w:rsidR="00AC71D7">
        <w:t xml:space="preserve">be conducted from the health care system perspective and </w:t>
      </w:r>
      <w:r w:rsidR="00A23827">
        <w:t>should</w:t>
      </w:r>
      <w:r w:rsidR="00154DF8">
        <w:t xml:space="preserve"> </w:t>
      </w:r>
      <w:r w:rsidR="00A74E41">
        <w:t xml:space="preserve">apply </w:t>
      </w:r>
      <w:r w:rsidR="00AC71D7">
        <w:t xml:space="preserve">a lifetime horizon. The identified outcomes suggest that patients derive a gain in terms of quality of life, hence the gain in health </w:t>
      </w:r>
      <w:r w:rsidR="00A23827">
        <w:t xml:space="preserve">would </w:t>
      </w:r>
      <w:r w:rsidR="00AC71D7">
        <w:t>be measured as a quality adjusted life year (QALY). The main outcome of the economic e</w:t>
      </w:r>
      <w:r w:rsidR="00762C8D">
        <w:t>valuation, the incremental cost-</w:t>
      </w:r>
      <w:r w:rsidR="00AC71D7">
        <w:t xml:space="preserve">effectiveness ratio (ICER) </w:t>
      </w:r>
      <w:r w:rsidR="00A23827">
        <w:t xml:space="preserve">should </w:t>
      </w:r>
      <w:r w:rsidR="00AC71D7">
        <w:t xml:space="preserve">be reported as the additional cost per QALY gained. In addition, the ICER </w:t>
      </w:r>
      <w:r w:rsidR="00A01CAB">
        <w:t xml:space="preserve">would </w:t>
      </w:r>
      <w:r w:rsidR="00AC71D7">
        <w:t xml:space="preserve">also be reported as additional cost per relevant disease specific outcomes. </w:t>
      </w:r>
    </w:p>
    <w:p w14:paraId="5B016B9B" w14:textId="681B4214" w:rsidR="00AC71D7" w:rsidRDefault="00AC71D7" w:rsidP="00154648">
      <w:r w:rsidRPr="00E47798">
        <w:t>Resources for inclusion in the analysis are to be confirmed by the Department of Health. Resources</w:t>
      </w:r>
      <w:r>
        <w:t xml:space="preserve"> </w:t>
      </w:r>
      <w:r w:rsidRPr="00E47798">
        <w:t>that could be considered for inclusion in the analysis would be</w:t>
      </w:r>
      <w:r>
        <w:t xml:space="preserve">: </w:t>
      </w:r>
    </w:p>
    <w:p w14:paraId="6089F864" w14:textId="79F0FF91" w:rsidR="00AC71D7" w:rsidRPr="0002422D" w:rsidRDefault="00AC71D7" w:rsidP="0002422D">
      <w:pPr>
        <w:pStyle w:val="ListParagraph"/>
      </w:pPr>
      <w:r w:rsidRPr="0002422D">
        <w:t>Acquisition costs, IV infusion administration (outpatient/inpatient setting), health resource use (number of specialist visits, other health care professional</w:t>
      </w:r>
      <w:r w:rsidR="00A23827">
        <w:t xml:space="preserve"> visits</w:t>
      </w:r>
      <w:r w:rsidRPr="0002422D">
        <w:t xml:space="preserve">, hospital days, ICU admission) and cost of managing adverse events such as severe infusion reactions. </w:t>
      </w:r>
    </w:p>
    <w:p w14:paraId="280B016D" w14:textId="77777777" w:rsidR="00AC71D7" w:rsidRPr="0002422D" w:rsidRDefault="00AC71D7" w:rsidP="0002422D">
      <w:pPr>
        <w:pStyle w:val="ListParagraph"/>
      </w:pPr>
      <w:r w:rsidRPr="0002422D">
        <w:t xml:space="preserve">Drug costs should include dispensing fees and wastage where applicable. </w:t>
      </w:r>
    </w:p>
    <w:p w14:paraId="1604998A" w14:textId="77777777" w:rsidR="00AC71D7" w:rsidRPr="004223A2" w:rsidRDefault="00AC71D7" w:rsidP="00637B78">
      <w:pPr>
        <w:rPr>
          <w:rFonts w:ascii="CIDFont+F2" w:eastAsiaTheme="minorHAnsi" w:hAnsi="CIDFont+F2" w:cs="CIDFont+F2"/>
        </w:rPr>
      </w:pPr>
      <w:r w:rsidRPr="004223A2">
        <w:rPr>
          <w:rFonts w:ascii="CIDFont+F2" w:eastAsiaTheme="minorHAnsi" w:hAnsi="CIDFont+F2" w:cs="CIDFont+F2"/>
        </w:rPr>
        <w:t>For the contracted assessment, the applicant should provide the following</w:t>
      </w:r>
      <w:r>
        <w:rPr>
          <w:rFonts w:ascii="CIDFont+F2" w:eastAsiaTheme="minorHAnsi" w:hAnsi="CIDFont+F2" w:cs="CIDFont+F2"/>
        </w:rPr>
        <w:t xml:space="preserve"> information</w:t>
      </w:r>
      <w:r w:rsidRPr="004223A2">
        <w:rPr>
          <w:rFonts w:ascii="CIDFont+F2" w:eastAsiaTheme="minorHAnsi" w:hAnsi="CIDFont+F2" w:cs="CIDFont+F2"/>
        </w:rPr>
        <w:t>, where available:</w:t>
      </w:r>
    </w:p>
    <w:p w14:paraId="4982FE8D" w14:textId="77777777" w:rsidR="00AC71D7" w:rsidRPr="0002422D" w:rsidRDefault="00AC71D7" w:rsidP="0002422D">
      <w:pPr>
        <w:pStyle w:val="ListParagraph"/>
      </w:pPr>
      <w:r w:rsidRPr="0002422D">
        <w:lastRenderedPageBreak/>
        <w:t>Average monthly dose and/or dose range per patient;</w:t>
      </w:r>
    </w:p>
    <w:p w14:paraId="416C42A3" w14:textId="77777777" w:rsidR="00AC71D7" w:rsidRPr="0002422D" w:rsidRDefault="00AC71D7" w:rsidP="0002422D">
      <w:pPr>
        <w:pStyle w:val="ListParagraph"/>
      </w:pPr>
      <w:r w:rsidRPr="0002422D">
        <w:t xml:space="preserve">Average treatment duration and/or range per patient. </w:t>
      </w:r>
    </w:p>
    <w:p w14:paraId="714531C4" w14:textId="45379A59" w:rsidR="00AC71D7" w:rsidRDefault="00AC71D7" w:rsidP="002E4F05">
      <w:r w:rsidRPr="00E966FA">
        <w:t xml:space="preserve">This should permit a calculation of cost per month and cost per course. </w:t>
      </w:r>
      <w:r w:rsidR="009F2C3D" w:rsidRPr="00E966FA">
        <w:t xml:space="preserve">In a previous PICO it was noted that </w:t>
      </w:r>
      <w:r w:rsidR="00CD2153" w:rsidRPr="002E4F05">
        <w:rPr>
          <w:i/>
        </w:rPr>
        <w:t>‘</w:t>
      </w:r>
      <w:r w:rsidRPr="002E4F05">
        <w:rPr>
          <w:i/>
        </w:rPr>
        <w:t>The Department of Health advises that the NBA price structure is not within scope for this review, though the economic evaluation may need to consider local versus imported pricing. Pricing of IgG products may be amended by the NBA in future.</w:t>
      </w:r>
      <w:r w:rsidR="00CD2153" w:rsidRPr="002E4F05">
        <w:rPr>
          <w:i/>
        </w:rPr>
        <w:t>’</w:t>
      </w:r>
      <w:r w:rsidR="00E966FA" w:rsidRPr="002E4F05">
        <w:rPr>
          <w:i/>
        </w:rPr>
        <w:t xml:space="preserve"> (p. 12 of the </w:t>
      </w:r>
      <w:r w:rsidR="003C154C" w:rsidRPr="002E4F05">
        <w:rPr>
          <w:i/>
        </w:rPr>
        <w:t xml:space="preserve">1565 </w:t>
      </w:r>
      <w:r w:rsidR="00E966FA" w:rsidRPr="002E4F05">
        <w:rPr>
          <w:i/>
        </w:rPr>
        <w:t>PICO Confirmation)</w:t>
      </w:r>
      <w:r w:rsidR="00762C8D">
        <w:rPr>
          <w:i/>
        </w:rPr>
        <w:t>.</w:t>
      </w:r>
    </w:p>
    <w:p w14:paraId="3590A0C5" w14:textId="77777777" w:rsidR="00AC71D7" w:rsidRDefault="00AC71D7" w:rsidP="001F37B5"/>
    <w:p w14:paraId="628F792D" w14:textId="50486059" w:rsidR="00AC71D7" w:rsidRDefault="00AC71D7" w:rsidP="00E61B6E">
      <w:pPr>
        <w:pStyle w:val="Heading1"/>
      </w:pPr>
      <w:r w:rsidRPr="00480F96">
        <w:t xml:space="preserve">Attachment </w:t>
      </w:r>
      <w:r>
        <w:t>1</w:t>
      </w:r>
      <w:r w:rsidR="00365DC0">
        <w:t>: current and proposed clinical management algorithms</w:t>
      </w:r>
    </w:p>
    <w:p w14:paraId="352895F4" w14:textId="62AABCC9" w:rsidR="00AC71D7" w:rsidRPr="002E4F05" w:rsidRDefault="00AC71D7" w:rsidP="00480F96">
      <w:pPr>
        <w:keepNext/>
        <w:rPr>
          <w:rFonts w:asciiTheme="minorHAnsi" w:hAnsiTheme="minorHAnsi" w:cstheme="minorHAnsi"/>
          <w:b/>
          <w:sz w:val="20"/>
          <w:szCs w:val="20"/>
          <w:u w:val="dotted"/>
        </w:rPr>
      </w:pPr>
      <w:r w:rsidRPr="002E4F05">
        <w:rPr>
          <w:rFonts w:asciiTheme="minorHAnsi" w:hAnsiTheme="minorHAnsi" w:cstheme="minorHAnsi"/>
          <w:b/>
          <w:sz w:val="20"/>
          <w:szCs w:val="20"/>
          <w:u w:val="dotted"/>
        </w:rPr>
        <w:t xml:space="preserve">Figure 1: Current clinical management algorithm: initial access to Ig under NBA as per MMN </w:t>
      </w:r>
      <w:r w:rsidR="003125EA">
        <w:rPr>
          <w:rFonts w:asciiTheme="minorHAnsi" w:hAnsiTheme="minorHAnsi" w:cstheme="minorHAnsi"/>
          <w:b/>
          <w:sz w:val="20"/>
          <w:szCs w:val="20"/>
          <w:u w:val="dotted"/>
        </w:rPr>
        <w:t>R</w:t>
      </w:r>
      <w:r w:rsidRPr="002E4F05">
        <w:rPr>
          <w:rFonts w:asciiTheme="minorHAnsi" w:hAnsiTheme="minorHAnsi" w:cstheme="minorHAnsi"/>
          <w:b/>
          <w:sz w:val="20"/>
          <w:szCs w:val="20"/>
          <w:u w:val="dotted"/>
        </w:rPr>
        <w:t xml:space="preserve">eferral </w:t>
      </w:r>
    </w:p>
    <w:p w14:paraId="710D8CFA" w14:textId="77777777" w:rsidR="00AC71D7" w:rsidRDefault="00AC71D7" w:rsidP="00480F96">
      <w:pPr>
        <w:keepNext/>
        <w:rPr>
          <w:u w:val="dotted"/>
        </w:rPr>
      </w:pPr>
      <w:r>
        <w:rPr>
          <w:noProof/>
          <w:lang w:eastAsia="en-AU"/>
        </w:rPr>
        <w:drawing>
          <wp:inline distT="0" distB="0" distL="0" distR="0" wp14:anchorId="31EE59A0" wp14:editId="2ADA21A0">
            <wp:extent cx="5067300" cy="4665345"/>
            <wp:effectExtent l="0" t="0" r="0" b="1905"/>
            <wp:docPr id="3" name="Picture 3" title="Figure 1: Current clinical management algorithm: initial access to Ig under NBA as per MMN Referr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3368" cy="4670932"/>
                    </a:xfrm>
                    <a:prstGeom prst="rect">
                      <a:avLst/>
                    </a:prstGeom>
                  </pic:spPr>
                </pic:pic>
              </a:graphicData>
            </a:graphic>
          </wp:inline>
        </w:drawing>
      </w:r>
    </w:p>
    <w:p w14:paraId="34FFA8E4" w14:textId="6923A885" w:rsidR="00236A7E" w:rsidRPr="00236A7E" w:rsidRDefault="00AC71D7" w:rsidP="0066715E">
      <w:pPr>
        <w:pStyle w:val="NoSpacing"/>
        <w:spacing w:after="0"/>
      </w:pPr>
      <w:r w:rsidRPr="00236A7E">
        <w:t xml:space="preserve">Abbreviations: </w:t>
      </w:r>
      <w:r w:rsidR="00236A7E" w:rsidRPr="00236A7E">
        <w:t>Ig= immunoglobulins; MMN= multifocal motor neuropathy; NBA= National Blood Authority; ONLS= Overall Neuropathy Limitations Scale.</w:t>
      </w:r>
    </w:p>
    <w:p w14:paraId="33038638" w14:textId="35A81884" w:rsidR="00236A7E" w:rsidRPr="00236A7E" w:rsidRDefault="00AC71D7" w:rsidP="0066715E">
      <w:pPr>
        <w:pStyle w:val="NoSpacing"/>
        <w:spacing w:after="0"/>
      </w:pPr>
      <w:r w:rsidRPr="00236A7E">
        <w:t>Note: 1Progressive weakness as demonstrated in the distribution of individual peripheral nerves; 2Overall Neuropathy Limitations Scale.</w:t>
      </w:r>
    </w:p>
    <w:p w14:paraId="2EB6256A" w14:textId="562DF0FB" w:rsidR="00AC71D7" w:rsidRPr="00236A7E" w:rsidRDefault="00AC71D7" w:rsidP="00236A7E">
      <w:pPr>
        <w:pStyle w:val="NoSpacing"/>
      </w:pPr>
      <w:r w:rsidRPr="00236A7E">
        <w:t xml:space="preserve">Source: </w:t>
      </w:r>
      <w:r w:rsidR="00236A7E" w:rsidRPr="00236A7E">
        <w:t xml:space="preserve">Figure 2, p. 14 of the 1590 MMN </w:t>
      </w:r>
      <w:r w:rsidR="003125EA">
        <w:t>draft</w:t>
      </w:r>
      <w:r w:rsidR="00236A7E" w:rsidRPr="00236A7E">
        <w:t xml:space="preserve"> Referral Form.</w:t>
      </w:r>
    </w:p>
    <w:p w14:paraId="67A83D88" w14:textId="77777777" w:rsidR="00365DC0" w:rsidRDefault="00365DC0">
      <w:pPr>
        <w:jc w:val="left"/>
        <w:rPr>
          <w:rFonts w:ascii="Arial Narrow" w:hAnsi="Arial Narrow"/>
          <w:b/>
          <w:sz w:val="20"/>
          <w:szCs w:val="20"/>
          <w:u w:val="dotted"/>
        </w:rPr>
      </w:pPr>
      <w:r>
        <w:rPr>
          <w:rFonts w:ascii="Arial Narrow" w:hAnsi="Arial Narrow"/>
          <w:b/>
          <w:sz w:val="20"/>
          <w:szCs w:val="20"/>
          <w:u w:val="dotted"/>
        </w:rPr>
        <w:br w:type="page"/>
      </w:r>
    </w:p>
    <w:p w14:paraId="1CC610CD" w14:textId="07B06ED5" w:rsidR="00AC71D7" w:rsidRPr="002E4F05" w:rsidRDefault="00AC71D7" w:rsidP="00480F96">
      <w:pPr>
        <w:keepNext/>
        <w:rPr>
          <w:rFonts w:asciiTheme="minorHAnsi" w:hAnsiTheme="minorHAnsi" w:cstheme="minorHAnsi"/>
          <w:b/>
          <w:sz w:val="20"/>
          <w:szCs w:val="20"/>
          <w:u w:val="dotted"/>
        </w:rPr>
      </w:pPr>
      <w:r w:rsidRPr="002E4F05">
        <w:rPr>
          <w:rFonts w:asciiTheme="minorHAnsi" w:hAnsiTheme="minorHAnsi" w:cstheme="minorHAnsi"/>
          <w:b/>
          <w:sz w:val="20"/>
          <w:szCs w:val="20"/>
          <w:u w:val="dotted"/>
        </w:rPr>
        <w:lastRenderedPageBreak/>
        <w:t>Figure 2: Current clinical management algorithm: initial acc</w:t>
      </w:r>
      <w:r w:rsidR="003125EA">
        <w:rPr>
          <w:rFonts w:asciiTheme="minorHAnsi" w:hAnsiTheme="minorHAnsi" w:cstheme="minorHAnsi"/>
          <w:b/>
          <w:sz w:val="20"/>
          <w:szCs w:val="20"/>
          <w:u w:val="dotted"/>
        </w:rPr>
        <w:t>ess to Ig under NBA as per MMN R</w:t>
      </w:r>
      <w:r w:rsidRPr="002E4F05">
        <w:rPr>
          <w:rFonts w:asciiTheme="minorHAnsi" w:hAnsiTheme="minorHAnsi" w:cstheme="minorHAnsi"/>
          <w:b/>
          <w:sz w:val="20"/>
          <w:szCs w:val="20"/>
          <w:u w:val="dotted"/>
        </w:rPr>
        <w:t>eferral</w:t>
      </w:r>
    </w:p>
    <w:p w14:paraId="757F5246" w14:textId="77777777" w:rsidR="00AC71D7" w:rsidRDefault="00AC71D7" w:rsidP="00480F96">
      <w:pPr>
        <w:keepNext/>
        <w:rPr>
          <w:b/>
          <w:u w:val="dotted"/>
        </w:rPr>
      </w:pPr>
      <w:r>
        <w:rPr>
          <w:noProof/>
          <w:lang w:eastAsia="en-AU"/>
        </w:rPr>
        <w:drawing>
          <wp:inline distT="0" distB="0" distL="0" distR="0" wp14:anchorId="7EA40118" wp14:editId="2635F9F6">
            <wp:extent cx="5684398" cy="4762500"/>
            <wp:effectExtent l="0" t="0" r="0" b="0"/>
            <wp:docPr id="5" name="Picture 5" title="Figure 2: Current clinical management algorithm: initial access to Ig under NBA as per MMN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689"/>
                    <a:stretch/>
                  </pic:blipFill>
                  <pic:spPr bwMode="auto">
                    <a:xfrm>
                      <a:off x="0" y="0"/>
                      <a:ext cx="5710556" cy="4784416"/>
                    </a:xfrm>
                    <a:prstGeom prst="rect">
                      <a:avLst/>
                    </a:prstGeom>
                    <a:ln>
                      <a:noFill/>
                    </a:ln>
                    <a:extLst>
                      <a:ext uri="{53640926-AAD7-44D8-BBD7-CCE9431645EC}">
                        <a14:shadowObscured xmlns:a14="http://schemas.microsoft.com/office/drawing/2010/main"/>
                      </a:ext>
                    </a:extLst>
                  </pic:spPr>
                </pic:pic>
              </a:graphicData>
            </a:graphic>
          </wp:inline>
        </w:drawing>
      </w:r>
    </w:p>
    <w:p w14:paraId="62C2B331" w14:textId="77777777" w:rsidR="00236A7E" w:rsidRPr="000A34C8" w:rsidRDefault="00AC71D7" w:rsidP="0066715E">
      <w:pPr>
        <w:pStyle w:val="NoSpacing"/>
        <w:spacing w:after="0"/>
      </w:pPr>
      <w:r w:rsidRPr="000A34C8">
        <w:t>Abbreviations:</w:t>
      </w:r>
      <w:r w:rsidR="00365DC0" w:rsidRPr="000A34C8">
        <w:t xml:space="preserve"> </w:t>
      </w:r>
      <w:r w:rsidR="00236A7E" w:rsidRPr="000A34C8">
        <w:t>Ig= immunoglobulins; MMN= multifocal motor neuropathy; NBA= National Blood Authority; ONLS= Overall Neuropathy Limitations Scale.</w:t>
      </w:r>
    </w:p>
    <w:p w14:paraId="69C9B9C5" w14:textId="4EE01397" w:rsidR="00236A7E" w:rsidRPr="000A34C8" w:rsidRDefault="00AC71D7" w:rsidP="000A34C8">
      <w:pPr>
        <w:pStyle w:val="NoSpacing"/>
      </w:pPr>
      <w:r w:rsidRPr="000A34C8">
        <w:t>Sources: Figure 2</w:t>
      </w:r>
      <w:r w:rsidR="00365DC0" w:rsidRPr="000A34C8">
        <w:t xml:space="preserve">, </w:t>
      </w:r>
      <w:r w:rsidR="00236A7E" w:rsidRPr="000A34C8">
        <w:t>p. 1</w:t>
      </w:r>
      <w:r w:rsidR="000A34C8" w:rsidRPr="000A34C8">
        <w:t>9</w:t>
      </w:r>
      <w:r w:rsidR="00236A7E" w:rsidRPr="000A34C8">
        <w:t xml:space="preserve"> of the 1590 MMN </w:t>
      </w:r>
      <w:r w:rsidR="003125EA">
        <w:t>draft</w:t>
      </w:r>
      <w:r w:rsidR="00236A7E" w:rsidRPr="000A34C8">
        <w:t xml:space="preserve"> Referral Form.</w:t>
      </w:r>
    </w:p>
    <w:p w14:paraId="5D414915" w14:textId="3C03686C" w:rsidR="00AC71D7" w:rsidRPr="004C4A0D" w:rsidRDefault="00AC71D7" w:rsidP="00236A7E">
      <w:pPr>
        <w:pStyle w:val="NoSpacing"/>
        <w:rPr>
          <w:rFonts w:ascii="Arial Narrow" w:hAnsi="Arial Narrow"/>
          <w:szCs w:val="18"/>
        </w:rPr>
      </w:pPr>
    </w:p>
    <w:p w14:paraId="2ACEF9C1" w14:textId="2065458E" w:rsidR="00AB4084" w:rsidRPr="00365DC0" w:rsidRDefault="00AB4084" w:rsidP="00480F96">
      <w:pPr>
        <w:keepNext/>
      </w:pPr>
    </w:p>
    <w:p w14:paraId="7F5B6AA5" w14:textId="77777777" w:rsidR="00365DC0" w:rsidRDefault="00365DC0">
      <w:pPr>
        <w:jc w:val="left"/>
        <w:rPr>
          <w:rFonts w:ascii="Arial Narrow" w:hAnsi="Arial Narrow"/>
          <w:b/>
          <w:sz w:val="20"/>
          <w:szCs w:val="20"/>
          <w:u w:val="dotted"/>
        </w:rPr>
      </w:pPr>
      <w:r>
        <w:rPr>
          <w:rFonts w:ascii="Arial Narrow" w:hAnsi="Arial Narrow"/>
          <w:b/>
          <w:sz w:val="20"/>
          <w:szCs w:val="20"/>
          <w:u w:val="dotted"/>
        </w:rPr>
        <w:br w:type="page"/>
      </w:r>
    </w:p>
    <w:p w14:paraId="29A84A53" w14:textId="523930E5" w:rsidR="008C5DDB" w:rsidRDefault="00AC71D7" w:rsidP="00EF333E">
      <w:pPr>
        <w:keepNext/>
      </w:pPr>
      <w:r w:rsidRPr="002E4F05">
        <w:rPr>
          <w:rFonts w:asciiTheme="minorHAnsi" w:hAnsiTheme="minorHAnsi" w:cstheme="minorHAnsi"/>
          <w:b/>
          <w:sz w:val="20"/>
          <w:szCs w:val="20"/>
          <w:u w:val="dotted"/>
        </w:rPr>
        <w:lastRenderedPageBreak/>
        <w:t xml:space="preserve">Figure 3: Proposed clinical management algorithm: initial and </w:t>
      </w:r>
      <w:r w:rsidR="003D75B6">
        <w:rPr>
          <w:rFonts w:asciiTheme="minorHAnsi" w:hAnsiTheme="minorHAnsi" w:cstheme="minorHAnsi"/>
          <w:b/>
          <w:sz w:val="20"/>
          <w:szCs w:val="20"/>
          <w:u w:val="dotted"/>
        </w:rPr>
        <w:t>maintenance treatment (</w:t>
      </w:r>
      <w:r w:rsidRPr="002E4F05">
        <w:rPr>
          <w:rFonts w:asciiTheme="minorHAnsi" w:hAnsiTheme="minorHAnsi" w:cstheme="minorHAnsi"/>
          <w:b/>
          <w:sz w:val="20"/>
          <w:szCs w:val="20"/>
          <w:u w:val="dotted"/>
        </w:rPr>
        <w:t>continuing a</w:t>
      </w:r>
      <w:r w:rsidR="003D75B6">
        <w:rPr>
          <w:rFonts w:asciiTheme="minorHAnsi" w:hAnsiTheme="minorHAnsi" w:cstheme="minorHAnsi"/>
          <w:b/>
          <w:sz w:val="20"/>
          <w:szCs w:val="20"/>
          <w:u w:val="dotted"/>
        </w:rPr>
        <w:t>uthorisation)</w:t>
      </w:r>
      <w:r w:rsidRPr="002E4F05">
        <w:rPr>
          <w:rFonts w:asciiTheme="minorHAnsi" w:hAnsiTheme="minorHAnsi" w:cstheme="minorHAnsi"/>
          <w:b/>
          <w:sz w:val="20"/>
          <w:szCs w:val="20"/>
          <w:u w:val="dotted"/>
        </w:rPr>
        <w:t xml:space="preserve"> to Ig under NBA </w:t>
      </w:r>
      <w:r w:rsidR="00377D04">
        <w:rPr>
          <w:rFonts w:asciiTheme="minorHAnsi" w:hAnsiTheme="minorHAnsi" w:cstheme="minorHAnsi"/>
          <w:b/>
          <w:sz w:val="20"/>
          <w:szCs w:val="20"/>
          <w:u w:val="dotted"/>
        </w:rPr>
        <w:t>for first indication (f</w:t>
      </w:r>
      <w:r w:rsidR="00377D04" w:rsidRPr="00377D04">
        <w:rPr>
          <w:rFonts w:asciiTheme="minorHAnsi" w:hAnsiTheme="minorHAnsi" w:cstheme="minorHAnsi"/>
          <w:b/>
          <w:sz w:val="20"/>
          <w:szCs w:val="20"/>
          <w:u w:val="dotted"/>
        </w:rPr>
        <w:t>irst-line and subsequent maintenance therapy for MMN</w:t>
      </w:r>
      <w:r w:rsidR="00377D04">
        <w:rPr>
          <w:rFonts w:asciiTheme="minorHAnsi" w:hAnsiTheme="minorHAnsi" w:cstheme="minorHAnsi"/>
          <w:b/>
          <w:sz w:val="20"/>
          <w:szCs w:val="20"/>
          <w:u w:val="dotted"/>
        </w:rPr>
        <w:t xml:space="preserve">) </w:t>
      </w:r>
      <w:r w:rsidRPr="002E4F05">
        <w:rPr>
          <w:rFonts w:asciiTheme="minorHAnsi" w:hAnsiTheme="minorHAnsi" w:cstheme="minorHAnsi"/>
          <w:b/>
          <w:sz w:val="20"/>
          <w:szCs w:val="20"/>
          <w:u w:val="dotted"/>
        </w:rPr>
        <w:t xml:space="preserve">as per MMN </w:t>
      </w:r>
      <w:r w:rsidR="003125EA">
        <w:rPr>
          <w:rFonts w:asciiTheme="minorHAnsi" w:hAnsiTheme="minorHAnsi" w:cstheme="minorHAnsi"/>
          <w:b/>
          <w:sz w:val="20"/>
          <w:szCs w:val="20"/>
          <w:u w:val="dotted"/>
        </w:rPr>
        <w:t>R</w:t>
      </w:r>
      <w:r w:rsidRPr="002E4F05">
        <w:rPr>
          <w:rFonts w:asciiTheme="minorHAnsi" w:hAnsiTheme="minorHAnsi" w:cstheme="minorHAnsi"/>
          <w:b/>
          <w:sz w:val="20"/>
          <w:szCs w:val="20"/>
          <w:u w:val="dotted"/>
        </w:rPr>
        <w:t>eferral</w:t>
      </w:r>
    </w:p>
    <w:p w14:paraId="25F19E8F" w14:textId="38CC8ADA" w:rsidR="00DF5858" w:rsidRDefault="00DF5858" w:rsidP="0066715E">
      <w:pPr>
        <w:pStyle w:val="NoSpacing"/>
        <w:spacing w:after="0"/>
      </w:pPr>
      <w:r w:rsidRPr="00DF5858">
        <w:rPr>
          <w:noProof/>
          <w:lang w:eastAsia="en-AU"/>
        </w:rPr>
        <w:drawing>
          <wp:inline distT="0" distB="0" distL="0" distR="0" wp14:anchorId="248E8501" wp14:editId="2F44E9D4">
            <wp:extent cx="6650379" cy="6269302"/>
            <wp:effectExtent l="0" t="0" r="0" b="0"/>
            <wp:docPr id="7" name="Picture 7" descr="F:\Projects\Current\MSAC\Current projects\1590_MMN\01 PICO confirmation\Working documents\Algorithm_first indication. PNG.PNG" title="Figure 3: Proposed clinical management algorithm: initial and maintenance treatment (continuing authorisation) to Ig under NBA for first indication (first-line and subsequent maintenance therapy for MMN) as per MMN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rojects\Current\MSAC\Current projects\1590_MMN\01 PICO confirmation\Working documents\Algorithm_first indication. PN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0977" cy="6279293"/>
                    </a:xfrm>
                    <a:prstGeom prst="rect">
                      <a:avLst/>
                    </a:prstGeom>
                    <a:noFill/>
                    <a:ln>
                      <a:noFill/>
                    </a:ln>
                  </pic:spPr>
                </pic:pic>
              </a:graphicData>
            </a:graphic>
          </wp:inline>
        </w:drawing>
      </w:r>
    </w:p>
    <w:p w14:paraId="7D78C5DD" w14:textId="77777777" w:rsidR="00DF5858" w:rsidRDefault="00DF5858" w:rsidP="0066715E">
      <w:pPr>
        <w:pStyle w:val="NoSpacing"/>
        <w:spacing w:after="0"/>
      </w:pPr>
    </w:p>
    <w:p w14:paraId="1165CADE" w14:textId="59EA25EF" w:rsidR="00B20CB7" w:rsidRDefault="00AC71D7" w:rsidP="0066715E">
      <w:pPr>
        <w:pStyle w:val="NoSpacing"/>
        <w:spacing w:after="0"/>
      </w:pPr>
      <w:r w:rsidRPr="000A34C8">
        <w:t xml:space="preserve">Abbreviations: </w:t>
      </w:r>
      <w:r w:rsidR="00B20CB7" w:rsidRPr="000A34C8">
        <w:t>IVIg= intravenous immunoglobulin; MMN= multifocal motor neuropathy</w:t>
      </w:r>
      <w:r w:rsidR="000A34C8">
        <w:t>; NBA= National Blood Authority</w:t>
      </w:r>
      <w:r w:rsidR="00377D04">
        <w:t xml:space="preserve">; ONLS = </w:t>
      </w:r>
      <w:r w:rsidR="00377D04" w:rsidRPr="00A97A84">
        <w:t>Overall Neuropathy Limitations Scale</w:t>
      </w:r>
      <w:r w:rsidR="00B20CB7" w:rsidRPr="000A34C8">
        <w:t xml:space="preserve">. </w:t>
      </w:r>
      <w:r w:rsidR="00AD1067" w:rsidRPr="000A34C8">
        <w:t xml:space="preserve">Note: </w:t>
      </w:r>
      <w:r w:rsidR="00AD163C" w:rsidRPr="00AD163C">
        <w:rPr>
          <w:vertAlign w:val="superscript"/>
        </w:rPr>
        <w:t>1</w:t>
      </w:r>
      <w:r w:rsidR="00AD163C">
        <w:t>Refers to no changes in the patient’s disease status; b</w:t>
      </w:r>
      <w:r w:rsidR="00AD1067" w:rsidRPr="00AD163C">
        <w:t>lock</w:t>
      </w:r>
      <w:r w:rsidR="00AD163C">
        <w:t>s</w:t>
      </w:r>
      <w:r w:rsidR="00AD1067" w:rsidRPr="000A34C8">
        <w:t xml:space="preserve"> highlighted in green were added during the PICO Confirmation</w:t>
      </w:r>
      <w:r w:rsidR="00AD163C">
        <w:t>.</w:t>
      </w:r>
      <w:r w:rsidR="00AD1067" w:rsidRPr="000A34C8">
        <w:t xml:space="preserve"> </w:t>
      </w:r>
    </w:p>
    <w:p w14:paraId="30459C74" w14:textId="35F1BE1A" w:rsidR="00A97A84" w:rsidRDefault="00A97A84" w:rsidP="00A97A84">
      <w:pPr>
        <w:pStyle w:val="NoSpacing"/>
        <w:spacing w:after="0"/>
      </w:pPr>
      <w:r w:rsidRPr="00A97A84">
        <w:rPr>
          <w:vertAlign w:val="superscript"/>
        </w:rPr>
        <w:t>2</w:t>
      </w:r>
      <w:r>
        <w:t xml:space="preserve"> Clinical effectiveness (response) of Ig therapy can be assessed by:  </w:t>
      </w:r>
      <w:r w:rsidRPr="00A97A84">
        <w:t>Improvement in focal motor weakness in previously weak (but not end</w:t>
      </w:r>
      <w:r>
        <w:t xml:space="preserve"> </w:t>
      </w:r>
      <w:r w:rsidRPr="00A97A84">
        <w:t>stage)</w:t>
      </w:r>
      <w:r>
        <w:t xml:space="preserve"> muscles </w:t>
      </w:r>
      <w:r w:rsidRPr="00A97A84">
        <w:rPr>
          <w:b/>
        </w:rPr>
        <w:t>AND</w:t>
      </w:r>
      <w:r>
        <w:t xml:space="preserve"> </w:t>
      </w:r>
      <w:r w:rsidRPr="00A97A84">
        <w:t>Improvement in the level of disabil</w:t>
      </w:r>
      <w:r>
        <w:t xml:space="preserve">ity as measured by the Adjusted </w:t>
      </w:r>
      <w:r w:rsidR="00377D04">
        <w:t>ONLS</w:t>
      </w:r>
      <w:r w:rsidRPr="00A97A84">
        <w:t xml:space="preserve"> of at least one point less</w:t>
      </w:r>
      <w:r>
        <w:t xml:space="preserve"> </w:t>
      </w:r>
      <w:r w:rsidRPr="00A97A84">
        <w:t>than the qualifying score</w:t>
      </w:r>
      <w:r>
        <w:t>.</w:t>
      </w:r>
    </w:p>
    <w:p w14:paraId="0FB461E9" w14:textId="2C274A4F" w:rsidR="00A97A84" w:rsidRPr="000A34C8" w:rsidRDefault="00A97A84" w:rsidP="00377D04">
      <w:pPr>
        <w:pStyle w:val="NoSpacing"/>
        <w:spacing w:after="0"/>
      </w:pPr>
      <w:r w:rsidRPr="00377D04">
        <w:rPr>
          <w:vertAlign w:val="superscript"/>
        </w:rPr>
        <w:t>3</w:t>
      </w:r>
      <w:r>
        <w:t xml:space="preserve"> Clinical effectiveness (response) of Ig therapy can be assessed by: </w:t>
      </w:r>
      <w:r w:rsidR="00377D04" w:rsidRPr="00377D04">
        <w:t>Improvement in</w:t>
      </w:r>
      <w:r w:rsidR="00DE26E6">
        <w:t>,</w:t>
      </w:r>
      <w:r w:rsidR="00377D04" w:rsidRPr="00377D04">
        <w:t xml:space="preserve"> or stabilisation of</w:t>
      </w:r>
      <w:r w:rsidR="00DE26E6">
        <w:t>,</w:t>
      </w:r>
      <w:r w:rsidR="00377D04" w:rsidRPr="00377D04">
        <w:t xml:space="preserve"> weak</w:t>
      </w:r>
      <w:r w:rsidR="00377D04">
        <w:t xml:space="preserve">ness after previous evidence of </w:t>
      </w:r>
      <w:r w:rsidR="00377D04" w:rsidRPr="00377D04">
        <w:t>deterioration in motor strength. It</w:t>
      </w:r>
      <w:r w:rsidR="00377D04">
        <w:t xml:space="preserve"> is acknowledged that very slow </w:t>
      </w:r>
      <w:r w:rsidR="00377D04" w:rsidRPr="00377D04">
        <w:t>deterioration may occur over several years in stable p</w:t>
      </w:r>
      <w:r w:rsidR="00377D04">
        <w:t xml:space="preserve">atients </w:t>
      </w:r>
      <w:r w:rsidR="00377D04" w:rsidRPr="00377D04">
        <w:rPr>
          <w:b/>
        </w:rPr>
        <w:t>AND</w:t>
      </w:r>
      <w:r w:rsidR="00377D04">
        <w:t xml:space="preserve"> </w:t>
      </w:r>
      <w:r w:rsidR="00377D04" w:rsidRPr="00377D04">
        <w:t>Improvement in or stabilisation of disabil</w:t>
      </w:r>
      <w:r w:rsidR="00377D04">
        <w:t>ity as measured by the Adjusted ONLS</w:t>
      </w:r>
      <w:r w:rsidR="00377D04" w:rsidRPr="00377D04">
        <w:t xml:space="preserve"> score compared to the</w:t>
      </w:r>
      <w:r w:rsidR="00377D04">
        <w:t xml:space="preserve"> </w:t>
      </w:r>
      <w:r w:rsidR="00377D04" w:rsidRPr="00377D04">
        <w:t>previous review score. (Note: Gradual deterioration of one point over</w:t>
      </w:r>
      <w:r w:rsidR="00377D04">
        <w:t xml:space="preserve"> </w:t>
      </w:r>
      <w:r w:rsidR="00377D04" w:rsidRPr="00377D04">
        <w:t>several years may occur)</w:t>
      </w:r>
      <w:r w:rsidR="00377D04">
        <w:t xml:space="preserve"> </w:t>
      </w:r>
      <w:r w:rsidR="00377D04" w:rsidRPr="00377D04">
        <w:rPr>
          <w:b/>
        </w:rPr>
        <w:t>AND</w:t>
      </w:r>
      <w:r w:rsidR="00377D04">
        <w:t xml:space="preserve"> </w:t>
      </w:r>
      <w:r w:rsidR="00377D04" w:rsidRPr="00377D04">
        <w:t xml:space="preserve">A trial of Ig </w:t>
      </w:r>
      <w:r w:rsidR="00377D04" w:rsidRPr="00377D04">
        <w:lastRenderedPageBreak/>
        <w:t>weaning/cessation of Ig ther</w:t>
      </w:r>
      <w:r w:rsidR="00377D04">
        <w:t xml:space="preserve">apy is planned for patients who </w:t>
      </w:r>
      <w:r w:rsidR="00377D04" w:rsidRPr="00377D04">
        <w:t>are clinically stable to identify those in re</w:t>
      </w:r>
      <w:r w:rsidR="00377D04">
        <w:t xml:space="preserve">mission or a reason provided as </w:t>
      </w:r>
      <w:r w:rsidR="00377D04" w:rsidRPr="00377D04">
        <w:t>to why a trial is not planned</w:t>
      </w:r>
    </w:p>
    <w:p w14:paraId="3F37B2CE" w14:textId="3A43C1BB" w:rsidR="00AC71D7" w:rsidRPr="000A34C8" w:rsidRDefault="00AC71D7" w:rsidP="00377D04">
      <w:pPr>
        <w:pStyle w:val="NoSpacing"/>
        <w:spacing w:after="0"/>
      </w:pPr>
      <w:r w:rsidRPr="000A34C8">
        <w:t>Sources: Prepared during PICO</w:t>
      </w:r>
      <w:r w:rsidR="00365DC0" w:rsidRPr="000A34C8">
        <w:t xml:space="preserve"> Confirmation</w:t>
      </w:r>
      <w:r w:rsidRPr="000A34C8">
        <w:t xml:space="preserve"> based on Figure 1 and</w:t>
      </w:r>
      <w:r w:rsidR="00365DC0" w:rsidRPr="000A34C8">
        <w:t xml:space="preserve"> </w:t>
      </w:r>
      <w:r w:rsidR="003125EA">
        <w:t>Figure 2 of the MMN R</w:t>
      </w:r>
      <w:r w:rsidRPr="000A34C8">
        <w:t>eferral</w:t>
      </w:r>
      <w:r w:rsidR="00365DC0" w:rsidRPr="000A34C8">
        <w:t xml:space="preserve"> and the reviewed content.</w:t>
      </w:r>
    </w:p>
    <w:p w14:paraId="2DC94727" w14:textId="77777777" w:rsidR="00377D04" w:rsidRDefault="00377D04">
      <w:pPr>
        <w:jc w:val="left"/>
        <w:rPr>
          <w:b/>
        </w:rPr>
      </w:pPr>
    </w:p>
    <w:p w14:paraId="0B078EF1" w14:textId="7F2AAF15" w:rsidR="00377D04" w:rsidRPr="002E4F05" w:rsidRDefault="00390AB2" w:rsidP="00377D04">
      <w:pPr>
        <w:keepNext/>
        <w:rPr>
          <w:rFonts w:asciiTheme="minorHAnsi" w:hAnsiTheme="minorHAnsi" w:cstheme="minorHAnsi"/>
          <w:b/>
          <w:sz w:val="20"/>
          <w:szCs w:val="20"/>
          <w:u w:val="dotted"/>
        </w:rPr>
      </w:pPr>
      <w:r>
        <w:rPr>
          <w:rFonts w:asciiTheme="minorHAnsi" w:hAnsiTheme="minorHAnsi" w:cstheme="minorHAnsi"/>
          <w:b/>
          <w:sz w:val="20"/>
          <w:szCs w:val="20"/>
          <w:u w:val="dotted"/>
        </w:rPr>
        <w:t>Figure 4</w:t>
      </w:r>
      <w:r w:rsidR="00377D04" w:rsidRPr="002E4F05">
        <w:rPr>
          <w:rFonts w:asciiTheme="minorHAnsi" w:hAnsiTheme="minorHAnsi" w:cstheme="minorHAnsi"/>
          <w:b/>
          <w:sz w:val="20"/>
          <w:szCs w:val="20"/>
          <w:u w:val="dotted"/>
        </w:rPr>
        <w:t xml:space="preserve">: Proposed clinical management algorithm: initial and </w:t>
      </w:r>
      <w:r w:rsidR="003D75B6">
        <w:rPr>
          <w:rFonts w:asciiTheme="minorHAnsi" w:hAnsiTheme="minorHAnsi" w:cstheme="minorHAnsi"/>
          <w:b/>
          <w:sz w:val="20"/>
          <w:szCs w:val="20"/>
          <w:u w:val="dotted"/>
        </w:rPr>
        <w:t>maintenance treatment (</w:t>
      </w:r>
      <w:r w:rsidR="003D75B6" w:rsidRPr="002E4F05">
        <w:rPr>
          <w:rFonts w:asciiTheme="minorHAnsi" w:hAnsiTheme="minorHAnsi" w:cstheme="minorHAnsi"/>
          <w:b/>
          <w:sz w:val="20"/>
          <w:szCs w:val="20"/>
          <w:u w:val="dotted"/>
        </w:rPr>
        <w:t>continuing a</w:t>
      </w:r>
      <w:r w:rsidR="003D75B6">
        <w:rPr>
          <w:rFonts w:asciiTheme="minorHAnsi" w:hAnsiTheme="minorHAnsi" w:cstheme="minorHAnsi"/>
          <w:b/>
          <w:sz w:val="20"/>
          <w:szCs w:val="20"/>
          <w:u w:val="dotted"/>
        </w:rPr>
        <w:t>uthorisation)</w:t>
      </w:r>
      <w:r w:rsidR="00377D04" w:rsidRPr="002E4F05">
        <w:rPr>
          <w:rFonts w:asciiTheme="minorHAnsi" w:hAnsiTheme="minorHAnsi" w:cstheme="minorHAnsi"/>
          <w:b/>
          <w:sz w:val="20"/>
          <w:szCs w:val="20"/>
          <w:u w:val="dotted"/>
        </w:rPr>
        <w:t xml:space="preserve"> to Ig under NBA </w:t>
      </w:r>
      <w:r w:rsidR="00377D04">
        <w:rPr>
          <w:rFonts w:asciiTheme="minorHAnsi" w:hAnsiTheme="minorHAnsi" w:cstheme="minorHAnsi"/>
          <w:b/>
          <w:sz w:val="20"/>
          <w:szCs w:val="20"/>
          <w:u w:val="dotted"/>
        </w:rPr>
        <w:t>for second indication (</w:t>
      </w:r>
      <w:r w:rsidR="00377D04" w:rsidRPr="00377D04">
        <w:rPr>
          <w:rFonts w:asciiTheme="minorHAnsi" w:hAnsiTheme="minorHAnsi" w:cstheme="minorHAnsi"/>
          <w:b/>
          <w:sz w:val="20"/>
          <w:szCs w:val="20"/>
          <w:u w:val="dotted"/>
        </w:rPr>
        <w:t>Further and subsequent maintenance therapy for MMN patients who relapse within six months of commencement of a trial off Ig therapy</w:t>
      </w:r>
      <w:r w:rsidR="00377D04">
        <w:rPr>
          <w:rFonts w:asciiTheme="minorHAnsi" w:hAnsiTheme="minorHAnsi" w:cstheme="minorHAnsi"/>
          <w:b/>
          <w:sz w:val="20"/>
          <w:szCs w:val="20"/>
          <w:u w:val="dotted"/>
        </w:rPr>
        <w:t xml:space="preserve">) </w:t>
      </w:r>
      <w:r w:rsidR="00377D04" w:rsidRPr="002E4F05">
        <w:rPr>
          <w:rFonts w:asciiTheme="minorHAnsi" w:hAnsiTheme="minorHAnsi" w:cstheme="minorHAnsi"/>
          <w:b/>
          <w:sz w:val="20"/>
          <w:szCs w:val="20"/>
          <w:u w:val="dotted"/>
        </w:rPr>
        <w:t xml:space="preserve">as per MMN </w:t>
      </w:r>
      <w:r w:rsidR="00377D04">
        <w:rPr>
          <w:rFonts w:asciiTheme="minorHAnsi" w:hAnsiTheme="minorHAnsi" w:cstheme="minorHAnsi"/>
          <w:b/>
          <w:sz w:val="20"/>
          <w:szCs w:val="20"/>
          <w:u w:val="dotted"/>
        </w:rPr>
        <w:t>R</w:t>
      </w:r>
      <w:r w:rsidR="00377D04" w:rsidRPr="002E4F05">
        <w:rPr>
          <w:rFonts w:asciiTheme="minorHAnsi" w:hAnsiTheme="minorHAnsi" w:cstheme="minorHAnsi"/>
          <w:b/>
          <w:sz w:val="20"/>
          <w:szCs w:val="20"/>
          <w:u w:val="dotted"/>
        </w:rPr>
        <w:t>eferral</w:t>
      </w:r>
    </w:p>
    <w:p w14:paraId="655365BC" w14:textId="0C832F56" w:rsidR="00377D04" w:rsidRDefault="00B730BC">
      <w:pPr>
        <w:jc w:val="left"/>
        <w:rPr>
          <w:b/>
        </w:rPr>
      </w:pPr>
      <w:r>
        <w:rPr>
          <w:noProof/>
          <w:lang w:eastAsia="en-AU"/>
        </w:rPr>
        <w:drawing>
          <wp:inline distT="0" distB="0" distL="0" distR="0" wp14:anchorId="1FBBAE97" wp14:editId="136E145B">
            <wp:extent cx="5731510" cy="5428615"/>
            <wp:effectExtent l="0" t="0" r="2540" b="635"/>
            <wp:docPr id="6" name="Picture 6" title="Figure 4: Proposed clinical management algorithm: initial and maintenance treatment (continuing authorisation) to Ig under NBA for second indication (Further and subsequent maintenance therapy for MMN patients who relapse within six months of commencement of a trial off Ig therapy) as per MMN Refer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5428615"/>
                    </a:xfrm>
                    <a:prstGeom prst="rect">
                      <a:avLst/>
                    </a:prstGeom>
                  </pic:spPr>
                </pic:pic>
              </a:graphicData>
            </a:graphic>
          </wp:inline>
        </w:drawing>
      </w:r>
    </w:p>
    <w:p w14:paraId="7AB9BC8F" w14:textId="77777777" w:rsidR="00377D04" w:rsidRDefault="00377D04" w:rsidP="00377D04">
      <w:pPr>
        <w:pStyle w:val="NoSpacing"/>
        <w:spacing w:after="0"/>
      </w:pPr>
      <w:r w:rsidRPr="000A34C8">
        <w:t>Abbreviations: IVIg= intravenous immunoglobulin; MMN= multifocal motor neuropathy</w:t>
      </w:r>
      <w:r>
        <w:t xml:space="preserve">; NBA= National Blood Authority; ONLS = </w:t>
      </w:r>
      <w:r w:rsidRPr="00A97A84">
        <w:t>Overall Neuropathy Limitations Scale</w:t>
      </w:r>
      <w:r w:rsidRPr="000A34C8">
        <w:t xml:space="preserve">. </w:t>
      </w:r>
    </w:p>
    <w:p w14:paraId="4994A569" w14:textId="2713E4FE" w:rsidR="00377D04" w:rsidRDefault="00377D04" w:rsidP="00AD67B4">
      <w:pPr>
        <w:pStyle w:val="NoSpacing"/>
        <w:spacing w:after="0"/>
      </w:pPr>
      <w:r w:rsidRPr="000A34C8">
        <w:t xml:space="preserve">Note: </w:t>
      </w:r>
      <w:r w:rsidR="00E0061E">
        <w:rPr>
          <w:vertAlign w:val="superscript"/>
        </w:rPr>
        <w:t>1</w:t>
      </w:r>
      <w:r>
        <w:t xml:space="preserve"> Clinical effectiveness (response) of Ig therapy can be assessed by:  </w:t>
      </w:r>
      <w:r w:rsidRPr="00377D04">
        <w:t>Improvement in focal motor weakness i</w:t>
      </w:r>
      <w:r>
        <w:t xml:space="preserve">n response to four months of Ig </w:t>
      </w:r>
      <w:r w:rsidRPr="00377D04">
        <w:t>therapy compared to muscle streng</w:t>
      </w:r>
      <w:r>
        <w:t xml:space="preserve">th at the qualifying assessment following relapse </w:t>
      </w:r>
      <w:r w:rsidRPr="00AD67B4">
        <w:rPr>
          <w:b/>
        </w:rPr>
        <w:t xml:space="preserve">AND </w:t>
      </w:r>
      <w:r w:rsidRPr="00377D04">
        <w:t xml:space="preserve">Improvement in disability as measured by the </w:t>
      </w:r>
      <w:r>
        <w:t>Adjusted ONLS</w:t>
      </w:r>
      <w:r w:rsidRPr="00377D04">
        <w:t xml:space="preserve"> </w:t>
      </w:r>
      <w:r>
        <w:t xml:space="preserve">compared to the qualifying </w:t>
      </w:r>
      <w:r w:rsidRPr="00377D04">
        <w:t>assessment at relapse</w:t>
      </w:r>
      <w:r>
        <w:t>.</w:t>
      </w:r>
    </w:p>
    <w:p w14:paraId="25A1D838" w14:textId="5C013C37" w:rsidR="00377D04" w:rsidRDefault="00E0061E" w:rsidP="00AD67B4">
      <w:pPr>
        <w:pStyle w:val="NoSpacing"/>
        <w:spacing w:after="0"/>
      </w:pPr>
      <w:r>
        <w:rPr>
          <w:vertAlign w:val="superscript"/>
        </w:rPr>
        <w:t>2</w:t>
      </w:r>
      <w:r w:rsidR="00377D04">
        <w:t xml:space="preserve"> Clinical effectiveness (response) of Ig therapy can be assessed by: </w:t>
      </w:r>
      <w:r w:rsidR="00377D04" w:rsidRPr="00377D04">
        <w:t>Improvement in</w:t>
      </w:r>
      <w:r w:rsidR="00DE26E6">
        <w:t>,</w:t>
      </w:r>
      <w:r w:rsidR="00377D04" w:rsidRPr="00377D04">
        <w:t xml:space="preserve"> or stabilisation of</w:t>
      </w:r>
      <w:r w:rsidR="00DE26E6">
        <w:t>,</w:t>
      </w:r>
      <w:r w:rsidR="00377D04" w:rsidRPr="00377D04">
        <w:t xml:space="preserve"> foca</w:t>
      </w:r>
      <w:r w:rsidR="00377D04">
        <w:t xml:space="preserve">l motor weakness as compared to </w:t>
      </w:r>
      <w:r w:rsidR="00377D04" w:rsidRPr="00377D04">
        <w:t>the focal muscle strength at the previ</w:t>
      </w:r>
      <w:r w:rsidR="00377D04">
        <w:t xml:space="preserve">ous review assessment </w:t>
      </w:r>
      <w:r w:rsidR="00377D04" w:rsidRPr="00AD67B4">
        <w:rPr>
          <w:b/>
        </w:rPr>
        <w:t>AND</w:t>
      </w:r>
      <w:r w:rsidR="00377D04">
        <w:t xml:space="preserve"> </w:t>
      </w:r>
      <w:r w:rsidR="00377D04" w:rsidRPr="00377D04">
        <w:t xml:space="preserve">Improvement in or stabilisation of disability as measured by the </w:t>
      </w:r>
      <w:r w:rsidR="00377D04">
        <w:t>Adjusted ONLS</w:t>
      </w:r>
      <w:r w:rsidR="00377D04" w:rsidRPr="00377D04">
        <w:t xml:space="preserve"> </w:t>
      </w:r>
      <w:r w:rsidR="00377D04">
        <w:t xml:space="preserve">compared to the previous </w:t>
      </w:r>
      <w:r w:rsidR="00377D04" w:rsidRPr="00377D04">
        <w:t xml:space="preserve">review score (gradual deterioration of </w:t>
      </w:r>
      <w:r w:rsidR="00377D04">
        <w:t xml:space="preserve">one point over several years is acceptable) </w:t>
      </w:r>
      <w:r w:rsidR="00377D04" w:rsidRPr="00AD67B4">
        <w:rPr>
          <w:b/>
        </w:rPr>
        <w:t>AND</w:t>
      </w:r>
      <w:r w:rsidR="00377D04">
        <w:t xml:space="preserve"> </w:t>
      </w:r>
      <w:r w:rsidR="00377D04" w:rsidRPr="00377D04">
        <w:t>A trial of weaning/cessation of Ig ther</w:t>
      </w:r>
      <w:r w:rsidR="00377D04">
        <w:t xml:space="preserve">apy are considered annually for </w:t>
      </w:r>
      <w:r w:rsidR="00377D04" w:rsidRPr="00377D04">
        <w:t>patients who are clinically stable to identif</w:t>
      </w:r>
      <w:r w:rsidR="00377D04">
        <w:t xml:space="preserve">y those in remission or a valid </w:t>
      </w:r>
      <w:r w:rsidR="00377D04" w:rsidRPr="00377D04">
        <w:t>reason provided as to why a t</w:t>
      </w:r>
      <w:r w:rsidR="00377D04">
        <w:t xml:space="preserve">rial is not being planned or is </w:t>
      </w:r>
      <w:r w:rsidR="00377D04" w:rsidRPr="00377D04">
        <w:t>contraindicated at this time</w:t>
      </w:r>
      <w:r w:rsidR="00377D04">
        <w:t>.</w:t>
      </w:r>
    </w:p>
    <w:p w14:paraId="00F2BFD7" w14:textId="723F6645" w:rsidR="00E0061E" w:rsidRDefault="00E0061E" w:rsidP="00E0061E">
      <w:pPr>
        <w:pStyle w:val="NoSpacing"/>
        <w:spacing w:after="0"/>
      </w:pPr>
      <w:r w:rsidRPr="00E0061E">
        <w:t>Block</w:t>
      </w:r>
      <w:r>
        <w:t xml:space="preserve"> highlighted in green was</w:t>
      </w:r>
      <w:r w:rsidRPr="00E0061E">
        <w:t xml:space="preserve"> added during the PICO Confirmation. </w:t>
      </w:r>
    </w:p>
    <w:p w14:paraId="6135C97B" w14:textId="67ED210A" w:rsidR="00365DC0" w:rsidRPr="00EF333E" w:rsidRDefault="00377D04" w:rsidP="00EF333E">
      <w:pPr>
        <w:pStyle w:val="NoSpacing"/>
        <w:spacing w:after="0"/>
      </w:pPr>
      <w:r w:rsidRPr="000A34C8">
        <w:t xml:space="preserve">Sources: Prepared during PICO Confirmation based on Figure 1 and </w:t>
      </w:r>
      <w:r>
        <w:t>Figure 2 of the MMN R</w:t>
      </w:r>
      <w:r w:rsidRPr="000A34C8">
        <w:t xml:space="preserve">eferral and the reviewed content.  </w:t>
      </w:r>
    </w:p>
    <w:p w14:paraId="040D9496" w14:textId="63A57A71" w:rsidR="00AC71D7" w:rsidRPr="002E4F05" w:rsidRDefault="00AC71D7" w:rsidP="00365DC0">
      <w:pPr>
        <w:keepNext/>
        <w:rPr>
          <w:b/>
          <w:sz w:val="20"/>
          <w:szCs w:val="20"/>
        </w:rPr>
      </w:pPr>
      <w:r w:rsidRPr="002E4F05">
        <w:rPr>
          <w:b/>
          <w:sz w:val="20"/>
          <w:szCs w:val="20"/>
        </w:rPr>
        <w:lastRenderedPageBreak/>
        <w:t xml:space="preserve">Figure </w:t>
      </w:r>
      <w:r w:rsidR="00A50C1F">
        <w:rPr>
          <w:b/>
          <w:sz w:val="20"/>
          <w:szCs w:val="20"/>
        </w:rPr>
        <w:t>5</w:t>
      </w:r>
      <w:r w:rsidRPr="002E4F05">
        <w:rPr>
          <w:b/>
          <w:sz w:val="20"/>
          <w:szCs w:val="20"/>
        </w:rPr>
        <w:t xml:space="preserve">: Clinical treatment algorithm when </w:t>
      </w:r>
      <w:r w:rsidR="0002288D" w:rsidRPr="002E4F05">
        <w:rPr>
          <w:b/>
          <w:sz w:val="20"/>
          <w:szCs w:val="20"/>
        </w:rPr>
        <w:t>IVI</w:t>
      </w:r>
      <w:r w:rsidR="00B20CB7" w:rsidRPr="002E4F05">
        <w:rPr>
          <w:b/>
          <w:sz w:val="20"/>
          <w:szCs w:val="20"/>
        </w:rPr>
        <w:t>g</w:t>
      </w:r>
      <w:r w:rsidR="0002288D" w:rsidRPr="002E4F05">
        <w:rPr>
          <w:b/>
          <w:sz w:val="20"/>
          <w:szCs w:val="20"/>
        </w:rPr>
        <w:t xml:space="preserve"> </w:t>
      </w:r>
      <w:r w:rsidRPr="002E4F05">
        <w:rPr>
          <w:b/>
          <w:sz w:val="20"/>
          <w:szCs w:val="20"/>
        </w:rPr>
        <w:t>is not funded</w:t>
      </w:r>
      <w:r w:rsidR="00B20CB7" w:rsidRPr="002E4F05">
        <w:rPr>
          <w:b/>
          <w:sz w:val="20"/>
          <w:szCs w:val="20"/>
        </w:rPr>
        <w:t xml:space="preserve"> by the NBA</w:t>
      </w:r>
    </w:p>
    <w:p w14:paraId="7527CFE8" w14:textId="6C76F74C" w:rsidR="00B20CB7" w:rsidRDefault="00AD163C" w:rsidP="00AD163C">
      <w:pPr>
        <w:keepNext/>
        <w:jc w:val="center"/>
        <w:rPr>
          <w:b/>
        </w:rPr>
      </w:pPr>
      <w:r>
        <w:rPr>
          <w:b/>
          <w:noProof/>
          <w:lang w:eastAsia="en-AU"/>
        </w:rPr>
        <w:drawing>
          <wp:inline distT="0" distB="0" distL="0" distR="0" wp14:anchorId="6714F0FD" wp14:editId="70384C69">
            <wp:extent cx="1316990" cy="1645920"/>
            <wp:effectExtent l="0" t="0" r="0" b="0"/>
            <wp:docPr id="9" name="Picture 9" title="Figure 4: Clinical treatment algorithm when IVIg is not funded by the N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6990" cy="1645920"/>
                    </a:xfrm>
                    <a:prstGeom prst="rect">
                      <a:avLst/>
                    </a:prstGeom>
                    <a:noFill/>
                  </pic:spPr>
                </pic:pic>
              </a:graphicData>
            </a:graphic>
          </wp:inline>
        </w:drawing>
      </w:r>
    </w:p>
    <w:p w14:paraId="524C54FA" w14:textId="44968EF2" w:rsidR="00AC71D7" w:rsidRPr="00236A7E" w:rsidRDefault="000A34C8" w:rsidP="00236A7E">
      <w:pPr>
        <w:pStyle w:val="NoSpacing"/>
      </w:pPr>
      <w:r w:rsidRPr="000A34C8">
        <w:t>Abbreviations: IVIg= intravenous immunoglobulin; MMN= multifocal motor neuropathy</w:t>
      </w:r>
      <w:r>
        <w:t>; NBA= National Blood Authority</w:t>
      </w:r>
      <w:r w:rsidRPr="000A34C8">
        <w:t xml:space="preserve">. </w:t>
      </w:r>
      <w:r w:rsidR="00AC71D7" w:rsidRPr="00236A7E">
        <w:t xml:space="preserve">Sources: </w:t>
      </w:r>
      <w:r w:rsidR="00236A7E" w:rsidRPr="00236A7E">
        <w:t xml:space="preserve">Figure </w:t>
      </w:r>
      <w:r w:rsidR="00236A7E">
        <w:t>3</w:t>
      </w:r>
      <w:r w:rsidR="00236A7E" w:rsidRPr="00236A7E">
        <w:t xml:space="preserve">, </w:t>
      </w:r>
      <w:r w:rsidR="00236A7E">
        <w:t xml:space="preserve">p. 20 of the 1590 </w:t>
      </w:r>
      <w:r w:rsidR="00236A7E" w:rsidRPr="00236A7E">
        <w:t xml:space="preserve">MMN </w:t>
      </w:r>
      <w:r w:rsidR="003125EA">
        <w:t>draft</w:t>
      </w:r>
      <w:r w:rsidR="00236A7E">
        <w:t xml:space="preserve"> </w:t>
      </w:r>
      <w:r w:rsidR="00236A7E" w:rsidRPr="00236A7E">
        <w:t>Referral</w:t>
      </w:r>
      <w:r w:rsidR="00236A7E">
        <w:t xml:space="preserve"> Form</w:t>
      </w:r>
      <w:r w:rsidR="00236A7E" w:rsidRPr="00236A7E">
        <w:t>.</w:t>
      </w:r>
    </w:p>
    <w:p w14:paraId="7D554586" w14:textId="3A1157E2" w:rsidR="00DE23D2" w:rsidRDefault="00DE23D2">
      <w:pPr>
        <w:jc w:val="left"/>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14:paraId="43C860DD" w14:textId="7F86F546" w:rsidR="00E61B6E" w:rsidRDefault="00E61B6E" w:rsidP="00E61B6E">
      <w:pPr>
        <w:pStyle w:val="Heading1"/>
      </w:pPr>
      <w:r>
        <w:lastRenderedPageBreak/>
        <w:t>References</w:t>
      </w:r>
    </w:p>
    <w:p w14:paraId="5260C203" w14:textId="77777777" w:rsidR="00297DF0" w:rsidRPr="00297DF0" w:rsidRDefault="00E61B6E" w:rsidP="00297DF0">
      <w:pPr>
        <w:pStyle w:val="EndNoteBibliography"/>
        <w:spacing w:after="0"/>
      </w:pPr>
      <w:r>
        <w:fldChar w:fldCharType="begin"/>
      </w:r>
      <w:r>
        <w:instrText xml:space="preserve"> ADDIN EN.REFLIST </w:instrText>
      </w:r>
      <w:r>
        <w:fldChar w:fldCharType="separate"/>
      </w:r>
      <w:r w:rsidR="00297DF0" w:rsidRPr="00297DF0">
        <w:t>1.</w:t>
      </w:r>
      <w:r w:rsidR="00297DF0" w:rsidRPr="00297DF0">
        <w:tab/>
        <w:t>National blood agreement, (2002).</w:t>
      </w:r>
    </w:p>
    <w:p w14:paraId="4231F923" w14:textId="77777777" w:rsidR="00297DF0" w:rsidRPr="00297DF0" w:rsidRDefault="00297DF0" w:rsidP="00297DF0">
      <w:pPr>
        <w:pStyle w:val="EndNoteBibliography"/>
        <w:spacing w:after="0"/>
      </w:pPr>
      <w:r w:rsidRPr="00297DF0">
        <w:t>2.</w:t>
      </w:r>
      <w:r w:rsidRPr="00297DF0">
        <w:tab/>
        <w:t>BloodSTAR. Current ig use in australia: Multifocal motor neuropathy. 2018:7.</w:t>
      </w:r>
    </w:p>
    <w:p w14:paraId="220DE233" w14:textId="77777777" w:rsidR="00297DF0" w:rsidRPr="00297DF0" w:rsidRDefault="00297DF0" w:rsidP="00297DF0">
      <w:pPr>
        <w:pStyle w:val="EndNoteBibliography"/>
        <w:spacing w:after="0"/>
      </w:pPr>
      <w:r w:rsidRPr="00297DF0">
        <w:t>3.</w:t>
      </w:r>
      <w:r w:rsidRPr="00297DF0">
        <w:tab/>
        <w:t>Umapathi T, Hughes RA, Nobile-Orazio E, et al. Immunosuppressant and immunomodulatory treatments for multifocal motor neuropathy. The Cochrane database of systematic reviews. 2015 Mar 4(3):CD003217.</w:t>
      </w:r>
    </w:p>
    <w:p w14:paraId="16ADC393" w14:textId="77777777" w:rsidR="00297DF0" w:rsidRPr="00297DF0" w:rsidRDefault="00297DF0" w:rsidP="00297DF0">
      <w:pPr>
        <w:pStyle w:val="EndNoteBibliography"/>
        <w:spacing w:after="0"/>
      </w:pPr>
      <w:r w:rsidRPr="00297DF0">
        <w:t>4.</w:t>
      </w:r>
      <w:r w:rsidRPr="00297DF0">
        <w:tab/>
        <w:t>Lawson VH, Arnold WD. Multifocal motor neuropathy: A review of pathogenesis, diagnosis, and treatment. Neuropsychiatric disease and treatment. 2014;10:567-76.</w:t>
      </w:r>
    </w:p>
    <w:p w14:paraId="5A411FBD" w14:textId="77777777" w:rsidR="00297DF0" w:rsidRPr="00297DF0" w:rsidRDefault="00297DF0" w:rsidP="00297DF0">
      <w:pPr>
        <w:pStyle w:val="EndNoteBibliography"/>
        <w:spacing w:after="0"/>
      </w:pPr>
      <w:r w:rsidRPr="00297DF0">
        <w:t>5.</w:t>
      </w:r>
      <w:r w:rsidRPr="00297DF0">
        <w:tab/>
        <w:t>Taylor BV, Wright RA, Harper CM, et al. Natural history of 46 patients with multifocal motor neuropathy with conduction block. Muscle &amp; nerve. 2000 2000/06/01;23(6):900-8.</w:t>
      </w:r>
    </w:p>
    <w:p w14:paraId="55421859" w14:textId="77777777" w:rsidR="00297DF0" w:rsidRPr="00297DF0" w:rsidRDefault="00297DF0" w:rsidP="00297DF0">
      <w:pPr>
        <w:pStyle w:val="EndNoteBibliography"/>
        <w:spacing w:after="0"/>
      </w:pPr>
      <w:r w:rsidRPr="00297DF0">
        <w:t>6.</w:t>
      </w:r>
      <w:r w:rsidRPr="00297DF0">
        <w:tab/>
        <w:t>Norris F, Shepherd R, Denys E, et al. Onset, natural history and outcome in idiopathic adult motor neuron disease. Journal of the Neurological Sciences. 1993 1993/08/01/;118(1):48-55.</w:t>
      </w:r>
    </w:p>
    <w:p w14:paraId="6EA4EE36" w14:textId="77777777" w:rsidR="00297DF0" w:rsidRPr="00297DF0" w:rsidRDefault="00297DF0" w:rsidP="00297DF0">
      <w:pPr>
        <w:pStyle w:val="EndNoteBibliography"/>
        <w:spacing w:after="0"/>
      </w:pPr>
      <w:r w:rsidRPr="00297DF0">
        <w:t>7.</w:t>
      </w:r>
      <w:r w:rsidRPr="00297DF0">
        <w:tab/>
        <w:t>Joint Task Force of the EFNS and PNS. European federation of neurological societies/peripheral nerve society guideline on management of multifocal motor neuropathy. Report of a joint task force of the european federation of neurological societies and the peripheral nerve society – first revision. Journal of the Peripheral Nervous System. 2010 2010/12/01;15(4):295-301.</w:t>
      </w:r>
    </w:p>
    <w:p w14:paraId="021D818F" w14:textId="77777777" w:rsidR="00297DF0" w:rsidRPr="00297DF0" w:rsidRDefault="00297DF0" w:rsidP="00297DF0">
      <w:pPr>
        <w:pStyle w:val="EndNoteBibliography"/>
        <w:spacing w:after="0"/>
      </w:pPr>
      <w:r w:rsidRPr="00297DF0">
        <w:t>8.</w:t>
      </w:r>
      <w:r w:rsidRPr="00297DF0">
        <w:tab/>
        <w:t>Miyashiro A, Matsui N, Shimatani Y, et al. Are multifocal motor neuropathy patients underdiagnosed? An epidemiological survey in japan. Muscle &amp; nerve. 2014 2014/03/01;49(3):357-61.</w:t>
      </w:r>
    </w:p>
    <w:p w14:paraId="39E71538" w14:textId="77777777" w:rsidR="00297DF0" w:rsidRPr="00297DF0" w:rsidRDefault="00297DF0" w:rsidP="00297DF0">
      <w:pPr>
        <w:pStyle w:val="EndNoteBibliography"/>
        <w:spacing w:after="0"/>
      </w:pPr>
      <w:r w:rsidRPr="00297DF0">
        <w:t>9.</w:t>
      </w:r>
      <w:r w:rsidRPr="00297DF0">
        <w:tab/>
        <w:t>Nobile-Orazio E. Multifocal motor neuropathy. Journal of Neuroimmunology. 2001 2001/04/02/;115(1):4-18.</w:t>
      </w:r>
    </w:p>
    <w:p w14:paraId="7C1E57D3" w14:textId="77777777" w:rsidR="00297DF0" w:rsidRPr="00297DF0" w:rsidRDefault="00297DF0" w:rsidP="00297DF0">
      <w:pPr>
        <w:pStyle w:val="EndNoteBibliography"/>
        <w:spacing w:after="0"/>
      </w:pPr>
      <w:r w:rsidRPr="00297DF0">
        <w:t>10.</w:t>
      </w:r>
      <w:r w:rsidRPr="00297DF0">
        <w:tab/>
        <w:t>Cats EA, van der Pol WL, Piepers S, et al. Correlates of outcome and response to ivig in 88 patients with multifocal motor neuropathy. Neurology. 2010;75(9):818.</w:t>
      </w:r>
    </w:p>
    <w:p w14:paraId="3945DF86" w14:textId="77777777" w:rsidR="00297DF0" w:rsidRPr="00297DF0" w:rsidRDefault="00297DF0" w:rsidP="00297DF0">
      <w:pPr>
        <w:pStyle w:val="EndNoteBibliography"/>
        <w:spacing w:after="0"/>
      </w:pPr>
      <w:r w:rsidRPr="00297DF0">
        <w:t>11.</w:t>
      </w:r>
      <w:r w:rsidRPr="00297DF0">
        <w:tab/>
        <w:t>Ishigaki H, Hiraide T, Miyagi Y, et al. Childhood-onset multifocal motor neuropathy with immunoglobulin m antibodies to gangliosides gm1 and gm2: A case report and review of the literature. Pediatric neurology. 2016 Sep;62:51-7.</w:t>
      </w:r>
    </w:p>
    <w:p w14:paraId="2DA71BC6" w14:textId="77777777" w:rsidR="00297DF0" w:rsidRPr="00297DF0" w:rsidRDefault="00297DF0" w:rsidP="00297DF0">
      <w:pPr>
        <w:pStyle w:val="EndNoteBibliography"/>
        <w:spacing w:after="0"/>
      </w:pPr>
      <w:r w:rsidRPr="00297DF0">
        <w:t>12.</w:t>
      </w:r>
      <w:r w:rsidRPr="00297DF0">
        <w:tab/>
        <w:t>Van Den Berg-Vos RM, Franssen H, Wokke JHJ, et al. Multifocal motor neuropathy: Diagnostic criteria that predict the response to immunoglobulin treatment. Annals of neurology. 2000;48(6):919-26.</w:t>
      </w:r>
    </w:p>
    <w:p w14:paraId="25F975AE" w14:textId="77777777" w:rsidR="00297DF0" w:rsidRPr="00297DF0" w:rsidRDefault="00297DF0" w:rsidP="00297DF0">
      <w:pPr>
        <w:pStyle w:val="EndNoteBibliography"/>
        <w:spacing w:after="0"/>
      </w:pPr>
      <w:r w:rsidRPr="00297DF0">
        <w:t>13.</w:t>
      </w:r>
      <w:r w:rsidRPr="00297DF0">
        <w:tab/>
        <w:t>ABS. Quarterly population estimates (erp), by state/territory, sex and age. In: Statistics ABo, editor. Canberra2018.</w:t>
      </w:r>
    </w:p>
    <w:p w14:paraId="5DD05D49" w14:textId="77777777" w:rsidR="00297DF0" w:rsidRPr="00297DF0" w:rsidRDefault="00297DF0" w:rsidP="00297DF0">
      <w:pPr>
        <w:pStyle w:val="EndNoteBibliography"/>
        <w:spacing w:after="0"/>
      </w:pPr>
      <w:r w:rsidRPr="00297DF0">
        <w:t>14.</w:t>
      </w:r>
      <w:r w:rsidRPr="00297DF0">
        <w:tab/>
        <w:t>Pestronk A, Cornblath DR, Ilyas AA, et al. A treatable multifocal motor neuropathy with antibodies to gm1 ganglioside. Annals of neurology. 1988 Jul;24(1):73-8.</w:t>
      </w:r>
    </w:p>
    <w:p w14:paraId="228FB377" w14:textId="77777777" w:rsidR="00297DF0" w:rsidRPr="00297DF0" w:rsidRDefault="00297DF0" w:rsidP="00297DF0">
      <w:pPr>
        <w:pStyle w:val="EndNoteBibliography"/>
        <w:spacing w:after="0"/>
      </w:pPr>
      <w:r w:rsidRPr="00297DF0">
        <w:t>15.</w:t>
      </w:r>
      <w:r w:rsidRPr="00297DF0">
        <w:tab/>
        <w:t>Feldman EL, Bromberg MB, Albers JW, et al. Immunosuppressive treatment in multifocal motor neuropathy. Annals of neurology. 1991 1991/09/01;30(3):397-401.</w:t>
      </w:r>
    </w:p>
    <w:p w14:paraId="472FE47B" w14:textId="77777777" w:rsidR="00297DF0" w:rsidRPr="00297DF0" w:rsidRDefault="00297DF0" w:rsidP="00297DF0">
      <w:pPr>
        <w:pStyle w:val="EndNoteBibliography"/>
        <w:spacing w:after="0"/>
      </w:pPr>
      <w:r w:rsidRPr="00297DF0">
        <w:t>16.</w:t>
      </w:r>
      <w:r w:rsidRPr="00297DF0">
        <w:tab/>
        <w:t>Chaudhry V, Corse AM, Cornblath DR, et al. Multifocal motor neuropathy: Response to human immune globulin. Annals of neurology. 1993 Mar;33(3):237-42.</w:t>
      </w:r>
    </w:p>
    <w:p w14:paraId="7A55AA7F" w14:textId="77777777" w:rsidR="00297DF0" w:rsidRPr="00297DF0" w:rsidRDefault="00297DF0" w:rsidP="00297DF0">
      <w:pPr>
        <w:pStyle w:val="EndNoteBibliography"/>
        <w:spacing w:after="0"/>
      </w:pPr>
      <w:r w:rsidRPr="00297DF0">
        <w:t>17.</w:t>
      </w:r>
      <w:r w:rsidRPr="00297DF0">
        <w:tab/>
        <w:t>Krarup C, Stewart JD, Sumner AJ, et al. A syndrome of asymmetric limb weakness with motor conduction block. Neurology. 1990;40(1):118.</w:t>
      </w:r>
    </w:p>
    <w:p w14:paraId="305836EE" w14:textId="77777777" w:rsidR="00297DF0" w:rsidRPr="00297DF0" w:rsidRDefault="00297DF0" w:rsidP="00297DF0">
      <w:pPr>
        <w:pStyle w:val="EndNoteBibliography"/>
        <w:spacing w:after="0"/>
      </w:pPr>
      <w:r w:rsidRPr="00297DF0">
        <w:t>18.</w:t>
      </w:r>
      <w:r w:rsidRPr="00297DF0">
        <w:tab/>
        <w:t>Leger JM, Viala K, Cancalon F, et al. Intravenous immunoglobulin as short- and long-term therapy of multifocal motor neuropathy: A retrospective study of response to ivig and of its predictive criteria in 40 patients. Journal of neurology, neurosurgery, and psychiatry. 2008 Jan;79(1):93-6.</w:t>
      </w:r>
    </w:p>
    <w:p w14:paraId="6431EBAA" w14:textId="77777777" w:rsidR="00297DF0" w:rsidRPr="00297DF0" w:rsidRDefault="00297DF0" w:rsidP="00297DF0">
      <w:pPr>
        <w:pStyle w:val="EndNoteBibliography"/>
      </w:pPr>
      <w:r w:rsidRPr="00297DF0">
        <w:t>19.</w:t>
      </w:r>
      <w:r w:rsidRPr="00297DF0">
        <w:tab/>
        <w:t>Leger JM. Immunoglobulin (ig) in multifocal motor neuropathy (mmn): Update on evidence for ig treatment in mmn. Clinical and experimental immunology. 2014 Dec;178 Suppl 1:42-4.</w:t>
      </w:r>
    </w:p>
    <w:p w14:paraId="1866E192" w14:textId="0BA215FB" w:rsidR="00DE23D2" w:rsidRPr="00DE23D2" w:rsidRDefault="00E61B6E" w:rsidP="00DE23D2">
      <w:r>
        <w:fldChar w:fldCharType="end"/>
      </w:r>
    </w:p>
    <w:sectPr w:rsidR="00DE23D2" w:rsidRPr="00DE23D2" w:rsidSect="00824348">
      <w:headerReference w:type="even" r:id="rId18"/>
      <w:footerReference w:type="default" r:id="rId19"/>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1699F2" w16cid:durableId="215DD198"/>
  <w16cid:commentId w16cid:paraId="59FB9C16" w16cid:durableId="215DD209"/>
  <w16cid:commentId w16cid:paraId="00F576B8" w16cid:durableId="215DD350"/>
  <w16cid:commentId w16cid:paraId="1C2538FE" w16cid:durableId="215DD3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6AF5D" w14:textId="77777777" w:rsidR="005E5F15" w:rsidRDefault="005E5F15" w:rsidP="003D699E">
      <w:pPr>
        <w:spacing w:after="0" w:line="240" w:lineRule="auto"/>
      </w:pPr>
      <w:r>
        <w:separator/>
      </w:r>
    </w:p>
  </w:endnote>
  <w:endnote w:type="continuationSeparator" w:id="0">
    <w:p w14:paraId="648CBE77" w14:textId="77777777" w:rsidR="005E5F15" w:rsidRDefault="005E5F15"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626044460"/>
      <w:docPartObj>
        <w:docPartGallery w:val="Page Numbers (Bottom of Page)"/>
        <w:docPartUnique/>
      </w:docPartObj>
    </w:sdtPr>
    <w:sdtEndPr>
      <w:rPr>
        <w:color w:val="808080" w:themeColor="background1" w:themeShade="80"/>
        <w:spacing w:val="60"/>
      </w:rPr>
    </w:sdtEndPr>
    <w:sdtContent>
      <w:p w14:paraId="61C769E3" w14:textId="76970D6C" w:rsidR="005E5F15" w:rsidRDefault="005E5F15" w:rsidP="003D699E">
        <w:pPr>
          <w:pStyle w:val="Footer"/>
          <w:pBdr>
            <w:top w:val="single" w:sz="4" w:space="1" w:color="D9D9D9" w:themeColor="background1" w:themeShade="D9"/>
          </w:pBdr>
          <w:rPr>
            <w:color w:val="808080" w:themeColor="background1" w:themeShade="80"/>
            <w:spacing w:val="60"/>
            <w:sz w:val="18"/>
            <w:szCs w:val="18"/>
          </w:rPr>
        </w:pPr>
        <w:r w:rsidRPr="00CF2DFA">
          <w:rPr>
            <w:sz w:val="18"/>
            <w:szCs w:val="18"/>
          </w:rPr>
          <w:fldChar w:fldCharType="begin"/>
        </w:r>
        <w:r w:rsidRPr="00CF2DFA">
          <w:rPr>
            <w:sz w:val="18"/>
            <w:szCs w:val="18"/>
          </w:rPr>
          <w:instrText xml:space="preserve"> PAGE   \* MERGEFORMAT </w:instrText>
        </w:r>
        <w:r w:rsidRPr="00CF2DFA">
          <w:rPr>
            <w:sz w:val="18"/>
            <w:szCs w:val="18"/>
          </w:rPr>
          <w:fldChar w:fldCharType="separate"/>
        </w:r>
        <w:r w:rsidR="0079074A" w:rsidRPr="0079074A">
          <w:rPr>
            <w:b/>
            <w:bCs/>
            <w:noProof/>
            <w:sz w:val="18"/>
            <w:szCs w:val="18"/>
          </w:rPr>
          <w:t>4</w:t>
        </w:r>
        <w:r w:rsidRPr="00CF2DFA">
          <w:rPr>
            <w:b/>
            <w:bCs/>
            <w:noProof/>
            <w:sz w:val="18"/>
            <w:szCs w:val="18"/>
          </w:rPr>
          <w:fldChar w:fldCharType="end"/>
        </w:r>
        <w:r w:rsidRPr="00CF2DFA">
          <w:rPr>
            <w:b/>
            <w:bCs/>
            <w:sz w:val="18"/>
            <w:szCs w:val="18"/>
          </w:rPr>
          <w:t xml:space="preserve"> | </w:t>
        </w:r>
        <w:r w:rsidRPr="00CF2DFA">
          <w:rPr>
            <w:color w:val="808080" w:themeColor="background1" w:themeShade="80"/>
            <w:spacing w:val="60"/>
            <w:sz w:val="18"/>
            <w:szCs w:val="18"/>
          </w:rPr>
          <w:t>Page</w:t>
        </w:r>
        <w:r>
          <w:rPr>
            <w:color w:val="808080" w:themeColor="background1" w:themeShade="80"/>
            <w:spacing w:val="60"/>
            <w:sz w:val="18"/>
            <w:szCs w:val="18"/>
          </w:rPr>
          <w:tab/>
          <w:t>PICO Confirmation</w:t>
        </w:r>
      </w:p>
      <w:p w14:paraId="3A360BEC" w14:textId="2D377AA3" w:rsidR="005E5F15" w:rsidRPr="00CF2DFA" w:rsidRDefault="005E5F15" w:rsidP="003D699E">
        <w:pPr>
          <w:pStyle w:val="Footer"/>
          <w:pBdr>
            <w:top w:val="single" w:sz="4" w:space="1" w:color="D9D9D9" w:themeColor="background1" w:themeShade="D9"/>
          </w:pBdr>
          <w:rPr>
            <w:b/>
            <w:bCs/>
            <w:sz w:val="18"/>
            <w:szCs w:val="18"/>
          </w:rPr>
        </w:pPr>
        <w:r>
          <w:rPr>
            <w:color w:val="808080" w:themeColor="background1" w:themeShade="80"/>
            <w:spacing w:val="60"/>
            <w:sz w:val="18"/>
            <w:szCs w:val="18"/>
          </w:rPr>
          <w:tab/>
          <w:t xml:space="preserve">Application 1590:  </w:t>
        </w:r>
        <w:r w:rsidRPr="006B20E1">
          <w:rPr>
            <w:color w:val="808080" w:themeColor="background1" w:themeShade="80"/>
            <w:spacing w:val="60"/>
            <w:sz w:val="18"/>
            <w:szCs w:val="18"/>
          </w:rPr>
          <w:t>Multifocal motor neuropathy (MMN)</w:t>
        </w:r>
      </w:p>
    </w:sdtContent>
  </w:sdt>
  <w:p w14:paraId="46744123" w14:textId="77777777" w:rsidR="005E5F15" w:rsidRDefault="005E5F15" w:rsidP="003D699E">
    <w:pPr>
      <w:pStyle w:val="Footer"/>
    </w:pPr>
  </w:p>
  <w:p w14:paraId="74F3C4D6" w14:textId="77777777" w:rsidR="005E5F15" w:rsidRDefault="005E5F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E8D75" w14:textId="77777777" w:rsidR="005E5F15" w:rsidRDefault="005E5F15" w:rsidP="003D699E">
      <w:pPr>
        <w:spacing w:after="0" w:line="240" w:lineRule="auto"/>
      </w:pPr>
      <w:r>
        <w:separator/>
      </w:r>
    </w:p>
  </w:footnote>
  <w:footnote w:type="continuationSeparator" w:id="0">
    <w:p w14:paraId="35EFF693" w14:textId="77777777" w:rsidR="005E5F15" w:rsidRDefault="005E5F15" w:rsidP="003D699E">
      <w:pPr>
        <w:spacing w:after="0" w:line="240" w:lineRule="auto"/>
      </w:pPr>
      <w:r>
        <w:continuationSeparator/>
      </w:r>
    </w:p>
  </w:footnote>
  <w:footnote w:id="1">
    <w:p w14:paraId="4A4EBA36" w14:textId="5418BB80" w:rsidR="005E5F15" w:rsidRDefault="005E5F15">
      <w:pPr>
        <w:pStyle w:val="FootnoteText"/>
      </w:pPr>
      <w:r>
        <w:rPr>
          <w:rStyle w:val="FootnoteReference"/>
        </w:rPr>
        <w:footnoteRef/>
      </w:r>
      <w:r>
        <w:t xml:space="preserve"> One stakeholder referred to these other treatments in their response to the Department of Health Targeted Consultation Survey on MSAC Ig Referral 1590 MMN. They also noted that cyclophosphamide for the treatment of MMN is currently limited to subsequent lines of therapy or in refractory cases due to toxicity.</w:t>
      </w:r>
    </w:p>
  </w:footnote>
  <w:footnote w:id="2">
    <w:p w14:paraId="4E4EF273" w14:textId="1304E787" w:rsidR="005E5F15" w:rsidRDefault="005E5F15" w:rsidP="00F92AB5">
      <w:pPr>
        <w:pStyle w:val="FootnoteText"/>
      </w:pPr>
      <w:r>
        <w:rPr>
          <w:rStyle w:val="FootnoteReference"/>
        </w:rPr>
        <w:footnoteRef/>
      </w:r>
      <w:r>
        <w:t xml:space="preserve"> Search was conducted in clinicaltrials.gov, International Clinical Trials Registry Platform (ICRPT) from the WHO. </w:t>
      </w:r>
    </w:p>
    <w:p w14:paraId="28A07FB7" w14:textId="15B1D9D0" w:rsidR="005E5F15" w:rsidRDefault="005E5F15">
      <w:pPr>
        <w:pStyle w:val="FootnoteText"/>
      </w:pPr>
    </w:p>
  </w:footnote>
  <w:footnote w:id="3">
    <w:p w14:paraId="7A54E11A" w14:textId="11B1C307" w:rsidR="005E5F15" w:rsidRDefault="005E5F15">
      <w:pPr>
        <w:pStyle w:val="FootnoteText"/>
      </w:pPr>
      <w:r>
        <w:rPr>
          <w:rStyle w:val="FootnoteReference"/>
        </w:rPr>
        <w:footnoteRef/>
      </w:r>
      <w:r>
        <w:t xml:space="preserve"> Relapsed patients are MMN patients who relapse within six months of commencement of a trial off Ig therapy. These patients access IVIg therapy under the second indication. It should also be noted that MMN patients who relapse after six months of commencement of a trial off Ig therapy are also able to access IVIg therapy after reassessment by a neurologist but under the first indication (Reference Group).</w:t>
      </w:r>
    </w:p>
  </w:footnote>
  <w:footnote w:id="4">
    <w:p w14:paraId="3B56CC72" w14:textId="3A870970" w:rsidR="005E5F15" w:rsidRDefault="005E5F15">
      <w:pPr>
        <w:pStyle w:val="FootnoteText"/>
      </w:pPr>
      <w:r>
        <w:rPr>
          <w:rStyle w:val="FootnoteReference"/>
        </w:rPr>
        <w:footnoteRef/>
      </w:r>
      <w:r>
        <w:t xml:space="preserve"> </w:t>
      </w:r>
      <w:r w:rsidR="00F74FF4">
        <w:t>A sponsor,</w:t>
      </w:r>
      <w:r>
        <w:t xml:space="preserve"> in their response to the Department of Health Targeted Consultation Survey on MSAC Ig Referral 1590 MMN</w:t>
      </w:r>
      <w:r w:rsidR="00F74FF4">
        <w:t>,</w:t>
      </w:r>
      <w:r>
        <w:t xml:space="preserve"> noted that cyclophosphamide for the treatment of MMN is currently limited to subsequent lines of therapy or in refractory cases due to its toxicity.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6D20" w14:textId="77777777" w:rsidR="005E5F15" w:rsidRDefault="005E5F15">
    <w:pPr>
      <w:pStyle w:val="Header"/>
    </w:pPr>
    <w:r>
      <w:rPr>
        <w:noProof/>
        <w:lang w:eastAsia="en-AU"/>
      </w:rPr>
      <mc:AlternateContent>
        <mc:Choice Requires="wps">
          <w:drawing>
            <wp:anchor distT="0" distB="0" distL="114300" distR="114300" simplePos="0" relativeHeight="251657728" behindDoc="1" locked="0" layoutInCell="0" allowOverlap="1" wp14:anchorId="7F2BFA69" wp14:editId="553291B8">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E942DC" w14:textId="77777777" w:rsidR="005E5F15" w:rsidRDefault="005E5F15" w:rsidP="009D0E1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2BFA69" id="_x0000_t202" coordsize="21600,21600" o:spt="202" path="m,l,21600r21600,l21600,xe">
              <v:stroke joinstyle="miter"/>
              <v:path gradientshapeok="t" o:connecttype="rect"/>
            </v:shapetype>
            <v:shape id="WordArt 6" o:spid="_x0000_s1026" type="#_x0000_t202" style="position:absolute;left:0;text-align:left;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shapetype="t"/>
              <v:textbox style="mso-fit-shape-to-text:t">
                <w:txbxContent>
                  <w:p w14:paraId="48E942DC" w14:textId="77777777" w:rsidR="005E5F15" w:rsidRDefault="005E5F15" w:rsidP="009D0E17">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844"/>
    <w:multiLevelType w:val="hybridMultilevel"/>
    <w:tmpl w:val="5EAC6E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7F2D4C"/>
    <w:multiLevelType w:val="hybridMultilevel"/>
    <w:tmpl w:val="F6C80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46418"/>
    <w:multiLevelType w:val="hybridMultilevel"/>
    <w:tmpl w:val="7FE2A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46D2C"/>
    <w:multiLevelType w:val="hybridMultilevel"/>
    <w:tmpl w:val="25D018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034E06"/>
    <w:multiLevelType w:val="hybridMultilevel"/>
    <w:tmpl w:val="F9723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064F3D"/>
    <w:multiLevelType w:val="hybridMultilevel"/>
    <w:tmpl w:val="394C8B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B607F6"/>
    <w:multiLevelType w:val="hybridMultilevel"/>
    <w:tmpl w:val="49DE4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375697"/>
    <w:multiLevelType w:val="hybridMultilevel"/>
    <w:tmpl w:val="55506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B470BFC"/>
    <w:multiLevelType w:val="hybridMultilevel"/>
    <w:tmpl w:val="6256E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D0C42"/>
    <w:multiLevelType w:val="hybridMultilevel"/>
    <w:tmpl w:val="C274825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50152E"/>
    <w:multiLevelType w:val="hybridMultilevel"/>
    <w:tmpl w:val="5E960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965279"/>
    <w:multiLevelType w:val="hybridMultilevel"/>
    <w:tmpl w:val="4612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456EF5"/>
    <w:multiLevelType w:val="hybridMultilevel"/>
    <w:tmpl w:val="DAC45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5E61EA"/>
    <w:multiLevelType w:val="hybridMultilevel"/>
    <w:tmpl w:val="28D84F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7D6310"/>
    <w:multiLevelType w:val="hybridMultilevel"/>
    <w:tmpl w:val="D6CCF7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02ECA"/>
    <w:multiLevelType w:val="hybridMultilevel"/>
    <w:tmpl w:val="74F09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B56766"/>
    <w:multiLevelType w:val="hybridMultilevel"/>
    <w:tmpl w:val="E0A0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3A3060"/>
    <w:multiLevelType w:val="hybridMultilevel"/>
    <w:tmpl w:val="FD843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0C0AE0"/>
    <w:multiLevelType w:val="hybridMultilevel"/>
    <w:tmpl w:val="EDA2ECE0"/>
    <w:lvl w:ilvl="0" w:tplc="3FA88A7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4A6F474B"/>
    <w:multiLevelType w:val="hybridMultilevel"/>
    <w:tmpl w:val="012A11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141037C"/>
    <w:multiLevelType w:val="hybridMultilevel"/>
    <w:tmpl w:val="D64E2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51593E"/>
    <w:multiLevelType w:val="hybridMultilevel"/>
    <w:tmpl w:val="E7880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0B1424"/>
    <w:multiLevelType w:val="hybridMultilevel"/>
    <w:tmpl w:val="C122EE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100BF9"/>
    <w:multiLevelType w:val="hybridMultilevel"/>
    <w:tmpl w:val="1F8CC8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0A68A4"/>
    <w:multiLevelType w:val="hybridMultilevel"/>
    <w:tmpl w:val="E78A2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22A2CBE"/>
    <w:multiLevelType w:val="hybridMultilevel"/>
    <w:tmpl w:val="82B28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4A0EFF"/>
    <w:multiLevelType w:val="hybridMultilevel"/>
    <w:tmpl w:val="51CED4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C34221"/>
    <w:multiLevelType w:val="hybridMultilevel"/>
    <w:tmpl w:val="C9322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26156B"/>
    <w:multiLevelType w:val="hybridMultilevel"/>
    <w:tmpl w:val="5344C00E"/>
    <w:lvl w:ilvl="0" w:tplc="885CC8C2">
      <w:start w:val="1"/>
      <w:numFmt w:val="decimal"/>
      <w:lvlText w:val="%1."/>
      <w:lvlJc w:val="left"/>
      <w:pPr>
        <w:ind w:left="408"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9330E3E"/>
    <w:multiLevelType w:val="hybridMultilevel"/>
    <w:tmpl w:val="EFC602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99B3738"/>
    <w:multiLevelType w:val="hybridMultilevel"/>
    <w:tmpl w:val="D9007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6F43166"/>
    <w:multiLevelType w:val="hybridMultilevel"/>
    <w:tmpl w:val="9FB6B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71F3D2F"/>
    <w:multiLevelType w:val="hybridMultilevel"/>
    <w:tmpl w:val="EE804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D20E14"/>
    <w:multiLevelType w:val="multilevel"/>
    <w:tmpl w:val="72F6A982"/>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28"/>
  </w:num>
  <w:num w:numId="3">
    <w:abstractNumId w:val="27"/>
  </w:num>
  <w:num w:numId="4">
    <w:abstractNumId w:val="0"/>
  </w:num>
  <w:num w:numId="5">
    <w:abstractNumId w:val="22"/>
  </w:num>
  <w:num w:numId="6">
    <w:abstractNumId w:val="8"/>
  </w:num>
  <w:num w:numId="7">
    <w:abstractNumId w:val="9"/>
  </w:num>
  <w:num w:numId="8">
    <w:abstractNumId w:val="3"/>
  </w:num>
  <w:num w:numId="9">
    <w:abstractNumId w:val="13"/>
  </w:num>
  <w:num w:numId="10">
    <w:abstractNumId w:val="23"/>
  </w:num>
  <w:num w:numId="11">
    <w:abstractNumId w:val="2"/>
  </w:num>
  <w:num w:numId="12">
    <w:abstractNumId w:val="12"/>
  </w:num>
  <w:num w:numId="13">
    <w:abstractNumId w:val="7"/>
  </w:num>
  <w:num w:numId="14">
    <w:abstractNumId w:val="1"/>
  </w:num>
  <w:num w:numId="15">
    <w:abstractNumId w:val="17"/>
  </w:num>
  <w:num w:numId="16">
    <w:abstractNumId w:val="19"/>
  </w:num>
  <w:num w:numId="17">
    <w:abstractNumId w:val="11"/>
  </w:num>
  <w:num w:numId="18">
    <w:abstractNumId w:val="4"/>
  </w:num>
  <w:num w:numId="19">
    <w:abstractNumId w:val="33"/>
  </w:num>
  <w:num w:numId="20">
    <w:abstractNumId w:val="24"/>
  </w:num>
  <w:num w:numId="21">
    <w:abstractNumId w:val="30"/>
  </w:num>
  <w:num w:numId="22">
    <w:abstractNumId w:val="29"/>
  </w:num>
  <w:num w:numId="23">
    <w:abstractNumId w:val="31"/>
  </w:num>
  <w:num w:numId="24">
    <w:abstractNumId w:val="6"/>
  </w:num>
  <w:num w:numId="25">
    <w:abstractNumId w:val="15"/>
  </w:num>
  <w:num w:numId="26">
    <w:abstractNumId w:val="10"/>
  </w:num>
  <w:num w:numId="27">
    <w:abstractNumId w:val="32"/>
  </w:num>
  <w:num w:numId="28">
    <w:abstractNumId w:val="16"/>
  </w:num>
  <w:num w:numId="29">
    <w:abstractNumId w:val="18"/>
  </w:num>
  <w:num w:numId="30">
    <w:abstractNumId w:val="21"/>
  </w:num>
  <w:num w:numId="31">
    <w:abstractNumId w:val="25"/>
  </w:num>
  <w:num w:numId="32">
    <w:abstractNumId w:val="5"/>
  </w:num>
  <w:num w:numId="33">
    <w:abstractNumId w:val="20"/>
  </w:num>
  <w:num w:numId="34">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CL" w:vendorID="64" w:dllVersion="6" w:nlCheck="1" w:checkStyle="0"/>
  <w:activeWritingStyle w:appName="MSWord" w:lang="en-AU" w:vendorID="64" w:dllVersion="6" w:nlCheck="1" w:checkStyle="1"/>
  <w:activeWritingStyle w:appName="MSWord" w:lang="en-US" w:vendorID="64" w:dllVersion="6" w:nlCheck="1" w:checkStyle="1"/>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AU" w:vendorID="64" w:dllVersion="131078" w:nlCheck="1" w:checkStyle="0"/>
  <w:activeWritingStyle w:appName="MSWord" w:lang="en-US" w:vendorID="64" w:dllVersion="131078" w:nlCheck="1" w:checkStyle="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5vz5xro5d25hepedvpvr0o0v5axp5r99sw&quot;&gt;MSAC MMN&lt;record-ids&gt;&lt;item&gt;7&lt;/item&gt;&lt;item&gt;12&lt;/item&gt;&lt;item&gt;14&lt;/item&gt;&lt;item&gt;16&lt;/item&gt;&lt;item&gt;21&lt;/item&gt;&lt;item&gt;25&lt;/item&gt;&lt;item&gt;27&lt;/item&gt;&lt;item&gt;31&lt;/item&gt;&lt;item&gt;35&lt;/item&gt;&lt;item&gt;37&lt;/item&gt;&lt;item&gt;38&lt;/item&gt;&lt;item&gt;41&lt;/item&gt;&lt;item&gt;43&lt;/item&gt;&lt;item&gt;47&lt;/item&gt;&lt;item&gt;54&lt;/item&gt;&lt;item&gt;55&lt;/item&gt;&lt;item&gt;56&lt;/item&gt;&lt;item&gt;57&lt;/item&gt;&lt;item&gt;59&lt;/item&gt;&lt;/record-ids&gt;&lt;/item&gt;&lt;/Libraries&gt;"/>
  </w:docVars>
  <w:rsids>
    <w:rsidRoot w:val="0044715D"/>
    <w:rsid w:val="00002118"/>
    <w:rsid w:val="00004142"/>
    <w:rsid w:val="00004548"/>
    <w:rsid w:val="000067F2"/>
    <w:rsid w:val="00010CAF"/>
    <w:rsid w:val="00014375"/>
    <w:rsid w:val="000145E4"/>
    <w:rsid w:val="000179E8"/>
    <w:rsid w:val="00017A85"/>
    <w:rsid w:val="0002288D"/>
    <w:rsid w:val="0002422D"/>
    <w:rsid w:val="000250FA"/>
    <w:rsid w:val="0003068E"/>
    <w:rsid w:val="000314C0"/>
    <w:rsid w:val="00032F32"/>
    <w:rsid w:val="00037D5B"/>
    <w:rsid w:val="00040139"/>
    <w:rsid w:val="000500DB"/>
    <w:rsid w:val="00051475"/>
    <w:rsid w:val="00052577"/>
    <w:rsid w:val="00053D97"/>
    <w:rsid w:val="00057693"/>
    <w:rsid w:val="00057C1B"/>
    <w:rsid w:val="00063AC8"/>
    <w:rsid w:val="00067655"/>
    <w:rsid w:val="00076F7A"/>
    <w:rsid w:val="00077107"/>
    <w:rsid w:val="0008092D"/>
    <w:rsid w:val="000874FA"/>
    <w:rsid w:val="00093B87"/>
    <w:rsid w:val="000967E6"/>
    <w:rsid w:val="0009767A"/>
    <w:rsid w:val="000A05F2"/>
    <w:rsid w:val="000A0FBA"/>
    <w:rsid w:val="000A34C8"/>
    <w:rsid w:val="000A6389"/>
    <w:rsid w:val="000B519A"/>
    <w:rsid w:val="000B7451"/>
    <w:rsid w:val="000C1102"/>
    <w:rsid w:val="000C1EFA"/>
    <w:rsid w:val="000C7BFA"/>
    <w:rsid w:val="000D09DB"/>
    <w:rsid w:val="000D1DB9"/>
    <w:rsid w:val="000E7E5C"/>
    <w:rsid w:val="000F2140"/>
    <w:rsid w:val="000F3B15"/>
    <w:rsid w:val="000F66B6"/>
    <w:rsid w:val="000F7832"/>
    <w:rsid w:val="00104961"/>
    <w:rsid w:val="00115623"/>
    <w:rsid w:val="001218DB"/>
    <w:rsid w:val="00130491"/>
    <w:rsid w:val="0013370A"/>
    <w:rsid w:val="00134427"/>
    <w:rsid w:val="00136AD5"/>
    <w:rsid w:val="001378D0"/>
    <w:rsid w:val="001455EC"/>
    <w:rsid w:val="0014795E"/>
    <w:rsid w:val="00147FB7"/>
    <w:rsid w:val="00151623"/>
    <w:rsid w:val="0015328D"/>
    <w:rsid w:val="00153CEA"/>
    <w:rsid w:val="00154648"/>
    <w:rsid w:val="00154DF8"/>
    <w:rsid w:val="00166723"/>
    <w:rsid w:val="00185A78"/>
    <w:rsid w:val="00190422"/>
    <w:rsid w:val="00191E53"/>
    <w:rsid w:val="00194723"/>
    <w:rsid w:val="00197879"/>
    <w:rsid w:val="001A288D"/>
    <w:rsid w:val="001A28F1"/>
    <w:rsid w:val="001A3437"/>
    <w:rsid w:val="001A51C4"/>
    <w:rsid w:val="001A54CF"/>
    <w:rsid w:val="001A5554"/>
    <w:rsid w:val="001A6389"/>
    <w:rsid w:val="001B3EE2"/>
    <w:rsid w:val="001C15A0"/>
    <w:rsid w:val="001C4900"/>
    <w:rsid w:val="001C4A11"/>
    <w:rsid w:val="001C6410"/>
    <w:rsid w:val="001D1530"/>
    <w:rsid w:val="001E0B48"/>
    <w:rsid w:val="001F2A5C"/>
    <w:rsid w:val="001F37B5"/>
    <w:rsid w:val="001F4E5E"/>
    <w:rsid w:val="00202F3D"/>
    <w:rsid w:val="00207697"/>
    <w:rsid w:val="002210EC"/>
    <w:rsid w:val="00222878"/>
    <w:rsid w:val="00223EEB"/>
    <w:rsid w:val="00224151"/>
    <w:rsid w:val="00236A7E"/>
    <w:rsid w:val="00241DCB"/>
    <w:rsid w:val="00253F05"/>
    <w:rsid w:val="00276CAC"/>
    <w:rsid w:val="002775A6"/>
    <w:rsid w:val="002777DE"/>
    <w:rsid w:val="00282B7B"/>
    <w:rsid w:val="00292DE9"/>
    <w:rsid w:val="00297DF0"/>
    <w:rsid w:val="002A00FB"/>
    <w:rsid w:val="002A03CE"/>
    <w:rsid w:val="002A2C08"/>
    <w:rsid w:val="002A416A"/>
    <w:rsid w:val="002A4909"/>
    <w:rsid w:val="002A66BD"/>
    <w:rsid w:val="002B0931"/>
    <w:rsid w:val="002B19F3"/>
    <w:rsid w:val="002B226C"/>
    <w:rsid w:val="002B239A"/>
    <w:rsid w:val="002B3338"/>
    <w:rsid w:val="002B4F22"/>
    <w:rsid w:val="002B5628"/>
    <w:rsid w:val="002B5DBC"/>
    <w:rsid w:val="002B6806"/>
    <w:rsid w:val="002D6634"/>
    <w:rsid w:val="002E05C6"/>
    <w:rsid w:val="002E4F05"/>
    <w:rsid w:val="002E7B1B"/>
    <w:rsid w:val="002F0C6A"/>
    <w:rsid w:val="002F6579"/>
    <w:rsid w:val="00303702"/>
    <w:rsid w:val="00303C94"/>
    <w:rsid w:val="003057B0"/>
    <w:rsid w:val="00306D34"/>
    <w:rsid w:val="003125EA"/>
    <w:rsid w:val="00315A6F"/>
    <w:rsid w:val="00321DCF"/>
    <w:rsid w:val="00331F15"/>
    <w:rsid w:val="0034018F"/>
    <w:rsid w:val="003414ED"/>
    <w:rsid w:val="00354088"/>
    <w:rsid w:val="003547E1"/>
    <w:rsid w:val="00362382"/>
    <w:rsid w:val="00362776"/>
    <w:rsid w:val="00362F8A"/>
    <w:rsid w:val="00365686"/>
    <w:rsid w:val="00365A0A"/>
    <w:rsid w:val="00365DC0"/>
    <w:rsid w:val="003673A3"/>
    <w:rsid w:val="003700F9"/>
    <w:rsid w:val="00377D04"/>
    <w:rsid w:val="00382875"/>
    <w:rsid w:val="00390AB2"/>
    <w:rsid w:val="003A2E95"/>
    <w:rsid w:val="003A3782"/>
    <w:rsid w:val="003A62C5"/>
    <w:rsid w:val="003C154C"/>
    <w:rsid w:val="003C24B5"/>
    <w:rsid w:val="003D1449"/>
    <w:rsid w:val="003D699E"/>
    <w:rsid w:val="003D75B6"/>
    <w:rsid w:val="003E0382"/>
    <w:rsid w:val="003E33E1"/>
    <w:rsid w:val="003E5D99"/>
    <w:rsid w:val="003E6BD6"/>
    <w:rsid w:val="003E7E28"/>
    <w:rsid w:val="00403F66"/>
    <w:rsid w:val="00405F4B"/>
    <w:rsid w:val="00411511"/>
    <w:rsid w:val="00412129"/>
    <w:rsid w:val="00412231"/>
    <w:rsid w:val="004141CF"/>
    <w:rsid w:val="00415DE5"/>
    <w:rsid w:val="0042460D"/>
    <w:rsid w:val="0042483F"/>
    <w:rsid w:val="0042597C"/>
    <w:rsid w:val="004372B6"/>
    <w:rsid w:val="00437734"/>
    <w:rsid w:val="00440228"/>
    <w:rsid w:val="004415BB"/>
    <w:rsid w:val="0044224A"/>
    <w:rsid w:val="00444961"/>
    <w:rsid w:val="004464CF"/>
    <w:rsid w:val="0044715D"/>
    <w:rsid w:val="00447180"/>
    <w:rsid w:val="00453264"/>
    <w:rsid w:val="004546B5"/>
    <w:rsid w:val="00471DBB"/>
    <w:rsid w:val="00480F96"/>
    <w:rsid w:val="0048121D"/>
    <w:rsid w:val="00482BBA"/>
    <w:rsid w:val="004857CA"/>
    <w:rsid w:val="00497371"/>
    <w:rsid w:val="004A187C"/>
    <w:rsid w:val="004B584F"/>
    <w:rsid w:val="004C1FA9"/>
    <w:rsid w:val="004C2408"/>
    <w:rsid w:val="004D1D41"/>
    <w:rsid w:val="004E467C"/>
    <w:rsid w:val="004F2324"/>
    <w:rsid w:val="005026AC"/>
    <w:rsid w:val="00526A66"/>
    <w:rsid w:val="00537447"/>
    <w:rsid w:val="0054114F"/>
    <w:rsid w:val="00543A25"/>
    <w:rsid w:val="0055302E"/>
    <w:rsid w:val="005640CC"/>
    <w:rsid w:val="00564DE2"/>
    <w:rsid w:val="0057294E"/>
    <w:rsid w:val="00576CD0"/>
    <w:rsid w:val="005919D4"/>
    <w:rsid w:val="00595052"/>
    <w:rsid w:val="005956A0"/>
    <w:rsid w:val="00595D81"/>
    <w:rsid w:val="005A38A9"/>
    <w:rsid w:val="005B4D91"/>
    <w:rsid w:val="005B74C5"/>
    <w:rsid w:val="005C33B3"/>
    <w:rsid w:val="005C509F"/>
    <w:rsid w:val="005C7B58"/>
    <w:rsid w:val="005D1A38"/>
    <w:rsid w:val="005D602F"/>
    <w:rsid w:val="005E1FFD"/>
    <w:rsid w:val="005E2222"/>
    <w:rsid w:val="005E2D58"/>
    <w:rsid w:val="005E2FE1"/>
    <w:rsid w:val="005E5F15"/>
    <w:rsid w:val="005E5FFE"/>
    <w:rsid w:val="005F4D2F"/>
    <w:rsid w:val="005F63FF"/>
    <w:rsid w:val="0060041D"/>
    <w:rsid w:val="00600D89"/>
    <w:rsid w:val="006061AF"/>
    <w:rsid w:val="0060752F"/>
    <w:rsid w:val="0061131A"/>
    <w:rsid w:val="00617A1F"/>
    <w:rsid w:val="006202CB"/>
    <w:rsid w:val="00626A55"/>
    <w:rsid w:val="00627B5C"/>
    <w:rsid w:val="0063405B"/>
    <w:rsid w:val="006346C1"/>
    <w:rsid w:val="00637B78"/>
    <w:rsid w:val="00641C5F"/>
    <w:rsid w:val="00643AF3"/>
    <w:rsid w:val="00644920"/>
    <w:rsid w:val="006508DC"/>
    <w:rsid w:val="00655327"/>
    <w:rsid w:val="00660A3B"/>
    <w:rsid w:val="00661784"/>
    <w:rsid w:val="00665DA9"/>
    <w:rsid w:val="0066715E"/>
    <w:rsid w:val="00671F12"/>
    <w:rsid w:val="006741BF"/>
    <w:rsid w:val="00693548"/>
    <w:rsid w:val="00696D6E"/>
    <w:rsid w:val="006A358B"/>
    <w:rsid w:val="006B20E1"/>
    <w:rsid w:val="006B41B1"/>
    <w:rsid w:val="006B6204"/>
    <w:rsid w:val="006D03F4"/>
    <w:rsid w:val="006D11BE"/>
    <w:rsid w:val="006D1643"/>
    <w:rsid w:val="006D2AF5"/>
    <w:rsid w:val="006D59F4"/>
    <w:rsid w:val="006E00E2"/>
    <w:rsid w:val="006E06A0"/>
    <w:rsid w:val="00700ACE"/>
    <w:rsid w:val="00701B16"/>
    <w:rsid w:val="00706BC6"/>
    <w:rsid w:val="007120E2"/>
    <w:rsid w:val="00722F24"/>
    <w:rsid w:val="00724214"/>
    <w:rsid w:val="00726989"/>
    <w:rsid w:val="00726A1C"/>
    <w:rsid w:val="00734F81"/>
    <w:rsid w:val="0073757B"/>
    <w:rsid w:val="0074620A"/>
    <w:rsid w:val="00751006"/>
    <w:rsid w:val="00752491"/>
    <w:rsid w:val="00753533"/>
    <w:rsid w:val="00755502"/>
    <w:rsid w:val="00762C8D"/>
    <w:rsid w:val="00765B59"/>
    <w:rsid w:val="0076684E"/>
    <w:rsid w:val="00772B38"/>
    <w:rsid w:val="0077688D"/>
    <w:rsid w:val="00780D35"/>
    <w:rsid w:val="0079074A"/>
    <w:rsid w:val="007A77E8"/>
    <w:rsid w:val="007C2E06"/>
    <w:rsid w:val="007C36F1"/>
    <w:rsid w:val="007D77A8"/>
    <w:rsid w:val="007E7E23"/>
    <w:rsid w:val="007F1663"/>
    <w:rsid w:val="007F39EC"/>
    <w:rsid w:val="007F46D0"/>
    <w:rsid w:val="007F4E20"/>
    <w:rsid w:val="007F52FF"/>
    <w:rsid w:val="0080066B"/>
    <w:rsid w:val="008025FD"/>
    <w:rsid w:val="00824348"/>
    <w:rsid w:val="00831CA9"/>
    <w:rsid w:val="00832851"/>
    <w:rsid w:val="00841F2D"/>
    <w:rsid w:val="008425D2"/>
    <w:rsid w:val="008456F6"/>
    <w:rsid w:val="008461E0"/>
    <w:rsid w:val="008528EF"/>
    <w:rsid w:val="008643E1"/>
    <w:rsid w:val="008654C5"/>
    <w:rsid w:val="00866A6F"/>
    <w:rsid w:val="00870120"/>
    <w:rsid w:val="00870245"/>
    <w:rsid w:val="008706D6"/>
    <w:rsid w:val="00874BA7"/>
    <w:rsid w:val="008757BF"/>
    <w:rsid w:val="00877E13"/>
    <w:rsid w:val="00883A98"/>
    <w:rsid w:val="0089416F"/>
    <w:rsid w:val="00895BCC"/>
    <w:rsid w:val="00896845"/>
    <w:rsid w:val="008A4548"/>
    <w:rsid w:val="008A7228"/>
    <w:rsid w:val="008C3E5E"/>
    <w:rsid w:val="008C5DDB"/>
    <w:rsid w:val="008D00DD"/>
    <w:rsid w:val="008E35DA"/>
    <w:rsid w:val="008E5F8B"/>
    <w:rsid w:val="008F06B0"/>
    <w:rsid w:val="008F0C77"/>
    <w:rsid w:val="008F2094"/>
    <w:rsid w:val="008F443A"/>
    <w:rsid w:val="008F65C3"/>
    <w:rsid w:val="00902731"/>
    <w:rsid w:val="00906A74"/>
    <w:rsid w:val="00915AAE"/>
    <w:rsid w:val="00916757"/>
    <w:rsid w:val="00920727"/>
    <w:rsid w:val="0092635A"/>
    <w:rsid w:val="009303D4"/>
    <w:rsid w:val="00953ED7"/>
    <w:rsid w:val="00954392"/>
    <w:rsid w:val="00961726"/>
    <w:rsid w:val="00962E77"/>
    <w:rsid w:val="009631E0"/>
    <w:rsid w:val="0097477A"/>
    <w:rsid w:val="009805A2"/>
    <w:rsid w:val="009824AF"/>
    <w:rsid w:val="009876AE"/>
    <w:rsid w:val="009951C5"/>
    <w:rsid w:val="009A3DF6"/>
    <w:rsid w:val="009B1589"/>
    <w:rsid w:val="009B5ABB"/>
    <w:rsid w:val="009B6F7F"/>
    <w:rsid w:val="009C3C81"/>
    <w:rsid w:val="009C5039"/>
    <w:rsid w:val="009D0E17"/>
    <w:rsid w:val="009D2EB6"/>
    <w:rsid w:val="009D3D09"/>
    <w:rsid w:val="009D6757"/>
    <w:rsid w:val="009D73EB"/>
    <w:rsid w:val="009E00EB"/>
    <w:rsid w:val="009E5295"/>
    <w:rsid w:val="009F0EDA"/>
    <w:rsid w:val="009F2C3D"/>
    <w:rsid w:val="00A01CAB"/>
    <w:rsid w:val="00A07AE8"/>
    <w:rsid w:val="00A23827"/>
    <w:rsid w:val="00A31057"/>
    <w:rsid w:val="00A34F75"/>
    <w:rsid w:val="00A360D8"/>
    <w:rsid w:val="00A42401"/>
    <w:rsid w:val="00A4246B"/>
    <w:rsid w:val="00A46495"/>
    <w:rsid w:val="00A503E5"/>
    <w:rsid w:val="00A50C1F"/>
    <w:rsid w:val="00A5742D"/>
    <w:rsid w:val="00A601AC"/>
    <w:rsid w:val="00A738E9"/>
    <w:rsid w:val="00A74E41"/>
    <w:rsid w:val="00A84548"/>
    <w:rsid w:val="00A84A56"/>
    <w:rsid w:val="00A90132"/>
    <w:rsid w:val="00A9116F"/>
    <w:rsid w:val="00A91269"/>
    <w:rsid w:val="00A93A7E"/>
    <w:rsid w:val="00A97A84"/>
    <w:rsid w:val="00AA2CF9"/>
    <w:rsid w:val="00AB06E1"/>
    <w:rsid w:val="00AB0BCD"/>
    <w:rsid w:val="00AB1F47"/>
    <w:rsid w:val="00AB4084"/>
    <w:rsid w:val="00AB4784"/>
    <w:rsid w:val="00AB64AF"/>
    <w:rsid w:val="00AC1FAF"/>
    <w:rsid w:val="00AC2E47"/>
    <w:rsid w:val="00AC71D7"/>
    <w:rsid w:val="00AD1067"/>
    <w:rsid w:val="00AD163C"/>
    <w:rsid w:val="00AD5185"/>
    <w:rsid w:val="00AD67B4"/>
    <w:rsid w:val="00AE2BA8"/>
    <w:rsid w:val="00AF00B1"/>
    <w:rsid w:val="00AF2643"/>
    <w:rsid w:val="00B00B35"/>
    <w:rsid w:val="00B13BEA"/>
    <w:rsid w:val="00B1467D"/>
    <w:rsid w:val="00B16C86"/>
    <w:rsid w:val="00B17975"/>
    <w:rsid w:val="00B17EC0"/>
    <w:rsid w:val="00B20CB7"/>
    <w:rsid w:val="00B32869"/>
    <w:rsid w:val="00B33103"/>
    <w:rsid w:val="00B432D9"/>
    <w:rsid w:val="00B45971"/>
    <w:rsid w:val="00B46A0A"/>
    <w:rsid w:val="00B53E7A"/>
    <w:rsid w:val="00B576D7"/>
    <w:rsid w:val="00B642F8"/>
    <w:rsid w:val="00B67357"/>
    <w:rsid w:val="00B730BC"/>
    <w:rsid w:val="00B74B4D"/>
    <w:rsid w:val="00B7551F"/>
    <w:rsid w:val="00B8248C"/>
    <w:rsid w:val="00B83C0D"/>
    <w:rsid w:val="00B85D39"/>
    <w:rsid w:val="00B87598"/>
    <w:rsid w:val="00B974D7"/>
    <w:rsid w:val="00BA63AA"/>
    <w:rsid w:val="00BC0049"/>
    <w:rsid w:val="00BC057E"/>
    <w:rsid w:val="00BC28A1"/>
    <w:rsid w:val="00BC5C62"/>
    <w:rsid w:val="00BD5B59"/>
    <w:rsid w:val="00BE15A4"/>
    <w:rsid w:val="00BE2026"/>
    <w:rsid w:val="00BF0D55"/>
    <w:rsid w:val="00C0209F"/>
    <w:rsid w:val="00C04E7B"/>
    <w:rsid w:val="00C050C5"/>
    <w:rsid w:val="00C11701"/>
    <w:rsid w:val="00C13EC5"/>
    <w:rsid w:val="00C16A63"/>
    <w:rsid w:val="00C17B81"/>
    <w:rsid w:val="00C24F06"/>
    <w:rsid w:val="00C25010"/>
    <w:rsid w:val="00C36E8F"/>
    <w:rsid w:val="00C472E6"/>
    <w:rsid w:val="00C504CD"/>
    <w:rsid w:val="00C5720E"/>
    <w:rsid w:val="00C61965"/>
    <w:rsid w:val="00C63A94"/>
    <w:rsid w:val="00C65659"/>
    <w:rsid w:val="00C66544"/>
    <w:rsid w:val="00C677BD"/>
    <w:rsid w:val="00C719C6"/>
    <w:rsid w:val="00C807C2"/>
    <w:rsid w:val="00C8229B"/>
    <w:rsid w:val="00C8526E"/>
    <w:rsid w:val="00C852E8"/>
    <w:rsid w:val="00C91F8F"/>
    <w:rsid w:val="00C92A7A"/>
    <w:rsid w:val="00C95B69"/>
    <w:rsid w:val="00C9630A"/>
    <w:rsid w:val="00C97EE5"/>
    <w:rsid w:val="00CA0B05"/>
    <w:rsid w:val="00CA490E"/>
    <w:rsid w:val="00CB1734"/>
    <w:rsid w:val="00CB2B7A"/>
    <w:rsid w:val="00CC25DB"/>
    <w:rsid w:val="00CC373A"/>
    <w:rsid w:val="00CC60B0"/>
    <w:rsid w:val="00CD2153"/>
    <w:rsid w:val="00CD43F1"/>
    <w:rsid w:val="00CE0109"/>
    <w:rsid w:val="00CE39BC"/>
    <w:rsid w:val="00CE4F79"/>
    <w:rsid w:val="00CE6140"/>
    <w:rsid w:val="00CF0ABD"/>
    <w:rsid w:val="00CF23B7"/>
    <w:rsid w:val="00D044E0"/>
    <w:rsid w:val="00D1205D"/>
    <w:rsid w:val="00D1554F"/>
    <w:rsid w:val="00D26848"/>
    <w:rsid w:val="00D34641"/>
    <w:rsid w:val="00D34CD3"/>
    <w:rsid w:val="00D37CC2"/>
    <w:rsid w:val="00D37E0A"/>
    <w:rsid w:val="00D448C6"/>
    <w:rsid w:val="00D46C89"/>
    <w:rsid w:val="00D61968"/>
    <w:rsid w:val="00D64A29"/>
    <w:rsid w:val="00D66487"/>
    <w:rsid w:val="00D66573"/>
    <w:rsid w:val="00D73DB1"/>
    <w:rsid w:val="00DA015A"/>
    <w:rsid w:val="00DB314F"/>
    <w:rsid w:val="00DB3CD9"/>
    <w:rsid w:val="00DC1FBF"/>
    <w:rsid w:val="00DC7291"/>
    <w:rsid w:val="00DD456A"/>
    <w:rsid w:val="00DD4F7B"/>
    <w:rsid w:val="00DE23D2"/>
    <w:rsid w:val="00DE26E6"/>
    <w:rsid w:val="00DE39C8"/>
    <w:rsid w:val="00DE3D6C"/>
    <w:rsid w:val="00DE7839"/>
    <w:rsid w:val="00DF17FB"/>
    <w:rsid w:val="00DF5858"/>
    <w:rsid w:val="00E0061E"/>
    <w:rsid w:val="00E11F37"/>
    <w:rsid w:val="00E364F7"/>
    <w:rsid w:val="00E37AD0"/>
    <w:rsid w:val="00E41C3C"/>
    <w:rsid w:val="00E46B27"/>
    <w:rsid w:val="00E46C0B"/>
    <w:rsid w:val="00E5089D"/>
    <w:rsid w:val="00E54576"/>
    <w:rsid w:val="00E56D43"/>
    <w:rsid w:val="00E577E9"/>
    <w:rsid w:val="00E602C8"/>
    <w:rsid w:val="00E61B6E"/>
    <w:rsid w:val="00E72818"/>
    <w:rsid w:val="00E734C0"/>
    <w:rsid w:val="00E77F5A"/>
    <w:rsid w:val="00E83EA4"/>
    <w:rsid w:val="00E86090"/>
    <w:rsid w:val="00E902EF"/>
    <w:rsid w:val="00E9264A"/>
    <w:rsid w:val="00E966FA"/>
    <w:rsid w:val="00E968F6"/>
    <w:rsid w:val="00EB1835"/>
    <w:rsid w:val="00EB2F9F"/>
    <w:rsid w:val="00EB3E6B"/>
    <w:rsid w:val="00EB4844"/>
    <w:rsid w:val="00ED4105"/>
    <w:rsid w:val="00ED500C"/>
    <w:rsid w:val="00EE2952"/>
    <w:rsid w:val="00EE7A1F"/>
    <w:rsid w:val="00EF0955"/>
    <w:rsid w:val="00EF333E"/>
    <w:rsid w:val="00EF4EC4"/>
    <w:rsid w:val="00EF61E1"/>
    <w:rsid w:val="00EF6479"/>
    <w:rsid w:val="00EF6B72"/>
    <w:rsid w:val="00F0186F"/>
    <w:rsid w:val="00F028EF"/>
    <w:rsid w:val="00F12E59"/>
    <w:rsid w:val="00F132CD"/>
    <w:rsid w:val="00F158C3"/>
    <w:rsid w:val="00F22AED"/>
    <w:rsid w:val="00F302D4"/>
    <w:rsid w:val="00F305F7"/>
    <w:rsid w:val="00F31037"/>
    <w:rsid w:val="00F32829"/>
    <w:rsid w:val="00F34282"/>
    <w:rsid w:val="00F4622B"/>
    <w:rsid w:val="00F470E5"/>
    <w:rsid w:val="00F54DDB"/>
    <w:rsid w:val="00F61B70"/>
    <w:rsid w:val="00F64E40"/>
    <w:rsid w:val="00F65D8D"/>
    <w:rsid w:val="00F66C65"/>
    <w:rsid w:val="00F74FF4"/>
    <w:rsid w:val="00F771DE"/>
    <w:rsid w:val="00F80E7B"/>
    <w:rsid w:val="00F913CD"/>
    <w:rsid w:val="00F92AB5"/>
    <w:rsid w:val="00FA522E"/>
    <w:rsid w:val="00FB0686"/>
    <w:rsid w:val="00FB32BC"/>
    <w:rsid w:val="00FB76B5"/>
    <w:rsid w:val="00FC36F2"/>
    <w:rsid w:val="00FC3F20"/>
    <w:rsid w:val="00FC752E"/>
    <w:rsid w:val="00FD7C24"/>
    <w:rsid w:val="00FE2709"/>
    <w:rsid w:val="00FE5FC7"/>
    <w:rsid w:val="00FE6CDE"/>
    <w:rsid w:val="00FF513F"/>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FC6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F05"/>
    <w:pPr>
      <w:spacing w:after="120"/>
      <w:jc w:val="both"/>
    </w:pPr>
    <w:rPr>
      <w:rFonts w:ascii="Calibri" w:eastAsia="Calibri" w:hAnsi="Calibri" w:cs="Times New Roman"/>
      <w:sz w:val="22"/>
    </w:rPr>
  </w:style>
  <w:style w:type="paragraph" w:styleId="Heading1">
    <w:name w:val="heading 1"/>
    <w:basedOn w:val="Normal"/>
    <w:next w:val="Normal"/>
    <w:link w:val="Heading1Char"/>
    <w:uiPriority w:val="9"/>
    <w:qFormat/>
    <w:rsid w:val="003C154C"/>
    <w:pPr>
      <w:keepNext/>
      <w:keepLines/>
      <w:numPr>
        <w:numId w:val="19"/>
      </w:numPr>
      <w:spacing w:before="240"/>
      <w:ind w:left="360"/>
      <w:outlineLvl w:val="0"/>
    </w:pPr>
    <w:rPr>
      <w:rFonts w:asciiTheme="majorHAnsi" w:eastAsiaTheme="majorEastAsia" w:hAnsiTheme="majorHAnsi" w:cstheme="majorBidi"/>
      <w:b/>
      <w:bCs/>
      <w:sz w:val="26"/>
      <w:szCs w:val="28"/>
    </w:rPr>
  </w:style>
  <w:style w:type="paragraph" w:styleId="Heading2">
    <w:name w:val="heading 2"/>
    <w:basedOn w:val="Normal"/>
    <w:next w:val="Normal"/>
    <w:link w:val="Heading2Char"/>
    <w:uiPriority w:val="9"/>
    <w:qFormat/>
    <w:rsid w:val="006A358B"/>
    <w:pPr>
      <w:keepNext/>
      <w:keepLines/>
      <w:spacing w:before="120"/>
      <w:outlineLvl w:val="1"/>
    </w:pPr>
    <w:rPr>
      <w:rFonts w:eastAsia="MS Gothic"/>
      <w:b/>
      <w:bCs/>
      <w:i/>
      <w:szCs w:val="26"/>
      <w:u w:val="single"/>
    </w:rPr>
  </w:style>
  <w:style w:type="paragraph" w:styleId="Heading3">
    <w:name w:val="heading 3"/>
    <w:basedOn w:val="Normal"/>
    <w:next w:val="Normal"/>
    <w:link w:val="Heading3Char"/>
    <w:uiPriority w:val="9"/>
    <w:unhideWhenUsed/>
    <w:qFormat/>
    <w:rsid w:val="001A28F1"/>
    <w:pPr>
      <w:keepNext/>
      <w:keepLines/>
      <w:spacing w:before="40" w:after="0"/>
      <w:outlineLvl w:val="2"/>
    </w:pPr>
    <w:rPr>
      <w:rFonts w:asciiTheme="minorHAnsi" w:eastAsiaTheme="majorEastAsia" w:hAnsiTheme="minorHAnsi"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715D"/>
    <w:rPr>
      <w:rFonts w:ascii="Calibri" w:eastAsia="MS Gothic" w:hAnsi="Calibri" w:cs="Times New Roman"/>
      <w:b/>
      <w:bCs/>
      <w:i/>
      <w:sz w:val="22"/>
      <w:szCs w:val="26"/>
      <w:u w:val="single"/>
    </w:rPr>
  </w:style>
  <w:style w:type="paragraph" w:styleId="ListParagraph">
    <w:name w:val="List Paragraph"/>
    <w:basedOn w:val="Normal"/>
    <w:uiPriority w:val="34"/>
    <w:qFormat/>
    <w:rsid w:val="0002422D"/>
    <w:pPr>
      <w:numPr>
        <w:numId w:val="29"/>
      </w:numPr>
      <w:ind w:left="108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3D6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99E"/>
    <w:rPr>
      <w:rFonts w:ascii="Calibri" w:eastAsia="Calibri" w:hAnsi="Calibri" w:cs="Times New Roman"/>
      <w:sz w:val="22"/>
    </w:rPr>
  </w:style>
  <w:style w:type="paragraph" w:styleId="Subtitle">
    <w:name w:val="Subtitle"/>
    <w:basedOn w:val="Normal"/>
    <w:next w:val="Normal"/>
    <w:link w:val="SubtitleChar"/>
    <w:uiPriority w:val="11"/>
    <w:qFormat/>
    <w:rsid w:val="006A358B"/>
    <w:pPr>
      <w:numPr>
        <w:ilvl w:val="1"/>
      </w:numPr>
      <w:spacing w:after="240" w:line="240" w:lineRule="auto"/>
    </w:pPr>
    <w:rPr>
      <w:rFonts w:eastAsiaTheme="majorEastAsia" w:cstheme="majorBidi"/>
      <w:b/>
      <w:bCs/>
      <w:sz w:val="32"/>
      <w:szCs w:val="36"/>
      <w:lang w:bidi="hi-IN"/>
    </w:rPr>
  </w:style>
  <w:style w:type="character" w:customStyle="1" w:styleId="SubtitleChar">
    <w:name w:val="Subtitle Char"/>
    <w:basedOn w:val="DefaultParagraphFont"/>
    <w:link w:val="Subtitle"/>
    <w:uiPriority w:val="11"/>
    <w:rsid w:val="006A358B"/>
    <w:rPr>
      <w:rFonts w:ascii="Calibri" w:eastAsiaTheme="majorEastAsia" w:hAnsi="Calibri" w:cstheme="majorBidi"/>
      <w:b/>
      <w:bCs/>
      <w:sz w:val="32"/>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C154C"/>
    <w:rPr>
      <w:rFonts w:asciiTheme="majorHAnsi" w:eastAsiaTheme="majorEastAsia" w:hAnsiTheme="majorHAnsi" w:cstheme="majorBidi"/>
      <w:b/>
      <w:bCs/>
      <w:sz w:val="26"/>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9D0E17"/>
    <w:pPr>
      <w:spacing w:before="100" w:beforeAutospacing="1" w:after="100" w:afterAutospacing="1" w:line="240" w:lineRule="auto"/>
    </w:pPr>
    <w:rPr>
      <w:rFonts w:ascii="Times New Roman" w:eastAsiaTheme="minorEastAsia" w:hAnsi="Times New Roman"/>
      <w:sz w:val="24"/>
      <w:szCs w:val="24"/>
      <w:lang w:eastAsia="en-AU"/>
    </w:rPr>
  </w:style>
  <w:style w:type="character" w:customStyle="1" w:styleId="A11">
    <w:name w:val="A11"/>
    <w:uiPriority w:val="99"/>
    <w:rsid w:val="008A7228"/>
    <w:rPr>
      <w:rFonts w:cs="TimesNewRomanPS"/>
      <w:color w:val="211D1E"/>
      <w:sz w:val="11"/>
      <w:szCs w:val="11"/>
    </w:rPr>
  </w:style>
  <w:style w:type="paragraph" w:customStyle="1" w:styleId="EndNoteBibliographyTitle">
    <w:name w:val="EndNote Bibliography Title"/>
    <w:basedOn w:val="Normal"/>
    <w:link w:val="EndNoteBibliographyTitleChar"/>
    <w:rsid w:val="00A9116F"/>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A9116F"/>
    <w:rPr>
      <w:rFonts w:ascii="Calibri" w:eastAsia="Calibri" w:hAnsi="Calibri" w:cs="Calibri"/>
      <w:noProof/>
      <w:sz w:val="22"/>
      <w:lang w:val="en-US"/>
    </w:rPr>
  </w:style>
  <w:style w:type="paragraph" w:customStyle="1" w:styleId="EndNoteBibliography">
    <w:name w:val="EndNote Bibliography"/>
    <w:basedOn w:val="Normal"/>
    <w:link w:val="EndNoteBibliographyChar"/>
    <w:rsid w:val="00A9116F"/>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A9116F"/>
    <w:rPr>
      <w:rFonts w:ascii="Calibri" w:eastAsia="Calibri" w:hAnsi="Calibri" w:cs="Calibri"/>
      <w:noProof/>
      <w:sz w:val="22"/>
      <w:lang w:val="en-US"/>
    </w:rPr>
  </w:style>
  <w:style w:type="paragraph" w:styleId="Revision">
    <w:name w:val="Revision"/>
    <w:hidden/>
    <w:uiPriority w:val="99"/>
    <w:semiHidden/>
    <w:rsid w:val="00962E77"/>
    <w:pPr>
      <w:spacing w:after="0" w:line="240" w:lineRule="auto"/>
    </w:pPr>
    <w:rPr>
      <w:rFonts w:ascii="Calibri" w:eastAsia="Calibri" w:hAnsi="Calibri" w:cs="Times New Roman"/>
      <w:sz w:val="22"/>
    </w:rPr>
  </w:style>
  <w:style w:type="paragraph" w:styleId="FootnoteText">
    <w:name w:val="footnote text"/>
    <w:basedOn w:val="Normal"/>
    <w:link w:val="FootnoteTextChar"/>
    <w:uiPriority w:val="99"/>
    <w:semiHidden/>
    <w:unhideWhenUsed/>
    <w:rsid w:val="00D61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196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D61968"/>
    <w:rPr>
      <w:vertAlign w:val="superscript"/>
    </w:rPr>
  </w:style>
  <w:style w:type="character" w:customStyle="1" w:styleId="Heading3Char">
    <w:name w:val="Heading 3 Char"/>
    <w:basedOn w:val="DefaultParagraphFont"/>
    <w:link w:val="Heading3"/>
    <w:uiPriority w:val="9"/>
    <w:rsid w:val="001A28F1"/>
    <w:rPr>
      <w:rFonts w:asciiTheme="minorHAnsi" w:eastAsiaTheme="majorEastAsia" w:hAnsiTheme="minorHAnsi" w:cstheme="minorHAnsi"/>
      <w:b/>
      <w:sz w:val="22"/>
    </w:rPr>
  </w:style>
  <w:style w:type="paragraph" w:styleId="NoSpacing">
    <w:name w:val="No Spacing"/>
    <w:uiPriority w:val="1"/>
    <w:qFormat/>
    <w:rsid w:val="002E4F05"/>
    <w:pPr>
      <w:spacing w:after="120" w:line="240" w:lineRule="auto"/>
      <w:jc w:val="both"/>
    </w:pPr>
    <w:rPr>
      <w:rFonts w:ascii="Calibri" w:eastAsia="Calibri" w:hAnsi="Calibri"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1366312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 w:id="19202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riteria.blood.gov.au/MedicalCondition/View/2558"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riteria.blood.gov.au/MedicalCondition/View/2558" TargetMode="External"/><Relationship Id="rId5" Type="http://schemas.openxmlformats.org/officeDocument/2006/relationships/webSettings" Target="webSettings.xml"/><Relationship Id="rId15" Type="http://schemas.openxmlformats.org/officeDocument/2006/relationships/image" Target="media/image4.png"/><Relationship Id="rId28" Type="http://schemas.microsoft.com/office/2016/09/relationships/commentsIds" Target="commentsIds.xml"/><Relationship Id="rId10" Type="http://schemas.openxmlformats.org/officeDocument/2006/relationships/hyperlink" Target="http://stat.data.abs.gov.au/Index.aspx?DatasetCode=ERP_QUARTERL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riteria.blood.gov.au/MedicalCondition/View/2558"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D99C2-1335-42F6-B391-8A181E85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13105</Words>
  <Characters>74704</Characters>
  <Application>Microsoft Office Word</Application>
  <DocSecurity>0</DocSecurity>
  <Lines>622</Lines>
  <Paragraphs>175</Paragraphs>
  <ScaleCrop>false</ScaleCrop>
  <Company/>
  <LinksUpToDate>false</LinksUpToDate>
  <CharactersWithSpaces>87634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1590 PICO Confirmation</dc:title>
  <dc:creator/>
  <cp:lastModifiedBy/>
  <cp:revision>1</cp:revision>
  <dcterms:created xsi:type="dcterms:W3CDTF">2019-11-19T00:53:00Z</dcterms:created>
  <dcterms:modified xsi:type="dcterms:W3CDTF">2019-11-19T00:53:00Z</dcterms:modified>
</cp:coreProperties>
</file>