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A2B20AE" w14:textId="3CFBDE23" w:rsidR="00722F29" w:rsidRPr="00722F29" w:rsidRDefault="00722F29" w:rsidP="00722F29">
      <w:pPr>
        <w:spacing w:before="240"/>
        <w:jc w:val="center"/>
        <w:rPr>
          <w:rFonts w:ascii="Arial" w:hAnsi="Arial" w:cs="Arial"/>
          <w:b/>
          <w:sz w:val="48"/>
          <w:szCs w:val="48"/>
        </w:rPr>
      </w:pPr>
      <w:r w:rsidRPr="00722F29">
        <w:rPr>
          <w:rFonts w:ascii="Arial" w:hAnsi="Arial" w:cs="Arial"/>
          <w:b/>
          <w:sz w:val="48"/>
          <w:szCs w:val="48"/>
        </w:rPr>
        <w:t xml:space="preserve">Consultation Survey on </w:t>
      </w:r>
      <w:r w:rsidRPr="00722F29">
        <w:rPr>
          <w:rFonts w:ascii="Arial" w:hAnsi="Arial" w:cs="Arial"/>
          <w:b/>
          <w:sz w:val="48"/>
          <w:szCs w:val="48"/>
        </w:rPr>
        <w:br/>
        <w:t>MSAC Application 170</w:t>
      </w:r>
      <w:r w:rsidR="00113521">
        <w:rPr>
          <w:rFonts w:ascii="Arial" w:hAnsi="Arial" w:cs="Arial"/>
          <w:b/>
          <w:sz w:val="48"/>
          <w:szCs w:val="48"/>
        </w:rPr>
        <w:t>3</w:t>
      </w:r>
    </w:p>
    <w:p w14:paraId="578664E0" w14:textId="60281977" w:rsidR="00113521" w:rsidRDefault="00113521" w:rsidP="00113521">
      <w:pPr>
        <w:spacing w:before="240" w:after="120"/>
        <w:jc w:val="center"/>
        <w:rPr>
          <w:rFonts w:ascii="Arial" w:hAnsi="Arial" w:cs="Arial"/>
          <w:b/>
          <w:sz w:val="28"/>
          <w:szCs w:val="28"/>
        </w:rPr>
      </w:pPr>
      <w:r w:rsidRPr="00113521">
        <w:rPr>
          <w:rFonts w:ascii="Arial" w:hAnsi="Arial" w:cs="Arial"/>
          <w:b/>
          <w:sz w:val="28"/>
          <w:szCs w:val="28"/>
        </w:rPr>
        <w:t xml:space="preserve">Detection of </w:t>
      </w:r>
      <w:r w:rsidR="00496FE5">
        <w:rPr>
          <w:rFonts w:ascii="Arial" w:hAnsi="Arial" w:cs="Arial"/>
          <w:b/>
          <w:sz w:val="28"/>
          <w:szCs w:val="28"/>
        </w:rPr>
        <w:t>measurable</w:t>
      </w:r>
      <w:r w:rsidRPr="00113521">
        <w:rPr>
          <w:rFonts w:ascii="Arial" w:hAnsi="Arial" w:cs="Arial"/>
          <w:b/>
          <w:sz w:val="28"/>
          <w:szCs w:val="28"/>
        </w:rPr>
        <w:t xml:space="preserve"> residual disease in patients with acute lymphoblastic leukaemia</w:t>
      </w:r>
    </w:p>
    <w:p w14:paraId="2224A917" w14:textId="2E5394F6"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496FE5">
        <w:rPr>
          <w:b w:val="0"/>
        </w:rPr>
      </w:r>
      <w:r w:rsidR="00496FE5">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496FE5">
        <w:rPr>
          <w:b w:val="0"/>
        </w:rPr>
      </w:r>
      <w:r w:rsidR="00496FE5">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13521"/>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96FE5"/>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22F29"/>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442F"/>
    <w:rsid w:val="00CB5B1A"/>
    <w:rsid w:val="00CB5C61"/>
    <w:rsid w:val="00CE5B1F"/>
    <w:rsid w:val="00D13B69"/>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0098"/>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964</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2021-11-30T02:53:00Z</dcterms:created>
  <dcterms:modified xsi:type="dcterms:W3CDTF">2022-08-05T05:17:00Z</dcterms:modified>
</cp:coreProperties>
</file>